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3FDD5"/>
  <w:body>
    <w:p w14:paraId="189EC7D1">
      <w:pPr>
        <w:spacing w:line="360" w:lineRule="auto"/>
        <w:jc w:val="center"/>
        <w:rPr>
          <w:rFonts w:ascii="黑体" w:eastAsia="黑体"/>
          <w:color w:val="000000"/>
          <w:sz w:val="36"/>
          <w:szCs w:val="36"/>
        </w:rPr>
      </w:pPr>
      <w:bookmarkStart w:id="184" w:name="_GoBack"/>
      <w:bookmarkEnd w:id="184"/>
    </w:p>
    <w:p w14:paraId="68382064">
      <w:pPr>
        <w:spacing w:line="360" w:lineRule="auto"/>
        <w:jc w:val="center"/>
        <w:rPr>
          <w:rFonts w:ascii="黑体" w:eastAsia="黑体"/>
          <w:color w:val="000000"/>
          <w:sz w:val="36"/>
          <w:szCs w:val="36"/>
        </w:rPr>
      </w:pPr>
    </w:p>
    <w:p w14:paraId="5B2D226D">
      <w:pPr>
        <w:spacing w:line="360" w:lineRule="auto"/>
        <w:jc w:val="center"/>
        <w:rPr>
          <w:rFonts w:ascii="黑体" w:eastAsia="黑体"/>
          <w:color w:val="000000"/>
          <w:sz w:val="44"/>
          <w:szCs w:val="44"/>
        </w:rPr>
      </w:pPr>
      <w:r>
        <w:rPr>
          <w:rFonts w:hint="eastAsia" w:ascii="黑体" w:eastAsia="黑体"/>
          <w:color w:val="000000"/>
          <w:sz w:val="44"/>
          <w:szCs w:val="44"/>
        </w:rPr>
        <w:t>东川区土地利用总体规划（2010-2020年）</w:t>
      </w:r>
    </w:p>
    <w:p w14:paraId="4065275A">
      <w:pPr>
        <w:spacing w:line="360" w:lineRule="auto"/>
        <w:jc w:val="center"/>
        <w:rPr>
          <w:rFonts w:ascii="黑体" w:eastAsia="黑体"/>
          <w:color w:val="000000"/>
          <w:sz w:val="44"/>
          <w:szCs w:val="44"/>
        </w:rPr>
      </w:pPr>
      <w:r>
        <w:rPr>
          <w:rFonts w:hint="eastAsia" w:ascii="黑体" w:eastAsia="黑体"/>
          <w:color w:val="000000"/>
          <w:sz w:val="44"/>
          <w:szCs w:val="44"/>
        </w:rPr>
        <w:t>调整完善方案</w:t>
      </w:r>
    </w:p>
    <w:p w14:paraId="17F150DC">
      <w:pPr>
        <w:spacing w:line="360" w:lineRule="auto"/>
        <w:jc w:val="center"/>
        <w:rPr>
          <w:rFonts w:ascii="黑体" w:eastAsia="黑体"/>
          <w:color w:val="000000"/>
          <w:sz w:val="44"/>
          <w:szCs w:val="44"/>
        </w:rPr>
      </w:pPr>
    </w:p>
    <w:p w14:paraId="1D647E28">
      <w:pPr>
        <w:spacing w:line="360" w:lineRule="auto"/>
        <w:jc w:val="center"/>
        <w:rPr>
          <w:rFonts w:ascii="黑体" w:eastAsia="黑体"/>
          <w:color w:val="000000"/>
          <w:sz w:val="44"/>
          <w:szCs w:val="44"/>
        </w:rPr>
      </w:pPr>
    </w:p>
    <w:p w14:paraId="4A84B937">
      <w:pPr>
        <w:spacing w:line="360" w:lineRule="auto"/>
        <w:jc w:val="center"/>
        <w:rPr>
          <w:rFonts w:ascii="黑体" w:eastAsia="黑体"/>
          <w:color w:val="000000"/>
          <w:sz w:val="44"/>
          <w:szCs w:val="44"/>
        </w:rPr>
      </w:pPr>
    </w:p>
    <w:p w14:paraId="0B414067">
      <w:pPr>
        <w:spacing w:line="360" w:lineRule="auto"/>
        <w:jc w:val="center"/>
        <w:rPr>
          <w:rFonts w:ascii="黑体" w:eastAsia="黑体"/>
          <w:color w:val="000000"/>
          <w:sz w:val="44"/>
          <w:szCs w:val="44"/>
        </w:rPr>
      </w:pPr>
    </w:p>
    <w:p w14:paraId="0361FCF7">
      <w:pPr>
        <w:spacing w:line="360" w:lineRule="auto"/>
        <w:jc w:val="center"/>
        <w:rPr>
          <w:rFonts w:ascii="黑体" w:eastAsia="黑体"/>
          <w:color w:val="000000"/>
          <w:sz w:val="44"/>
          <w:szCs w:val="44"/>
        </w:rPr>
      </w:pPr>
    </w:p>
    <w:p w14:paraId="765076AC">
      <w:pPr>
        <w:spacing w:line="360" w:lineRule="auto"/>
        <w:jc w:val="center"/>
        <w:rPr>
          <w:rFonts w:ascii="黑体" w:eastAsia="黑体"/>
          <w:color w:val="000000"/>
          <w:sz w:val="44"/>
          <w:szCs w:val="44"/>
        </w:rPr>
      </w:pPr>
    </w:p>
    <w:p w14:paraId="24F44087">
      <w:pPr>
        <w:spacing w:line="360" w:lineRule="auto"/>
        <w:jc w:val="center"/>
        <w:rPr>
          <w:rFonts w:ascii="黑体" w:eastAsia="黑体"/>
          <w:color w:val="000000"/>
          <w:sz w:val="44"/>
          <w:szCs w:val="44"/>
        </w:rPr>
      </w:pPr>
    </w:p>
    <w:p w14:paraId="2E365BA9">
      <w:pPr>
        <w:spacing w:line="360" w:lineRule="auto"/>
        <w:jc w:val="center"/>
        <w:rPr>
          <w:rFonts w:ascii="黑体" w:eastAsia="黑体"/>
          <w:color w:val="000000"/>
          <w:sz w:val="44"/>
          <w:szCs w:val="44"/>
        </w:rPr>
      </w:pPr>
    </w:p>
    <w:p w14:paraId="47E0454E">
      <w:pPr>
        <w:spacing w:line="360" w:lineRule="auto"/>
        <w:jc w:val="center"/>
        <w:rPr>
          <w:rFonts w:ascii="黑体" w:eastAsia="黑体"/>
          <w:color w:val="000000"/>
          <w:sz w:val="44"/>
          <w:szCs w:val="44"/>
        </w:rPr>
      </w:pPr>
    </w:p>
    <w:p w14:paraId="7209BEF2">
      <w:pPr>
        <w:spacing w:line="360" w:lineRule="auto"/>
        <w:jc w:val="center"/>
        <w:rPr>
          <w:rFonts w:ascii="黑体" w:eastAsia="黑体"/>
          <w:color w:val="000000"/>
          <w:sz w:val="44"/>
          <w:szCs w:val="44"/>
        </w:rPr>
      </w:pPr>
    </w:p>
    <w:p w14:paraId="4294B82E">
      <w:pPr>
        <w:spacing w:line="360" w:lineRule="auto"/>
        <w:jc w:val="center"/>
        <w:rPr>
          <w:rFonts w:ascii="黑体" w:eastAsia="黑体"/>
          <w:color w:val="000000"/>
          <w:sz w:val="30"/>
          <w:szCs w:val="30"/>
        </w:rPr>
      </w:pPr>
      <w:r>
        <w:rPr>
          <w:rFonts w:hint="eastAsia" w:ascii="黑体" w:eastAsia="黑体"/>
          <w:color w:val="000000"/>
          <w:sz w:val="30"/>
          <w:szCs w:val="30"/>
        </w:rPr>
        <w:t>昆明市东川区人民政府</w:t>
      </w:r>
    </w:p>
    <w:p w14:paraId="32B420CC">
      <w:pPr>
        <w:spacing w:line="360" w:lineRule="auto"/>
        <w:jc w:val="center"/>
        <w:rPr>
          <w:rFonts w:ascii="黑体" w:eastAsia="黑体"/>
          <w:color w:val="000000"/>
          <w:sz w:val="30"/>
          <w:szCs w:val="30"/>
        </w:rPr>
      </w:pPr>
      <w:r>
        <w:rPr>
          <w:rFonts w:hint="eastAsia" w:ascii="黑体" w:eastAsia="黑体"/>
          <w:color w:val="000000"/>
          <w:sz w:val="30"/>
          <w:szCs w:val="30"/>
        </w:rPr>
        <w:t>2017年9月</w:t>
      </w:r>
    </w:p>
    <w:p w14:paraId="39BC35BE">
      <w:pPr>
        <w:spacing w:line="360" w:lineRule="auto"/>
        <w:jc w:val="center"/>
        <w:rPr>
          <w:rFonts w:ascii="黑体" w:eastAsia="黑体"/>
          <w:color w:val="000000"/>
          <w:sz w:val="30"/>
          <w:szCs w:val="30"/>
        </w:rPr>
      </w:pPr>
    </w:p>
    <w:p w14:paraId="270FDCB5">
      <w:pPr>
        <w:spacing w:line="360" w:lineRule="auto"/>
        <w:jc w:val="center"/>
        <w:rPr>
          <w:rFonts w:ascii="黑体" w:eastAsia="黑体"/>
          <w:color w:val="000000"/>
          <w:sz w:val="30"/>
          <w:szCs w:val="30"/>
        </w:rPr>
      </w:pPr>
    </w:p>
    <w:p w14:paraId="26EFB3C4">
      <w:pPr>
        <w:spacing w:line="360" w:lineRule="auto"/>
        <w:jc w:val="center"/>
        <w:rPr>
          <w:rFonts w:ascii="黑体" w:eastAsia="黑体"/>
          <w:color w:val="000000"/>
          <w:sz w:val="30"/>
          <w:szCs w:val="30"/>
        </w:rPr>
      </w:pPr>
    </w:p>
    <w:p w14:paraId="73C35C13">
      <w:pPr>
        <w:spacing w:line="360" w:lineRule="auto"/>
        <w:jc w:val="center"/>
        <w:rPr>
          <w:rFonts w:ascii="黑体" w:eastAsia="黑体"/>
          <w:b/>
          <w:sz w:val="32"/>
          <w:szCs w:val="32"/>
        </w:rPr>
      </w:pPr>
      <w:r>
        <w:rPr>
          <w:rFonts w:hint="eastAsia" w:ascii="黑体" w:eastAsia="黑体"/>
          <w:b/>
          <w:sz w:val="32"/>
          <w:szCs w:val="32"/>
        </w:rPr>
        <w:drawing>
          <wp:inline distT="0" distB="0" distL="0" distR="0">
            <wp:extent cx="5273040" cy="3726180"/>
            <wp:effectExtent l="19050" t="0" r="3810" b="7620"/>
            <wp:docPr id="1" name="图片 1" descr="土地规划机构甲级证书（有效期至2019年11月）-副本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土地规划机构甲级证书（有效期至2019年11月）-副本背面"/>
                    <pic:cNvPicPr>
                      <a:picLocks noChangeAspect="1" noChangeArrowheads="1"/>
                    </pic:cNvPicPr>
                  </pic:nvPicPr>
                  <pic:blipFill>
                    <a:blip r:embed="rId11" cstate="print"/>
                    <a:srcRect/>
                    <a:stretch>
                      <a:fillRect/>
                    </a:stretch>
                  </pic:blipFill>
                  <pic:spPr>
                    <a:xfrm>
                      <a:off x="0" y="0"/>
                      <a:ext cx="5273040" cy="3726180"/>
                    </a:xfrm>
                    <a:prstGeom prst="rect">
                      <a:avLst/>
                    </a:prstGeom>
                    <a:noFill/>
                    <a:ln w="9525">
                      <a:noFill/>
                      <a:miter lim="800000"/>
                      <a:headEnd/>
                      <a:tailEnd/>
                    </a:ln>
                  </pic:spPr>
                </pic:pic>
              </a:graphicData>
            </a:graphic>
          </wp:inline>
        </w:drawing>
      </w:r>
    </w:p>
    <w:p w14:paraId="2C35D08D">
      <w:pPr>
        <w:spacing w:line="360" w:lineRule="auto"/>
        <w:jc w:val="center"/>
        <w:rPr>
          <w:rFonts w:ascii="黑体" w:eastAsia="黑体"/>
          <w:color w:val="000000"/>
          <w:sz w:val="30"/>
          <w:szCs w:val="30"/>
        </w:rPr>
      </w:pPr>
      <w:r>
        <w:rPr>
          <w:rFonts w:hint="eastAsia" w:ascii="黑体" w:eastAsia="黑体"/>
          <w:b/>
          <w:sz w:val="32"/>
          <w:szCs w:val="32"/>
        </w:rPr>
        <w:drawing>
          <wp:inline distT="0" distB="0" distL="0" distR="0">
            <wp:extent cx="5273040" cy="3726180"/>
            <wp:effectExtent l="19050" t="0" r="3810" b="7620"/>
            <wp:docPr id="2" name="图片 2" descr="土地规划机构甲级证书（有效期至2019年11月）-副本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土地规划机构甲级证书（有效期至2019年11月）-副本正面"/>
                    <pic:cNvPicPr>
                      <a:picLocks noChangeAspect="1" noChangeArrowheads="1"/>
                    </pic:cNvPicPr>
                  </pic:nvPicPr>
                  <pic:blipFill>
                    <a:blip r:embed="rId12" cstate="print"/>
                    <a:srcRect/>
                    <a:stretch>
                      <a:fillRect/>
                    </a:stretch>
                  </pic:blipFill>
                  <pic:spPr>
                    <a:xfrm>
                      <a:off x="0" y="0"/>
                      <a:ext cx="5273040" cy="3726180"/>
                    </a:xfrm>
                    <a:prstGeom prst="rect">
                      <a:avLst/>
                    </a:prstGeom>
                    <a:noFill/>
                    <a:ln w="9525">
                      <a:noFill/>
                      <a:miter lim="800000"/>
                      <a:headEnd/>
                      <a:tailEnd/>
                    </a:ln>
                  </pic:spPr>
                </pic:pic>
              </a:graphicData>
            </a:graphic>
          </wp:inline>
        </w:drawing>
      </w:r>
    </w:p>
    <w:p w14:paraId="6D5A76F4">
      <w:pPr>
        <w:spacing w:line="360" w:lineRule="auto"/>
        <w:jc w:val="center"/>
        <w:rPr>
          <w:rFonts w:ascii="黑体" w:eastAsia="黑体"/>
          <w:color w:val="000000"/>
          <w:sz w:val="30"/>
          <w:szCs w:val="30"/>
        </w:rPr>
        <w:sectPr>
          <w:headerReference r:id="rId5" w:type="first"/>
          <w:footerReference r:id="rId8" w:type="first"/>
          <w:headerReference r:id="rId3" w:type="default"/>
          <w:footerReference r:id="rId6" w:type="default"/>
          <w:headerReference r:id="rId4" w:type="even"/>
          <w:footerReference r:id="rId7" w:type="even"/>
          <w:pgSz w:w="11906" w:h="16838"/>
          <w:pgMar w:top="1440" w:right="1134" w:bottom="1440" w:left="1701" w:header="851" w:footer="992" w:gutter="0"/>
          <w:pgNumType w:fmt="upperRoman" w:start="1"/>
          <w:cols w:space="425" w:num="1"/>
          <w:titlePg/>
          <w:docGrid w:linePitch="312" w:charSpace="0"/>
        </w:sectPr>
      </w:pPr>
    </w:p>
    <w:p w14:paraId="5DD69175">
      <w:pPr>
        <w:spacing w:line="360" w:lineRule="auto"/>
        <w:jc w:val="center"/>
        <w:rPr>
          <w:rFonts w:ascii="宋体" w:hAnsi="宋体"/>
          <w:color w:val="000000"/>
          <w:sz w:val="24"/>
        </w:rPr>
      </w:pPr>
      <w:r>
        <w:rPr>
          <w:rFonts w:hint="eastAsia" w:ascii="黑体" w:eastAsia="黑体"/>
          <w:color w:val="000000"/>
          <w:sz w:val="24"/>
        </w:rPr>
        <w:t>目  录</w:t>
      </w:r>
    </w:p>
    <w:p w14:paraId="1CF90E27">
      <w:pPr>
        <w:pStyle w:val="20"/>
        <w:rPr>
          <w:rFonts w:asciiTheme="minorHAnsi" w:hAnsiTheme="minorHAnsi" w:eastAsiaTheme="minorEastAsia" w:cstheme="minorBidi"/>
          <w:bCs w:val="0"/>
          <w:caps w:val="0"/>
          <w:sz w:val="21"/>
          <w:szCs w:val="22"/>
        </w:rPr>
      </w:pPr>
      <w:r>
        <w:rPr>
          <w:rFonts w:ascii="宋体" w:hAnsi="宋体" w:eastAsia="宋体"/>
          <w:smallCaps/>
          <w:sz w:val="18"/>
          <w:szCs w:val="18"/>
        </w:rPr>
        <w:fldChar w:fldCharType="begin"/>
      </w:r>
      <w:r>
        <w:rPr>
          <w:rFonts w:ascii="宋体" w:hAnsi="宋体" w:eastAsia="宋体"/>
          <w:smallCaps/>
          <w:sz w:val="18"/>
          <w:szCs w:val="18"/>
        </w:rPr>
        <w:instrText xml:space="preserve"> TOC \o "1-2" \h \z \u </w:instrText>
      </w:r>
      <w:r>
        <w:rPr>
          <w:rFonts w:ascii="宋体" w:hAnsi="宋体" w:eastAsia="宋体"/>
          <w:smallCaps/>
          <w:sz w:val="18"/>
          <w:szCs w:val="18"/>
        </w:rPr>
        <w:fldChar w:fldCharType="separate"/>
      </w:r>
      <w:r>
        <w:fldChar w:fldCharType="begin"/>
      </w:r>
      <w:r>
        <w:instrText xml:space="preserve"> HYPERLINK \l "_Toc491074881" </w:instrText>
      </w:r>
      <w:r>
        <w:fldChar w:fldCharType="separate"/>
      </w:r>
      <w:r>
        <w:rPr>
          <w:rStyle w:val="33"/>
          <w:rFonts w:hint="eastAsia"/>
        </w:rPr>
        <w:t>第一章</w:t>
      </w:r>
      <w:r>
        <w:rPr>
          <w:rStyle w:val="33"/>
        </w:rPr>
        <w:t xml:space="preserve">  </w:t>
      </w:r>
      <w:r>
        <w:rPr>
          <w:rStyle w:val="33"/>
          <w:rFonts w:hint="eastAsia"/>
        </w:rPr>
        <w:t>总</w:t>
      </w:r>
      <w:r>
        <w:rPr>
          <w:rStyle w:val="33"/>
        </w:rPr>
        <w:t xml:space="preserve">  </w:t>
      </w:r>
      <w:r>
        <w:rPr>
          <w:rStyle w:val="33"/>
          <w:rFonts w:hint="eastAsia"/>
        </w:rPr>
        <w:t>则</w:t>
      </w:r>
      <w:r>
        <w:tab/>
      </w:r>
      <w:r>
        <w:fldChar w:fldCharType="begin"/>
      </w:r>
      <w:r>
        <w:instrText xml:space="preserve"> PAGEREF _Toc491074881 \h </w:instrText>
      </w:r>
      <w:r>
        <w:fldChar w:fldCharType="separate"/>
      </w:r>
      <w:r>
        <w:t>1</w:t>
      </w:r>
      <w:r>
        <w:fldChar w:fldCharType="end"/>
      </w:r>
      <w:r>
        <w:fldChar w:fldCharType="end"/>
      </w:r>
    </w:p>
    <w:p w14:paraId="7DAB0FDE">
      <w:pPr>
        <w:pStyle w:val="23"/>
        <w:rPr>
          <w:rFonts w:asciiTheme="minorHAnsi" w:hAnsiTheme="minorHAnsi" w:eastAsiaTheme="minorEastAsia" w:cstheme="minorBidi"/>
          <w:smallCaps w:val="0"/>
          <w:szCs w:val="22"/>
        </w:rPr>
      </w:pPr>
      <w:r>
        <w:fldChar w:fldCharType="begin"/>
      </w:r>
      <w:r>
        <w:instrText xml:space="preserve"> HYPERLINK \l "_Toc491074882" </w:instrText>
      </w:r>
      <w:r>
        <w:fldChar w:fldCharType="separate"/>
      </w:r>
      <w:r>
        <w:rPr>
          <w:rStyle w:val="33"/>
          <w:rFonts w:hint="eastAsia"/>
        </w:rPr>
        <w:t>第一节</w:t>
      </w:r>
      <w:r>
        <w:rPr>
          <w:rStyle w:val="33"/>
        </w:rPr>
        <w:t xml:space="preserve">  </w:t>
      </w:r>
      <w:r>
        <w:rPr>
          <w:rStyle w:val="33"/>
          <w:rFonts w:hint="eastAsia"/>
        </w:rPr>
        <w:t>背</w:t>
      </w:r>
      <w:r>
        <w:rPr>
          <w:rStyle w:val="33"/>
        </w:rPr>
        <w:t xml:space="preserve">  </w:t>
      </w:r>
      <w:r>
        <w:rPr>
          <w:rStyle w:val="33"/>
          <w:rFonts w:hint="eastAsia"/>
        </w:rPr>
        <w:t>景</w:t>
      </w:r>
      <w:r>
        <w:tab/>
      </w:r>
      <w:r>
        <w:fldChar w:fldCharType="begin"/>
      </w:r>
      <w:r>
        <w:instrText xml:space="preserve"> PAGEREF _Toc491074882 \h </w:instrText>
      </w:r>
      <w:r>
        <w:fldChar w:fldCharType="separate"/>
      </w:r>
      <w:r>
        <w:t>1</w:t>
      </w:r>
      <w:r>
        <w:fldChar w:fldCharType="end"/>
      </w:r>
      <w:r>
        <w:fldChar w:fldCharType="end"/>
      </w:r>
    </w:p>
    <w:p w14:paraId="496A8B79">
      <w:pPr>
        <w:pStyle w:val="23"/>
        <w:rPr>
          <w:rFonts w:asciiTheme="minorHAnsi" w:hAnsiTheme="minorHAnsi" w:eastAsiaTheme="minorEastAsia" w:cstheme="minorBidi"/>
          <w:smallCaps w:val="0"/>
          <w:szCs w:val="22"/>
        </w:rPr>
      </w:pPr>
      <w:r>
        <w:fldChar w:fldCharType="begin"/>
      </w:r>
      <w:r>
        <w:instrText xml:space="preserve"> HYPERLINK \l "_Toc491074883" </w:instrText>
      </w:r>
      <w:r>
        <w:fldChar w:fldCharType="separate"/>
      </w:r>
      <w:r>
        <w:rPr>
          <w:rStyle w:val="33"/>
          <w:rFonts w:hint="eastAsia"/>
        </w:rPr>
        <w:t>第二节</w:t>
      </w:r>
      <w:r>
        <w:rPr>
          <w:rStyle w:val="33"/>
        </w:rPr>
        <w:t xml:space="preserve">  </w:t>
      </w:r>
      <w:r>
        <w:rPr>
          <w:rStyle w:val="33"/>
          <w:rFonts w:hint="eastAsia"/>
        </w:rPr>
        <w:t>基本原则</w:t>
      </w:r>
      <w:r>
        <w:tab/>
      </w:r>
      <w:r>
        <w:fldChar w:fldCharType="begin"/>
      </w:r>
      <w:r>
        <w:instrText xml:space="preserve"> PAGEREF _Toc491074883 \h </w:instrText>
      </w:r>
      <w:r>
        <w:fldChar w:fldCharType="separate"/>
      </w:r>
      <w:r>
        <w:t>2</w:t>
      </w:r>
      <w:r>
        <w:fldChar w:fldCharType="end"/>
      </w:r>
      <w:r>
        <w:fldChar w:fldCharType="end"/>
      </w:r>
    </w:p>
    <w:p w14:paraId="0CC7CADE">
      <w:pPr>
        <w:pStyle w:val="23"/>
        <w:rPr>
          <w:rFonts w:asciiTheme="minorHAnsi" w:hAnsiTheme="minorHAnsi" w:eastAsiaTheme="minorEastAsia" w:cstheme="minorBidi"/>
          <w:smallCaps w:val="0"/>
          <w:szCs w:val="22"/>
        </w:rPr>
      </w:pPr>
      <w:r>
        <w:fldChar w:fldCharType="begin"/>
      </w:r>
      <w:r>
        <w:instrText xml:space="preserve"> HYPERLINK \l "_Toc491074884" </w:instrText>
      </w:r>
      <w:r>
        <w:fldChar w:fldCharType="separate"/>
      </w:r>
      <w:r>
        <w:rPr>
          <w:rStyle w:val="33"/>
          <w:rFonts w:hint="eastAsia"/>
        </w:rPr>
        <w:t>第三节</w:t>
      </w:r>
      <w:r>
        <w:rPr>
          <w:rStyle w:val="33"/>
        </w:rPr>
        <w:t xml:space="preserve">  </w:t>
      </w:r>
      <w:r>
        <w:rPr>
          <w:rStyle w:val="33"/>
          <w:rFonts w:hint="eastAsia"/>
        </w:rPr>
        <w:t>目的及意义</w:t>
      </w:r>
      <w:r>
        <w:tab/>
      </w:r>
      <w:r>
        <w:fldChar w:fldCharType="begin"/>
      </w:r>
      <w:r>
        <w:instrText xml:space="preserve"> PAGEREF _Toc491074884 \h </w:instrText>
      </w:r>
      <w:r>
        <w:fldChar w:fldCharType="separate"/>
      </w:r>
      <w:r>
        <w:t>3</w:t>
      </w:r>
      <w:r>
        <w:fldChar w:fldCharType="end"/>
      </w:r>
      <w:r>
        <w:fldChar w:fldCharType="end"/>
      </w:r>
    </w:p>
    <w:p w14:paraId="0801F0E8">
      <w:pPr>
        <w:pStyle w:val="23"/>
        <w:rPr>
          <w:rFonts w:asciiTheme="minorHAnsi" w:hAnsiTheme="minorHAnsi" w:eastAsiaTheme="minorEastAsia" w:cstheme="minorBidi"/>
          <w:smallCaps w:val="0"/>
          <w:szCs w:val="22"/>
        </w:rPr>
      </w:pPr>
      <w:r>
        <w:fldChar w:fldCharType="begin"/>
      </w:r>
      <w:r>
        <w:instrText xml:space="preserve"> HYPERLINK \l "_Toc491074885" </w:instrText>
      </w:r>
      <w:r>
        <w:fldChar w:fldCharType="separate"/>
      </w:r>
      <w:r>
        <w:rPr>
          <w:rStyle w:val="33"/>
          <w:rFonts w:hint="eastAsia"/>
        </w:rPr>
        <w:t>第四节</w:t>
      </w:r>
      <w:r>
        <w:rPr>
          <w:rStyle w:val="33"/>
        </w:rPr>
        <w:t xml:space="preserve">  </w:t>
      </w:r>
      <w:r>
        <w:rPr>
          <w:rStyle w:val="33"/>
          <w:rFonts w:hint="eastAsia"/>
        </w:rPr>
        <w:t>主要任务</w:t>
      </w:r>
      <w:r>
        <w:tab/>
      </w:r>
      <w:r>
        <w:fldChar w:fldCharType="begin"/>
      </w:r>
      <w:r>
        <w:instrText xml:space="preserve"> PAGEREF _Toc491074885 \h </w:instrText>
      </w:r>
      <w:r>
        <w:fldChar w:fldCharType="separate"/>
      </w:r>
      <w:r>
        <w:t>4</w:t>
      </w:r>
      <w:r>
        <w:fldChar w:fldCharType="end"/>
      </w:r>
      <w:r>
        <w:fldChar w:fldCharType="end"/>
      </w:r>
    </w:p>
    <w:p w14:paraId="781E2573">
      <w:pPr>
        <w:pStyle w:val="23"/>
        <w:rPr>
          <w:rFonts w:asciiTheme="minorHAnsi" w:hAnsiTheme="minorHAnsi" w:eastAsiaTheme="minorEastAsia" w:cstheme="minorBidi"/>
          <w:smallCaps w:val="0"/>
          <w:szCs w:val="22"/>
        </w:rPr>
      </w:pPr>
      <w:r>
        <w:fldChar w:fldCharType="begin"/>
      </w:r>
      <w:r>
        <w:instrText xml:space="preserve"> HYPERLINK \l "_Toc491074886" </w:instrText>
      </w:r>
      <w:r>
        <w:fldChar w:fldCharType="separate"/>
      </w:r>
      <w:r>
        <w:rPr>
          <w:rStyle w:val="33"/>
          <w:rFonts w:hint="eastAsia"/>
        </w:rPr>
        <w:t>第五节</w:t>
      </w:r>
      <w:r>
        <w:rPr>
          <w:rStyle w:val="33"/>
        </w:rPr>
        <w:t xml:space="preserve">  </w:t>
      </w:r>
      <w:r>
        <w:rPr>
          <w:rStyle w:val="33"/>
          <w:rFonts w:hint="eastAsia"/>
        </w:rPr>
        <w:t>工作依据</w:t>
      </w:r>
      <w:r>
        <w:tab/>
      </w:r>
      <w:r>
        <w:fldChar w:fldCharType="begin"/>
      </w:r>
      <w:r>
        <w:instrText xml:space="preserve"> PAGEREF _Toc491074886 \h </w:instrText>
      </w:r>
      <w:r>
        <w:fldChar w:fldCharType="separate"/>
      </w:r>
      <w:r>
        <w:t>5</w:t>
      </w:r>
      <w:r>
        <w:fldChar w:fldCharType="end"/>
      </w:r>
      <w:r>
        <w:fldChar w:fldCharType="end"/>
      </w:r>
    </w:p>
    <w:p w14:paraId="73C39F34">
      <w:pPr>
        <w:pStyle w:val="23"/>
        <w:rPr>
          <w:rFonts w:asciiTheme="minorHAnsi" w:hAnsiTheme="minorHAnsi" w:eastAsiaTheme="minorEastAsia" w:cstheme="minorBidi"/>
          <w:smallCaps w:val="0"/>
          <w:szCs w:val="22"/>
        </w:rPr>
      </w:pPr>
      <w:r>
        <w:fldChar w:fldCharType="begin"/>
      </w:r>
      <w:r>
        <w:instrText xml:space="preserve"> HYPERLINK \l "_Toc491074887" </w:instrText>
      </w:r>
      <w:r>
        <w:fldChar w:fldCharType="separate"/>
      </w:r>
      <w:r>
        <w:rPr>
          <w:rStyle w:val="33"/>
          <w:rFonts w:hint="eastAsia"/>
        </w:rPr>
        <w:t>第六节</w:t>
      </w:r>
      <w:r>
        <w:rPr>
          <w:rStyle w:val="33"/>
        </w:rPr>
        <w:t xml:space="preserve">  </w:t>
      </w:r>
      <w:r>
        <w:rPr>
          <w:rStyle w:val="33"/>
          <w:rFonts w:hint="eastAsia"/>
        </w:rPr>
        <w:t>技术说明</w:t>
      </w:r>
      <w:r>
        <w:tab/>
      </w:r>
      <w:r>
        <w:fldChar w:fldCharType="begin"/>
      </w:r>
      <w:r>
        <w:instrText xml:space="preserve"> PAGEREF _Toc491074887 \h </w:instrText>
      </w:r>
      <w:r>
        <w:fldChar w:fldCharType="separate"/>
      </w:r>
      <w:r>
        <w:t>8</w:t>
      </w:r>
      <w:r>
        <w:fldChar w:fldCharType="end"/>
      </w:r>
      <w:r>
        <w:fldChar w:fldCharType="end"/>
      </w:r>
    </w:p>
    <w:p w14:paraId="54D6B0F4">
      <w:pPr>
        <w:pStyle w:val="20"/>
        <w:rPr>
          <w:rFonts w:asciiTheme="minorHAnsi" w:hAnsiTheme="minorHAnsi" w:eastAsiaTheme="minorEastAsia" w:cstheme="minorBidi"/>
          <w:bCs w:val="0"/>
          <w:caps w:val="0"/>
          <w:sz w:val="21"/>
          <w:szCs w:val="22"/>
        </w:rPr>
      </w:pPr>
      <w:r>
        <w:fldChar w:fldCharType="begin"/>
      </w:r>
      <w:r>
        <w:instrText xml:space="preserve"> HYPERLINK \l "_Toc491074888" </w:instrText>
      </w:r>
      <w:r>
        <w:fldChar w:fldCharType="separate"/>
      </w:r>
      <w:r>
        <w:rPr>
          <w:rStyle w:val="33"/>
          <w:rFonts w:hint="eastAsia"/>
        </w:rPr>
        <w:t>第二章</w:t>
      </w:r>
      <w:r>
        <w:rPr>
          <w:rStyle w:val="33"/>
        </w:rPr>
        <w:t xml:space="preserve">  </w:t>
      </w:r>
      <w:r>
        <w:rPr>
          <w:rStyle w:val="33"/>
          <w:rFonts w:hint="eastAsia"/>
        </w:rPr>
        <w:t>土地利用现状</w:t>
      </w:r>
      <w:r>
        <w:tab/>
      </w:r>
      <w:r>
        <w:fldChar w:fldCharType="begin"/>
      </w:r>
      <w:r>
        <w:instrText xml:space="preserve"> PAGEREF _Toc491074888 \h </w:instrText>
      </w:r>
      <w:r>
        <w:fldChar w:fldCharType="separate"/>
      </w:r>
      <w:r>
        <w:t>9</w:t>
      </w:r>
      <w:r>
        <w:fldChar w:fldCharType="end"/>
      </w:r>
      <w:r>
        <w:fldChar w:fldCharType="end"/>
      </w:r>
    </w:p>
    <w:p w14:paraId="541A53EF">
      <w:pPr>
        <w:pStyle w:val="23"/>
        <w:rPr>
          <w:rFonts w:asciiTheme="minorHAnsi" w:hAnsiTheme="minorHAnsi" w:eastAsiaTheme="minorEastAsia" w:cstheme="minorBidi"/>
          <w:smallCaps w:val="0"/>
          <w:szCs w:val="22"/>
        </w:rPr>
      </w:pPr>
      <w:r>
        <w:fldChar w:fldCharType="begin"/>
      </w:r>
      <w:r>
        <w:instrText xml:space="preserve"> HYPERLINK \l "_Toc491074889" </w:instrText>
      </w:r>
      <w:r>
        <w:fldChar w:fldCharType="separate"/>
      </w:r>
      <w:r>
        <w:rPr>
          <w:rStyle w:val="33"/>
          <w:rFonts w:hint="eastAsia"/>
        </w:rPr>
        <w:t>第一节</w:t>
      </w:r>
      <w:r>
        <w:rPr>
          <w:rStyle w:val="33"/>
        </w:rPr>
        <w:t xml:space="preserve">  </w:t>
      </w:r>
      <w:r>
        <w:rPr>
          <w:rStyle w:val="33"/>
          <w:rFonts w:hint="eastAsia"/>
        </w:rPr>
        <w:t>东川区概况</w:t>
      </w:r>
      <w:r>
        <w:tab/>
      </w:r>
      <w:r>
        <w:fldChar w:fldCharType="begin"/>
      </w:r>
      <w:r>
        <w:instrText xml:space="preserve"> PAGEREF _Toc491074889 \h </w:instrText>
      </w:r>
      <w:r>
        <w:fldChar w:fldCharType="separate"/>
      </w:r>
      <w:r>
        <w:t>9</w:t>
      </w:r>
      <w:r>
        <w:fldChar w:fldCharType="end"/>
      </w:r>
      <w:r>
        <w:fldChar w:fldCharType="end"/>
      </w:r>
    </w:p>
    <w:p w14:paraId="7115CF57">
      <w:pPr>
        <w:pStyle w:val="23"/>
        <w:rPr>
          <w:rFonts w:asciiTheme="minorHAnsi" w:hAnsiTheme="minorHAnsi" w:eastAsiaTheme="minorEastAsia" w:cstheme="minorBidi"/>
          <w:smallCaps w:val="0"/>
          <w:szCs w:val="22"/>
        </w:rPr>
      </w:pPr>
      <w:r>
        <w:fldChar w:fldCharType="begin"/>
      </w:r>
      <w:r>
        <w:instrText xml:space="preserve"> HYPERLINK \l "_Toc491074890" </w:instrText>
      </w:r>
      <w:r>
        <w:fldChar w:fldCharType="separate"/>
      </w:r>
      <w:r>
        <w:rPr>
          <w:rStyle w:val="33"/>
          <w:rFonts w:hint="eastAsia"/>
        </w:rPr>
        <w:t>第二节</w:t>
      </w:r>
      <w:r>
        <w:rPr>
          <w:rStyle w:val="33"/>
        </w:rPr>
        <w:t xml:space="preserve">  </w:t>
      </w:r>
      <w:r>
        <w:rPr>
          <w:rStyle w:val="33"/>
          <w:rFonts w:hint="eastAsia"/>
        </w:rPr>
        <w:t>土地利用现状</w:t>
      </w:r>
      <w:r>
        <w:tab/>
      </w:r>
      <w:r>
        <w:fldChar w:fldCharType="begin"/>
      </w:r>
      <w:r>
        <w:instrText xml:space="preserve"> PAGEREF _Toc491074890 \h </w:instrText>
      </w:r>
      <w:r>
        <w:fldChar w:fldCharType="separate"/>
      </w:r>
      <w:r>
        <w:t>11</w:t>
      </w:r>
      <w:r>
        <w:fldChar w:fldCharType="end"/>
      </w:r>
      <w:r>
        <w:fldChar w:fldCharType="end"/>
      </w:r>
    </w:p>
    <w:p w14:paraId="5658E724">
      <w:pPr>
        <w:pStyle w:val="23"/>
        <w:rPr>
          <w:rFonts w:asciiTheme="minorHAnsi" w:hAnsiTheme="minorHAnsi" w:eastAsiaTheme="minorEastAsia" w:cstheme="minorBidi"/>
          <w:smallCaps w:val="0"/>
          <w:szCs w:val="22"/>
        </w:rPr>
      </w:pPr>
      <w:r>
        <w:fldChar w:fldCharType="begin"/>
      </w:r>
      <w:r>
        <w:instrText xml:space="preserve"> HYPERLINK \l "_Toc491074891" </w:instrText>
      </w:r>
      <w:r>
        <w:fldChar w:fldCharType="separate"/>
      </w:r>
      <w:r>
        <w:rPr>
          <w:rStyle w:val="33"/>
          <w:rFonts w:hint="eastAsia"/>
        </w:rPr>
        <w:t>第三节</w:t>
      </w:r>
      <w:r>
        <w:rPr>
          <w:rStyle w:val="33"/>
        </w:rPr>
        <w:t xml:space="preserve">  </w:t>
      </w:r>
      <w:r>
        <w:rPr>
          <w:rStyle w:val="33"/>
          <w:rFonts w:hint="eastAsia"/>
        </w:rPr>
        <w:t>耕地与基本农田保护现状</w:t>
      </w:r>
      <w:r>
        <w:tab/>
      </w:r>
      <w:r>
        <w:fldChar w:fldCharType="begin"/>
      </w:r>
      <w:r>
        <w:instrText xml:space="preserve"> PAGEREF _Toc491074891 \h </w:instrText>
      </w:r>
      <w:r>
        <w:fldChar w:fldCharType="separate"/>
      </w:r>
      <w:r>
        <w:t>13</w:t>
      </w:r>
      <w:r>
        <w:fldChar w:fldCharType="end"/>
      </w:r>
      <w:r>
        <w:fldChar w:fldCharType="end"/>
      </w:r>
    </w:p>
    <w:p w14:paraId="40C1D72F">
      <w:pPr>
        <w:pStyle w:val="23"/>
        <w:rPr>
          <w:rFonts w:asciiTheme="minorHAnsi" w:hAnsiTheme="minorHAnsi" w:eastAsiaTheme="minorEastAsia" w:cstheme="minorBidi"/>
          <w:smallCaps w:val="0"/>
          <w:szCs w:val="22"/>
        </w:rPr>
      </w:pPr>
      <w:r>
        <w:fldChar w:fldCharType="begin"/>
      </w:r>
      <w:r>
        <w:instrText xml:space="preserve"> HYPERLINK \l "_Toc491074892" </w:instrText>
      </w:r>
      <w:r>
        <w:fldChar w:fldCharType="separate"/>
      </w:r>
      <w:r>
        <w:rPr>
          <w:rStyle w:val="33"/>
          <w:rFonts w:hint="eastAsia"/>
        </w:rPr>
        <w:t>第四节</w:t>
      </w:r>
      <w:r>
        <w:rPr>
          <w:rStyle w:val="33"/>
        </w:rPr>
        <w:t xml:space="preserve">  </w:t>
      </w:r>
      <w:r>
        <w:rPr>
          <w:rStyle w:val="33"/>
          <w:rFonts w:hint="eastAsia"/>
        </w:rPr>
        <w:t>土地利用现状特点</w:t>
      </w:r>
      <w:r>
        <w:tab/>
      </w:r>
      <w:r>
        <w:fldChar w:fldCharType="begin"/>
      </w:r>
      <w:r>
        <w:instrText xml:space="preserve"> PAGEREF _Toc491074892 \h </w:instrText>
      </w:r>
      <w:r>
        <w:fldChar w:fldCharType="separate"/>
      </w:r>
      <w:r>
        <w:t>19</w:t>
      </w:r>
      <w:r>
        <w:fldChar w:fldCharType="end"/>
      </w:r>
      <w:r>
        <w:fldChar w:fldCharType="end"/>
      </w:r>
    </w:p>
    <w:p w14:paraId="7EAC05C9">
      <w:pPr>
        <w:pStyle w:val="20"/>
        <w:rPr>
          <w:rFonts w:asciiTheme="minorHAnsi" w:hAnsiTheme="minorHAnsi" w:eastAsiaTheme="minorEastAsia" w:cstheme="minorBidi"/>
          <w:bCs w:val="0"/>
          <w:caps w:val="0"/>
          <w:sz w:val="21"/>
          <w:szCs w:val="22"/>
        </w:rPr>
      </w:pPr>
      <w:r>
        <w:fldChar w:fldCharType="begin"/>
      </w:r>
      <w:r>
        <w:instrText xml:space="preserve"> HYPERLINK \l "_Toc491074893" </w:instrText>
      </w:r>
      <w:r>
        <w:fldChar w:fldCharType="separate"/>
      </w:r>
      <w:r>
        <w:rPr>
          <w:rStyle w:val="33"/>
          <w:rFonts w:hint="eastAsia"/>
        </w:rPr>
        <w:t>第三章</w:t>
      </w:r>
      <w:r>
        <w:rPr>
          <w:rStyle w:val="33"/>
        </w:rPr>
        <w:t xml:space="preserve">  </w:t>
      </w:r>
      <w:r>
        <w:rPr>
          <w:rStyle w:val="33"/>
          <w:rFonts w:hint="eastAsia"/>
        </w:rPr>
        <w:t>现行规划分析评价</w:t>
      </w:r>
      <w:r>
        <w:tab/>
      </w:r>
      <w:r>
        <w:fldChar w:fldCharType="begin"/>
      </w:r>
      <w:r>
        <w:instrText xml:space="preserve"> PAGEREF _Toc491074893 \h </w:instrText>
      </w:r>
      <w:r>
        <w:fldChar w:fldCharType="separate"/>
      </w:r>
      <w:r>
        <w:t>21</w:t>
      </w:r>
      <w:r>
        <w:fldChar w:fldCharType="end"/>
      </w:r>
      <w:r>
        <w:fldChar w:fldCharType="end"/>
      </w:r>
    </w:p>
    <w:p w14:paraId="661D187C">
      <w:pPr>
        <w:pStyle w:val="23"/>
        <w:rPr>
          <w:rStyle w:val="33"/>
        </w:rPr>
      </w:pPr>
      <w:r>
        <w:fldChar w:fldCharType="begin"/>
      </w:r>
      <w:r>
        <w:instrText xml:space="preserve"> HYPERLINK \l "_Toc491074894" </w:instrText>
      </w:r>
      <w:r>
        <w:fldChar w:fldCharType="separate"/>
      </w:r>
      <w:r>
        <w:rPr>
          <w:rStyle w:val="33"/>
          <w:rFonts w:hint="eastAsia"/>
        </w:rPr>
        <w:t>第一节</w:t>
      </w:r>
      <w:r>
        <w:rPr>
          <w:rStyle w:val="33"/>
        </w:rPr>
        <w:t xml:space="preserve">  </w:t>
      </w:r>
      <w:r>
        <w:rPr>
          <w:rStyle w:val="33"/>
          <w:rFonts w:hint="eastAsia"/>
        </w:rPr>
        <w:t>现行规划概况</w:t>
      </w:r>
      <w:r>
        <w:rPr>
          <w:rStyle w:val="33"/>
        </w:rPr>
        <w:tab/>
      </w:r>
      <w:r>
        <w:rPr>
          <w:rStyle w:val="33"/>
        </w:rPr>
        <w:fldChar w:fldCharType="begin"/>
      </w:r>
      <w:r>
        <w:rPr>
          <w:rStyle w:val="33"/>
        </w:rPr>
        <w:instrText xml:space="preserve"> PAGEREF _Toc491074894 \h </w:instrText>
      </w:r>
      <w:r>
        <w:rPr>
          <w:rStyle w:val="33"/>
        </w:rPr>
        <w:fldChar w:fldCharType="separate"/>
      </w:r>
      <w:r>
        <w:rPr>
          <w:rStyle w:val="33"/>
        </w:rPr>
        <w:t>21</w:t>
      </w:r>
      <w:r>
        <w:rPr>
          <w:rStyle w:val="33"/>
        </w:rPr>
        <w:fldChar w:fldCharType="end"/>
      </w:r>
      <w:r>
        <w:rPr>
          <w:rStyle w:val="33"/>
        </w:rPr>
        <w:fldChar w:fldCharType="end"/>
      </w:r>
    </w:p>
    <w:p w14:paraId="3A6FB9E5">
      <w:pPr>
        <w:pStyle w:val="23"/>
        <w:rPr>
          <w:rStyle w:val="33"/>
        </w:rPr>
      </w:pPr>
      <w:r>
        <w:fldChar w:fldCharType="begin"/>
      </w:r>
      <w:r>
        <w:instrText xml:space="preserve"> HYPERLINK \l "_Toc491074895" </w:instrText>
      </w:r>
      <w:r>
        <w:fldChar w:fldCharType="separate"/>
      </w:r>
      <w:r>
        <w:rPr>
          <w:rStyle w:val="33"/>
          <w:rFonts w:hint="eastAsia"/>
        </w:rPr>
        <w:t>第二节</w:t>
      </w:r>
      <w:r>
        <w:rPr>
          <w:rStyle w:val="33"/>
        </w:rPr>
        <w:t xml:space="preserve">  </w:t>
      </w:r>
      <w:r>
        <w:rPr>
          <w:rStyle w:val="33"/>
          <w:rFonts w:hint="eastAsia"/>
        </w:rPr>
        <w:t>现行规划实施情况</w:t>
      </w:r>
      <w:r>
        <w:rPr>
          <w:rStyle w:val="33"/>
        </w:rPr>
        <w:tab/>
      </w:r>
      <w:r>
        <w:rPr>
          <w:rStyle w:val="33"/>
        </w:rPr>
        <w:fldChar w:fldCharType="begin"/>
      </w:r>
      <w:r>
        <w:rPr>
          <w:rStyle w:val="33"/>
        </w:rPr>
        <w:instrText xml:space="preserve"> PAGEREF _Toc491074895 \h </w:instrText>
      </w:r>
      <w:r>
        <w:rPr>
          <w:rStyle w:val="33"/>
        </w:rPr>
        <w:fldChar w:fldCharType="separate"/>
      </w:r>
      <w:r>
        <w:rPr>
          <w:rStyle w:val="33"/>
        </w:rPr>
        <w:t>25</w:t>
      </w:r>
      <w:r>
        <w:rPr>
          <w:rStyle w:val="33"/>
        </w:rPr>
        <w:fldChar w:fldCharType="end"/>
      </w:r>
      <w:r>
        <w:rPr>
          <w:rStyle w:val="33"/>
        </w:rPr>
        <w:fldChar w:fldCharType="end"/>
      </w:r>
    </w:p>
    <w:p w14:paraId="71BD032C">
      <w:pPr>
        <w:pStyle w:val="23"/>
        <w:rPr>
          <w:rStyle w:val="33"/>
        </w:rPr>
      </w:pPr>
      <w:r>
        <w:fldChar w:fldCharType="begin"/>
      </w:r>
      <w:r>
        <w:instrText xml:space="preserve"> HYPERLINK \l "_Toc491074896" </w:instrText>
      </w:r>
      <w:r>
        <w:fldChar w:fldCharType="separate"/>
      </w:r>
      <w:r>
        <w:rPr>
          <w:rStyle w:val="33"/>
          <w:rFonts w:hint="eastAsia"/>
        </w:rPr>
        <w:t>第三节</w:t>
      </w:r>
      <w:r>
        <w:rPr>
          <w:rStyle w:val="33"/>
        </w:rPr>
        <w:t xml:space="preserve">  </w:t>
      </w:r>
      <w:r>
        <w:rPr>
          <w:rStyle w:val="33"/>
          <w:rFonts w:hint="eastAsia"/>
        </w:rPr>
        <w:t>现行规划实施成效与存在问题</w:t>
      </w:r>
      <w:r>
        <w:rPr>
          <w:rStyle w:val="33"/>
        </w:rPr>
        <w:tab/>
      </w:r>
      <w:r>
        <w:rPr>
          <w:rStyle w:val="33"/>
        </w:rPr>
        <w:fldChar w:fldCharType="begin"/>
      </w:r>
      <w:r>
        <w:rPr>
          <w:rStyle w:val="33"/>
        </w:rPr>
        <w:instrText xml:space="preserve"> PAGEREF _Toc491074896 \h </w:instrText>
      </w:r>
      <w:r>
        <w:rPr>
          <w:rStyle w:val="33"/>
        </w:rPr>
        <w:fldChar w:fldCharType="separate"/>
      </w:r>
      <w:r>
        <w:rPr>
          <w:rStyle w:val="33"/>
        </w:rPr>
        <w:t>35</w:t>
      </w:r>
      <w:r>
        <w:rPr>
          <w:rStyle w:val="33"/>
        </w:rPr>
        <w:fldChar w:fldCharType="end"/>
      </w:r>
      <w:r>
        <w:rPr>
          <w:rStyle w:val="33"/>
        </w:rPr>
        <w:fldChar w:fldCharType="end"/>
      </w:r>
    </w:p>
    <w:p w14:paraId="7CF12A79">
      <w:pPr>
        <w:pStyle w:val="20"/>
        <w:rPr>
          <w:rFonts w:asciiTheme="minorHAnsi" w:hAnsiTheme="minorHAnsi" w:eastAsiaTheme="minorEastAsia" w:cstheme="minorBidi"/>
          <w:bCs w:val="0"/>
          <w:caps w:val="0"/>
          <w:sz w:val="21"/>
          <w:szCs w:val="22"/>
        </w:rPr>
      </w:pPr>
      <w:r>
        <w:fldChar w:fldCharType="begin"/>
      </w:r>
      <w:r>
        <w:instrText xml:space="preserve"> HYPERLINK \l "_Toc491074897" </w:instrText>
      </w:r>
      <w:r>
        <w:fldChar w:fldCharType="separate"/>
      </w:r>
      <w:r>
        <w:rPr>
          <w:rStyle w:val="33"/>
          <w:rFonts w:hint="eastAsia"/>
        </w:rPr>
        <w:t>第四章</w:t>
      </w:r>
      <w:r>
        <w:rPr>
          <w:rStyle w:val="33"/>
        </w:rPr>
        <w:t xml:space="preserve">  </w:t>
      </w:r>
      <w:r>
        <w:rPr>
          <w:rStyle w:val="33"/>
          <w:rFonts w:hint="eastAsia"/>
        </w:rPr>
        <w:t>永久基本农田划定</w:t>
      </w:r>
      <w:r>
        <w:tab/>
      </w:r>
      <w:r>
        <w:fldChar w:fldCharType="begin"/>
      </w:r>
      <w:r>
        <w:instrText xml:space="preserve"> PAGEREF _Toc491074897 \h </w:instrText>
      </w:r>
      <w:r>
        <w:fldChar w:fldCharType="separate"/>
      </w:r>
      <w:r>
        <w:t>39</w:t>
      </w:r>
      <w:r>
        <w:fldChar w:fldCharType="end"/>
      </w:r>
      <w:r>
        <w:fldChar w:fldCharType="end"/>
      </w:r>
    </w:p>
    <w:p w14:paraId="4C05BDF1">
      <w:pPr>
        <w:pStyle w:val="23"/>
        <w:rPr>
          <w:rStyle w:val="33"/>
        </w:rPr>
      </w:pPr>
      <w:r>
        <w:fldChar w:fldCharType="begin"/>
      </w:r>
      <w:r>
        <w:instrText xml:space="preserve"> HYPERLINK \l "_Toc491074898" </w:instrText>
      </w:r>
      <w:r>
        <w:fldChar w:fldCharType="separate"/>
      </w:r>
      <w:r>
        <w:rPr>
          <w:rStyle w:val="33"/>
          <w:rFonts w:hint="eastAsia"/>
        </w:rPr>
        <w:t>第一节</w:t>
      </w:r>
      <w:r>
        <w:rPr>
          <w:rStyle w:val="33"/>
        </w:rPr>
        <w:t xml:space="preserve">  </w:t>
      </w:r>
      <w:r>
        <w:rPr>
          <w:rStyle w:val="33"/>
          <w:rFonts w:hint="eastAsia"/>
        </w:rPr>
        <w:t>城镇周边永久基本农田划定情况</w:t>
      </w:r>
      <w:r>
        <w:rPr>
          <w:rStyle w:val="33"/>
        </w:rPr>
        <w:tab/>
      </w:r>
      <w:r>
        <w:rPr>
          <w:rStyle w:val="33"/>
        </w:rPr>
        <w:fldChar w:fldCharType="begin"/>
      </w:r>
      <w:r>
        <w:rPr>
          <w:rStyle w:val="33"/>
        </w:rPr>
        <w:instrText xml:space="preserve"> PAGEREF _Toc491074898 \h </w:instrText>
      </w:r>
      <w:r>
        <w:rPr>
          <w:rStyle w:val="33"/>
        </w:rPr>
        <w:fldChar w:fldCharType="separate"/>
      </w:r>
      <w:r>
        <w:rPr>
          <w:rStyle w:val="33"/>
        </w:rPr>
        <w:t>39</w:t>
      </w:r>
      <w:r>
        <w:rPr>
          <w:rStyle w:val="33"/>
        </w:rPr>
        <w:fldChar w:fldCharType="end"/>
      </w:r>
      <w:r>
        <w:rPr>
          <w:rStyle w:val="33"/>
        </w:rPr>
        <w:fldChar w:fldCharType="end"/>
      </w:r>
    </w:p>
    <w:p w14:paraId="68D2B8C1">
      <w:pPr>
        <w:pStyle w:val="23"/>
        <w:rPr>
          <w:rStyle w:val="33"/>
        </w:rPr>
      </w:pPr>
      <w:r>
        <w:fldChar w:fldCharType="begin"/>
      </w:r>
      <w:r>
        <w:instrText xml:space="preserve"> HYPERLINK \l "_Toc491074899" </w:instrText>
      </w:r>
      <w:r>
        <w:fldChar w:fldCharType="separate"/>
      </w:r>
      <w:r>
        <w:rPr>
          <w:rStyle w:val="33"/>
          <w:rFonts w:hint="eastAsia"/>
        </w:rPr>
        <w:t>第二节</w:t>
      </w:r>
      <w:r>
        <w:rPr>
          <w:rStyle w:val="33"/>
        </w:rPr>
        <w:t xml:space="preserve">  </w:t>
      </w:r>
      <w:r>
        <w:rPr>
          <w:rStyle w:val="33"/>
          <w:rFonts w:hint="eastAsia"/>
        </w:rPr>
        <w:t>全域永久基本农田划定情况</w:t>
      </w:r>
      <w:r>
        <w:rPr>
          <w:rStyle w:val="33"/>
        </w:rPr>
        <w:tab/>
      </w:r>
      <w:r>
        <w:rPr>
          <w:rStyle w:val="33"/>
        </w:rPr>
        <w:fldChar w:fldCharType="begin"/>
      </w:r>
      <w:r>
        <w:rPr>
          <w:rStyle w:val="33"/>
        </w:rPr>
        <w:instrText xml:space="preserve"> PAGEREF _Toc491074899 \h </w:instrText>
      </w:r>
      <w:r>
        <w:rPr>
          <w:rStyle w:val="33"/>
        </w:rPr>
        <w:fldChar w:fldCharType="separate"/>
      </w:r>
      <w:r>
        <w:rPr>
          <w:rStyle w:val="33"/>
        </w:rPr>
        <w:t>41</w:t>
      </w:r>
      <w:r>
        <w:rPr>
          <w:rStyle w:val="33"/>
        </w:rPr>
        <w:fldChar w:fldCharType="end"/>
      </w:r>
      <w:r>
        <w:rPr>
          <w:rStyle w:val="33"/>
        </w:rPr>
        <w:fldChar w:fldCharType="end"/>
      </w:r>
    </w:p>
    <w:p w14:paraId="396DD338">
      <w:pPr>
        <w:pStyle w:val="23"/>
        <w:rPr>
          <w:rStyle w:val="33"/>
        </w:rPr>
      </w:pPr>
      <w:r>
        <w:fldChar w:fldCharType="begin"/>
      </w:r>
      <w:r>
        <w:instrText xml:space="preserve"> HYPERLINK \l "_Toc491074900" </w:instrText>
      </w:r>
      <w:r>
        <w:fldChar w:fldCharType="separate"/>
      </w:r>
      <w:r>
        <w:rPr>
          <w:rStyle w:val="33"/>
          <w:rFonts w:hint="eastAsia"/>
        </w:rPr>
        <w:t>第三节</w:t>
      </w:r>
      <w:r>
        <w:rPr>
          <w:rStyle w:val="33"/>
        </w:rPr>
        <w:t xml:space="preserve"> </w:t>
      </w:r>
      <w:r>
        <w:rPr>
          <w:rStyle w:val="33"/>
          <w:rFonts w:hint="eastAsia"/>
        </w:rPr>
        <w:t>坝区永久基本农田划定情况</w:t>
      </w:r>
      <w:r>
        <w:rPr>
          <w:rStyle w:val="33"/>
        </w:rPr>
        <w:tab/>
      </w:r>
      <w:r>
        <w:rPr>
          <w:rStyle w:val="33"/>
        </w:rPr>
        <w:fldChar w:fldCharType="begin"/>
      </w:r>
      <w:r>
        <w:rPr>
          <w:rStyle w:val="33"/>
        </w:rPr>
        <w:instrText xml:space="preserve"> PAGEREF _Toc491074900 \h </w:instrText>
      </w:r>
      <w:r>
        <w:rPr>
          <w:rStyle w:val="33"/>
        </w:rPr>
        <w:fldChar w:fldCharType="separate"/>
      </w:r>
      <w:r>
        <w:rPr>
          <w:rStyle w:val="33"/>
        </w:rPr>
        <w:t>48</w:t>
      </w:r>
      <w:r>
        <w:rPr>
          <w:rStyle w:val="33"/>
        </w:rPr>
        <w:fldChar w:fldCharType="end"/>
      </w:r>
      <w:r>
        <w:rPr>
          <w:rStyle w:val="33"/>
        </w:rPr>
        <w:fldChar w:fldCharType="end"/>
      </w:r>
    </w:p>
    <w:p w14:paraId="1C0EE008">
      <w:pPr>
        <w:pStyle w:val="20"/>
        <w:rPr>
          <w:rFonts w:asciiTheme="minorHAnsi" w:hAnsiTheme="minorHAnsi" w:eastAsiaTheme="minorEastAsia" w:cstheme="minorBidi"/>
          <w:bCs w:val="0"/>
          <w:caps w:val="0"/>
          <w:sz w:val="21"/>
          <w:szCs w:val="22"/>
        </w:rPr>
      </w:pPr>
      <w:r>
        <w:fldChar w:fldCharType="begin"/>
      </w:r>
      <w:r>
        <w:instrText xml:space="preserve"> HYPERLINK \l "_Toc491074901" </w:instrText>
      </w:r>
      <w:r>
        <w:fldChar w:fldCharType="separate"/>
      </w:r>
      <w:r>
        <w:rPr>
          <w:rStyle w:val="33"/>
          <w:rFonts w:hint="eastAsia"/>
        </w:rPr>
        <w:t>第五章</w:t>
      </w:r>
      <w:r>
        <w:rPr>
          <w:rStyle w:val="33"/>
        </w:rPr>
        <w:t xml:space="preserve">  </w:t>
      </w:r>
      <w:r>
        <w:rPr>
          <w:rStyle w:val="33"/>
          <w:rFonts w:hint="eastAsia"/>
        </w:rPr>
        <w:t>规划主要指标调整</w:t>
      </w:r>
      <w:r>
        <w:tab/>
      </w:r>
      <w:r>
        <w:fldChar w:fldCharType="begin"/>
      </w:r>
      <w:r>
        <w:instrText xml:space="preserve"> PAGEREF _Toc491074901 \h </w:instrText>
      </w:r>
      <w:r>
        <w:fldChar w:fldCharType="separate"/>
      </w:r>
      <w:r>
        <w:t>50</w:t>
      </w:r>
      <w:r>
        <w:fldChar w:fldCharType="end"/>
      </w:r>
      <w:r>
        <w:fldChar w:fldCharType="end"/>
      </w:r>
    </w:p>
    <w:p w14:paraId="7173630C">
      <w:pPr>
        <w:pStyle w:val="23"/>
        <w:rPr>
          <w:rFonts w:asciiTheme="minorHAnsi" w:hAnsiTheme="minorHAnsi" w:eastAsiaTheme="minorEastAsia" w:cstheme="minorBidi"/>
          <w:smallCaps w:val="0"/>
          <w:szCs w:val="22"/>
        </w:rPr>
      </w:pPr>
      <w:r>
        <w:fldChar w:fldCharType="begin"/>
      </w:r>
      <w:r>
        <w:instrText xml:space="preserve"> HYPERLINK \l "_Toc491074902" </w:instrText>
      </w:r>
      <w:r>
        <w:fldChar w:fldCharType="separate"/>
      </w:r>
      <w:r>
        <w:rPr>
          <w:rStyle w:val="33"/>
          <w:rFonts w:hint="eastAsia"/>
        </w:rPr>
        <w:t>第一节</w:t>
      </w:r>
      <w:r>
        <w:rPr>
          <w:rStyle w:val="33"/>
        </w:rPr>
        <w:t xml:space="preserve">  </w:t>
      </w:r>
      <w:r>
        <w:rPr>
          <w:rStyle w:val="33"/>
          <w:rFonts w:hint="eastAsia"/>
        </w:rPr>
        <w:t>耕地保有量调整</w:t>
      </w:r>
      <w:r>
        <w:tab/>
      </w:r>
      <w:r>
        <w:fldChar w:fldCharType="begin"/>
      </w:r>
      <w:r>
        <w:instrText xml:space="preserve"> PAGEREF _Toc491074902 \h </w:instrText>
      </w:r>
      <w:r>
        <w:fldChar w:fldCharType="separate"/>
      </w:r>
      <w:r>
        <w:t>51</w:t>
      </w:r>
      <w:r>
        <w:fldChar w:fldCharType="end"/>
      </w:r>
      <w:r>
        <w:fldChar w:fldCharType="end"/>
      </w:r>
    </w:p>
    <w:p w14:paraId="47F339F9">
      <w:pPr>
        <w:pStyle w:val="23"/>
        <w:rPr>
          <w:rFonts w:asciiTheme="minorHAnsi" w:hAnsiTheme="minorHAnsi" w:eastAsiaTheme="minorEastAsia" w:cstheme="minorBidi"/>
          <w:smallCaps w:val="0"/>
          <w:szCs w:val="22"/>
        </w:rPr>
      </w:pPr>
      <w:r>
        <w:fldChar w:fldCharType="begin"/>
      </w:r>
      <w:r>
        <w:instrText xml:space="preserve"> HYPERLINK \l "_Toc491074903" </w:instrText>
      </w:r>
      <w:r>
        <w:fldChar w:fldCharType="separate"/>
      </w:r>
      <w:r>
        <w:rPr>
          <w:rStyle w:val="33"/>
          <w:rFonts w:hint="eastAsia"/>
        </w:rPr>
        <w:t>第二节</w:t>
      </w:r>
      <w:r>
        <w:rPr>
          <w:rStyle w:val="33"/>
        </w:rPr>
        <w:t xml:space="preserve">  </w:t>
      </w:r>
      <w:r>
        <w:rPr>
          <w:rStyle w:val="33"/>
          <w:rFonts w:hint="eastAsia"/>
        </w:rPr>
        <w:t>基本农田保指标调整</w:t>
      </w:r>
      <w:r>
        <w:tab/>
      </w:r>
      <w:r>
        <w:fldChar w:fldCharType="begin"/>
      </w:r>
      <w:r>
        <w:instrText xml:space="preserve"> PAGEREF _Toc491074903 \h </w:instrText>
      </w:r>
      <w:r>
        <w:fldChar w:fldCharType="separate"/>
      </w:r>
      <w:r>
        <w:t>52</w:t>
      </w:r>
      <w:r>
        <w:fldChar w:fldCharType="end"/>
      </w:r>
      <w:r>
        <w:fldChar w:fldCharType="end"/>
      </w:r>
    </w:p>
    <w:p w14:paraId="0D316798">
      <w:pPr>
        <w:pStyle w:val="23"/>
        <w:rPr>
          <w:rFonts w:asciiTheme="minorHAnsi" w:hAnsiTheme="minorHAnsi" w:eastAsiaTheme="minorEastAsia" w:cstheme="minorBidi"/>
          <w:smallCaps w:val="0"/>
          <w:szCs w:val="22"/>
        </w:rPr>
      </w:pPr>
      <w:r>
        <w:fldChar w:fldCharType="begin"/>
      </w:r>
      <w:r>
        <w:instrText xml:space="preserve"> HYPERLINK \l "_Toc491074904" </w:instrText>
      </w:r>
      <w:r>
        <w:fldChar w:fldCharType="separate"/>
      </w:r>
      <w:r>
        <w:rPr>
          <w:rStyle w:val="33"/>
          <w:rFonts w:hint="eastAsia"/>
        </w:rPr>
        <w:t>第三节</w:t>
      </w:r>
      <w:r>
        <w:rPr>
          <w:rStyle w:val="33"/>
        </w:rPr>
        <w:t xml:space="preserve">  </w:t>
      </w:r>
      <w:r>
        <w:rPr>
          <w:rStyle w:val="33"/>
          <w:rFonts w:hint="eastAsia"/>
        </w:rPr>
        <w:t>建设用地规模调整</w:t>
      </w:r>
      <w:r>
        <w:tab/>
      </w:r>
      <w:r>
        <w:fldChar w:fldCharType="begin"/>
      </w:r>
      <w:r>
        <w:instrText xml:space="preserve"> PAGEREF _Toc491074904 \h </w:instrText>
      </w:r>
      <w:r>
        <w:fldChar w:fldCharType="separate"/>
      </w:r>
      <w:r>
        <w:t>53</w:t>
      </w:r>
      <w:r>
        <w:fldChar w:fldCharType="end"/>
      </w:r>
      <w:r>
        <w:fldChar w:fldCharType="end"/>
      </w:r>
    </w:p>
    <w:p w14:paraId="5FB6C4E7">
      <w:pPr>
        <w:pStyle w:val="23"/>
        <w:rPr>
          <w:rFonts w:asciiTheme="minorHAnsi" w:hAnsiTheme="minorHAnsi" w:eastAsiaTheme="minorEastAsia" w:cstheme="minorBidi"/>
          <w:smallCaps w:val="0"/>
          <w:szCs w:val="22"/>
        </w:rPr>
      </w:pPr>
      <w:r>
        <w:fldChar w:fldCharType="begin"/>
      </w:r>
      <w:r>
        <w:instrText xml:space="preserve"> HYPERLINK \l "_Toc491074905" </w:instrText>
      </w:r>
      <w:r>
        <w:fldChar w:fldCharType="separate"/>
      </w:r>
      <w:r>
        <w:rPr>
          <w:rStyle w:val="33"/>
          <w:rFonts w:hint="eastAsia"/>
        </w:rPr>
        <w:t>第四节</w:t>
      </w:r>
      <w:r>
        <w:rPr>
          <w:rStyle w:val="33"/>
        </w:rPr>
        <w:t xml:space="preserve">  </w:t>
      </w:r>
      <w:r>
        <w:rPr>
          <w:rStyle w:val="33"/>
          <w:rFonts w:hint="eastAsia"/>
        </w:rPr>
        <w:t>其他指标调整</w:t>
      </w:r>
      <w:r>
        <w:tab/>
      </w:r>
      <w:r>
        <w:fldChar w:fldCharType="begin"/>
      </w:r>
      <w:r>
        <w:instrText xml:space="preserve"> PAGEREF _Toc491074905 \h </w:instrText>
      </w:r>
      <w:r>
        <w:fldChar w:fldCharType="separate"/>
      </w:r>
      <w:r>
        <w:t>58</w:t>
      </w:r>
      <w:r>
        <w:fldChar w:fldCharType="end"/>
      </w:r>
      <w:r>
        <w:fldChar w:fldCharType="end"/>
      </w:r>
    </w:p>
    <w:p w14:paraId="032DEFC9">
      <w:pPr>
        <w:pStyle w:val="23"/>
        <w:rPr>
          <w:rFonts w:asciiTheme="minorHAnsi" w:hAnsiTheme="minorHAnsi" w:eastAsiaTheme="minorEastAsia" w:cstheme="minorBidi"/>
          <w:smallCaps w:val="0"/>
          <w:szCs w:val="22"/>
        </w:rPr>
      </w:pPr>
      <w:r>
        <w:fldChar w:fldCharType="begin"/>
      </w:r>
      <w:r>
        <w:instrText xml:space="preserve"> HYPERLINK \l "_Toc491074906" </w:instrText>
      </w:r>
      <w:r>
        <w:fldChar w:fldCharType="separate"/>
      </w:r>
      <w:r>
        <w:rPr>
          <w:rStyle w:val="33"/>
          <w:rFonts w:hint="eastAsia"/>
        </w:rPr>
        <w:t>第五节</w:t>
      </w:r>
      <w:r>
        <w:rPr>
          <w:rStyle w:val="33"/>
        </w:rPr>
        <w:t xml:space="preserve">  </w:t>
      </w:r>
      <w:r>
        <w:rPr>
          <w:rStyle w:val="33"/>
          <w:rFonts w:hint="eastAsia"/>
        </w:rPr>
        <w:t>调整后各乡（镇）主要控制指标</w:t>
      </w:r>
      <w:r>
        <w:tab/>
      </w:r>
      <w:r>
        <w:fldChar w:fldCharType="begin"/>
      </w:r>
      <w:r>
        <w:instrText xml:space="preserve"> PAGEREF _Toc491074906 \h </w:instrText>
      </w:r>
      <w:r>
        <w:fldChar w:fldCharType="separate"/>
      </w:r>
      <w:r>
        <w:t>60</w:t>
      </w:r>
      <w:r>
        <w:fldChar w:fldCharType="end"/>
      </w:r>
      <w:r>
        <w:fldChar w:fldCharType="end"/>
      </w:r>
    </w:p>
    <w:p w14:paraId="57845611">
      <w:pPr>
        <w:pStyle w:val="20"/>
        <w:rPr>
          <w:rFonts w:asciiTheme="minorHAnsi" w:hAnsiTheme="minorHAnsi" w:eastAsiaTheme="minorEastAsia" w:cstheme="minorBidi"/>
          <w:bCs w:val="0"/>
          <w:caps w:val="0"/>
          <w:sz w:val="21"/>
          <w:szCs w:val="22"/>
        </w:rPr>
      </w:pPr>
      <w:r>
        <w:fldChar w:fldCharType="begin"/>
      </w:r>
      <w:r>
        <w:instrText xml:space="preserve"> HYPERLINK \l "_Toc491074907" </w:instrText>
      </w:r>
      <w:r>
        <w:fldChar w:fldCharType="separate"/>
      </w:r>
      <w:r>
        <w:rPr>
          <w:rStyle w:val="33"/>
          <w:rFonts w:hint="eastAsia"/>
        </w:rPr>
        <w:t>第六章</w:t>
      </w:r>
      <w:r>
        <w:rPr>
          <w:rStyle w:val="33"/>
        </w:rPr>
        <w:t xml:space="preserve">  </w:t>
      </w:r>
      <w:r>
        <w:rPr>
          <w:rStyle w:val="33"/>
          <w:rFonts w:hint="eastAsia"/>
        </w:rPr>
        <w:t>土地利用结构和空间布局优化</w:t>
      </w:r>
      <w:r>
        <w:tab/>
      </w:r>
      <w:r>
        <w:fldChar w:fldCharType="begin"/>
      </w:r>
      <w:r>
        <w:instrText xml:space="preserve"> PAGEREF _Toc491074907 \h </w:instrText>
      </w:r>
      <w:r>
        <w:fldChar w:fldCharType="separate"/>
      </w:r>
      <w:r>
        <w:t>62</w:t>
      </w:r>
      <w:r>
        <w:fldChar w:fldCharType="end"/>
      </w:r>
      <w:r>
        <w:fldChar w:fldCharType="end"/>
      </w:r>
    </w:p>
    <w:p w14:paraId="1FDC3D63">
      <w:pPr>
        <w:pStyle w:val="23"/>
        <w:rPr>
          <w:rFonts w:asciiTheme="minorHAnsi" w:hAnsiTheme="minorHAnsi" w:eastAsiaTheme="minorEastAsia" w:cstheme="minorBidi"/>
          <w:smallCaps w:val="0"/>
          <w:szCs w:val="22"/>
        </w:rPr>
      </w:pPr>
      <w:r>
        <w:fldChar w:fldCharType="begin"/>
      </w:r>
      <w:r>
        <w:instrText xml:space="preserve"> HYPERLINK \l "_Toc491074908" </w:instrText>
      </w:r>
      <w:r>
        <w:fldChar w:fldCharType="separate"/>
      </w:r>
      <w:r>
        <w:rPr>
          <w:rStyle w:val="33"/>
          <w:rFonts w:hint="eastAsia"/>
        </w:rPr>
        <w:t>第一节</w:t>
      </w:r>
      <w:r>
        <w:rPr>
          <w:rStyle w:val="33"/>
        </w:rPr>
        <w:t xml:space="preserve">  </w:t>
      </w:r>
      <w:r>
        <w:rPr>
          <w:rStyle w:val="33"/>
          <w:rFonts w:hint="eastAsia"/>
        </w:rPr>
        <w:t>耕地和基本农田</w:t>
      </w:r>
      <w:r>
        <w:tab/>
      </w:r>
      <w:r>
        <w:fldChar w:fldCharType="begin"/>
      </w:r>
      <w:r>
        <w:instrText xml:space="preserve"> PAGEREF _Toc491074908 \h </w:instrText>
      </w:r>
      <w:r>
        <w:fldChar w:fldCharType="separate"/>
      </w:r>
      <w:r>
        <w:t>62</w:t>
      </w:r>
      <w:r>
        <w:fldChar w:fldCharType="end"/>
      </w:r>
      <w:r>
        <w:fldChar w:fldCharType="end"/>
      </w:r>
    </w:p>
    <w:p w14:paraId="219C6E25">
      <w:pPr>
        <w:pStyle w:val="23"/>
        <w:rPr>
          <w:rFonts w:asciiTheme="minorHAnsi" w:hAnsiTheme="minorHAnsi" w:eastAsiaTheme="minorEastAsia" w:cstheme="minorBidi"/>
          <w:smallCaps w:val="0"/>
          <w:szCs w:val="22"/>
        </w:rPr>
      </w:pPr>
      <w:r>
        <w:fldChar w:fldCharType="begin"/>
      </w:r>
      <w:r>
        <w:instrText xml:space="preserve"> HYPERLINK \l "_Toc491074909" </w:instrText>
      </w:r>
      <w:r>
        <w:fldChar w:fldCharType="separate"/>
      </w:r>
      <w:r>
        <w:rPr>
          <w:rStyle w:val="33"/>
          <w:rFonts w:hint="eastAsia"/>
        </w:rPr>
        <w:t>第二节</w:t>
      </w:r>
      <w:r>
        <w:rPr>
          <w:rStyle w:val="33"/>
        </w:rPr>
        <w:t xml:space="preserve">  </w:t>
      </w:r>
      <w:r>
        <w:rPr>
          <w:rStyle w:val="33"/>
          <w:rFonts w:hint="eastAsia"/>
        </w:rPr>
        <w:t>建设用地结构和布局</w:t>
      </w:r>
      <w:r>
        <w:tab/>
      </w:r>
      <w:r>
        <w:fldChar w:fldCharType="begin"/>
      </w:r>
      <w:r>
        <w:instrText xml:space="preserve"> PAGEREF _Toc491074909 \h </w:instrText>
      </w:r>
      <w:r>
        <w:fldChar w:fldCharType="separate"/>
      </w:r>
      <w:r>
        <w:t>66</w:t>
      </w:r>
      <w:r>
        <w:fldChar w:fldCharType="end"/>
      </w:r>
      <w:r>
        <w:fldChar w:fldCharType="end"/>
      </w:r>
    </w:p>
    <w:p w14:paraId="52102033">
      <w:pPr>
        <w:pStyle w:val="23"/>
        <w:rPr>
          <w:rFonts w:asciiTheme="minorHAnsi" w:hAnsiTheme="minorHAnsi" w:eastAsiaTheme="minorEastAsia" w:cstheme="minorBidi"/>
          <w:smallCaps w:val="0"/>
          <w:szCs w:val="22"/>
        </w:rPr>
      </w:pPr>
      <w:r>
        <w:fldChar w:fldCharType="begin"/>
      </w:r>
      <w:r>
        <w:instrText xml:space="preserve"> HYPERLINK \l "_Toc491074910" </w:instrText>
      </w:r>
      <w:r>
        <w:fldChar w:fldCharType="separate"/>
      </w:r>
      <w:r>
        <w:rPr>
          <w:rStyle w:val="33"/>
          <w:rFonts w:hint="eastAsia"/>
        </w:rPr>
        <w:t>第三节</w:t>
      </w:r>
      <w:r>
        <w:rPr>
          <w:rStyle w:val="33"/>
        </w:rPr>
        <w:t xml:space="preserve">  </w:t>
      </w:r>
      <w:r>
        <w:rPr>
          <w:rStyle w:val="33"/>
          <w:rFonts w:hint="eastAsia"/>
        </w:rPr>
        <w:t>中心城区用地规划</w:t>
      </w:r>
      <w:r>
        <w:tab/>
      </w:r>
      <w:r>
        <w:fldChar w:fldCharType="begin"/>
      </w:r>
      <w:r>
        <w:instrText xml:space="preserve"> PAGEREF _Toc491074910 \h </w:instrText>
      </w:r>
      <w:r>
        <w:fldChar w:fldCharType="separate"/>
      </w:r>
      <w:r>
        <w:t>71</w:t>
      </w:r>
      <w:r>
        <w:fldChar w:fldCharType="end"/>
      </w:r>
      <w:r>
        <w:fldChar w:fldCharType="end"/>
      </w:r>
    </w:p>
    <w:p w14:paraId="000C823D">
      <w:pPr>
        <w:pStyle w:val="23"/>
        <w:rPr>
          <w:rFonts w:asciiTheme="minorHAnsi" w:hAnsiTheme="minorHAnsi" w:eastAsiaTheme="minorEastAsia" w:cstheme="minorBidi"/>
          <w:smallCaps w:val="0"/>
          <w:szCs w:val="22"/>
        </w:rPr>
      </w:pPr>
      <w:r>
        <w:fldChar w:fldCharType="begin"/>
      </w:r>
      <w:r>
        <w:instrText xml:space="preserve"> HYPERLINK \l "_Toc491074911" </w:instrText>
      </w:r>
      <w:r>
        <w:fldChar w:fldCharType="separate"/>
      </w:r>
      <w:r>
        <w:rPr>
          <w:rStyle w:val="33"/>
          <w:rFonts w:hint="eastAsia"/>
        </w:rPr>
        <w:t>第四节</w:t>
      </w:r>
      <w:r>
        <w:rPr>
          <w:rStyle w:val="33"/>
        </w:rPr>
        <w:t xml:space="preserve">  </w:t>
      </w:r>
      <w:r>
        <w:rPr>
          <w:rStyle w:val="33"/>
          <w:rFonts w:hint="eastAsia"/>
        </w:rPr>
        <w:t>土地用途区</w:t>
      </w:r>
      <w:r>
        <w:tab/>
      </w:r>
      <w:r>
        <w:fldChar w:fldCharType="begin"/>
      </w:r>
      <w:r>
        <w:instrText xml:space="preserve"> PAGEREF _Toc491074911 \h </w:instrText>
      </w:r>
      <w:r>
        <w:fldChar w:fldCharType="separate"/>
      </w:r>
      <w:r>
        <w:t>74</w:t>
      </w:r>
      <w:r>
        <w:fldChar w:fldCharType="end"/>
      </w:r>
      <w:r>
        <w:fldChar w:fldCharType="end"/>
      </w:r>
    </w:p>
    <w:p w14:paraId="701FC65B">
      <w:pPr>
        <w:pStyle w:val="23"/>
        <w:rPr>
          <w:rFonts w:asciiTheme="minorHAnsi" w:hAnsiTheme="minorHAnsi" w:eastAsiaTheme="minorEastAsia" w:cstheme="minorBidi"/>
          <w:smallCaps w:val="0"/>
          <w:szCs w:val="22"/>
        </w:rPr>
      </w:pPr>
      <w:r>
        <w:fldChar w:fldCharType="begin"/>
      </w:r>
      <w:r>
        <w:instrText xml:space="preserve"> HYPERLINK \l "_Toc491074912" </w:instrText>
      </w:r>
      <w:r>
        <w:fldChar w:fldCharType="separate"/>
      </w:r>
      <w:r>
        <w:rPr>
          <w:rStyle w:val="33"/>
          <w:rFonts w:hint="eastAsia"/>
        </w:rPr>
        <w:t>第四节</w:t>
      </w:r>
      <w:r>
        <w:rPr>
          <w:rStyle w:val="33"/>
        </w:rPr>
        <w:t xml:space="preserve">  </w:t>
      </w:r>
      <w:r>
        <w:rPr>
          <w:rStyle w:val="33"/>
          <w:rFonts w:hint="eastAsia"/>
        </w:rPr>
        <w:t>建设用地空间管制分区</w:t>
      </w:r>
      <w:r>
        <w:tab/>
      </w:r>
      <w:r>
        <w:fldChar w:fldCharType="begin"/>
      </w:r>
      <w:r>
        <w:instrText xml:space="preserve"> PAGEREF _Toc491074912 \h </w:instrText>
      </w:r>
      <w:r>
        <w:fldChar w:fldCharType="separate"/>
      </w:r>
      <w:r>
        <w:t>77</w:t>
      </w:r>
      <w:r>
        <w:fldChar w:fldCharType="end"/>
      </w:r>
      <w:r>
        <w:fldChar w:fldCharType="end"/>
      </w:r>
    </w:p>
    <w:p w14:paraId="51378958">
      <w:pPr>
        <w:pStyle w:val="20"/>
        <w:rPr>
          <w:rFonts w:asciiTheme="minorHAnsi" w:hAnsiTheme="minorHAnsi" w:eastAsiaTheme="minorEastAsia" w:cstheme="minorBidi"/>
          <w:bCs w:val="0"/>
          <w:caps w:val="0"/>
          <w:sz w:val="21"/>
          <w:szCs w:val="22"/>
        </w:rPr>
      </w:pPr>
      <w:r>
        <w:fldChar w:fldCharType="begin"/>
      </w:r>
      <w:r>
        <w:instrText xml:space="preserve"> HYPERLINK \l "_Toc491074913" </w:instrText>
      </w:r>
      <w:r>
        <w:fldChar w:fldCharType="separate"/>
      </w:r>
      <w:r>
        <w:rPr>
          <w:rStyle w:val="33"/>
          <w:rFonts w:hint="eastAsia"/>
        </w:rPr>
        <w:t>第七章</w:t>
      </w:r>
      <w:r>
        <w:rPr>
          <w:rStyle w:val="33"/>
        </w:rPr>
        <w:t xml:space="preserve">  </w:t>
      </w:r>
      <w:r>
        <w:rPr>
          <w:rStyle w:val="33"/>
          <w:rFonts w:hint="eastAsia"/>
        </w:rPr>
        <w:t>成效分析</w:t>
      </w:r>
      <w:r>
        <w:tab/>
      </w:r>
      <w:r>
        <w:fldChar w:fldCharType="begin"/>
      </w:r>
      <w:r>
        <w:instrText xml:space="preserve"> PAGEREF _Toc491074913 \h </w:instrText>
      </w:r>
      <w:r>
        <w:fldChar w:fldCharType="separate"/>
      </w:r>
      <w:r>
        <w:t>80</w:t>
      </w:r>
      <w:r>
        <w:fldChar w:fldCharType="end"/>
      </w:r>
      <w:r>
        <w:fldChar w:fldCharType="end"/>
      </w:r>
    </w:p>
    <w:p w14:paraId="5B8BA145">
      <w:pPr>
        <w:pStyle w:val="23"/>
        <w:rPr>
          <w:rFonts w:asciiTheme="minorHAnsi" w:hAnsiTheme="minorHAnsi" w:eastAsiaTheme="minorEastAsia" w:cstheme="minorBidi"/>
          <w:smallCaps w:val="0"/>
          <w:szCs w:val="22"/>
        </w:rPr>
      </w:pPr>
      <w:r>
        <w:fldChar w:fldCharType="begin"/>
      </w:r>
      <w:r>
        <w:instrText xml:space="preserve"> HYPERLINK \l "_Toc491074914" </w:instrText>
      </w:r>
      <w:r>
        <w:fldChar w:fldCharType="separate"/>
      </w:r>
      <w:r>
        <w:rPr>
          <w:rStyle w:val="33"/>
          <w:rFonts w:hint="eastAsia"/>
        </w:rPr>
        <w:t>第一节</w:t>
      </w:r>
      <w:r>
        <w:rPr>
          <w:rStyle w:val="33"/>
        </w:rPr>
        <w:t xml:space="preserve">  </w:t>
      </w:r>
      <w:r>
        <w:rPr>
          <w:rStyle w:val="33"/>
          <w:rFonts w:hint="eastAsia"/>
        </w:rPr>
        <w:t>规划指标满足情况分析</w:t>
      </w:r>
      <w:r>
        <w:tab/>
      </w:r>
      <w:r>
        <w:fldChar w:fldCharType="begin"/>
      </w:r>
      <w:r>
        <w:instrText xml:space="preserve"> PAGEREF _Toc491074914 \h </w:instrText>
      </w:r>
      <w:r>
        <w:fldChar w:fldCharType="separate"/>
      </w:r>
      <w:r>
        <w:t>80</w:t>
      </w:r>
      <w:r>
        <w:fldChar w:fldCharType="end"/>
      </w:r>
      <w:r>
        <w:fldChar w:fldCharType="end"/>
      </w:r>
    </w:p>
    <w:p w14:paraId="047E4A4F">
      <w:pPr>
        <w:pStyle w:val="23"/>
        <w:rPr>
          <w:rFonts w:asciiTheme="minorHAnsi" w:hAnsiTheme="minorHAnsi" w:eastAsiaTheme="minorEastAsia" w:cstheme="minorBidi"/>
          <w:smallCaps w:val="0"/>
          <w:szCs w:val="22"/>
        </w:rPr>
      </w:pPr>
      <w:r>
        <w:fldChar w:fldCharType="begin"/>
      </w:r>
      <w:r>
        <w:instrText xml:space="preserve"> HYPERLINK \l "_Toc491074915" </w:instrText>
      </w:r>
      <w:r>
        <w:fldChar w:fldCharType="separate"/>
      </w:r>
      <w:r>
        <w:rPr>
          <w:rStyle w:val="33"/>
          <w:rFonts w:hint="eastAsia"/>
        </w:rPr>
        <w:t>第二节</w:t>
      </w:r>
      <w:r>
        <w:rPr>
          <w:rStyle w:val="33"/>
        </w:rPr>
        <w:t xml:space="preserve">  </w:t>
      </w:r>
      <w:r>
        <w:rPr>
          <w:rStyle w:val="33"/>
          <w:rFonts w:hint="eastAsia"/>
        </w:rPr>
        <w:t>土地利用结构影响分析</w:t>
      </w:r>
      <w:r>
        <w:tab/>
      </w:r>
      <w:r>
        <w:fldChar w:fldCharType="begin"/>
      </w:r>
      <w:r>
        <w:instrText xml:space="preserve"> PAGEREF _Toc491074915 \h </w:instrText>
      </w:r>
      <w:r>
        <w:fldChar w:fldCharType="separate"/>
      </w:r>
      <w:r>
        <w:t>81</w:t>
      </w:r>
      <w:r>
        <w:fldChar w:fldCharType="end"/>
      </w:r>
      <w:r>
        <w:fldChar w:fldCharType="end"/>
      </w:r>
    </w:p>
    <w:p w14:paraId="2B794825">
      <w:pPr>
        <w:pStyle w:val="23"/>
        <w:rPr>
          <w:rFonts w:asciiTheme="minorHAnsi" w:hAnsiTheme="minorHAnsi" w:eastAsiaTheme="minorEastAsia" w:cstheme="minorBidi"/>
          <w:smallCaps w:val="0"/>
          <w:szCs w:val="22"/>
        </w:rPr>
      </w:pPr>
      <w:r>
        <w:fldChar w:fldCharType="begin"/>
      </w:r>
      <w:r>
        <w:instrText xml:space="preserve"> HYPERLINK \l "_Toc491074916" </w:instrText>
      </w:r>
      <w:r>
        <w:fldChar w:fldCharType="separate"/>
      </w:r>
      <w:r>
        <w:rPr>
          <w:rStyle w:val="33"/>
          <w:rFonts w:hint="eastAsia"/>
        </w:rPr>
        <w:t>第三节</w:t>
      </w:r>
      <w:r>
        <w:rPr>
          <w:rStyle w:val="33"/>
        </w:rPr>
        <w:t xml:space="preserve">  </w:t>
      </w:r>
      <w:r>
        <w:rPr>
          <w:rStyle w:val="33"/>
          <w:rFonts w:hint="eastAsia"/>
        </w:rPr>
        <w:t>耕地和基本农田保护分析</w:t>
      </w:r>
      <w:r>
        <w:tab/>
      </w:r>
      <w:r>
        <w:fldChar w:fldCharType="begin"/>
      </w:r>
      <w:r>
        <w:instrText xml:space="preserve"> PAGEREF _Toc491074916 \h </w:instrText>
      </w:r>
      <w:r>
        <w:fldChar w:fldCharType="separate"/>
      </w:r>
      <w:r>
        <w:t>83</w:t>
      </w:r>
      <w:r>
        <w:fldChar w:fldCharType="end"/>
      </w:r>
      <w:r>
        <w:fldChar w:fldCharType="end"/>
      </w:r>
    </w:p>
    <w:p w14:paraId="1F2F7121">
      <w:pPr>
        <w:pStyle w:val="23"/>
        <w:rPr>
          <w:rFonts w:asciiTheme="minorHAnsi" w:hAnsiTheme="minorHAnsi" w:eastAsiaTheme="minorEastAsia" w:cstheme="minorBidi"/>
          <w:smallCaps w:val="0"/>
          <w:szCs w:val="22"/>
        </w:rPr>
      </w:pPr>
      <w:r>
        <w:fldChar w:fldCharType="begin"/>
      </w:r>
      <w:r>
        <w:instrText xml:space="preserve"> HYPERLINK \l "_Toc491074917" </w:instrText>
      </w:r>
      <w:r>
        <w:fldChar w:fldCharType="separate"/>
      </w:r>
      <w:r>
        <w:rPr>
          <w:rStyle w:val="33"/>
          <w:rFonts w:hint="eastAsia"/>
        </w:rPr>
        <w:t>第四节</w:t>
      </w:r>
      <w:r>
        <w:rPr>
          <w:rStyle w:val="33"/>
        </w:rPr>
        <w:t xml:space="preserve">  </w:t>
      </w:r>
      <w:r>
        <w:rPr>
          <w:rStyle w:val="33"/>
          <w:rFonts w:hint="eastAsia"/>
        </w:rPr>
        <w:t>促进山地开发利用成效分析</w:t>
      </w:r>
      <w:r>
        <w:tab/>
      </w:r>
      <w:r>
        <w:fldChar w:fldCharType="begin"/>
      </w:r>
      <w:r>
        <w:instrText xml:space="preserve"> PAGEREF _Toc491074917 \h </w:instrText>
      </w:r>
      <w:r>
        <w:fldChar w:fldCharType="separate"/>
      </w:r>
      <w:r>
        <w:t>84</w:t>
      </w:r>
      <w:r>
        <w:fldChar w:fldCharType="end"/>
      </w:r>
      <w:r>
        <w:fldChar w:fldCharType="end"/>
      </w:r>
    </w:p>
    <w:p w14:paraId="54F028B8">
      <w:pPr>
        <w:pStyle w:val="23"/>
        <w:rPr>
          <w:rFonts w:asciiTheme="minorHAnsi" w:hAnsiTheme="minorHAnsi" w:eastAsiaTheme="minorEastAsia" w:cstheme="minorBidi"/>
          <w:smallCaps w:val="0"/>
          <w:szCs w:val="22"/>
        </w:rPr>
      </w:pPr>
      <w:r>
        <w:fldChar w:fldCharType="begin"/>
      </w:r>
      <w:r>
        <w:instrText xml:space="preserve"> HYPERLINK \l "_Toc491074918" </w:instrText>
      </w:r>
      <w:r>
        <w:fldChar w:fldCharType="separate"/>
      </w:r>
      <w:r>
        <w:rPr>
          <w:rStyle w:val="33"/>
          <w:rFonts w:hint="eastAsia"/>
        </w:rPr>
        <w:t>第五节</w:t>
      </w:r>
      <w:r>
        <w:rPr>
          <w:rStyle w:val="33"/>
        </w:rPr>
        <w:t xml:space="preserve">  </w:t>
      </w:r>
      <w:r>
        <w:rPr>
          <w:rStyle w:val="33"/>
          <w:rFonts w:hint="eastAsia"/>
        </w:rPr>
        <w:t>保障基础设施建设成效分析</w:t>
      </w:r>
      <w:r>
        <w:tab/>
      </w:r>
      <w:r>
        <w:fldChar w:fldCharType="begin"/>
      </w:r>
      <w:r>
        <w:instrText xml:space="preserve"> PAGEREF _Toc491074918 \h </w:instrText>
      </w:r>
      <w:r>
        <w:fldChar w:fldCharType="separate"/>
      </w:r>
      <w:r>
        <w:t>85</w:t>
      </w:r>
      <w:r>
        <w:fldChar w:fldCharType="end"/>
      </w:r>
      <w:r>
        <w:fldChar w:fldCharType="end"/>
      </w:r>
    </w:p>
    <w:p w14:paraId="588AEC6A">
      <w:pPr>
        <w:pStyle w:val="23"/>
        <w:rPr>
          <w:rFonts w:asciiTheme="minorHAnsi" w:hAnsiTheme="minorHAnsi" w:eastAsiaTheme="minorEastAsia" w:cstheme="minorBidi"/>
          <w:smallCaps w:val="0"/>
          <w:szCs w:val="22"/>
        </w:rPr>
      </w:pPr>
      <w:r>
        <w:fldChar w:fldCharType="begin"/>
      </w:r>
      <w:r>
        <w:instrText xml:space="preserve"> HYPERLINK \l "_Toc491074919" </w:instrText>
      </w:r>
      <w:r>
        <w:fldChar w:fldCharType="separate"/>
      </w:r>
      <w:r>
        <w:rPr>
          <w:rStyle w:val="33"/>
          <w:rFonts w:hint="eastAsia"/>
        </w:rPr>
        <w:t>第六节</w:t>
      </w:r>
      <w:r>
        <w:rPr>
          <w:rStyle w:val="33"/>
        </w:rPr>
        <w:t xml:space="preserve">  </w:t>
      </w:r>
      <w:r>
        <w:rPr>
          <w:rStyle w:val="33"/>
          <w:rFonts w:hint="eastAsia"/>
        </w:rPr>
        <w:t>保护生态环境成效分析</w:t>
      </w:r>
      <w:r>
        <w:tab/>
      </w:r>
      <w:r>
        <w:fldChar w:fldCharType="begin"/>
      </w:r>
      <w:r>
        <w:instrText xml:space="preserve"> PAGEREF _Toc491074919 \h </w:instrText>
      </w:r>
      <w:r>
        <w:fldChar w:fldCharType="separate"/>
      </w:r>
      <w:r>
        <w:t>85</w:t>
      </w:r>
      <w:r>
        <w:fldChar w:fldCharType="end"/>
      </w:r>
      <w:r>
        <w:fldChar w:fldCharType="end"/>
      </w:r>
    </w:p>
    <w:p w14:paraId="7062D73E">
      <w:pPr>
        <w:pStyle w:val="23"/>
        <w:rPr>
          <w:rFonts w:asciiTheme="minorHAnsi" w:hAnsiTheme="minorHAnsi" w:eastAsiaTheme="minorEastAsia" w:cstheme="minorBidi"/>
          <w:smallCaps w:val="0"/>
          <w:szCs w:val="22"/>
        </w:rPr>
      </w:pPr>
      <w:r>
        <w:fldChar w:fldCharType="begin"/>
      </w:r>
      <w:r>
        <w:instrText xml:space="preserve"> HYPERLINK \l "_Toc491074920" </w:instrText>
      </w:r>
      <w:r>
        <w:fldChar w:fldCharType="separate"/>
      </w:r>
      <w:r>
        <w:rPr>
          <w:rStyle w:val="33"/>
          <w:rFonts w:hint="eastAsia"/>
        </w:rPr>
        <w:t>第七节</w:t>
      </w:r>
      <w:r>
        <w:rPr>
          <w:rStyle w:val="33"/>
        </w:rPr>
        <w:t xml:space="preserve">  </w:t>
      </w:r>
      <w:r>
        <w:rPr>
          <w:rStyle w:val="33"/>
          <w:rFonts w:hint="eastAsia"/>
        </w:rPr>
        <w:t>推进“多规合一”情况分析</w:t>
      </w:r>
      <w:r>
        <w:tab/>
      </w:r>
      <w:r>
        <w:fldChar w:fldCharType="begin"/>
      </w:r>
      <w:r>
        <w:instrText xml:space="preserve"> PAGEREF _Toc491074920 \h </w:instrText>
      </w:r>
      <w:r>
        <w:fldChar w:fldCharType="separate"/>
      </w:r>
      <w:r>
        <w:t>87</w:t>
      </w:r>
      <w:r>
        <w:fldChar w:fldCharType="end"/>
      </w:r>
      <w:r>
        <w:fldChar w:fldCharType="end"/>
      </w:r>
    </w:p>
    <w:p w14:paraId="2D28D3AB">
      <w:pPr>
        <w:pStyle w:val="20"/>
        <w:rPr>
          <w:rFonts w:asciiTheme="minorHAnsi" w:hAnsiTheme="minorHAnsi" w:eastAsiaTheme="minorEastAsia" w:cstheme="minorBidi"/>
          <w:bCs w:val="0"/>
          <w:caps w:val="0"/>
          <w:sz w:val="21"/>
          <w:szCs w:val="22"/>
        </w:rPr>
      </w:pPr>
      <w:r>
        <w:fldChar w:fldCharType="begin"/>
      </w:r>
      <w:r>
        <w:instrText xml:space="preserve"> HYPERLINK \l "_Toc491074921" </w:instrText>
      </w:r>
      <w:r>
        <w:fldChar w:fldCharType="separate"/>
      </w:r>
      <w:r>
        <w:rPr>
          <w:rStyle w:val="33"/>
          <w:rFonts w:hint="eastAsia"/>
        </w:rPr>
        <w:t>附表</w:t>
      </w:r>
      <w:r>
        <w:tab/>
      </w:r>
      <w:r>
        <w:fldChar w:fldCharType="begin"/>
      </w:r>
      <w:r>
        <w:instrText xml:space="preserve"> PAGEREF _Toc491074921 \h </w:instrText>
      </w:r>
      <w:r>
        <w:fldChar w:fldCharType="separate"/>
      </w:r>
      <w:r>
        <w:t>91</w:t>
      </w:r>
      <w:r>
        <w:fldChar w:fldCharType="end"/>
      </w:r>
      <w:r>
        <w:fldChar w:fldCharType="end"/>
      </w:r>
    </w:p>
    <w:p w14:paraId="7D2A4A41">
      <w:pPr>
        <w:pStyle w:val="20"/>
        <w:rPr>
          <w:rFonts w:asciiTheme="minorHAnsi" w:hAnsiTheme="minorHAnsi" w:eastAsiaTheme="minorEastAsia" w:cstheme="minorBidi"/>
          <w:bCs w:val="0"/>
          <w:caps w:val="0"/>
          <w:sz w:val="21"/>
          <w:szCs w:val="22"/>
        </w:rPr>
      </w:pPr>
      <w:r>
        <w:fldChar w:fldCharType="begin"/>
      </w:r>
      <w:r>
        <w:instrText xml:space="preserve"> HYPERLINK \l "_Toc491074922" </w:instrText>
      </w:r>
      <w:r>
        <w:fldChar w:fldCharType="separate"/>
      </w:r>
      <w:r>
        <w:rPr>
          <w:rStyle w:val="33"/>
          <w:rFonts w:hint="eastAsia"/>
        </w:rPr>
        <w:t>附表</w:t>
      </w:r>
      <w:r>
        <w:rPr>
          <w:rStyle w:val="33"/>
        </w:rPr>
        <w:t xml:space="preserve">1  </w:t>
      </w:r>
      <w:r>
        <w:rPr>
          <w:rStyle w:val="33"/>
          <w:rFonts w:hint="eastAsia"/>
        </w:rPr>
        <w:t>东川区土地利用主要调控指标</w:t>
      </w:r>
      <w:r>
        <w:tab/>
      </w:r>
      <w:r>
        <w:fldChar w:fldCharType="begin"/>
      </w:r>
      <w:r>
        <w:instrText xml:space="preserve"> PAGEREF _Toc491074922 \h </w:instrText>
      </w:r>
      <w:r>
        <w:fldChar w:fldCharType="separate"/>
      </w:r>
      <w:r>
        <w:t>91</w:t>
      </w:r>
      <w:r>
        <w:fldChar w:fldCharType="end"/>
      </w:r>
      <w:r>
        <w:fldChar w:fldCharType="end"/>
      </w:r>
    </w:p>
    <w:p w14:paraId="541790FB">
      <w:pPr>
        <w:pStyle w:val="20"/>
        <w:rPr>
          <w:rFonts w:asciiTheme="minorHAnsi" w:hAnsiTheme="minorHAnsi" w:eastAsiaTheme="minorEastAsia" w:cstheme="minorBidi"/>
          <w:bCs w:val="0"/>
          <w:caps w:val="0"/>
          <w:sz w:val="21"/>
          <w:szCs w:val="22"/>
        </w:rPr>
      </w:pPr>
      <w:r>
        <w:fldChar w:fldCharType="begin"/>
      </w:r>
      <w:r>
        <w:instrText xml:space="preserve"> HYPERLINK \l "_Toc491074923" </w:instrText>
      </w:r>
      <w:r>
        <w:fldChar w:fldCharType="separate"/>
      </w:r>
      <w:r>
        <w:rPr>
          <w:rStyle w:val="33"/>
          <w:rFonts w:hint="eastAsia"/>
        </w:rPr>
        <w:t>附表</w:t>
      </w:r>
      <w:r>
        <w:rPr>
          <w:rStyle w:val="33"/>
        </w:rPr>
        <w:t xml:space="preserve">2  </w:t>
      </w:r>
      <w:r>
        <w:rPr>
          <w:rStyle w:val="33"/>
          <w:rFonts w:hint="eastAsia"/>
        </w:rPr>
        <w:t>东川区土地利用结构调整表</w:t>
      </w:r>
      <w:r>
        <w:tab/>
      </w:r>
      <w:r>
        <w:fldChar w:fldCharType="begin"/>
      </w:r>
      <w:r>
        <w:instrText xml:space="preserve"> PAGEREF _Toc491074923 \h </w:instrText>
      </w:r>
      <w:r>
        <w:fldChar w:fldCharType="separate"/>
      </w:r>
      <w:r>
        <w:t>92</w:t>
      </w:r>
      <w:r>
        <w:fldChar w:fldCharType="end"/>
      </w:r>
      <w:r>
        <w:fldChar w:fldCharType="end"/>
      </w:r>
    </w:p>
    <w:p w14:paraId="1FB669E7">
      <w:pPr>
        <w:pStyle w:val="20"/>
        <w:rPr>
          <w:rFonts w:asciiTheme="minorHAnsi" w:hAnsiTheme="minorHAnsi" w:eastAsiaTheme="minorEastAsia" w:cstheme="minorBidi"/>
          <w:bCs w:val="0"/>
          <w:caps w:val="0"/>
          <w:sz w:val="21"/>
          <w:szCs w:val="22"/>
        </w:rPr>
      </w:pPr>
      <w:r>
        <w:fldChar w:fldCharType="begin"/>
      </w:r>
      <w:r>
        <w:instrText xml:space="preserve"> HYPERLINK \l "_Toc491074924" </w:instrText>
      </w:r>
      <w:r>
        <w:fldChar w:fldCharType="separate"/>
      </w:r>
      <w:r>
        <w:rPr>
          <w:rStyle w:val="33"/>
          <w:rFonts w:hint="eastAsia"/>
        </w:rPr>
        <w:t>附表</w:t>
      </w:r>
      <w:r>
        <w:rPr>
          <w:rStyle w:val="33"/>
        </w:rPr>
        <w:t xml:space="preserve">3  </w:t>
      </w:r>
      <w:r>
        <w:rPr>
          <w:rStyle w:val="33"/>
          <w:rFonts w:hint="eastAsia"/>
        </w:rPr>
        <w:t>东川区各乡镇规划指标控制表（</w:t>
      </w:r>
      <w:r>
        <w:rPr>
          <w:rStyle w:val="33"/>
        </w:rPr>
        <w:t>2020</w:t>
      </w:r>
      <w:r>
        <w:rPr>
          <w:rStyle w:val="33"/>
          <w:rFonts w:hint="eastAsia"/>
        </w:rPr>
        <w:t>年）</w:t>
      </w:r>
      <w:r>
        <w:tab/>
      </w:r>
      <w:r>
        <w:fldChar w:fldCharType="begin"/>
      </w:r>
      <w:r>
        <w:instrText xml:space="preserve"> PAGEREF _Toc491074924 \h </w:instrText>
      </w:r>
      <w:r>
        <w:fldChar w:fldCharType="separate"/>
      </w:r>
      <w:r>
        <w:t>93</w:t>
      </w:r>
      <w:r>
        <w:fldChar w:fldCharType="end"/>
      </w:r>
      <w:r>
        <w:fldChar w:fldCharType="end"/>
      </w:r>
    </w:p>
    <w:p w14:paraId="2B2D055E">
      <w:pPr>
        <w:pStyle w:val="20"/>
        <w:rPr>
          <w:rFonts w:asciiTheme="minorHAnsi" w:hAnsiTheme="minorHAnsi" w:eastAsiaTheme="minorEastAsia" w:cstheme="minorBidi"/>
          <w:bCs w:val="0"/>
          <w:caps w:val="0"/>
          <w:sz w:val="21"/>
          <w:szCs w:val="22"/>
        </w:rPr>
      </w:pPr>
      <w:r>
        <w:fldChar w:fldCharType="begin"/>
      </w:r>
      <w:r>
        <w:instrText xml:space="preserve"> HYPERLINK \l "_Toc491074925" </w:instrText>
      </w:r>
      <w:r>
        <w:fldChar w:fldCharType="separate"/>
      </w:r>
      <w:r>
        <w:rPr>
          <w:rStyle w:val="33"/>
          <w:rFonts w:hint="eastAsia"/>
        </w:rPr>
        <w:t>附表</w:t>
      </w:r>
      <w:r>
        <w:rPr>
          <w:rStyle w:val="33"/>
        </w:rPr>
        <w:t xml:space="preserve">4  </w:t>
      </w:r>
      <w:r>
        <w:rPr>
          <w:rStyle w:val="33"/>
          <w:rFonts w:hint="eastAsia"/>
        </w:rPr>
        <w:t>东川区土地利用用途分区表</w:t>
      </w:r>
      <w:r>
        <w:tab/>
      </w:r>
      <w:r>
        <w:fldChar w:fldCharType="begin"/>
      </w:r>
      <w:r>
        <w:instrText xml:space="preserve"> PAGEREF _Toc491074925 \h </w:instrText>
      </w:r>
      <w:r>
        <w:fldChar w:fldCharType="separate"/>
      </w:r>
      <w:r>
        <w:t>93</w:t>
      </w:r>
      <w:r>
        <w:fldChar w:fldCharType="end"/>
      </w:r>
      <w:r>
        <w:fldChar w:fldCharType="end"/>
      </w:r>
    </w:p>
    <w:p w14:paraId="7B4D089E">
      <w:pPr>
        <w:pStyle w:val="20"/>
        <w:rPr>
          <w:rFonts w:asciiTheme="minorHAnsi" w:hAnsiTheme="minorHAnsi" w:eastAsiaTheme="minorEastAsia" w:cstheme="minorBidi"/>
          <w:bCs w:val="0"/>
          <w:caps w:val="0"/>
          <w:sz w:val="21"/>
          <w:szCs w:val="22"/>
        </w:rPr>
      </w:pPr>
      <w:r>
        <w:fldChar w:fldCharType="begin"/>
      </w:r>
      <w:r>
        <w:instrText xml:space="preserve"> HYPERLINK \l "_Toc491074926" </w:instrText>
      </w:r>
      <w:r>
        <w:fldChar w:fldCharType="separate"/>
      </w:r>
      <w:r>
        <w:rPr>
          <w:rStyle w:val="33"/>
          <w:rFonts w:hint="eastAsia"/>
        </w:rPr>
        <w:t>附表</w:t>
      </w:r>
      <w:r>
        <w:rPr>
          <w:rStyle w:val="33"/>
        </w:rPr>
        <w:t xml:space="preserve">5  </w:t>
      </w:r>
      <w:r>
        <w:rPr>
          <w:rStyle w:val="33"/>
          <w:rFonts w:hint="eastAsia"/>
        </w:rPr>
        <w:t>东川区基础设施及重点项目情况表（</w:t>
      </w:r>
      <w:r>
        <w:rPr>
          <w:rStyle w:val="33"/>
        </w:rPr>
        <w:t>2010-2020</w:t>
      </w:r>
      <w:r>
        <w:rPr>
          <w:rStyle w:val="33"/>
          <w:rFonts w:hint="eastAsia"/>
        </w:rPr>
        <w:t>年）</w:t>
      </w:r>
      <w:r>
        <w:tab/>
      </w:r>
      <w:r>
        <w:fldChar w:fldCharType="begin"/>
      </w:r>
      <w:r>
        <w:instrText xml:space="preserve"> PAGEREF _Toc491074926 \h </w:instrText>
      </w:r>
      <w:r>
        <w:fldChar w:fldCharType="separate"/>
      </w:r>
      <w:r>
        <w:t>94</w:t>
      </w:r>
      <w:r>
        <w:fldChar w:fldCharType="end"/>
      </w:r>
      <w:r>
        <w:fldChar w:fldCharType="end"/>
      </w:r>
    </w:p>
    <w:p w14:paraId="66E28488">
      <w:pPr>
        <w:pStyle w:val="20"/>
        <w:rPr>
          <w:rFonts w:asciiTheme="minorHAnsi" w:hAnsiTheme="minorHAnsi" w:eastAsiaTheme="minorEastAsia" w:cstheme="minorBidi"/>
          <w:bCs w:val="0"/>
          <w:caps w:val="0"/>
          <w:sz w:val="21"/>
          <w:szCs w:val="22"/>
        </w:rPr>
      </w:pPr>
      <w:r>
        <w:fldChar w:fldCharType="begin"/>
      </w:r>
      <w:r>
        <w:instrText xml:space="preserve"> HYPERLINK \l "_Toc491074927" </w:instrText>
      </w:r>
      <w:r>
        <w:fldChar w:fldCharType="separate"/>
      </w:r>
      <w:r>
        <w:rPr>
          <w:rStyle w:val="33"/>
          <w:rFonts w:hint="eastAsia"/>
        </w:rPr>
        <w:t>附图</w:t>
      </w:r>
      <w:r>
        <w:tab/>
      </w:r>
      <w:r>
        <w:fldChar w:fldCharType="begin"/>
      </w:r>
      <w:r>
        <w:instrText xml:space="preserve"> PAGEREF _Toc491074927 \h </w:instrText>
      </w:r>
      <w:r>
        <w:fldChar w:fldCharType="separate"/>
      </w:r>
      <w:r>
        <w:t>101</w:t>
      </w:r>
      <w:r>
        <w:fldChar w:fldCharType="end"/>
      </w:r>
      <w:r>
        <w:fldChar w:fldCharType="end"/>
      </w:r>
    </w:p>
    <w:p w14:paraId="5B081353">
      <w:pPr>
        <w:pStyle w:val="20"/>
        <w:spacing w:line="360" w:lineRule="auto"/>
        <w:rPr>
          <w:rStyle w:val="33"/>
          <w:rFonts w:ascii="宋体" w:hAnsi="宋体" w:eastAsia="宋体"/>
          <w:color w:val="auto"/>
          <w:u w:val="none"/>
        </w:rPr>
        <w:sectPr>
          <w:pgSz w:w="11906" w:h="16838"/>
          <w:pgMar w:top="1440" w:right="1134" w:bottom="1440" w:left="1701" w:header="851" w:footer="992" w:gutter="0"/>
          <w:pgNumType w:fmt="upperRoman" w:start="1"/>
          <w:cols w:space="425" w:num="1"/>
          <w:docGrid w:linePitch="312" w:charSpace="0"/>
        </w:sectPr>
      </w:pPr>
      <w:r>
        <w:rPr>
          <w:rFonts w:ascii="宋体" w:hAnsi="宋体" w:eastAsia="宋体"/>
          <w:bCs w:val="0"/>
          <w:caps w:val="0"/>
          <w:smallCaps/>
          <w:color w:val="000000"/>
          <w:sz w:val="18"/>
          <w:szCs w:val="18"/>
        </w:rPr>
        <w:fldChar w:fldCharType="end"/>
      </w:r>
      <w:bookmarkStart w:id="0" w:name="_Toc241391035"/>
      <w:bookmarkStart w:id="1" w:name="_Toc241497561"/>
      <w:bookmarkStart w:id="2" w:name="_Toc233987148"/>
      <w:bookmarkStart w:id="3" w:name="_Toc233987115"/>
      <w:bookmarkStart w:id="4" w:name="_Toc110393147"/>
      <w:bookmarkStart w:id="5" w:name="_Toc108172111"/>
      <w:bookmarkStart w:id="6" w:name="_Toc178751969"/>
      <w:r>
        <w:rPr>
          <w:rStyle w:val="33"/>
          <w:rFonts w:ascii="宋体" w:hAnsi="宋体" w:eastAsia="宋体"/>
          <w:color w:val="auto"/>
          <w:u w:val="none"/>
        </w:rPr>
        <w:t xml:space="preserve"> </w:t>
      </w:r>
    </w:p>
    <w:bookmarkEnd w:id="0"/>
    <w:bookmarkEnd w:id="1"/>
    <w:bookmarkEnd w:id="2"/>
    <w:p w14:paraId="76DFD705">
      <w:pPr>
        <w:pStyle w:val="2"/>
        <w:spacing w:line="360" w:lineRule="auto"/>
        <w:jc w:val="center"/>
        <w:rPr>
          <w:rFonts w:ascii="黑体" w:eastAsia="黑体"/>
          <w:b w:val="0"/>
          <w:color w:val="000000"/>
          <w:sz w:val="32"/>
          <w:szCs w:val="32"/>
        </w:rPr>
      </w:pPr>
      <w:bookmarkStart w:id="7" w:name="_Toc491074881"/>
      <w:r>
        <w:rPr>
          <w:rFonts w:hint="eastAsia" w:ascii="黑体" w:eastAsia="黑体"/>
          <w:b w:val="0"/>
          <w:color w:val="000000"/>
          <w:sz w:val="32"/>
          <w:szCs w:val="32"/>
        </w:rPr>
        <w:t>第一章  总  则</w:t>
      </w:r>
      <w:bookmarkEnd w:id="7"/>
    </w:p>
    <w:p w14:paraId="28F63C8A">
      <w:pPr>
        <w:pStyle w:val="3"/>
        <w:jc w:val="center"/>
        <w:rPr>
          <w:b w:val="0"/>
          <w:color w:val="000000"/>
          <w:sz w:val="28"/>
          <w:szCs w:val="28"/>
        </w:rPr>
      </w:pPr>
      <w:bookmarkStart w:id="8" w:name="_Toc491074882"/>
      <w:bookmarkStart w:id="9" w:name="_Toc99511517"/>
      <w:bookmarkStart w:id="10" w:name="_Toc91513686"/>
      <w:bookmarkStart w:id="11" w:name="_Toc110393155"/>
      <w:bookmarkStart w:id="12" w:name="_Toc108172119"/>
      <w:bookmarkStart w:id="13" w:name="_Toc233987149"/>
      <w:bookmarkStart w:id="14" w:name="_Toc178751977"/>
      <w:r>
        <w:rPr>
          <w:rFonts w:hint="eastAsia"/>
          <w:b w:val="0"/>
          <w:color w:val="000000"/>
          <w:sz w:val="28"/>
          <w:szCs w:val="28"/>
        </w:rPr>
        <w:t>第一节  背  景</w:t>
      </w:r>
      <w:bookmarkEnd w:id="8"/>
    </w:p>
    <w:p w14:paraId="21088D73">
      <w:pPr>
        <w:tabs>
          <w:tab w:val="left" w:pos="1950"/>
        </w:tabs>
        <w:spacing w:line="360" w:lineRule="auto"/>
        <w:ind w:firstLine="561"/>
        <w:rPr>
          <w:rFonts w:ascii="仿宋_GB2312" w:hAnsi="宋体" w:eastAsia="仿宋_GB2312"/>
          <w:sz w:val="28"/>
          <w:szCs w:val="28"/>
        </w:rPr>
      </w:pPr>
      <w:r>
        <w:rPr>
          <w:rFonts w:hint="eastAsia" w:ascii="仿宋_GB2312" w:hAnsi="宋体" w:eastAsia="仿宋_GB2312"/>
          <w:sz w:val="28"/>
          <w:szCs w:val="28"/>
        </w:rPr>
        <w:t>近年来，随着经济社会发展进入新常态、新形势，中央及时出台了一系列稳增长、促改革、调结构、惠民生的政策措施，这就对土地管理工作提出了新的更高要求，同时也面临许多新情况、新问题。一方面，</w:t>
      </w:r>
      <w:r>
        <w:rPr>
          <w:rFonts w:ascii="仿宋_GB2312" w:hAnsi="宋体" w:eastAsia="仿宋_GB2312"/>
          <w:sz w:val="28"/>
          <w:szCs w:val="28"/>
        </w:rPr>
        <w:t xml:space="preserve">2008 </w:t>
      </w:r>
      <w:r>
        <w:rPr>
          <w:rFonts w:hint="eastAsia" w:ascii="仿宋_GB2312" w:hAnsi="宋体" w:eastAsia="仿宋_GB2312"/>
          <w:sz w:val="28"/>
          <w:szCs w:val="28"/>
        </w:rPr>
        <w:t>年开展的第二次全国土地调查结果显示，全国耕地面积虽有所增加，但实有耕地面积并未增加，国家粮食安全并未因此得到更好的保障；不稳定耕地、陡坡耕地、重金属耕地等占有一定比例，耕地保护仍面临较大压力。另一方面，许多地方建设用地增速过快，布局失衡，利用粗放，不利于城镇化科学健康发展。面对当前日渐严峻的土地利用形势，土地利用总体规划与客观实际、发展需求间的不协调、不适应问题也逐渐突出，为维护土地利用总体规划的权威性和严肃性，增强规划的科学性、有效性，更好的发挥规划统筹管控作用，迫切需要调整完善。</w:t>
      </w:r>
    </w:p>
    <w:p w14:paraId="7237E489">
      <w:pPr>
        <w:tabs>
          <w:tab w:val="left" w:pos="1950"/>
        </w:tabs>
        <w:spacing w:line="360" w:lineRule="auto"/>
        <w:ind w:firstLine="561"/>
        <w:rPr>
          <w:rFonts w:ascii="仿宋_GB2312" w:hAnsi="宋体" w:eastAsia="仿宋_GB2312"/>
          <w:sz w:val="28"/>
          <w:szCs w:val="28"/>
        </w:rPr>
      </w:pPr>
      <w:r>
        <w:rPr>
          <w:rFonts w:hint="eastAsia" w:ascii="仿宋_GB2312" w:hAnsi="宋体" w:eastAsia="仿宋_GB2312"/>
          <w:sz w:val="28"/>
          <w:szCs w:val="28"/>
        </w:rPr>
        <w:t>面对新情况、新问题，国土资源部适时提出开展各级土地利用总体规划的调整完善工作，</w:t>
      </w:r>
      <w:r>
        <w:rPr>
          <w:rFonts w:ascii="仿宋_GB2312" w:hAnsi="宋体" w:eastAsia="仿宋_GB2312"/>
          <w:sz w:val="28"/>
          <w:szCs w:val="28"/>
        </w:rPr>
        <w:t xml:space="preserve">2016 </w:t>
      </w:r>
      <w:r>
        <w:rPr>
          <w:rFonts w:hint="eastAsia" w:ascii="仿宋_GB2312" w:hAnsi="宋体" w:eastAsia="仿宋_GB2312"/>
          <w:sz w:val="28"/>
          <w:szCs w:val="28"/>
        </w:rPr>
        <w:t>年</w:t>
      </w:r>
      <w:r>
        <w:rPr>
          <w:rFonts w:ascii="仿宋_GB2312" w:hAnsi="宋体" w:eastAsia="仿宋_GB2312"/>
          <w:sz w:val="28"/>
          <w:szCs w:val="28"/>
        </w:rPr>
        <w:t xml:space="preserve">6 </w:t>
      </w:r>
      <w:r>
        <w:rPr>
          <w:rFonts w:hint="eastAsia" w:ascii="仿宋_GB2312" w:hAnsi="宋体" w:eastAsia="仿宋_GB2312"/>
          <w:sz w:val="28"/>
          <w:szCs w:val="28"/>
        </w:rPr>
        <w:t>月经国务院批准并印发了《土地利用总体规划调整完善工作方案》，全面部署全国土地利用总体规划调整完善工作，要求在</w:t>
      </w:r>
      <w:r>
        <w:rPr>
          <w:rFonts w:ascii="仿宋_GB2312" w:hAnsi="宋体" w:eastAsia="仿宋_GB2312"/>
          <w:sz w:val="28"/>
          <w:szCs w:val="28"/>
        </w:rPr>
        <w:t xml:space="preserve">2017 </w:t>
      </w:r>
      <w:r>
        <w:rPr>
          <w:rFonts w:hint="eastAsia" w:ascii="仿宋_GB2312" w:hAnsi="宋体" w:eastAsia="仿宋_GB2312"/>
          <w:sz w:val="28"/>
          <w:szCs w:val="28"/>
        </w:rPr>
        <w:t>年</w:t>
      </w:r>
      <w:r>
        <w:rPr>
          <w:rFonts w:ascii="仿宋_GB2312" w:hAnsi="宋体" w:eastAsia="仿宋_GB2312"/>
          <w:sz w:val="28"/>
          <w:szCs w:val="28"/>
        </w:rPr>
        <w:t xml:space="preserve">6 </w:t>
      </w:r>
      <w:r>
        <w:rPr>
          <w:rFonts w:hint="eastAsia" w:ascii="仿宋_GB2312" w:hAnsi="宋体" w:eastAsia="仿宋_GB2312"/>
          <w:sz w:val="28"/>
          <w:szCs w:val="28"/>
        </w:rPr>
        <w:t>月底前全面完成土地规划调整完善工作。根据国土资源部的部署，云南省国土资源厅印发了《关于印发</w:t>
      </w:r>
      <w:r>
        <w:rPr>
          <w:rFonts w:ascii="仿宋_GB2312" w:hAnsi="宋体" w:eastAsia="仿宋_GB2312"/>
          <w:sz w:val="28"/>
          <w:szCs w:val="28"/>
        </w:rPr>
        <w:t>&lt;</w:t>
      </w:r>
      <w:r>
        <w:rPr>
          <w:rFonts w:hint="eastAsia" w:ascii="仿宋_GB2312" w:hAnsi="宋体" w:eastAsia="仿宋_GB2312"/>
          <w:sz w:val="28"/>
          <w:szCs w:val="28"/>
        </w:rPr>
        <w:t>云南省市县乡级土地利用总体规划调整完善技术指南</w:t>
      </w:r>
      <w:r>
        <w:rPr>
          <w:rFonts w:ascii="仿宋_GB2312" w:hAnsi="宋体" w:eastAsia="仿宋_GB2312"/>
          <w:sz w:val="28"/>
          <w:szCs w:val="28"/>
        </w:rPr>
        <w:t>&gt;</w:t>
      </w:r>
      <w:r>
        <w:rPr>
          <w:rFonts w:hint="eastAsia" w:ascii="仿宋_GB2312" w:hAnsi="宋体" w:eastAsia="仿宋_GB2312"/>
          <w:sz w:val="28"/>
          <w:szCs w:val="28"/>
        </w:rPr>
        <w:t>的通知》（云国土资规〔</w:t>
      </w:r>
      <w:r>
        <w:rPr>
          <w:rFonts w:ascii="仿宋_GB2312" w:hAnsi="宋体" w:eastAsia="仿宋_GB2312"/>
          <w:sz w:val="28"/>
          <w:szCs w:val="28"/>
        </w:rPr>
        <w:t>2015</w:t>
      </w:r>
      <w:r>
        <w:rPr>
          <w:rFonts w:hint="eastAsia" w:ascii="仿宋_GB2312" w:hAnsi="宋体" w:eastAsia="仿宋_GB2312"/>
          <w:sz w:val="28"/>
          <w:szCs w:val="28"/>
        </w:rPr>
        <w:t>〕</w:t>
      </w:r>
      <w:r>
        <w:rPr>
          <w:rFonts w:ascii="仿宋_GB2312" w:hAnsi="宋体" w:eastAsia="仿宋_GB2312"/>
          <w:sz w:val="28"/>
          <w:szCs w:val="28"/>
        </w:rPr>
        <w:t xml:space="preserve">28 </w:t>
      </w:r>
      <w:r>
        <w:rPr>
          <w:rFonts w:hint="eastAsia" w:ascii="仿宋_GB2312" w:hAnsi="宋体" w:eastAsia="仿宋_GB2312"/>
          <w:sz w:val="28"/>
          <w:szCs w:val="28"/>
        </w:rPr>
        <w:t>号），明确了云南省市、县、乡级土地利用总体规划调整完善技术要求，推进快速、高效、有序开展云南省各地土地利用总体规划调整完善工作，以二次调查成果数据为基础，适时调整耕地保有量、基本农田保护面积和建设用地规模，维护规划的严肃性和可操作性。</w:t>
      </w:r>
    </w:p>
    <w:p w14:paraId="45E6985D">
      <w:pPr>
        <w:tabs>
          <w:tab w:val="left" w:pos="1950"/>
        </w:tabs>
        <w:spacing w:line="360" w:lineRule="auto"/>
        <w:ind w:firstLine="561"/>
        <w:rPr>
          <w:rFonts w:ascii="仿宋_GB2312" w:hAnsi="宋体" w:eastAsia="仿宋_GB2312"/>
          <w:sz w:val="28"/>
          <w:szCs w:val="28"/>
        </w:rPr>
      </w:pPr>
      <w:r>
        <w:rPr>
          <w:rFonts w:hint="eastAsia" w:ascii="仿宋_GB2312" w:hAnsi="宋体" w:eastAsia="仿宋_GB2312"/>
          <w:sz w:val="28"/>
          <w:szCs w:val="28"/>
        </w:rPr>
        <w:t>东川区区委、区政府积极响应，认落实党中央、国务院的新要求，按照国务院的统一部署和省、市人民政府的统一安排，正式启动了东川区调整完善土地利用总体规划工作，并由国土资源局牵头，组织开展了一系列调研工作，以明确全区土地利用总体规划调整完善工作内容、步骤、重点等要求，按照云南省统一安排要求，东川区在已完成土地利用总体规划中期评估报告和资源环境承载力评价研究的基础上，编制了《昆明市东川区土地利用总体规划（</w:t>
      </w:r>
      <w:r>
        <w:rPr>
          <w:rFonts w:ascii="仿宋_GB2312" w:hAnsi="宋体" w:eastAsia="仿宋_GB2312"/>
          <w:sz w:val="28"/>
          <w:szCs w:val="28"/>
        </w:rPr>
        <w:t xml:space="preserve">2010-2020 </w:t>
      </w:r>
      <w:r>
        <w:rPr>
          <w:rFonts w:hint="eastAsia" w:ascii="仿宋_GB2312" w:hAnsi="宋体" w:eastAsia="仿宋_GB2312"/>
          <w:sz w:val="28"/>
          <w:szCs w:val="28"/>
        </w:rPr>
        <w:t>年）调整完善方案》。</w:t>
      </w:r>
    </w:p>
    <w:bookmarkEnd w:id="9"/>
    <w:bookmarkEnd w:id="10"/>
    <w:bookmarkEnd w:id="11"/>
    <w:bookmarkEnd w:id="12"/>
    <w:bookmarkEnd w:id="13"/>
    <w:bookmarkEnd w:id="14"/>
    <w:p w14:paraId="4A06BBF6">
      <w:pPr>
        <w:pStyle w:val="3"/>
        <w:jc w:val="center"/>
        <w:rPr>
          <w:b w:val="0"/>
          <w:color w:val="000000"/>
          <w:sz w:val="28"/>
          <w:szCs w:val="28"/>
        </w:rPr>
      </w:pPr>
      <w:bookmarkStart w:id="15" w:name="_Toc491074883"/>
      <w:bookmarkStart w:id="16" w:name="_Toc233987161"/>
      <w:r>
        <w:rPr>
          <w:rFonts w:hint="eastAsia"/>
          <w:b w:val="0"/>
          <w:color w:val="000000"/>
          <w:sz w:val="28"/>
          <w:szCs w:val="28"/>
        </w:rPr>
        <w:t>第二节  基本原则</w:t>
      </w:r>
      <w:bookmarkEnd w:id="15"/>
    </w:p>
    <w:bookmarkEnd w:id="16"/>
    <w:p w14:paraId="6852D319">
      <w:pPr>
        <w:pStyle w:val="4"/>
        <w:spacing w:before="0" w:after="0" w:line="360" w:lineRule="auto"/>
        <w:rPr>
          <w:rFonts w:ascii="Arial" w:hAnsi="Arial" w:eastAsia="黑体"/>
          <w:b w:val="0"/>
          <w:color w:val="000000"/>
          <w:sz w:val="28"/>
          <w:szCs w:val="28"/>
        </w:rPr>
      </w:pPr>
      <w:bookmarkStart w:id="17" w:name="_Toc470799999"/>
      <w:bookmarkStart w:id="18" w:name="_Toc468195010"/>
      <w:bookmarkStart w:id="19" w:name="_Toc233987162"/>
      <w:r>
        <w:rPr>
          <w:rFonts w:hint="eastAsia" w:ascii="Arial" w:hAnsi="Arial" w:eastAsia="黑体"/>
          <w:b w:val="0"/>
          <w:color w:val="000000"/>
          <w:sz w:val="28"/>
          <w:szCs w:val="28"/>
        </w:rPr>
        <w:t>一、总原则</w:t>
      </w:r>
      <w:bookmarkEnd w:id="17"/>
    </w:p>
    <w:p w14:paraId="75F8030B">
      <w:pPr>
        <w:tabs>
          <w:tab w:val="left" w:pos="1950"/>
        </w:tabs>
        <w:spacing w:line="360" w:lineRule="auto"/>
        <w:ind w:firstLine="561"/>
        <w:rPr>
          <w:rFonts w:ascii="仿宋_GB2312" w:hAnsi="宋体" w:eastAsia="仿宋_GB2312"/>
          <w:b/>
          <w:sz w:val="28"/>
          <w:szCs w:val="28"/>
        </w:rPr>
      </w:pPr>
      <w:r>
        <w:rPr>
          <w:rFonts w:hint="eastAsia" w:ascii="仿宋_GB2312" w:hAnsi="宋体" w:eastAsia="仿宋_GB2312"/>
          <w:b/>
          <w:sz w:val="28"/>
          <w:szCs w:val="28"/>
        </w:rPr>
        <w:t>1、总量控制、着重优化</w:t>
      </w:r>
    </w:p>
    <w:p w14:paraId="32CB90D5">
      <w:pPr>
        <w:tabs>
          <w:tab w:val="left" w:pos="1950"/>
        </w:tabs>
        <w:spacing w:line="360" w:lineRule="auto"/>
        <w:ind w:firstLine="561"/>
        <w:rPr>
          <w:rFonts w:ascii="仿宋_GB2312" w:hAnsi="宋体" w:eastAsia="仿宋_GB2312"/>
          <w:sz w:val="28"/>
          <w:szCs w:val="28"/>
        </w:rPr>
      </w:pPr>
      <w:r>
        <w:rPr>
          <w:rFonts w:hint="eastAsia" w:ascii="仿宋_GB2312" w:hAnsi="宋体" w:eastAsia="仿宋_GB2312"/>
          <w:sz w:val="28"/>
          <w:szCs w:val="28"/>
        </w:rPr>
        <w:t>以二调数据连续变更至</w:t>
      </w:r>
      <w:r>
        <w:rPr>
          <w:rFonts w:ascii="仿宋_GB2312" w:hAnsi="宋体" w:eastAsia="仿宋_GB2312"/>
          <w:sz w:val="28"/>
          <w:szCs w:val="28"/>
        </w:rPr>
        <w:t xml:space="preserve">2014 </w:t>
      </w:r>
      <w:r>
        <w:rPr>
          <w:rFonts w:hint="eastAsia" w:ascii="仿宋_GB2312" w:hAnsi="宋体" w:eastAsia="仿宋_GB2312"/>
          <w:sz w:val="28"/>
          <w:szCs w:val="28"/>
        </w:rPr>
        <w:t>年土地利用现状为基数，在完成昆明市下达的耕地保有量、基本农田保护目标的前提下，科学分析规划上轮实施以来用地情况和“十三五”时期的用地需求，围绕落实区域发展总体战略、新型城镇化发展等相关规划以及稳增长重点项目，合理确定建设用地总规模。主动适应经济发展新常态，实行建设用地总量控制，促进存量、低效用地盘活利用，进一步强化耕地保护和节约集约用地，保障稳增长、促改革、调结构、惠民生各项政策措施落地，提高土地利用效率。</w:t>
      </w:r>
    </w:p>
    <w:p w14:paraId="0EA901B5">
      <w:pPr>
        <w:tabs>
          <w:tab w:val="left" w:pos="1950"/>
        </w:tabs>
        <w:spacing w:line="360" w:lineRule="auto"/>
        <w:ind w:firstLine="561"/>
        <w:rPr>
          <w:rFonts w:ascii="仿宋_GB2312" w:hAnsi="宋体" w:eastAsia="仿宋_GB2312"/>
          <w:sz w:val="28"/>
          <w:szCs w:val="28"/>
        </w:rPr>
      </w:pPr>
      <w:r>
        <w:rPr>
          <w:rFonts w:hint="eastAsia" w:ascii="仿宋_GB2312" w:hAnsi="宋体" w:eastAsia="仿宋_GB2312"/>
          <w:sz w:val="28"/>
          <w:szCs w:val="28"/>
        </w:rPr>
        <w:t>严格控制城市用地规模，合理安排村镇用地，以布局优化为主，促进串联式、组团水、卫星城式发展。合理安排农村宅基地建设的规模、布局和时序，避让地质灾害和行洪区域，不占或少占耕地、禁止占用基本农田，充分利用废弃、闲置宅基地，鼓励和引导农村居民点适当集中布局。</w:t>
      </w:r>
    </w:p>
    <w:p w14:paraId="38CB0720">
      <w:pPr>
        <w:tabs>
          <w:tab w:val="left" w:pos="1950"/>
        </w:tabs>
        <w:spacing w:line="360" w:lineRule="auto"/>
        <w:ind w:firstLine="561"/>
        <w:rPr>
          <w:rFonts w:ascii="仿宋_GB2312" w:hAnsi="宋体" w:eastAsia="仿宋_GB2312"/>
          <w:b/>
          <w:sz w:val="28"/>
          <w:szCs w:val="28"/>
        </w:rPr>
      </w:pPr>
      <w:r>
        <w:rPr>
          <w:rFonts w:hint="eastAsia" w:ascii="仿宋_GB2312" w:hAnsi="宋体" w:eastAsia="仿宋_GB2312"/>
          <w:b/>
          <w:sz w:val="28"/>
          <w:szCs w:val="28"/>
        </w:rPr>
        <w:t>2、统筹兼顾、突出重点</w:t>
      </w:r>
    </w:p>
    <w:p w14:paraId="347921C8">
      <w:pPr>
        <w:tabs>
          <w:tab w:val="left" w:pos="1950"/>
        </w:tabs>
        <w:spacing w:line="360" w:lineRule="auto"/>
        <w:ind w:firstLine="561"/>
        <w:rPr>
          <w:rFonts w:ascii="仿宋_GB2312" w:hAnsi="宋体" w:eastAsia="仿宋_GB2312"/>
          <w:sz w:val="28"/>
          <w:szCs w:val="28"/>
        </w:rPr>
      </w:pPr>
      <w:r>
        <w:rPr>
          <w:rFonts w:hint="eastAsia" w:ascii="仿宋_GB2312" w:hAnsi="宋体" w:eastAsia="仿宋_GB2312"/>
          <w:sz w:val="28"/>
          <w:szCs w:val="28"/>
        </w:rPr>
        <w:t>正确处理开发与保护、当前与长远、局部与全局的关系，重点做好耕地和基本农田调整、建设用地结构与布局优化，制定完善政策措施。切实解决不利于耕地保护、节约集约用地和科学发展的突出问题。</w:t>
      </w:r>
    </w:p>
    <w:p w14:paraId="5ECA02F2">
      <w:pPr>
        <w:tabs>
          <w:tab w:val="left" w:pos="1950"/>
        </w:tabs>
        <w:spacing w:line="360" w:lineRule="auto"/>
        <w:ind w:firstLine="561"/>
        <w:rPr>
          <w:rFonts w:ascii="仿宋_GB2312" w:hAnsi="宋体" w:eastAsia="仿宋_GB2312"/>
          <w:b/>
          <w:sz w:val="28"/>
          <w:szCs w:val="28"/>
        </w:rPr>
      </w:pPr>
      <w:r>
        <w:rPr>
          <w:rFonts w:hint="eastAsia" w:ascii="仿宋_GB2312" w:hAnsi="宋体" w:eastAsia="仿宋_GB2312"/>
          <w:b/>
          <w:sz w:val="28"/>
          <w:szCs w:val="28"/>
        </w:rPr>
        <w:t>3、加强协调、充分衔接</w:t>
      </w:r>
    </w:p>
    <w:p w14:paraId="07E8E04F">
      <w:pPr>
        <w:tabs>
          <w:tab w:val="left" w:pos="1950"/>
        </w:tabs>
        <w:spacing w:line="360" w:lineRule="auto"/>
        <w:ind w:firstLine="561"/>
        <w:rPr>
          <w:rFonts w:ascii="仿宋_GB2312" w:hAnsi="宋体" w:eastAsia="仿宋_GB2312"/>
          <w:sz w:val="28"/>
          <w:szCs w:val="28"/>
        </w:rPr>
      </w:pPr>
      <w:bookmarkStart w:id="20" w:name="_Toc470800000"/>
      <w:r>
        <w:rPr>
          <w:rFonts w:hint="eastAsia" w:ascii="仿宋_GB2312" w:hAnsi="宋体" w:eastAsia="仿宋_GB2312"/>
          <w:sz w:val="28"/>
          <w:szCs w:val="28"/>
        </w:rPr>
        <w:t>坚持科学论证、标准统一、民主决策，强化与国民经济和社会发展规划、主体功能区规划、产业发展、城乡建设、交通布局、环境保护和生态红线划定等相关方案及专项规划的协调衔接，做好其对下级规划的控制，完善土地用途管制制度。促进依法规划、民主规划、科学规划，提高调整完善成果的科学性和可操作性。</w:t>
      </w:r>
    </w:p>
    <w:p w14:paraId="6D1391D5">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二、耕地保有量和基本农田调整原则</w:t>
      </w:r>
      <w:bookmarkEnd w:id="20"/>
    </w:p>
    <w:p w14:paraId="0162076E">
      <w:pPr>
        <w:tabs>
          <w:tab w:val="left" w:pos="1950"/>
        </w:tabs>
        <w:spacing w:line="360" w:lineRule="auto"/>
        <w:ind w:firstLine="561"/>
        <w:rPr>
          <w:rFonts w:ascii="仿宋_GB2312" w:hAnsi="宋体" w:eastAsia="仿宋_GB2312"/>
          <w:b/>
          <w:sz w:val="28"/>
          <w:szCs w:val="28"/>
        </w:rPr>
      </w:pPr>
      <w:r>
        <w:rPr>
          <w:rFonts w:hint="eastAsia" w:ascii="仿宋_GB2312" w:hAnsi="宋体" w:eastAsia="仿宋_GB2312"/>
          <w:b/>
          <w:sz w:val="28"/>
          <w:szCs w:val="28"/>
        </w:rPr>
        <w:t>1、应保尽保、量质并重</w:t>
      </w:r>
    </w:p>
    <w:p w14:paraId="10B19A10">
      <w:pPr>
        <w:tabs>
          <w:tab w:val="left" w:pos="1950"/>
        </w:tabs>
        <w:spacing w:line="360" w:lineRule="auto"/>
        <w:ind w:firstLine="561"/>
        <w:rPr>
          <w:rFonts w:ascii="仿宋_GB2312" w:hAnsi="宋体" w:eastAsia="仿宋_GB2312"/>
          <w:sz w:val="28"/>
          <w:szCs w:val="28"/>
        </w:rPr>
      </w:pPr>
      <w:r>
        <w:rPr>
          <w:rFonts w:hint="eastAsia" w:ascii="仿宋_GB2312" w:hAnsi="宋体" w:eastAsia="仿宋_GB2312"/>
          <w:sz w:val="28"/>
          <w:szCs w:val="28"/>
        </w:rPr>
        <w:t>既要完成昆明市下达的耕地保护任务，又要确保耕地质量不下降。现状耕地除根据国家统一部署纳入生态退耕规划和根据相关规划需要占用的以外，均予以保护。</w:t>
      </w:r>
    </w:p>
    <w:p w14:paraId="65AA6897">
      <w:pPr>
        <w:tabs>
          <w:tab w:val="left" w:pos="1950"/>
        </w:tabs>
        <w:spacing w:line="360" w:lineRule="auto"/>
        <w:ind w:firstLine="561"/>
        <w:rPr>
          <w:rFonts w:ascii="仿宋_GB2312" w:hAnsi="宋体" w:eastAsia="仿宋_GB2312"/>
          <w:b/>
          <w:sz w:val="28"/>
          <w:szCs w:val="28"/>
        </w:rPr>
      </w:pPr>
      <w:r>
        <w:rPr>
          <w:rFonts w:hint="eastAsia" w:ascii="仿宋_GB2312" w:hAnsi="宋体" w:eastAsia="仿宋_GB2312"/>
          <w:b/>
          <w:sz w:val="28"/>
          <w:szCs w:val="28"/>
        </w:rPr>
        <w:t>2、应划尽划、质量优先</w:t>
      </w:r>
    </w:p>
    <w:p w14:paraId="5DBB2C6D">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优质耕地除实施国家重大发展战略、“十三五”重点建设项目难以避让的以外，均划入永久基本农田，实行特殊保护。不得多预留一定比例永久基本农田为建设占用留有空间。</w:t>
      </w:r>
    </w:p>
    <w:p w14:paraId="7E71D280">
      <w:pPr>
        <w:pStyle w:val="4"/>
        <w:spacing w:before="0" w:after="0" w:line="360" w:lineRule="auto"/>
        <w:rPr>
          <w:rFonts w:ascii="Arial" w:hAnsi="Arial" w:eastAsia="黑体"/>
          <w:b w:val="0"/>
          <w:color w:val="000000"/>
          <w:sz w:val="28"/>
          <w:szCs w:val="28"/>
        </w:rPr>
      </w:pPr>
      <w:bookmarkStart w:id="21" w:name="_Toc470800001"/>
      <w:r>
        <w:rPr>
          <w:rFonts w:hint="eastAsia" w:ascii="Arial" w:hAnsi="Arial" w:eastAsia="黑体"/>
          <w:b w:val="0"/>
          <w:color w:val="000000"/>
          <w:sz w:val="28"/>
          <w:szCs w:val="28"/>
        </w:rPr>
        <w:t>三、建设用地调整原则</w:t>
      </w:r>
      <w:bookmarkEnd w:id="21"/>
    </w:p>
    <w:p w14:paraId="5604BBDD">
      <w:pPr>
        <w:tabs>
          <w:tab w:val="left" w:pos="1950"/>
        </w:tabs>
        <w:spacing w:line="360" w:lineRule="auto"/>
        <w:ind w:firstLine="561"/>
        <w:rPr>
          <w:rFonts w:ascii="仿宋_GB2312" w:hAnsi="宋体" w:eastAsia="仿宋_GB2312"/>
          <w:b/>
          <w:sz w:val="28"/>
          <w:szCs w:val="28"/>
        </w:rPr>
      </w:pPr>
      <w:r>
        <w:rPr>
          <w:rFonts w:hint="eastAsia" w:ascii="仿宋_GB2312" w:hAnsi="宋体" w:eastAsia="仿宋_GB2312"/>
          <w:b/>
          <w:sz w:val="28"/>
          <w:szCs w:val="28"/>
        </w:rPr>
        <w:t>1、节约集约、优化结构</w:t>
      </w:r>
    </w:p>
    <w:p w14:paraId="6475457A">
      <w:pPr>
        <w:tabs>
          <w:tab w:val="left" w:pos="1950"/>
        </w:tabs>
        <w:spacing w:line="360" w:lineRule="auto"/>
        <w:ind w:firstLine="561"/>
        <w:rPr>
          <w:rFonts w:ascii="仿宋_GB2312" w:hAnsi="宋体" w:eastAsia="仿宋_GB2312"/>
          <w:sz w:val="28"/>
          <w:szCs w:val="28"/>
        </w:rPr>
      </w:pPr>
      <w:r>
        <w:rPr>
          <w:rFonts w:hint="eastAsia" w:ascii="仿宋_GB2312" w:hAnsi="宋体" w:eastAsia="仿宋_GB2312"/>
          <w:sz w:val="28"/>
          <w:szCs w:val="28"/>
        </w:rPr>
        <w:t>按照坚定不移地推进节约用地的总要求，遏制建设用地过度外延扩张，有效控制建设用地总量，结合生态、城乡、交通、产业等规划，合理调整优化建设用地结构和布局，优化国土空间开发格局。</w:t>
      </w:r>
    </w:p>
    <w:p w14:paraId="6129E6C4">
      <w:pPr>
        <w:tabs>
          <w:tab w:val="left" w:pos="1950"/>
        </w:tabs>
        <w:spacing w:line="360" w:lineRule="auto"/>
        <w:ind w:firstLine="561"/>
        <w:rPr>
          <w:rFonts w:ascii="仿宋_GB2312" w:hAnsi="宋体" w:eastAsia="仿宋_GB2312"/>
          <w:b/>
          <w:sz w:val="28"/>
          <w:szCs w:val="28"/>
        </w:rPr>
      </w:pPr>
      <w:r>
        <w:rPr>
          <w:rFonts w:hint="eastAsia" w:ascii="仿宋_GB2312" w:hAnsi="宋体" w:eastAsia="仿宋_GB2312"/>
          <w:b/>
          <w:sz w:val="28"/>
          <w:szCs w:val="28"/>
        </w:rPr>
        <w:t>2、统筹增量、盘活存量</w:t>
      </w:r>
    </w:p>
    <w:bookmarkEnd w:id="18"/>
    <w:p w14:paraId="34288413">
      <w:pPr>
        <w:tabs>
          <w:tab w:val="left" w:pos="1950"/>
        </w:tabs>
        <w:spacing w:line="360" w:lineRule="auto"/>
        <w:ind w:firstLine="561"/>
        <w:rPr>
          <w:rFonts w:ascii="仿宋_GB2312" w:hAnsi="宋体" w:eastAsia="仿宋_GB2312"/>
          <w:sz w:val="28"/>
          <w:szCs w:val="28"/>
        </w:rPr>
      </w:pPr>
      <w:r>
        <w:rPr>
          <w:rFonts w:hint="eastAsia" w:ascii="仿宋_GB2312" w:hAnsi="宋体" w:eastAsia="仿宋_GB2312"/>
          <w:sz w:val="28"/>
          <w:szCs w:val="28"/>
        </w:rPr>
        <w:t>统筹建设用地增量，保障“五网”建设、新型城镇化、生态文明建设、民生工程、重点产业项目等用地需求，盘活建设用地存量。</w:t>
      </w:r>
    </w:p>
    <w:p w14:paraId="7E8D246B">
      <w:pPr>
        <w:pStyle w:val="3"/>
        <w:jc w:val="center"/>
        <w:rPr>
          <w:b w:val="0"/>
          <w:color w:val="000000"/>
          <w:sz w:val="28"/>
          <w:szCs w:val="28"/>
        </w:rPr>
      </w:pPr>
      <w:bookmarkStart w:id="22" w:name="_Toc491074884"/>
      <w:r>
        <w:rPr>
          <w:rFonts w:hint="eastAsia"/>
          <w:b w:val="0"/>
          <w:color w:val="000000"/>
          <w:sz w:val="28"/>
          <w:szCs w:val="28"/>
        </w:rPr>
        <w:t>第三节  目的及意义</w:t>
      </w:r>
      <w:bookmarkEnd w:id="22"/>
    </w:p>
    <w:p w14:paraId="1E9622CB">
      <w:pPr>
        <w:pStyle w:val="78"/>
        <w:spacing w:line="360" w:lineRule="auto"/>
        <w:ind w:firstLine="560"/>
        <w:rPr>
          <w:rFonts w:eastAsia="仿宋_GB2312"/>
          <w:sz w:val="28"/>
          <w:szCs w:val="28"/>
        </w:rPr>
      </w:pPr>
      <w:r>
        <w:rPr>
          <w:rFonts w:eastAsia="仿宋_GB2312"/>
          <w:sz w:val="28"/>
          <w:szCs w:val="28"/>
        </w:rPr>
        <w:t>本次规划调整完善的目的是为了加强土地宏观调控和用途管制，节约集约利用土地，优化城乡用地结构与布局，为经济社会全面、协调和可持续发展提供土地保障；加强坝区耕地保护，</w:t>
      </w:r>
      <w:r>
        <w:rPr>
          <w:rFonts w:hint="eastAsia" w:eastAsia="仿宋_GB2312"/>
          <w:sz w:val="28"/>
          <w:szCs w:val="28"/>
        </w:rPr>
        <w:t>确保</w:t>
      </w:r>
      <w:r>
        <w:rPr>
          <w:rFonts w:eastAsia="仿宋_GB2312"/>
          <w:sz w:val="28"/>
          <w:szCs w:val="28"/>
        </w:rPr>
        <w:t>基本农田中坝区耕地比例；优化建设用地布局，提高土地利用效率，</w:t>
      </w:r>
      <w:r>
        <w:rPr>
          <w:rFonts w:hint="eastAsia" w:eastAsia="仿宋_GB2312"/>
          <w:sz w:val="28"/>
          <w:szCs w:val="28"/>
        </w:rPr>
        <w:t>对东川建设成为</w:t>
      </w:r>
      <w:r>
        <w:rPr>
          <w:rFonts w:eastAsia="仿宋_GB2312"/>
          <w:sz w:val="28"/>
          <w:szCs w:val="28"/>
        </w:rPr>
        <w:t>金沙江对内开放合作经济带的重要</w:t>
      </w:r>
      <w:r>
        <w:rPr>
          <w:rFonts w:hint="eastAsia" w:eastAsia="仿宋_GB2312"/>
          <w:sz w:val="28"/>
          <w:szCs w:val="28"/>
        </w:rPr>
        <w:t>城市、</w:t>
      </w:r>
      <w:r>
        <w:rPr>
          <w:rFonts w:eastAsia="仿宋_GB2312"/>
          <w:sz w:val="28"/>
          <w:szCs w:val="28"/>
        </w:rPr>
        <w:t>资源枯竭型城市转型发展</w:t>
      </w:r>
      <w:r>
        <w:rPr>
          <w:rFonts w:hint="eastAsia" w:eastAsia="仿宋_GB2312"/>
          <w:sz w:val="28"/>
          <w:szCs w:val="28"/>
        </w:rPr>
        <w:t>实验区、</w:t>
      </w:r>
      <w:r>
        <w:rPr>
          <w:rFonts w:eastAsia="仿宋_GB2312"/>
          <w:sz w:val="28"/>
          <w:szCs w:val="28"/>
        </w:rPr>
        <w:t>生态修复示范区</w:t>
      </w:r>
      <w:r>
        <w:rPr>
          <w:rFonts w:hint="eastAsia" w:eastAsia="仿宋_GB2312"/>
          <w:sz w:val="28"/>
          <w:szCs w:val="28"/>
        </w:rPr>
        <w:t>、特种</w:t>
      </w:r>
      <w:r>
        <w:rPr>
          <w:rFonts w:eastAsia="仿宋_GB2312"/>
          <w:sz w:val="28"/>
          <w:szCs w:val="28"/>
        </w:rPr>
        <w:t>旅游目的地具有十分重要的意义。合理调整农用地结构，妥善处理保障发展、保护资源与生态文明建设的关系；统筹区域发展，合理安排各业用地，围绕促进</w:t>
      </w:r>
      <w:r>
        <w:rPr>
          <w:rFonts w:hint="eastAsia" w:eastAsia="仿宋_GB2312"/>
          <w:sz w:val="28"/>
          <w:szCs w:val="28"/>
        </w:rPr>
        <w:t>东川区</w:t>
      </w:r>
      <w:r>
        <w:rPr>
          <w:rFonts w:eastAsia="仿宋_GB2312"/>
          <w:sz w:val="28"/>
          <w:szCs w:val="28"/>
        </w:rPr>
        <w:t>各</w:t>
      </w:r>
      <w:r>
        <w:rPr>
          <w:rFonts w:hint="eastAsia" w:eastAsia="仿宋_GB2312"/>
          <w:sz w:val="28"/>
          <w:szCs w:val="28"/>
        </w:rPr>
        <w:t>乡镇</w:t>
      </w:r>
      <w:r>
        <w:rPr>
          <w:rFonts w:eastAsia="仿宋_GB2312"/>
          <w:sz w:val="28"/>
          <w:szCs w:val="28"/>
        </w:rPr>
        <w:t>合理分工协作和协调发展的目标，与区域经济、产业和人口发展战略相适应，合理划分土地用途区，制定土地分区管制措施；围绕生态建设，建立既利于经济发展，又利于环境保护的土地利用模式。</w:t>
      </w:r>
    </w:p>
    <w:p w14:paraId="3B8EB3EA">
      <w:pPr>
        <w:pStyle w:val="3"/>
        <w:jc w:val="center"/>
        <w:rPr>
          <w:b w:val="0"/>
          <w:color w:val="000000"/>
          <w:sz w:val="28"/>
          <w:szCs w:val="28"/>
        </w:rPr>
      </w:pPr>
      <w:bookmarkStart w:id="23" w:name="_Toc491074885"/>
      <w:r>
        <w:rPr>
          <w:rFonts w:hint="eastAsia"/>
          <w:b w:val="0"/>
          <w:color w:val="000000"/>
          <w:sz w:val="28"/>
          <w:szCs w:val="28"/>
        </w:rPr>
        <w:t>第</w:t>
      </w:r>
      <w:bookmarkEnd w:id="19"/>
      <w:r>
        <w:rPr>
          <w:rFonts w:hint="eastAsia"/>
          <w:b w:val="0"/>
          <w:color w:val="000000"/>
          <w:sz w:val="28"/>
          <w:szCs w:val="28"/>
        </w:rPr>
        <w:t>四节  主要任务</w:t>
      </w:r>
      <w:bookmarkEnd w:id="23"/>
    </w:p>
    <w:p w14:paraId="61F50516">
      <w:pPr>
        <w:pStyle w:val="78"/>
        <w:spacing w:line="360" w:lineRule="auto"/>
        <w:ind w:firstLine="560"/>
        <w:rPr>
          <w:rFonts w:eastAsia="仿宋_GB2312"/>
          <w:sz w:val="28"/>
          <w:szCs w:val="28"/>
        </w:rPr>
      </w:pPr>
      <w:r>
        <w:rPr>
          <w:rFonts w:hint="eastAsia" w:eastAsia="仿宋_GB2312"/>
          <w:sz w:val="28"/>
          <w:szCs w:val="28"/>
        </w:rPr>
        <w:t>根据东川区土地调查成果数据和现行土地利用总体规划中期评估成果，围绕区域“十三五”经济和社会发展规划纲要、战略目标等，以资源环境承载力为基础，主要开展区域土地利用现状分析、现行土地利用总体规划实施评价、永久基本农田划定、规划主要指标调整、土地利用结构和空间布局优化，对调整完善后的成效进行分析。</w:t>
      </w:r>
    </w:p>
    <w:p w14:paraId="14238EFF">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一、分析土地利用基本情况</w:t>
      </w:r>
    </w:p>
    <w:p w14:paraId="6435C0CA">
      <w:pPr>
        <w:pStyle w:val="78"/>
        <w:spacing w:line="360" w:lineRule="auto"/>
        <w:ind w:firstLine="560"/>
        <w:rPr>
          <w:rFonts w:eastAsia="仿宋_GB2312"/>
          <w:sz w:val="28"/>
          <w:szCs w:val="28"/>
        </w:rPr>
      </w:pPr>
      <w:r>
        <w:rPr>
          <w:rFonts w:hint="eastAsia" w:eastAsia="仿宋_GB2312"/>
          <w:sz w:val="28"/>
          <w:szCs w:val="28"/>
        </w:rPr>
        <w:t>以东</w:t>
      </w:r>
      <w:r>
        <w:rPr>
          <w:rFonts w:hint="eastAsia" w:ascii="仿宋_GB2312" w:hAnsi="Times New Roman" w:eastAsia="仿宋_GB2312"/>
          <w:sz w:val="28"/>
          <w:szCs w:val="28"/>
        </w:rPr>
        <w:t>川区2014年土地利用变更数据为基础，总结全区及坝区土地利用现状及特点，分析评价现行土地利用总体规划实施成效及存在的问题，客观研判未来经济社会发展态势对土地利用的影响，规</w:t>
      </w:r>
      <w:r>
        <w:rPr>
          <w:rFonts w:hint="eastAsia" w:eastAsia="仿宋_GB2312"/>
          <w:sz w:val="28"/>
          <w:szCs w:val="28"/>
        </w:rPr>
        <w:t>划对城镇化、产业化发展的保障度，为规划目标调整、空间布局和结构优化提供可靠依据。</w:t>
      </w:r>
    </w:p>
    <w:p w14:paraId="548F3747">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二、合理调整乡级主要控制指标</w:t>
      </w:r>
    </w:p>
    <w:p w14:paraId="3FE36838">
      <w:pPr>
        <w:pStyle w:val="78"/>
        <w:spacing w:line="360" w:lineRule="auto"/>
        <w:ind w:firstLine="560"/>
        <w:rPr>
          <w:rFonts w:eastAsia="仿宋_GB2312"/>
          <w:sz w:val="28"/>
          <w:szCs w:val="28"/>
        </w:rPr>
      </w:pPr>
      <w:r>
        <w:rPr>
          <w:rFonts w:hint="eastAsia" w:eastAsia="仿宋_GB2312"/>
          <w:sz w:val="28"/>
          <w:szCs w:val="28"/>
        </w:rPr>
        <w:t>根据《昆明市土地利用总体</w:t>
      </w:r>
      <w:r>
        <w:rPr>
          <w:rFonts w:hint="eastAsia" w:ascii="仿宋_GB2312" w:hAnsi="Times New Roman" w:eastAsia="仿宋_GB2312"/>
          <w:sz w:val="28"/>
          <w:szCs w:val="28"/>
        </w:rPr>
        <w:t>规划（2006-2020年）调整完善方案》确定的县级规划调控指标，以二调数据连续变更至2014年数据为基数，结合规划实施评估，资源环境承载能力、经济社会发展水平等，合理</w:t>
      </w:r>
      <w:r>
        <w:rPr>
          <w:rFonts w:hint="eastAsia" w:eastAsia="仿宋_GB2312"/>
          <w:sz w:val="28"/>
          <w:szCs w:val="28"/>
        </w:rPr>
        <w:t>分解下达乡级主要规划控制指标，主要包括耕地保有量、基本农田保护任务、新增建设用地、城乡建设用地、新增建设占用耕地、土地整治补充耕地、人均城镇工矿用地等，并确保全区各乡镇土地利用规划目标的落实。</w:t>
      </w:r>
    </w:p>
    <w:p w14:paraId="4DE9524F">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三、优化土地利用空间布局</w:t>
      </w:r>
    </w:p>
    <w:p w14:paraId="0C805BA5">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坚持统筹安排，科学规划生产、生活和生态空间，重点做好基本农田和建设用地结构和布局优化调整。遵循耕地保护优先、数量质量并重的原则，按照布局基本稳定、数量不减少、质量有提高的要求，对现有基本农田保护任务和空间布局作适当调整，将城镇周边和交通沿线、坝区等优质耕地纳入基本农田保护范围。</w:t>
      </w:r>
    </w:p>
    <w:p w14:paraId="71716E3D">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根据新型城镇化、新农村建设、产业发展、易地扶贫、基础设施建设等战略要求，遵循国家用地政策，加强与城市规划、生态环境保护等相关规划的协调统一，调整优化各类建设用地结构与布局，做好“十三五”期间各项经济社会发展目标的用地保障工作；并根据土地利用总体规划主导用途合理调整土地用途区及建设用地管制区。</w:t>
      </w:r>
    </w:p>
    <w:p w14:paraId="2749BE4C">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四、及时更新规划调整完善成果</w:t>
      </w:r>
    </w:p>
    <w:p w14:paraId="0C00C906">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根据国家、云南省关于土地利用总体规划调整完善工作要求，最终形成县级规划调整完善方案、表格、图件及附件等成果资料；并根据县级分解下达的乡级规划控制指标、规划目标落实情况等及时更新</w:t>
      </w:r>
      <w:r>
        <w:rPr>
          <w:rFonts w:ascii="仿宋_GB2312" w:hAnsi="Times New Roman" w:eastAsia="仿宋_GB2312"/>
          <w:sz w:val="28"/>
          <w:szCs w:val="28"/>
        </w:rPr>
        <w:t>1</w:t>
      </w:r>
      <w:r>
        <w:rPr>
          <w:rFonts w:hint="eastAsia" w:ascii="仿宋_GB2312" w:hAnsi="Times New Roman" w:eastAsia="仿宋_GB2312"/>
          <w:sz w:val="28"/>
          <w:szCs w:val="28"/>
        </w:rPr>
        <w:t>：</w:t>
      </w:r>
      <w:r>
        <w:rPr>
          <w:rFonts w:ascii="仿宋_GB2312" w:hAnsi="Times New Roman" w:eastAsia="仿宋_GB2312"/>
          <w:sz w:val="28"/>
          <w:szCs w:val="28"/>
        </w:rPr>
        <w:t xml:space="preserve">1 </w:t>
      </w:r>
      <w:r>
        <w:rPr>
          <w:rFonts w:hint="eastAsia" w:ascii="仿宋_GB2312" w:hAnsi="Times New Roman" w:eastAsia="仿宋_GB2312"/>
          <w:sz w:val="28"/>
          <w:szCs w:val="28"/>
        </w:rPr>
        <w:t>万规划数据库、乡级文本、表格、图件等相关数据。做好各级审查和验收，确保规划数据、图件与实地一致。县、乡规划调整完善成果经审查复核后，分别报送云南省、昆明市人民政府批准实施，最后报国土资源部、云南省国土资源厅备案。</w:t>
      </w:r>
    </w:p>
    <w:p w14:paraId="1AA3D772">
      <w:pPr>
        <w:pStyle w:val="3"/>
        <w:jc w:val="center"/>
        <w:rPr>
          <w:b w:val="0"/>
          <w:color w:val="000000"/>
          <w:sz w:val="28"/>
          <w:szCs w:val="28"/>
        </w:rPr>
      </w:pPr>
      <w:bookmarkStart w:id="24" w:name="_Toc491074886"/>
      <w:r>
        <w:rPr>
          <w:rFonts w:hint="eastAsia"/>
          <w:b w:val="0"/>
          <w:color w:val="000000"/>
          <w:sz w:val="28"/>
          <w:szCs w:val="28"/>
        </w:rPr>
        <w:t>第五节  工作依据</w:t>
      </w:r>
      <w:bookmarkEnd w:id="24"/>
    </w:p>
    <w:p w14:paraId="64615276">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一、法律、法规</w:t>
      </w:r>
    </w:p>
    <w:p w14:paraId="75D21F56">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1</w:t>
      </w:r>
      <w:r>
        <w:rPr>
          <w:rFonts w:hint="eastAsia" w:ascii="仿宋_GB2312" w:hAnsi="Times New Roman" w:eastAsia="仿宋_GB2312"/>
          <w:sz w:val="28"/>
          <w:szCs w:val="28"/>
        </w:rPr>
        <w:t>、《中华人民共和国土地管理法》；</w:t>
      </w:r>
    </w:p>
    <w:p w14:paraId="6A81F1CA">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2</w:t>
      </w:r>
      <w:r>
        <w:rPr>
          <w:rFonts w:hint="eastAsia" w:ascii="仿宋_GB2312" w:hAnsi="Times New Roman" w:eastAsia="仿宋_GB2312"/>
          <w:sz w:val="28"/>
          <w:szCs w:val="28"/>
        </w:rPr>
        <w:t>、《中华人民共和国城乡规划法》；</w:t>
      </w:r>
    </w:p>
    <w:p w14:paraId="321A7087">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3</w:t>
      </w:r>
      <w:r>
        <w:rPr>
          <w:rFonts w:hint="eastAsia" w:ascii="仿宋_GB2312" w:hAnsi="Times New Roman" w:eastAsia="仿宋_GB2312"/>
          <w:sz w:val="28"/>
          <w:szCs w:val="28"/>
        </w:rPr>
        <w:t>、《中华人民共和国环境保护法》；</w:t>
      </w:r>
    </w:p>
    <w:p w14:paraId="571D73AF">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4</w:t>
      </w:r>
      <w:r>
        <w:rPr>
          <w:rFonts w:hint="eastAsia" w:ascii="仿宋_GB2312" w:hAnsi="Times New Roman" w:eastAsia="仿宋_GB2312"/>
          <w:sz w:val="28"/>
          <w:szCs w:val="28"/>
        </w:rPr>
        <w:t>、《中华人民共和国土地管理法实施条例》；</w:t>
      </w:r>
    </w:p>
    <w:p w14:paraId="2BF02CFF">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5</w:t>
      </w:r>
      <w:r>
        <w:rPr>
          <w:rFonts w:hint="eastAsia" w:ascii="仿宋_GB2312" w:hAnsi="Times New Roman" w:eastAsia="仿宋_GB2312"/>
          <w:sz w:val="28"/>
          <w:szCs w:val="28"/>
        </w:rPr>
        <w:t>、《基本农田保护条例》；</w:t>
      </w:r>
    </w:p>
    <w:p w14:paraId="78A09538">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6、《土地利用总体规划管理办法》；</w:t>
      </w:r>
    </w:p>
    <w:p w14:paraId="09083317">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7、《云南省土地管理条例》；</w:t>
      </w:r>
    </w:p>
    <w:p w14:paraId="37F87D0A">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8、《云南省基本农田保护条例》；</w:t>
      </w:r>
    </w:p>
    <w:p w14:paraId="7B0CA900">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9、《云南省重大行政决策程序规定》（云南省人民政府令第200号）。</w:t>
      </w:r>
    </w:p>
    <w:p w14:paraId="485794CF">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二、政策文件</w:t>
      </w:r>
    </w:p>
    <w:p w14:paraId="4A25C6A9">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1</w:t>
      </w:r>
      <w:r>
        <w:rPr>
          <w:rFonts w:hint="eastAsia" w:ascii="仿宋_GB2312" w:hAnsi="Times New Roman" w:eastAsia="仿宋_GB2312"/>
          <w:sz w:val="28"/>
          <w:szCs w:val="28"/>
        </w:rPr>
        <w:t>、国土资源部办公厅《关于印发市县乡级土地利用总体规划编制指导意见的通知》（国土资厅发〔</w:t>
      </w:r>
      <w:r>
        <w:rPr>
          <w:rFonts w:ascii="仿宋_GB2312" w:hAnsi="Times New Roman" w:eastAsia="仿宋_GB2312"/>
          <w:sz w:val="28"/>
          <w:szCs w:val="28"/>
        </w:rPr>
        <w:t>2009</w:t>
      </w:r>
      <w:r>
        <w:rPr>
          <w:rFonts w:hint="eastAsia" w:ascii="仿宋_GB2312" w:hAnsi="Times New Roman" w:eastAsia="仿宋_GB2312"/>
          <w:sz w:val="28"/>
          <w:szCs w:val="28"/>
        </w:rPr>
        <w:t>〕</w:t>
      </w:r>
      <w:r>
        <w:rPr>
          <w:rFonts w:ascii="仿宋_GB2312" w:hAnsi="Times New Roman" w:eastAsia="仿宋_GB2312"/>
          <w:sz w:val="28"/>
          <w:szCs w:val="28"/>
        </w:rPr>
        <w:t xml:space="preserve">51 </w:t>
      </w:r>
      <w:r>
        <w:rPr>
          <w:rFonts w:hint="eastAsia" w:ascii="仿宋_GB2312" w:hAnsi="Times New Roman" w:eastAsia="仿宋_GB2312"/>
          <w:sz w:val="28"/>
          <w:szCs w:val="28"/>
        </w:rPr>
        <w:t>号）；</w:t>
      </w:r>
    </w:p>
    <w:p w14:paraId="3873967C">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2</w:t>
      </w:r>
      <w:r>
        <w:rPr>
          <w:rFonts w:hint="eastAsia" w:ascii="仿宋_GB2312" w:hAnsi="Times New Roman" w:eastAsia="仿宋_GB2312"/>
          <w:sz w:val="28"/>
          <w:szCs w:val="28"/>
        </w:rPr>
        <w:t>、国土资源部《关于严格土地利用总体规划实施管理的通知》（国土资发〔</w:t>
      </w:r>
      <w:r>
        <w:rPr>
          <w:rFonts w:ascii="仿宋_GB2312" w:hAnsi="Times New Roman" w:eastAsia="仿宋_GB2312"/>
          <w:sz w:val="28"/>
          <w:szCs w:val="28"/>
        </w:rPr>
        <w:t>2012</w:t>
      </w:r>
      <w:r>
        <w:rPr>
          <w:rFonts w:hint="eastAsia" w:ascii="仿宋_GB2312" w:hAnsi="Times New Roman" w:eastAsia="仿宋_GB2312"/>
          <w:sz w:val="28"/>
          <w:szCs w:val="28"/>
        </w:rPr>
        <w:t>〕</w:t>
      </w:r>
      <w:r>
        <w:rPr>
          <w:rFonts w:ascii="仿宋_GB2312" w:hAnsi="Times New Roman" w:eastAsia="仿宋_GB2312"/>
          <w:sz w:val="28"/>
          <w:szCs w:val="28"/>
        </w:rPr>
        <w:t xml:space="preserve">2 </w:t>
      </w:r>
      <w:r>
        <w:rPr>
          <w:rFonts w:hint="eastAsia" w:ascii="仿宋_GB2312" w:hAnsi="Times New Roman" w:eastAsia="仿宋_GB2312"/>
          <w:sz w:val="28"/>
          <w:szCs w:val="28"/>
        </w:rPr>
        <w:t>号）；</w:t>
      </w:r>
    </w:p>
    <w:p w14:paraId="7E04810C">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3</w:t>
      </w:r>
      <w:r>
        <w:rPr>
          <w:rFonts w:hint="eastAsia" w:ascii="仿宋_GB2312" w:hAnsi="Times New Roman" w:eastAsia="仿宋_GB2312"/>
          <w:sz w:val="28"/>
          <w:szCs w:val="28"/>
        </w:rPr>
        <w:t>、国土资源部《关于强化管控落实最严格耕地保护制度的通知》（国土资发〔</w:t>
      </w:r>
      <w:r>
        <w:rPr>
          <w:rFonts w:ascii="仿宋_GB2312" w:hAnsi="Times New Roman" w:eastAsia="仿宋_GB2312"/>
          <w:sz w:val="28"/>
          <w:szCs w:val="28"/>
        </w:rPr>
        <w:t>2014</w:t>
      </w:r>
      <w:r>
        <w:rPr>
          <w:rFonts w:hint="eastAsia" w:ascii="仿宋_GB2312" w:hAnsi="Times New Roman" w:eastAsia="仿宋_GB2312"/>
          <w:sz w:val="28"/>
          <w:szCs w:val="28"/>
        </w:rPr>
        <w:t>〕</w:t>
      </w:r>
      <w:r>
        <w:rPr>
          <w:rFonts w:ascii="仿宋_GB2312" w:hAnsi="Times New Roman" w:eastAsia="仿宋_GB2312"/>
          <w:sz w:val="28"/>
          <w:szCs w:val="28"/>
        </w:rPr>
        <w:t xml:space="preserve">18 </w:t>
      </w:r>
      <w:r>
        <w:rPr>
          <w:rFonts w:hint="eastAsia" w:ascii="仿宋_GB2312" w:hAnsi="Times New Roman" w:eastAsia="仿宋_GB2312"/>
          <w:sz w:val="28"/>
          <w:szCs w:val="28"/>
        </w:rPr>
        <w:t>号）；</w:t>
      </w:r>
    </w:p>
    <w:p w14:paraId="4295282A">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4</w:t>
      </w:r>
      <w:r>
        <w:rPr>
          <w:rFonts w:hint="eastAsia" w:ascii="仿宋_GB2312" w:hAnsi="Times New Roman" w:eastAsia="仿宋_GB2312"/>
          <w:sz w:val="28"/>
          <w:szCs w:val="28"/>
        </w:rPr>
        <w:t>、国土资源部</w:t>
      </w:r>
      <w:r>
        <w:rPr>
          <w:rFonts w:ascii="仿宋_GB2312" w:hAnsi="Times New Roman" w:eastAsia="仿宋_GB2312"/>
          <w:sz w:val="28"/>
          <w:szCs w:val="28"/>
        </w:rPr>
        <w:t xml:space="preserve"> </w:t>
      </w:r>
      <w:r>
        <w:rPr>
          <w:rFonts w:hint="eastAsia" w:ascii="仿宋_GB2312" w:hAnsi="Times New Roman" w:eastAsia="仿宋_GB2312"/>
          <w:sz w:val="28"/>
          <w:szCs w:val="28"/>
        </w:rPr>
        <w:t>农业部《关于进一步做好永久基本农田划定工作的通知》（国土资发〔</w:t>
      </w:r>
      <w:r>
        <w:rPr>
          <w:rFonts w:ascii="仿宋_GB2312" w:hAnsi="Times New Roman" w:eastAsia="仿宋_GB2312"/>
          <w:sz w:val="28"/>
          <w:szCs w:val="28"/>
        </w:rPr>
        <w:t>2014</w:t>
      </w:r>
      <w:r>
        <w:rPr>
          <w:rFonts w:hint="eastAsia" w:ascii="仿宋_GB2312" w:hAnsi="Times New Roman" w:eastAsia="仿宋_GB2312"/>
          <w:sz w:val="28"/>
          <w:szCs w:val="28"/>
        </w:rPr>
        <w:t>〕</w:t>
      </w:r>
      <w:r>
        <w:rPr>
          <w:rFonts w:ascii="仿宋_GB2312" w:hAnsi="Times New Roman" w:eastAsia="仿宋_GB2312"/>
          <w:sz w:val="28"/>
          <w:szCs w:val="28"/>
        </w:rPr>
        <w:t xml:space="preserve">128 </w:t>
      </w:r>
      <w:r>
        <w:rPr>
          <w:rFonts w:hint="eastAsia" w:ascii="仿宋_GB2312" w:hAnsi="Times New Roman" w:eastAsia="仿宋_GB2312"/>
          <w:sz w:val="28"/>
          <w:szCs w:val="28"/>
        </w:rPr>
        <w:t>号）；</w:t>
      </w:r>
    </w:p>
    <w:p w14:paraId="5218B41F">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5</w:t>
      </w:r>
      <w:r>
        <w:rPr>
          <w:rFonts w:hint="eastAsia" w:ascii="仿宋_GB2312" w:hAnsi="Times New Roman" w:eastAsia="仿宋_GB2312"/>
          <w:sz w:val="28"/>
          <w:szCs w:val="28"/>
        </w:rPr>
        <w:t>、国土资源部办公厅</w:t>
      </w:r>
      <w:r>
        <w:rPr>
          <w:rFonts w:ascii="仿宋_GB2312" w:hAnsi="Times New Roman" w:eastAsia="仿宋_GB2312"/>
          <w:sz w:val="28"/>
          <w:szCs w:val="28"/>
        </w:rPr>
        <w:t xml:space="preserve"> </w:t>
      </w:r>
      <w:r>
        <w:rPr>
          <w:rFonts w:hint="eastAsia" w:ascii="仿宋_GB2312" w:hAnsi="Times New Roman" w:eastAsia="仿宋_GB2312"/>
          <w:sz w:val="28"/>
          <w:szCs w:val="28"/>
        </w:rPr>
        <w:t>农业部办公厅《关于切实做好</w:t>
      </w:r>
      <w:r>
        <w:rPr>
          <w:rFonts w:ascii="仿宋_GB2312" w:hAnsi="Times New Roman" w:eastAsia="仿宋_GB2312"/>
          <w:sz w:val="28"/>
          <w:szCs w:val="28"/>
        </w:rPr>
        <w:t xml:space="preserve">106 </w:t>
      </w:r>
      <w:r>
        <w:rPr>
          <w:rFonts w:hint="eastAsia" w:ascii="仿宋_GB2312" w:hAnsi="Times New Roman" w:eastAsia="仿宋_GB2312"/>
          <w:sz w:val="28"/>
          <w:szCs w:val="28"/>
        </w:rPr>
        <w:t>个重点城市周边永久基本农田划定工作有关事项的通知》（国土资发厅〔</w:t>
      </w:r>
      <w:r>
        <w:rPr>
          <w:rFonts w:ascii="仿宋_GB2312" w:hAnsi="Times New Roman" w:eastAsia="仿宋_GB2312"/>
          <w:sz w:val="28"/>
          <w:szCs w:val="28"/>
        </w:rPr>
        <w:t>2015</w:t>
      </w:r>
      <w:r>
        <w:rPr>
          <w:rFonts w:hint="eastAsia" w:ascii="仿宋_GB2312" w:hAnsi="Times New Roman" w:eastAsia="仿宋_GB2312"/>
          <w:sz w:val="28"/>
          <w:szCs w:val="28"/>
        </w:rPr>
        <w:t>〕</w:t>
      </w:r>
      <w:r>
        <w:rPr>
          <w:rFonts w:ascii="仿宋_GB2312" w:hAnsi="Times New Roman" w:eastAsia="仿宋_GB2312"/>
          <w:sz w:val="28"/>
          <w:szCs w:val="28"/>
        </w:rPr>
        <w:t xml:space="preserve">14 </w:t>
      </w:r>
      <w:r>
        <w:rPr>
          <w:rFonts w:hint="eastAsia" w:ascii="仿宋_GB2312" w:hAnsi="Times New Roman" w:eastAsia="仿宋_GB2312"/>
          <w:sz w:val="28"/>
          <w:szCs w:val="28"/>
        </w:rPr>
        <w:t>号）；</w:t>
      </w:r>
    </w:p>
    <w:p w14:paraId="39573EC7">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6</w:t>
      </w:r>
      <w:r>
        <w:rPr>
          <w:rFonts w:hint="eastAsia" w:ascii="仿宋_GB2312" w:hAnsi="Times New Roman" w:eastAsia="仿宋_GB2312"/>
          <w:sz w:val="28"/>
          <w:szCs w:val="28"/>
        </w:rPr>
        <w:t>、国土资源部《土地利用总体规划调整完善工作方案》（国土资厅函〔</w:t>
      </w:r>
      <w:r>
        <w:rPr>
          <w:rFonts w:ascii="仿宋_GB2312" w:hAnsi="Times New Roman" w:eastAsia="仿宋_GB2312"/>
          <w:sz w:val="28"/>
          <w:szCs w:val="28"/>
        </w:rPr>
        <w:t>2014</w:t>
      </w:r>
      <w:r>
        <w:rPr>
          <w:rFonts w:hint="eastAsia" w:ascii="仿宋_GB2312" w:hAnsi="Times New Roman" w:eastAsia="仿宋_GB2312"/>
          <w:sz w:val="28"/>
          <w:szCs w:val="28"/>
        </w:rPr>
        <w:t>〕</w:t>
      </w:r>
      <w:r>
        <w:rPr>
          <w:rFonts w:ascii="仿宋_GB2312" w:hAnsi="Times New Roman" w:eastAsia="仿宋_GB2312"/>
          <w:sz w:val="28"/>
          <w:szCs w:val="28"/>
        </w:rPr>
        <w:t xml:space="preserve">1237 </w:t>
      </w:r>
      <w:r>
        <w:rPr>
          <w:rFonts w:hint="eastAsia" w:ascii="仿宋_GB2312" w:hAnsi="Times New Roman" w:eastAsia="仿宋_GB2312"/>
          <w:sz w:val="28"/>
          <w:szCs w:val="28"/>
        </w:rPr>
        <w:t>号）；</w:t>
      </w:r>
    </w:p>
    <w:p w14:paraId="4EA4E7CF">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7</w:t>
      </w:r>
      <w:r>
        <w:rPr>
          <w:rFonts w:hint="eastAsia" w:ascii="仿宋_GB2312" w:hAnsi="Times New Roman" w:eastAsia="仿宋_GB2312"/>
          <w:sz w:val="28"/>
          <w:szCs w:val="28"/>
        </w:rPr>
        <w:t>、国土资源部《关于印发全国土地利用总体纲要（</w:t>
      </w:r>
      <w:r>
        <w:rPr>
          <w:rFonts w:ascii="仿宋_GB2312" w:hAnsi="Times New Roman" w:eastAsia="仿宋_GB2312"/>
          <w:sz w:val="28"/>
          <w:szCs w:val="28"/>
        </w:rPr>
        <w:t xml:space="preserve">2006-2020 </w:t>
      </w:r>
      <w:r>
        <w:rPr>
          <w:rFonts w:hint="eastAsia" w:ascii="仿宋_GB2312" w:hAnsi="Times New Roman" w:eastAsia="仿宋_GB2312"/>
          <w:sz w:val="28"/>
          <w:szCs w:val="28"/>
        </w:rPr>
        <w:t>年）调整方案的通知》（国土资发〔</w:t>
      </w:r>
      <w:r>
        <w:rPr>
          <w:rFonts w:ascii="仿宋_GB2312" w:hAnsi="Times New Roman" w:eastAsia="仿宋_GB2312"/>
          <w:sz w:val="28"/>
          <w:szCs w:val="28"/>
        </w:rPr>
        <w:t>2016</w:t>
      </w:r>
      <w:r>
        <w:rPr>
          <w:rFonts w:hint="eastAsia" w:ascii="仿宋_GB2312" w:hAnsi="Times New Roman" w:eastAsia="仿宋_GB2312"/>
          <w:sz w:val="28"/>
          <w:szCs w:val="28"/>
        </w:rPr>
        <w:t>〕</w:t>
      </w:r>
      <w:r>
        <w:rPr>
          <w:rFonts w:ascii="仿宋_GB2312" w:hAnsi="Times New Roman" w:eastAsia="仿宋_GB2312"/>
          <w:sz w:val="28"/>
          <w:szCs w:val="28"/>
        </w:rPr>
        <w:t xml:space="preserve">67 </w:t>
      </w:r>
      <w:r>
        <w:rPr>
          <w:rFonts w:hint="eastAsia" w:ascii="仿宋_GB2312" w:hAnsi="Times New Roman" w:eastAsia="仿宋_GB2312"/>
          <w:sz w:val="28"/>
          <w:szCs w:val="28"/>
        </w:rPr>
        <w:t>号）；</w:t>
      </w:r>
    </w:p>
    <w:p w14:paraId="6A6F9CAD">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8</w:t>
      </w:r>
      <w:r>
        <w:rPr>
          <w:rFonts w:hint="eastAsia" w:ascii="仿宋_GB2312" w:hAnsi="Times New Roman" w:eastAsia="仿宋_GB2312"/>
          <w:sz w:val="28"/>
          <w:szCs w:val="28"/>
        </w:rPr>
        <w:t>、国土资源部办公厅《关于做好土地利用总体规划调整完善工作的通知》（国土资厅函〔</w:t>
      </w:r>
      <w:r>
        <w:rPr>
          <w:rFonts w:ascii="仿宋_GB2312" w:hAnsi="Times New Roman" w:eastAsia="仿宋_GB2312"/>
          <w:sz w:val="28"/>
          <w:szCs w:val="28"/>
        </w:rPr>
        <w:t>2016</w:t>
      </w:r>
      <w:r>
        <w:rPr>
          <w:rFonts w:hint="eastAsia" w:ascii="仿宋_GB2312" w:hAnsi="Times New Roman" w:eastAsia="仿宋_GB2312"/>
          <w:sz w:val="28"/>
          <w:szCs w:val="28"/>
        </w:rPr>
        <w:t>〕</w:t>
      </w:r>
      <w:r>
        <w:rPr>
          <w:rFonts w:ascii="仿宋_GB2312" w:hAnsi="Times New Roman" w:eastAsia="仿宋_GB2312"/>
          <w:sz w:val="28"/>
          <w:szCs w:val="28"/>
        </w:rPr>
        <w:t xml:space="preserve">1096 </w:t>
      </w:r>
      <w:r>
        <w:rPr>
          <w:rFonts w:hint="eastAsia" w:ascii="仿宋_GB2312" w:hAnsi="Times New Roman" w:eastAsia="仿宋_GB2312"/>
          <w:sz w:val="28"/>
          <w:szCs w:val="28"/>
        </w:rPr>
        <w:t>号）；</w:t>
      </w:r>
    </w:p>
    <w:p w14:paraId="7E22C41D">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9</w:t>
      </w:r>
      <w:r>
        <w:rPr>
          <w:rFonts w:hint="eastAsia" w:ascii="仿宋_GB2312" w:hAnsi="Times New Roman" w:eastAsia="仿宋_GB2312"/>
          <w:sz w:val="28"/>
          <w:szCs w:val="28"/>
        </w:rPr>
        <w:t>、国土资源部</w:t>
      </w:r>
      <w:r>
        <w:rPr>
          <w:rFonts w:ascii="仿宋_GB2312" w:hAnsi="Times New Roman" w:eastAsia="仿宋_GB2312"/>
          <w:sz w:val="28"/>
          <w:szCs w:val="28"/>
        </w:rPr>
        <w:t xml:space="preserve"> </w:t>
      </w:r>
      <w:r>
        <w:rPr>
          <w:rFonts w:hint="eastAsia" w:ascii="仿宋_GB2312" w:hAnsi="Times New Roman" w:eastAsia="仿宋_GB2312"/>
          <w:sz w:val="28"/>
          <w:szCs w:val="28"/>
        </w:rPr>
        <w:t>农业部《关于全面划定永久基本农田实行特殊保护的通知》（国土资规〔</w:t>
      </w:r>
      <w:r>
        <w:rPr>
          <w:rFonts w:ascii="仿宋_GB2312" w:hAnsi="Times New Roman" w:eastAsia="仿宋_GB2312"/>
          <w:sz w:val="28"/>
          <w:szCs w:val="28"/>
        </w:rPr>
        <w:t>2016</w:t>
      </w:r>
      <w:r>
        <w:rPr>
          <w:rFonts w:hint="eastAsia" w:ascii="仿宋_GB2312" w:hAnsi="Times New Roman" w:eastAsia="仿宋_GB2312"/>
          <w:sz w:val="28"/>
          <w:szCs w:val="28"/>
        </w:rPr>
        <w:t>〕</w:t>
      </w:r>
      <w:r>
        <w:rPr>
          <w:rFonts w:ascii="仿宋_GB2312" w:hAnsi="Times New Roman" w:eastAsia="仿宋_GB2312"/>
          <w:sz w:val="28"/>
          <w:szCs w:val="28"/>
        </w:rPr>
        <w:t xml:space="preserve">10 </w:t>
      </w:r>
      <w:r>
        <w:rPr>
          <w:rFonts w:hint="eastAsia" w:ascii="仿宋_GB2312" w:hAnsi="Times New Roman" w:eastAsia="仿宋_GB2312"/>
          <w:sz w:val="28"/>
          <w:szCs w:val="28"/>
        </w:rPr>
        <w:t>号）；</w:t>
      </w:r>
    </w:p>
    <w:p w14:paraId="3B59C2D2">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10</w:t>
      </w:r>
      <w:r>
        <w:rPr>
          <w:rFonts w:hint="eastAsia" w:ascii="仿宋_GB2312" w:hAnsi="Times New Roman" w:eastAsia="仿宋_GB2312"/>
          <w:sz w:val="28"/>
          <w:szCs w:val="28"/>
        </w:rPr>
        <w:t>、国家发展改革委等九部委印发关于加强资源环境生态红线管控的指导意见的通知（发改环资〔</w:t>
      </w:r>
      <w:r>
        <w:rPr>
          <w:rFonts w:ascii="仿宋_GB2312" w:hAnsi="Times New Roman" w:eastAsia="仿宋_GB2312"/>
          <w:sz w:val="28"/>
          <w:szCs w:val="28"/>
        </w:rPr>
        <w:t>2016</w:t>
      </w:r>
      <w:r>
        <w:rPr>
          <w:rFonts w:hint="eastAsia" w:ascii="仿宋_GB2312" w:hAnsi="Times New Roman" w:eastAsia="仿宋_GB2312"/>
          <w:sz w:val="28"/>
          <w:szCs w:val="28"/>
        </w:rPr>
        <w:t>〕</w:t>
      </w:r>
      <w:r>
        <w:rPr>
          <w:rFonts w:ascii="仿宋_GB2312" w:hAnsi="Times New Roman" w:eastAsia="仿宋_GB2312"/>
          <w:sz w:val="28"/>
          <w:szCs w:val="28"/>
        </w:rPr>
        <w:t xml:space="preserve">1162 </w:t>
      </w:r>
      <w:r>
        <w:rPr>
          <w:rFonts w:hint="eastAsia" w:ascii="仿宋_GB2312" w:hAnsi="Times New Roman" w:eastAsia="仿宋_GB2312"/>
          <w:sz w:val="28"/>
          <w:szCs w:val="28"/>
        </w:rPr>
        <w:t>号）；</w:t>
      </w:r>
    </w:p>
    <w:p w14:paraId="3DA2C1FA">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11</w:t>
      </w:r>
      <w:r>
        <w:rPr>
          <w:rFonts w:hint="eastAsia" w:ascii="仿宋_GB2312" w:hAnsi="Times New Roman" w:eastAsia="仿宋_GB2312"/>
          <w:sz w:val="28"/>
          <w:szCs w:val="28"/>
        </w:rPr>
        <w:t>、云南省人民政府《关于加强耕地保护促进城镇化科学发展的意见》（云政发〔</w:t>
      </w:r>
      <w:r>
        <w:rPr>
          <w:rFonts w:ascii="仿宋_GB2312" w:hAnsi="Times New Roman" w:eastAsia="仿宋_GB2312"/>
          <w:sz w:val="28"/>
          <w:szCs w:val="28"/>
        </w:rPr>
        <w:t>2011</w:t>
      </w:r>
      <w:r>
        <w:rPr>
          <w:rFonts w:hint="eastAsia" w:ascii="仿宋_GB2312" w:hAnsi="Times New Roman" w:eastAsia="仿宋_GB2312"/>
          <w:sz w:val="28"/>
          <w:szCs w:val="28"/>
        </w:rPr>
        <w:t>〕</w:t>
      </w:r>
      <w:r>
        <w:rPr>
          <w:rFonts w:ascii="仿宋_GB2312" w:hAnsi="Times New Roman" w:eastAsia="仿宋_GB2312"/>
          <w:sz w:val="28"/>
          <w:szCs w:val="28"/>
        </w:rPr>
        <w:t xml:space="preserve">185 </w:t>
      </w:r>
      <w:r>
        <w:rPr>
          <w:rFonts w:hint="eastAsia" w:ascii="仿宋_GB2312" w:hAnsi="Times New Roman" w:eastAsia="仿宋_GB2312"/>
          <w:sz w:val="28"/>
          <w:szCs w:val="28"/>
        </w:rPr>
        <w:t>号）；</w:t>
      </w:r>
    </w:p>
    <w:p w14:paraId="0C51E3DD">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12</w:t>
      </w:r>
      <w:r>
        <w:rPr>
          <w:rFonts w:hint="eastAsia" w:ascii="仿宋_GB2312" w:hAnsi="Times New Roman" w:eastAsia="仿宋_GB2312"/>
          <w:sz w:val="28"/>
          <w:szCs w:val="28"/>
        </w:rPr>
        <w:t>、云南省国土资源厅《关于转发国土资源部严格土地利用总体规划实施管理的通知》（云国土资〔</w:t>
      </w:r>
      <w:r>
        <w:rPr>
          <w:rFonts w:ascii="仿宋_GB2312" w:hAnsi="Times New Roman" w:eastAsia="仿宋_GB2312"/>
          <w:sz w:val="28"/>
          <w:szCs w:val="28"/>
        </w:rPr>
        <w:t>2012</w:t>
      </w:r>
      <w:r>
        <w:rPr>
          <w:rFonts w:hint="eastAsia" w:ascii="仿宋_GB2312" w:hAnsi="Times New Roman" w:eastAsia="仿宋_GB2312"/>
          <w:sz w:val="28"/>
          <w:szCs w:val="28"/>
        </w:rPr>
        <w:t>〕</w:t>
      </w:r>
      <w:r>
        <w:rPr>
          <w:rFonts w:ascii="仿宋_GB2312" w:hAnsi="Times New Roman" w:eastAsia="仿宋_GB2312"/>
          <w:sz w:val="28"/>
          <w:szCs w:val="28"/>
        </w:rPr>
        <w:t xml:space="preserve">195 </w:t>
      </w:r>
      <w:r>
        <w:rPr>
          <w:rFonts w:hint="eastAsia" w:ascii="仿宋_GB2312" w:hAnsi="Times New Roman" w:eastAsia="仿宋_GB2312"/>
          <w:sz w:val="28"/>
          <w:szCs w:val="28"/>
        </w:rPr>
        <w:t>号）；</w:t>
      </w:r>
    </w:p>
    <w:p w14:paraId="29230F3D">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13</w:t>
      </w:r>
      <w:r>
        <w:rPr>
          <w:rFonts w:hint="eastAsia" w:ascii="仿宋_GB2312" w:hAnsi="Times New Roman" w:eastAsia="仿宋_GB2312"/>
          <w:sz w:val="28"/>
          <w:szCs w:val="28"/>
        </w:rPr>
        <w:t>、《云南省土地利用总体规划调整完善工作方案》（云国土资〔</w:t>
      </w:r>
      <w:r>
        <w:rPr>
          <w:rFonts w:ascii="仿宋_GB2312" w:hAnsi="Times New Roman" w:eastAsia="仿宋_GB2312"/>
          <w:sz w:val="28"/>
          <w:szCs w:val="28"/>
        </w:rPr>
        <w:t>2015</w:t>
      </w:r>
      <w:r>
        <w:rPr>
          <w:rFonts w:hint="eastAsia" w:ascii="仿宋_GB2312" w:hAnsi="Times New Roman" w:eastAsia="仿宋_GB2312"/>
          <w:sz w:val="28"/>
          <w:szCs w:val="28"/>
        </w:rPr>
        <w:t>〕</w:t>
      </w:r>
      <w:r>
        <w:rPr>
          <w:rFonts w:ascii="仿宋_GB2312" w:hAnsi="Times New Roman" w:eastAsia="仿宋_GB2312"/>
          <w:sz w:val="28"/>
          <w:szCs w:val="28"/>
        </w:rPr>
        <w:t xml:space="preserve">22 </w:t>
      </w:r>
      <w:r>
        <w:rPr>
          <w:rFonts w:hint="eastAsia" w:ascii="仿宋_GB2312" w:hAnsi="Times New Roman" w:eastAsia="仿宋_GB2312"/>
          <w:sz w:val="28"/>
          <w:szCs w:val="28"/>
        </w:rPr>
        <w:t>号）；</w:t>
      </w:r>
    </w:p>
    <w:p w14:paraId="0800B4B8">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14</w:t>
      </w:r>
      <w:r>
        <w:rPr>
          <w:rFonts w:hint="eastAsia" w:ascii="仿宋_GB2312" w:hAnsi="Times New Roman" w:eastAsia="仿宋_GB2312"/>
          <w:sz w:val="28"/>
          <w:szCs w:val="28"/>
        </w:rPr>
        <w:t>、《云南省国土资源厅关于印发</w:t>
      </w:r>
      <w:r>
        <w:rPr>
          <w:rFonts w:ascii="仿宋_GB2312" w:hAnsi="Times New Roman" w:eastAsia="仿宋_GB2312"/>
          <w:sz w:val="28"/>
          <w:szCs w:val="28"/>
        </w:rPr>
        <w:t>&lt;</w:t>
      </w:r>
      <w:r>
        <w:rPr>
          <w:rFonts w:hint="eastAsia" w:ascii="仿宋_GB2312" w:hAnsi="Times New Roman" w:eastAsia="仿宋_GB2312"/>
          <w:sz w:val="28"/>
          <w:szCs w:val="28"/>
        </w:rPr>
        <w:t>云南省市县乡级土地利用总体规划调整完善技术指南</w:t>
      </w:r>
      <w:r>
        <w:rPr>
          <w:rFonts w:ascii="仿宋_GB2312" w:hAnsi="Times New Roman" w:eastAsia="仿宋_GB2312"/>
          <w:sz w:val="28"/>
          <w:szCs w:val="28"/>
        </w:rPr>
        <w:t>&gt;</w:t>
      </w:r>
      <w:r>
        <w:rPr>
          <w:rFonts w:hint="eastAsia" w:ascii="仿宋_GB2312" w:hAnsi="Times New Roman" w:eastAsia="仿宋_GB2312"/>
          <w:sz w:val="28"/>
          <w:szCs w:val="28"/>
        </w:rPr>
        <w:t>的通知》（云国土资规〔</w:t>
      </w:r>
      <w:r>
        <w:rPr>
          <w:rFonts w:ascii="仿宋_GB2312" w:hAnsi="Times New Roman" w:eastAsia="仿宋_GB2312"/>
          <w:sz w:val="28"/>
          <w:szCs w:val="28"/>
        </w:rPr>
        <w:t>2016</w:t>
      </w:r>
      <w:r>
        <w:rPr>
          <w:rFonts w:hint="eastAsia" w:ascii="仿宋_GB2312" w:hAnsi="Times New Roman" w:eastAsia="仿宋_GB2312"/>
          <w:sz w:val="28"/>
          <w:szCs w:val="28"/>
        </w:rPr>
        <w:t>〕</w:t>
      </w:r>
      <w:r>
        <w:rPr>
          <w:rFonts w:ascii="仿宋_GB2312" w:hAnsi="Times New Roman" w:eastAsia="仿宋_GB2312"/>
          <w:sz w:val="28"/>
          <w:szCs w:val="28"/>
        </w:rPr>
        <w:t xml:space="preserve">236 </w:t>
      </w:r>
      <w:r>
        <w:rPr>
          <w:rFonts w:hint="eastAsia" w:ascii="仿宋_GB2312" w:hAnsi="Times New Roman" w:eastAsia="仿宋_GB2312"/>
          <w:sz w:val="28"/>
          <w:szCs w:val="28"/>
        </w:rPr>
        <w:t>号）；</w:t>
      </w:r>
    </w:p>
    <w:p w14:paraId="4CDDA9CF">
      <w:pPr>
        <w:pStyle w:val="78"/>
        <w:spacing w:line="360" w:lineRule="auto"/>
        <w:ind w:firstLine="560"/>
        <w:rPr>
          <w:rFonts w:ascii="仿宋_GB2312" w:hAnsi="宋体" w:eastAsia="仿宋_GB2312"/>
          <w:sz w:val="28"/>
          <w:szCs w:val="28"/>
        </w:rPr>
      </w:pPr>
      <w:r>
        <w:rPr>
          <w:rFonts w:hint="eastAsia" w:ascii="仿宋_GB2312" w:hAnsi="Times New Roman" w:eastAsia="仿宋_GB2312"/>
          <w:sz w:val="28"/>
          <w:szCs w:val="28"/>
        </w:rPr>
        <w:t>15、</w:t>
      </w:r>
      <w:r>
        <w:rPr>
          <w:rFonts w:hint="eastAsia" w:ascii="仿宋_GB2312" w:hAnsi="宋体" w:eastAsia="仿宋_GB2312"/>
          <w:sz w:val="28"/>
          <w:szCs w:val="28"/>
        </w:rPr>
        <w:t>《云南省国土资源厅转发国土资源部办公厅关于切实做好永久基本农田数据库更新完善和汇交工作文件的通知》（云国土资耕</w:t>
      </w:r>
      <w:r>
        <w:rPr>
          <w:rFonts w:hint="eastAsia" w:ascii="仿宋_GB2312" w:hAnsi="Times New Roman" w:eastAsia="仿宋_GB2312"/>
          <w:sz w:val="28"/>
          <w:szCs w:val="28"/>
        </w:rPr>
        <w:t>〔</w:t>
      </w:r>
      <w:r>
        <w:rPr>
          <w:rFonts w:ascii="仿宋_GB2312" w:hAnsi="Times New Roman" w:eastAsia="仿宋_GB2312"/>
          <w:sz w:val="28"/>
          <w:szCs w:val="28"/>
        </w:rPr>
        <w:t>2017</w:t>
      </w:r>
      <w:r>
        <w:rPr>
          <w:rFonts w:hint="eastAsia" w:ascii="仿宋_GB2312" w:hAnsi="Times New Roman" w:eastAsia="仿宋_GB2312"/>
          <w:sz w:val="28"/>
          <w:szCs w:val="28"/>
        </w:rPr>
        <w:t>〕</w:t>
      </w:r>
      <w:r>
        <w:rPr>
          <w:rFonts w:hint="eastAsia" w:ascii="仿宋_GB2312" w:hAnsi="仿宋" w:eastAsia="仿宋_GB2312"/>
          <w:sz w:val="28"/>
          <w:szCs w:val="28"/>
        </w:rPr>
        <w:t>5</w:t>
      </w:r>
      <w:r>
        <w:rPr>
          <w:rFonts w:ascii="仿宋_GB2312" w:hAnsi="仿宋" w:eastAsia="仿宋_GB2312"/>
          <w:sz w:val="28"/>
          <w:szCs w:val="28"/>
        </w:rPr>
        <w:t>号</w:t>
      </w:r>
      <w:r>
        <w:rPr>
          <w:rFonts w:hint="eastAsia" w:ascii="仿宋_GB2312" w:hAnsi="宋体" w:eastAsia="仿宋_GB2312"/>
          <w:sz w:val="28"/>
          <w:szCs w:val="28"/>
        </w:rPr>
        <w:t>）；</w:t>
      </w:r>
    </w:p>
    <w:p w14:paraId="2B716A64">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1</w:t>
      </w:r>
      <w:r>
        <w:rPr>
          <w:rFonts w:hint="eastAsia" w:ascii="仿宋_GB2312" w:hAnsi="Times New Roman" w:eastAsia="仿宋_GB2312"/>
          <w:sz w:val="28"/>
          <w:szCs w:val="28"/>
        </w:rPr>
        <w:t>6、《关于进一步运用增减挂钩政策支持脱贫攻坚的通知》（国土资发〔</w:t>
      </w:r>
      <w:r>
        <w:rPr>
          <w:rFonts w:ascii="仿宋_GB2312" w:hAnsi="Times New Roman" w:eastAsia="仿宋_GB2312"/>
          <w:sz w:val="28"/>
          <w:szCs w:val="28"/>
        </w:rPr>
        <w:t>2017</w:t>
      </w:r>
      <w:r>
        <w:rPr>
          <w:rFonts w:hint="eastAsia" w:ascii="仿宋_GB2312" w:hAnsi="Times New Roman" w:eastAsia="仿宋_GB2312"/>
          <w:sz w:val="28"/>
          <w:szCs w:val="28"/>
        </w:rPr>
        <w:t>〕</w:t>
      </w:r>
      <w:r>
        <w:rPr>
          <w:rFonts w:ascii="仿宋_GB2312" w:hAnsi="Times New Roman" w:eastAsia="仿宋_GB2312"/>
          <w:sz w:val="28"/>
          <w:szCs w:val="28"/>
        </w:rPr>
        <w:t xml:space="preserve">41 </w:t>
      </w:r>
      <w:r>
        <w:rPr>
          <w:rFonts w:hint="eastAsia" w:ascii="仿宋_GB2312" w:hAnsi="Times New Roman" w:eastAsia="仿宋_GB2312"/>
          <w:sz w:val="28"/>
          <w:szCs w:val="28"/>
        </w:rPr>
        <w:t>号）。</w:t>
      </w:r>
    </w:p>
    <w:p w14:paraId="665711C7">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三、技术标准</w:t>
      </w:r>
    </w:p>
    <w:p w14:paraId="65516D91">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1</w:t>
      </w:r>
      <w:r>
        <w:rPr>
          <w:rFonts w:hint="eastAsia" w:ascii="仿宋_GB2312" w:hAnsi="Times New Roman" w:eastAsia="仿宋_GB2312"/>
          <w:sz w:val="28"/>
          <w:szCs w:val="28"/>
        </w:rPr>
        <w:t>、</w:t>
      </w:r>
      <w:r>
        <w:rPr>
          <w:rFonts w:ascii="仿宋_GB2312" w:hAnsi="Times New Roman" w:eastAsia="仿宋_GB2312"/>
          <w:sz w:val="28"/>
          <w:szCs w:val="28"/>
        </w:rPr>
        <w:t xml:space="preserve">TD/T 1024-2010 </w:t>
      </w:r>
      <w:r>
        <w:rPr>
          <w:rFonts w:hint="eastAsia" w:ascii="仿宋_GB2312" w:hAnsi="Times New Roman" w:eastAsia="仿宋_GB2312"/>
          <w:sz w:val="28"/>
          <w:szCs w:val="28"/>
        </w:rPr>
        <w:t>县级土地利用总体规划编制规程；</w:t>
      </w:r>
    </w:p>
    <w:p w14:paraId="4320CDB4">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2</w:t>
      </w:r>
      <w:r>
        <w:rPr>
          <w:rFonts w:hint="eastAsia" w:ascii="仿宋_GB2312" w:hAnsi="Times New Roman" w:eastAsia="仿宋_GB2312"/>
          <w:sz w:val="28"/>
          <w:szCs w:val="28"/>
        </w:rPr>
        <w:t>、</w:t>
      </w:r>
      <w:r>
        <w:rPr>
          <w:rFonts w:ascii="仿宋_GB2312" w:hAnsi="Times New Roman" w:eastAsia="仿宋_GB2312"/>
          <w:sz w:val="28"/>
          <w:szCs w:val="28"/>
        </w:rPr>
        <w:t xml:space="preserve">TD/T 1021-2009 </w:t>
      </w:r>
      <w:r>
        <w:rPr>
          <w:rFonts w:hint="eastAsia" w:ascii="仿宋_GB2312" w:hAnsi="Times New Roman" w:eastAsia="仿宋_GB2312"/>
          <w:sz w:val="28"/>
          <w:szCs w:val="28"/>
        </w:rPr>
        <w:t>县级土地利用总体规划制图规范；</w:t>
      </w:r>
    </w:p>
    <w:p w14:paraId="5ED69218">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3</w:t>
      </w:r>
      <w:r>
        <w:rPr>
          <w:rFonts w:hint="eastAsia" w:ascii="仿宋_GB2312" w:hAnsi="Times New Roman" w:eastAsia="仿宋_GB2312"/>
          <w:sz w:val="28"/>
          <w:szCs w:val="28"/>
        </w:rPr>
        <w:t>、</w:t>
      </w:r>
      <w:r>
        <w:rPr>
          <w:rFonts w:ascii="仿宋_GB2312" w:hAnsi="Times New Roman" w:eastAsia="仿宋_GB2312"/>
          <w:sz w:val="28"/>
          <w:szCs w:val="28"/>
        </w:rPr>
        <w:t xml:space="preserve">TD/T 1027-2010 </w:t>
      </w:r>
      <w:r>
        <w:rPr>
          <w:rFonts w:hint="eastAsia" w:ascii="仿宋_GB2312" w:hAnsi="Times New Roman" w:eastAsia="仿宋_GB2312"/>
          <w:sz w:val="28"/>
          <w:szCs w:val="28"/>
        </w:rPr>
        <w:t>县级土地利用总体规划数据库标准；</w:t>
      </w:r>
    </w:p>
    <w:p w14:paraId="6DB3D517">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4</w:t>
      </w:r>
      <w:r>
        <w:rPr>
          <w:rFonts w:hint="eastAsia" w:ascii="仿宋_GB2312" w:hAnsi="Times New Roman" w:eastAsia="仿宋_GB2312"/>
          <w:sz w:val="28"/>
          <w:szCs w:val="28"/>
        </w:rPr>
        <w:t>、</w:t>
      </w:r>
      <w:r>
        <w:rPr>
          <w:rFonts w:ascii="仿宋_GB2312" w:hAnsi="Times New Roman" w:eastAsia="仿宋_GB2312"/>
          <w:sz w:val="28"/>
          <w:szCs w:val="28"/>
        </w:rPr>
        <w:t xml:space="preserve">TD/T 1032-2011 </w:t>
      </w:r>
      <w:r>
        <w:rPr>
          <w:rFonts w:hint="eastAsia" w:ascii="仿宋_GB2312" w:hAnsi="Times New Roman" w:eastAsia="仿宋_GB2312"/>
          <w:sz w:val="28"/>
          <w:szCs w:val="28"/>
        </w:rPr>
        <w:t>基本农田划定技术规程；</w:t>
      </w:r>
    </w:p>
    <w:p w14:paraId="05010EAD">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5</w:t>
      </w:r>
      <w:r>
        <w:rPr>
          <w:rFonts w:hint="eastAsia" w:ascii="仿宋_GB2312" w:hAnsi="Times New Roman" w:eastAsia="仿宋_GB2312"/>
          <w:sz w:val="28"/>
          <w:szCs w:val="28"/>
        </w:rPr>
        <w:t>、</w:t>
      </w:r>
      <w:r>
        <w:rPr>
          <w:rFonts w:ascii="仿宋_GB2312" w:hAnsi="Times New Roman" w:eastAsia="仿宋_GB2312"/>
          <w:sz w:val="28"/>
          <w:szCs w:val="28"/>
        </w:rPr>
        <w:t xml:space="preserve">TD/T 1019-2009 </w:t>
      </w:r>
      <w:r>
        <w:rPr>
          <w:rFonts w:hint="eastAsia" w:ascii="仿宋_GB2312" w:hAnsi="Times New Roman" w:eastAsia="仿宋_GB2312"/>
          <w:sz w:val="28"/>
          <w:szCs w:val="28"/>
        </w:rPr>
        <w:t>基本农田数据库标准及其调整试行版；</w:t>
      </w:r>
    </w:p>
    <w:p w14:paraId="2DDBAE67">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6</w:t>
      </w:r>
      <w:r>
        <w:rPr>
          <w:rFonts w:hint="eastAsia" w:ascii="仿宋_GB2312" w:hAnsi="Times New Roman" w:eastAsia="仿宋_GB2312"/>
          <w:sz w:val="28"/>
          <w:szCs w:val="28"/>
        </w:rPr>
        <w:t>、</w:t>
      </w:r>
      <w:r>
        <w:rPr>
          <w:rFonts w:ascii="仿宋_GB2312" w:hAnsi="Times New Roman" w:eastAsia="仿宋_GB2312"/>
          <w:sz w:val="28"/>
          <w:szCs w:val="28"/>
        </w:rPr>
        <w:t xml:space="preserve">GB/T 19231-2003 </w:t>
      </w:r>
      <w:r>
        <w:rPr>
          <w:rFonts w:hint="eastAsia" w:ascii="仿宋_GB2312" w:hAnsi="Times New Roman" w:eastAsia="仿宋_GB2312"/>
          <w:sz w:val="28"/>
          <w:szCs w:val="28"/>
        </w:rPr>
        <w:t>土地基本术语；</w:t>
      </w:r>
    </w:p>
    <w:p w14:paraId="6D13163A">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7</w:t>
      </w:r>
      <w:r>
        <w:rPr>
          <w:rFonts w:hint="eastAsia" w:ascii="仿宋_GB2312" w:hAnsi="Times New Roman" w:eastAsia="仿宋_GB2312"/>
          <w:sz w:val="28"/>
          <w:szCs w:val="28"/>
        </w:rPr>
        <w:t>、《云南省市县乡级土地利用总体规划调整完善技术指南》。</w:t>
      </w:r>
    </w:p>
    <w:p w14:paraId="017FCBD4">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四、</w:t>
      </w:r>
      <w:r>
        <w:rPr>
          <w:rFonts w:ascii="Arial" w:hAnsi="Arial" w:eastAsia="黑体"/>
          <w:b w:val="0"/>
          <w:color w:val="000000"/>
          <w:sz w:val="28"/>
          <w:szCs w:val="28"/>
        </w:rPr>
        <w:t>相关规划</w:t>
      </w:r>
    </w:p>
    <w:p w14:paraId="3359D722">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1</w:t>
      </w:r>
      <w:r>
        <w:rPr>
          <w:rFonts w:hint="eastAsia" w:ascii="仿宋_GB2312" w:hAnsi="Times New Roman" w:eastAsia="仿宋_GB2312"/>
          <w:sz w:val="28"/>
          <w:szCs w:val="28"/>
        </w:rPr>
        <w:t>、《昆明市东川区土地利用总体规划（</w:t>
      </w:r>
      <w:r>
        <w:rPr>
          <w:rFonts w:ascii="仿宋_GB2312" w:hAnsi="Times New Roman" w:eastAsia="仿宋_GB2312"/>
          <w:sz w:val="28"/>
          <w:szCs w:val="28"/>
        </w:rPr>
        <w:t xml:space="preserve">2010-2020 </w:t>
      </w:r>
      <w:r>
        <w:rPr>
          <w:rFonts w:hint="eastAsia" w:ascii="仿宋_GB2312" w:hAnsi="Times New Roman" w:eastAsia="仿宋_GB2312"/>
          <w:sz w:val="28"/>
          <w:szCs w:val="28"/>
        </w:rPr>
        <w:t>年）》；</w:t>
      </w:r>
    </w:p>
    <w:p w14:paraId="4C5CEC2A">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2</w:t>
      </w:r>
      <w:r>
        <w:rPr>
          <w:rFonts w:hint="eastAsia" w:ascii="仿宋_GB2312" w:hAnsi="Times New Roman" w:eastAsia="仿宋_GB2312"/>
          <w:sz w:val="28"/>
          <w:szCs w:val="28"/>
        </w:rPr>
        <w:t>、《昆明市东川区国民经济和社会发展第十三个五年规划纲要》；</w:t>
      </w:r>
    </w:p>
    <w:p w14:paraId="23CC84C4">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3</w:t>
      </w:r>
      <w:r>
        <w:rPr>
          <w:rFonts w:hint="eastAsia" w:ascii="仿宋_GB2312" w:hAnsi="Times New Roman" w:eastAsia="仿宋_GB2312"/>
          <w:sz w:val="28"/>
          <w:szCs w:val="28"/>
        </w:rPr>
        <w:t>、《昆明市东川区低丘缓坡土地综合开发利用专项规划（</w:t>
      </w:r>
      <w:r>
        <w:rPr>
          <w:rFonts w:ascii="仿宋_GB2312" w:hAnsi="Times New Roman" w:eastAsia="仿宋_GB2312"/>
          <w:sz w:val="28"/>
          <w:szCs w:val="28"/>
        </w:rPr>
        <w:t xml:space="preserve">2012-2016 </w:t>
      </w:r>
      <w:r>
        <w:rPr>
          <w:rFonts w:hint="eastAsia" w:ascii="仿宋_GB2312" w:hAnsi="Times New Roman" w:eastAsia="仿宋_GB2312"/>
          <w:sz w:val="28"/>
          <w:szCs w:val="28"/>
        </w:rPr>
        <w:t>年）》；</w:t>
      </w:r>
    </w:p>
    <w:p w14:paraId="4155764B">
      <w:pPr>
        <w:pStyle w:val="78"/>
        <w:spacing w:line="360" w:lineRule="auto"/>
        <w:ind w:firstLine="560"/>
        <w:rPr>
          <w:rFonts w:ascii="仿宋_GB2312" w:hAnsi="Times New Roman" w:eastAsia="仿宋_GB2312"/>
          <w:sz w:val="28"/>
          <w:szCs w:val="28"/>
        </w:rPr>
      </w:pPr>
      <w:r>
        <w:rPr>
          <w:rFonts w:ascii="仿宋_GB2312" w:hAnsi="Times New Roman" w:eastAsia="仿宋_GB2312"/>
          <w:sz w:val="28"/>
          <w:szCs w:val="28"/>
        </w:rPr>
        <w:t>4</w:t>
      </w:r>
      <w:r>
        <w:rPr>
          <w:rFonts w:hint="eastAsia" w:ascii="仿宋_GB2312" w:hAnsi="Times New Roman" w:eastAsia="仿宋_GB2312"/>
          <w:sz w:val="28"/>
          <w:szCs w:val="28"/>
        </w:rPr>
        <w:t>、《昆明市东川区城市总体规划（</w:t>
      </w:r>
      <w:r>
        <w:rPr>
          <w:rFonts w:ascii="仿宋_GB2312" w:hAnsi="Times New Roman" w:eastAsia="仿宋_GB2312"/>
          <w:sz w:val="28"/>
          <w:szCs w:val="28"/>
        </w:rPr>
        <w:t>20</w:t>
      </w:r>
      <w:r>
        <w:rPr>
          <w:rFonts w:hint="eastAsia" w:ascii="仿宋_GB2312" w:hAnsi="Times New Roman" w:eastAsia="仿宋_GB2312"/>
          <w:sz w:val="28"/>
          <w:szCs w:val="28"/>
        </w:rPr>
        <w:t>06</w:t>
      </w:r>
      <w:r>
        <w:rPr>
          <w:rFonts w:ascii="仿宋_GB2312" w:hAnsi="Times New Roman" w:eastAsia="仿宋_GB2312"/>
          <w:sz w:val="28"/>
          <w:szCs w:val="28"/>
        </w:rPr>
        <w:t xml:space="preserve">-2020 </w:t>
      </w:r>
      <w:r>
        <w:rPr>
          <w:rFonts w:hint="eastAsia" w:ascii="仿宋_GB2312" w:hAnsi="Times New Roman" w:eastAsia="仿宋_GB2312"/>
          <w:sz w:val="28"/>
          <w:szCs w:val="28"/>
        </w:rPr>
        <w:t>年）》；</w:t>
      </w:r>
    </w:p>
    <w:p w14:paraId="703AC3FA">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5、《昆明市土地利用总体规划（</w:t>
      </w:r>
      <w:r>
        <w:rPr>
          <w:rFonts w:ascii="仿宋_GB2312" w:hAnsi="Times New Roman" w:eastAsia="仿宋_GB2312"/>
          <w:sz w:val="28"/>
          <w:szCs w:val="28"/>
        </w:rPr>
        <w:t xml:space="preserve">2006-2020 </w:t>
      </w:r>
      <w:r>
        <w:rPr>
          <w:rFonts w:hint="eastAsia" w:ascii="仿宋_GB2312" w:hAnsi="Times New Roman" w:eastAsia="仿宋_GB2312"/>
          <w:sz w:val="28"/>
          <w:szCs w:val="28"/>
        </w:rPr>
        <w:t>年）调整方案》；</w:t>
      </w:r>
    </w:p>
    <w:p w14:paraId="2A55EF42">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6、《昆明市东川区土地利用总体规划（</w:t>
      </w:r>
      <w:r>
        <w:rPr>
          <w:rFonts w:ascii="仿宋_GB2312" w:hAnsi="Times New Roman" w:eastAsia="仿宋_GB2312"/>
          <w:sz w:val="28"/>
          <w:szCs w:val="28"/>
        </w:rPr>
        <w:t xml:space="preserve">2010-2020 </w:t>
      </w:r>
      <w:r>
        <w:rPr>
          <w:rFonts w:hint="eastAsia" w:ascii="仿宋_GB2312" w:hAnsi="Times New Roman" w:eastAsia="仿宋_GB2312"/>
          <w:sz w:val="28"/>
          <w:szCs w:val="28"/>
        </w:rPr>
        <w:t>年）中期评估报告》；</w:t>
      </w:r>
    </w:p>
    <w:p w14:paraId="1D3D33CA">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7、《昆明市东川区资源环境承载力评价专题研究》；</w:t>
      </w:r>
    </w:p>
    <w:p w14:paraId="65C61F57">
      <w:pPr>
        <w:pStyle w:val="78"/>
        <w:spacing w:line="360" w:lineRule="auto"/>
        <w:ind w:firstLine="560"/>
        <w:rPr>
          <w:rFonts w:ascii="仿宋_GB2312" w:eastAsia="仿宋_GB2312"/>
          <w:sz w:val="28"/>
          <w:szCs w:val="28"/>
        </w:rPr>
      </w:pPr>
      <w:r>
        <w:rPr>
          <w:rFonts w:hint="eastAsia" w:ascii="仿宋_GB2312" w:hAnsi="Times New Roman" w:eastAsia="仿宋_GB2312"/>
          <w:sz w:val="28"/>
          <w:szCs w:val="28"/>
        </w:rPr>
        <w:t>8、</w:t>
      </w:r>
      <w:r>
        <w:rPr>
          <w:rFonts w:hint="eastAsia" w:ascii="仿宋_GB2312" w:eastAsia="仿宋_GB2312"/>
          <w:sz w:val="28"/>
          <w:szCs w:val="28"/>
        </w:rPr>
        <w:t>东川区城市总体规划修编（2006-2020年）；</w:t>
      </w:r>
    </w:p>
    <w:p w14:paraId="54C07FFB">
      <w:pPr>
        <w:pStyle w:val="78"/>
        <w:spacing w:line="360" w:lineRule="auto"/>
        <w:ind w:firstLine="560"/>
        <w:rPr>
          <w:rFonts w:ascii="仿宋_GB2312" w:hAnsi="Times New Roman" w:eastAsia="仿宋_GB2312"/>
          <w:sz w:val="28"/>
          <w:szCs w:val="28"/>
        </w:rPr>
      </w:pPr>
      <w:r>
        <w:rPr>
          <w:rFonts w:hint="eastAsia" w:ascii="仿宋_GB2312" w:eastAsia="仿宋_GB2312" w:cs="仿宋_GB2312"/>
          <w:sz w:val="28"/>
          <w:szCs w:val="28"/>
        </w:rPr>
        <w:t>9、《东川区</w:t>
      </w:r>
      <w:r>
        <w:rPr>
          <w:rFonts w:hint="eastAsia" w:ascii="仿宋_GB2312" w:eastAsia="仿宋_GB2312"/>
          <w:sz w:val="28"/>
          <w:szCs w:val="28"/>
        </w:rPr>
        <w:t>林地保护利用规划2010—2020年》；</w:t>
      </w:r>
    </w:p>
    <w:p w14:paraId="015A7468">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10、其他相关规划等。</w:t>
      </w:r>
    </w:p>
    <w:p w14:paraId="74145470">
      <w:pPr>
        <w:pStyle w:val="3"/>
        <w:jc w:val="center"/>
        <w:rPr>
          <w:b w:val="0"/>
          <w:color w:val="000000"/>
          <w:sz w:val="28"/>
          <w:szCs w:val="28"/>
        </w:rPr>
      </w:pPr>
      <w:bookmarkStart w:id="25" w:name="_Toc491074887"/>
      <w:r>
        <w:rPr>
          <w:rFonts w:hint="eastAsia"/>
          <w:b w:val="0"/>
          <w:color w:val="000000"/>
          <w:sz w:val="28"/>
          <w:szCs w:val="28"/>
        </w:rPr>
        <w:t>第六节  技术说明</w:t>
      </w:r>
      <w:bookmarkEnd w:id="25"/>
    </w:p>
    <w:p w14:paraId="26950464">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一、规划调整范围</w:t>
      </w:r>
    </w:p>
    <w:p w14:paraId="7679B2B8">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此次东川区土地利用总体规划调整完善范围包括区内所辖的铜都街道、汤丹镇、拖布卡镇、因民镇、阿旺镇、乌龙镇、红土地镇和舍块乡，国土总面积186569.81公顷。</w:t>
      </w:r>
    </w:p>
    <w:p w14:paraId="0DBD825E">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二、规划期限</w:t>
      </w:r>
    </w:p>
    <w:p w14:paraId="1AFFE87D">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东川区土地利用总体规划调整完善规划期为2015-2020年，2014年为规划基期，2020年为规划目标年。</w:t>
      </w:r>
    </w:p>
    <w:p w14:paraId="05221E6E">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三、基础数据</w:t>
      </w:r>
    </w:p>
    <w:p w14:paraId="55CE9C47">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规划基期数据：采用第二次全国土地调查成果及其连续变更到2014年的土地利用现状数据，并按相关规程转换为土地规划用途分类（注：东川区无批而未用图斑数据）。</w:t>
      </w:r>
    </w:p>
    <w:p w14:paraId="2C849F11">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经济社会数据：采用东川区各年度统计年鉴/国民经济和社会发展统计公报。</w:t>
      </w:r>
    </w:p>
    <w:p w14:paraId="0869B33C">
      <w:pPr>
        <w:pStyle w:val="78"/>
        <w:spacing w:line="360" w:lineRule="auto"/>
        <w:ind w:firstLine="560"/>
        <w:rPr>
          <w:rFonts w:ascii="仿宋_GB2312" w:hAnsi="Times New Roman" w:eastAsia="仿宋_GB2312"/>
          <w:sz w:val="28"/>
          <w:szCs w:val="28"/>
        </w:rPr>
        <w:sectPr>
          <w:pgSz w:w="11906" w:h="16838"/>
          <w:pgMar w:top="1440" w:right="1080" w:bottom="1440" w:left="1080" w:header="851" w:footer="992" w:gutter="0"/>
          <w:pgNumType w:start="1"/>
          <w:cols w:space="425" w:num="1"/>
          <w:docGrid w:linePitch="312" w:charSpace="0"/>
        </w:sectPr>
      </w:pPr>
      <w:r>
        <w:rPr>
          <w:rFonts w:hint="eastAsia" w:ascii="仿宋_GB2312" w:hAnsi="Times New Roman" w:eastAsia="仿宋_GB2312"/>
          <w:sz w:val="28"/>
          <w:szCs w:val="28"/>
        </w:rPr>
        <w:t>其他基础数据：采用各职能部门、行业规划数据。</w:t>
      </w:r>
    </w:p>
    <w:p w14:paraId="4AD8687B">
      <w:pPr>
        <w:pStyle w:val="2"/>
        <w:spacing w:line="360" w:lineRule="auto"/>
        <w:jc w:val="center"/>
        <w:rPr>
          <w:rFonts w:ascii="黑体" w:eastAsia="黑体"/>
          <w:b w:val="0"/>
          <w:color w:val="000000"/>
          <w:sz w:val="32"/>
          <w:szCs w:val="32"/>
        </w:rPr>
      </w:pPr>
      <w:bookmarkStart w:id="26" w:name="_Toc491074888"/>
      <w:r>
        <w:rPr>
          <w:rFonts w:hint="eastAsia" w:ascii="黑体" w:eastAsia="黑体"/>
          <w:b w:val="0"/>
          <w:color w:val="000000"/>
          <w:sz w:val="32"/>
          <w:szCs w:val="32"/>
        </w:rPr>
        <w:t xml:space="preserve">第二章  </w:t>
      </w:r>
      <w:bookmarkEnd w:id="3"/>
      <w:r>
        <w:rPr>
          <w:rFonts w:hint="eastAsia" w:ascii="黑体" w:eastAsia="黑体"/>
          <w:b w:val="0"/>
          <w:color w:val="000000"/>
          <w:sz w:val="32"/>
          <w:szCs w:val="32"/>
        </w:rPr>
        <w:t>土地利用现状</w:t>
      </w:r>
      <w:bookmarkEnd w:id="26"/>
    </w:p>
    <w:p w14:paraId="0D4BAB66">
      <w:pPr>
        <w:pStyle w:val="3"/>
        <w:spacing w:line="360" w:lineRule="auto"/>
        <w:jc w:val="center"/>
        <w:rPr>
          <w:b w:val="0"/>
          <w:color w:val="000000"/>
          <w:sz w:val="30"/>
          <w:szCs w:val="30"/>
        </w:rPr>
      </w:pPr>
      <w:bookmarkStart w:id="27" w:name="_Toc233987116"/>
      <w:bookmarkStart w:id="28" w:name="_Toc491074889"/>
      <w:r>
        <w:rPr>
          <w:rFonts w:hint="eastAsia"/>
          <w:b w:val="0"/>
          <w:color w:val="000000"/>
          <w:sz w:val="30"/>
          <w:szCs w:val="30"/>
        </w:rPr>
        <w:t>第一节  东川区概况</w:t>
      </w:r>
      <w:bookmarkEnd w:id="27"/>
      <w:bookmarkEnd w:id="28"/>
    </w:p>
    <w:p w14:paraId="45A36BAF">
      <w:pPr>
        <w:pStyle w:val="4"/>
        <w:spacing w:before="0" w:after="0" w:line="360" w:lineRule="auto"/>
        <w:rPr>
          <w:rFonts w:ascii="Arial" w:hAnsi="Arial" w:eastAsia="黑体"/>
          <w:b w:val="0"/>
          <w:color w:val="000000"/>
          <w:sz w:val="28"/>
          <w:szCs w:val="28"/>
        </w:rPr>
      </w:pPr>
      <w:bookmarkStart w:id="29" w:name="_Toc188186338"/>
      <w:bookmarkStart w:id="30" w:name="_Toc224394011"/>
      <w:r>
        <w:rPr>
          <w:rFonts w:hint="eastAsia" w:ascii="Arial" w:hAnsi="Arial" w:eastAsia="黑体"/>
          <w:b w:val="0"/>
          <w:color w:val="000000"/>
          <w:sz w:val="28"/>
          <w:szCs w:val="28"/>
        </w:rPr>
        <w:t>一、自然地理</w:t>
      </w:r>
    </w:p>
    <w:p w14:paraId="27D9B422">
      <w:pPr>
        <w:tabs>
          <w:tab w:val="left" w:pos="1950"/>
        </w:tabs>
        <w:spacing w:line="360" w:lineRule="auto"/>
        <w:ind w:firstLine="561"/>
        <w:rPr>
          <w:rFonts w:ascii="仿宋_GB2312" w:hAnsi="宋体" w:eastAsia="仿宋_GB2312"/>
          <w:sz w:val="28"/>
          <w:szCs w:val="28"/>
        </w:rPr>
      </w:pPr>
      <w:r>
        <w:rPr>
          <w:rFonts w:hint="eastAsia" w:ascii="仿宋_GB2312" w:hAnsi="宋体" w:eastAsia="仿宋_GB2312"/>
          <w:sz w:val="28"/>
          <w:szCs w:val="28"/>
        </w:rPr>
        <w:t>东川区位于昆明市最北端，国土面积1866平方公里，东邻会泽县，南倚寻甸县，西与禄劝县毗邻，北连巧家县并与四川省会东县隔金沙江相望。全区辖铜都街道、汤丹镇、拖布卡镇、因民镇、阿旺镇、乌龙镇、红土地镇和舍块乡，区政府所在地铜都街道。</w:t>
      </w:r>
    </w:p>
    <w:bookmarkEnd w:id="29"/>
    <w:bookmarkEnd w:id="30"/>
    <w:p w14:paraId="2313AAD4">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二、气候特征</w:t>
      </w:r>
    </w:p>
    <w:p w14:paraId="6D7C0ED2">
      <w:pPr>
        <w:pStyle w:val="78"/>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东川区地处低纬高原，主体气候属亚热带季风气候，由于山脉河谷南北纵横，地形高差悬殊和不同气流的影响，形成显著的立体气候和干湿季明显的特点。东川区气候的垂直变化显著，“一山有四季，十里不同天”。 按海拔高度，东川区大体分属于南亚热带、中亚热带、北亚热带、南温带、中温带、北温带六个气候带。东川区的干、湿季节明显，与云南大多数地区相同，干季集中在每年的11月至第二年的4月份，湿季为每年的5月至10月，湿季时降雨较多，其降雨量各地平均为600-1025毫米，占全年降雨量的88%左右。</w:t>
      </w:r>
    </w:p>
    <w:p w14:paraId="4AF15639">
      <w:pPr>
        <w:pStyle w:val="4"/>
        <w:spacing w:before="0" w:after="0" w:line="360" w:lineRule="auto"/>
        <w:rPr>
          <w:rFonts w:ascii="Arial" w:hAnsi="Arial" w:eastAsia="黑体"/>
          <w:b w:val="0"/>
          <w:color w:val="000000"/>
          <w:sz w:val="28"/>
          <w:szCs w:val="28"/>
        </w:rPr>
      </w:pPr>
      <w:bookmarkStart w:id="31" w:name="_Toc231451550"/>
      <w:r>
        <w:rPr>
          <w:rFonts w:hint="eastAsia" w:ascii="Arial" w:hAnsi="Arial" w:eastAsia="黑体"/>
          <w:b w:val="0"/>
          <w:color w:val="000000"/>
          <w:sz w:val="28"/>
          <w:szCs w:val="28"/>
        </w:rPr>
        <w:t>三、河流水系</w:t>
      </w:r>
      <w:bookmarkEnd w:id="31"/>
    </w:p>
    <w:p w14:paraId="2DCE6E17">
      <w:pPr>
        <w:pStyle w:val="78"/>
        <w:spacing w:line="360" w:lineRule="auto"/>
        <w:ind w:firstLine="560"/>
        <w:rPr>
          <w:rFonts w:ascii="仿宋_GB2312" w:eastAsia="仿宋_GB2312"/>
          <w:sz w:val="28"/>
          <w:szCs w:val="28"/>
        </w:rPr>
      </w:pPr>
      <w:bookmarkStart w:id="32" w:name="_Toc188248041"/>
      <w:bookmarkStart w:id="33" w:name="_Toc231451551"/>
      <w:bookmarkStart w:id="34" w:name="_Toc188024041"/>
      <w:bookmarkStart w:id="35" w:name="_Toc188024176"/>
      <w:r>
        <w:rPr>
          <w:rFonts w:hint="eastAsia" w:ascii="仿宋_GB2312" w:hAnsi="Times New Roman" w:eastAsia="仿宋_GB2312"/>
          <w:sz w:val="28"/>
          <w:szCs w:val="28"/>
        </w:rPr>
        <w:t>东川区内河流均属金沙江水系，常年河流计有13 条，平均总流量52.9立方米每秒，每条溪河年平均流量4.07立方米每秒。与上述气候的干湿季相对应，河流水量的季节变化大，丰、枯季明显，枯水季节的径流量，仅为全年的12%。多数山间河流，流量小，变幅大，流程短，纵坡大，侵蚀能力强，泥石流发育。峡谷河段，坡陡水急，水能蕴藏丰富。其中，流经东川的金沙江河段有63公里，是距昆明市最近的金沙江大峡谷。</w:t>
      </w:r>
    </w:p>
    <w:p w14:paraId="45020546">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四、</w:t>
      </w:r>
      <w:bookmarkEnd w:id="32"/>
      <w:bookmarkEnd w:id="33"/>
      <w:bookmarkEnd w:id="34"/>
      <w:bookmarkEnd w:id="35"/>
      <w:r>
        <w:rPr>
          <w:rFonts w:hint="eastAsia" w:ascii="Arial" w:hAnsi="Arial" w:eastAsia="黑体"/>
          <w:b w:val="0"/>
          <w:color w:val="000000"/>
          <w:sz w:val="28"/>
          <w:szCs w:val="28"/>
        </w:rPr>
        <w:t>旅游资源</w:t>
      </w:r>
    </w:p>
    <w:p w14:paraId="1497C641">
      <w:pPr>
        <w:spacing w:line="360" w:lineRule="auto"/>
        <w:ind w:firstLine="435"/>
        <w:rPr>
          <w:rFonts w:ascii="仿宋_GB2312" w:hAnsi="宋体" w:eastAsia="仿宋_GB2312"/>
          <w:sz w:val="28"/>
          <w:szCs w:val="28"/>
        </w:rPr>
      </w:pPr>
      <w:r>
        <w:rPr>
          <w:rFonts w:hint="eastAsia" w:ascii="仿宋_GB2312" w:hAnsi="宋体" w:eastAsia="仿宋_GB2312"/>
          <w:sz w:val="28"/>
          <w:szCs w:val="28"/>
        </w:rPr>
        <w:t>东川区域范围内有各类景点50余处，旅游资源类型多样，特色鲜明。小江流域集中分布着107条泥石流沟；西部的拱王山片区集中了东川的主要雪峰、森林等，自然环境优良，是彝族发祥地之一；中部的汤丹、西北部的因民、舍块等地是东川的主矿区，四大矿区及一些古采冶遗址均分布于该区；牯牛山片位于东川的东部，距市区直线距离约9公里，海拔高差2763.3米，是东川城区的天然屏风；南部的花石头则是一个以高原红土田园风光为特色的区域。</w:t>
      </w:r>
    </w:p>
    <w:p w14:paraId="6FD6E6E7">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五、生态环境</w:t>
      </w:r>
    </w:p>
    <w:p w14:paraId="2AB034F4">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西汉以来，东川成为全国著名的铜产地。从明清以来，由于大规模的伐薪烧炭炼铜，森林植被大面积被毁，土地荒漠化和砂石化严重，加之东川地处小江深大断裂带，新构造运动强烈，境内河谷深切，高山对峙，生态环境非常脆弱。300年前，东川森林覆盖率达70%，到1959年森林覆盖率降为30%，1985年森林覆盖率仅为13.3%，致使生态环境恶化，水土流失严重，泥石流灾害频繁。全长140km的小江，两岸各类泥石流沟谷107条，分布之密，发育之全，世界罕见，被称为“世界泥石流博物馆”。</w:t>
      </w:r>
    </w:p>
    <w:p w14:paraId="66C43EDC">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六、经济人口</w:t>
      </w:r>
    </w:p>
    <w:p w14:paraId="3E4F3A14">
      <w:pPr>
        <w:spacing w:line="600" w:lineRule="exact"/>
        <w:ind w:firstLine="560" w:firstLineChars="200"/>
        <w:rPr>
          <w:rFonts w:ascii="仿宋_GB2312" w:hAnsi="宋体" w:eastAsia="仿宋_GB2312"/>
          <w:sz w:val="28"/>
          <w:szCs w:val="28"/>
        </w:rPr>
      </w:pPr>
      <w:r>
        <w:rPr>
          <w:rFonts w:hint="eastAsia" w:ascii="仿宋_GB2312" w:hAnsi="宋体" w:eastAsia="仿宋_GB2312"/>
          <w:sz w:val="28"/>
          <w:szCs w:val="28"/>
        </w:rPr>
        <w:t>2014年全区总人口314374人，其中城镇人口14.13万人，农村人口17.20万人，少数民族人口2.37万人。城乡居民收入稳步增长，生活水平不断提高。全年城镇常住居民人均可支配收入23608元，农村常住居民可支配收入5756元。2014年底，东川区城镇化率40.5%，人口自然增长率控制在6.09‰。</w:t>
      </w:r>
    </w:p>
    <w:p w14:paraId="7047053D">
      <w:pPr>
        <w:ind w:firstLine="560"/>
        <w:rPr>
          <w:rFonts w:ascii="仿宋_GB2312" w:hAnsi="宋体" w:eastAsia="仿宋_GB2312"/>
          <w:sz w:val="28"/>
          <w:szCs w:val="28"/>
        </w:rPr>
      </w:pPr>
      <w:r>
        <w:rPr>
          <w:rFonts w:hint="eastAsia" w:ascii="仿宋_GB2312" w:hAnsi="宋体" w:eastAsia="仿宋_GB2312"/>
          <w:sz w:val="28"/>
          <w:szCs w:val="28"/>
        </w:rPr>
        <w:t>2014年，全区地区生产总值达719257万元（全国第三次经济普查修订后数据），比上年增长11.5%，三次产业共同发展。其中：第一产业实现增加值53956万元，同比增长8%，第二产业实现增加值387633万元，同比增长12.2%，第三产业实现增加值277668万元，同比增长11.1%。三次产业结构为7.5:53.9:38.6。人均生产总值25780元。全年地方财政总收入139822万元，同比增长12.8%，其中公共财政预算收入完成71011万元，同比增长2%；公共财政预算支出223055万元，同比增长0.43%，其中：一般公共服务类支出25022万元，同比增长20%。</w:t>
      </w:r>
    </w:p>
    <w:p w14:paraId="164C1047">
      <w:pPr>
        <w:pStyle w:val="3"/>
        <w:spacing w:line="360" w:lineRule="auto"/>
        <w:jc w:val="center"/>
        <w:rPr>
          <w:b w:val="0"/>
          <w:color w:val="000000"/>
          <w:sz w:val="30"/>
          <w:szCs w:val="30"/>
        </w:rPr>
      </w:pPr>
      <w:bookmarkStart w:id="36" w:name="_Toc91513683"/>
      <w:bookmarkStart w:id="37" w:name="_Toc99511514"/>
      <w:bookmarkStart w:id="38" w:name="_Toc178751974"/>
      <w:bookmarkStart w:id="39" w:name="_Toc233987134"/>
      <w:bookmarkStart w:id="40" w:name="_Toc84234896"/>
      <w:bookmarkStart w:id="41" w:name="_Toc110393152"/>
      <w:bookmarkStart w:id="42" w:name="_Toc108172116"/>
      <w:bookmarkStart w:id="43" w:name="_Toc491074890"/>
      <w:r>
        <w:rPr>
          <w:rFonts w:hint="eastAsia"/>
          <w:b w:val="0"/>
          <w:color w:val="000000"/>
          <w:sz w:val="30"/>
          <w:szCs w:val="30"/>
        </w:rPr>
        <w:t xml:space="preserve">第二节  </w:t>
      </w:r>
      <w:bookmarkEnd w:id="36"/>
      <w:bookmarkEnd w:id="37"/>
      <w:bookmarkEnd w:id="38"/>
      <w:bookmarkEnd w:id="39"/>
      <w:bookmarkEnd w:id="40"/>
      <w:bookmarkEnd w:id="41"/>
      <w:bookmarkEnd w:id="42"/>
      <w:r>
        <w:rPr>
          <w:rFonts w:hint="eastAsia"/>
          <w:b w:val="0"/>
          <w:color w:val="000000"/>
          <w:sz w:val="30"/>
          <w:szCs w:val="30"/>
        </w:rPr>
        <w:t>土地利用现状</w:t>
      </w:r>
      <w:bookmarkEnd w:id="43"/>
    </w:p>
    <w:bookmarkEnd w:id="4"/>
    <w:bookmarkEnd w:id="5"/>
    <w:bookmarkEnd w:id="6"/>
    <w:p w14:paraId="567923C7">
      <w:pPr>
        <w:pStyle w:val="4"/>
        <w:spacing w:before="0" w:after="0" w:line="360" w:lineRule="auto"/>
        <w:rPr>
          <w:rFonts w:ascii="Arial" w:hAnsi="Arial" w:eastAsia="黑体"/>
          <w:b w:val="0"/>
          <w:color w:val="000000"/>
          <w:sz w:val="28"/>
          <w:szCs w:val="28"/>
        </w:rPr>
      </w:pPr>
      <w:bookmarkStart w:id="44" w:name="_Toc108172136"/>
      <w:bookmarkStart w:id="45" w:name="_Toc91513692"/>
      <w:bookmarkStart w:id="46" w:name="_Toc110393171"/>
      <w:bookmarkStart w:id="47" w:name="_Toc178751986"/>
      <w:bookmarkStart w:id="48" w:name="_Toc99511523"/>
      <w:bookmarkStart w:id="49" w:name="_Toc233987163"/>
      <w:r>
        <w:rPr>
          <w:rFonts w:hint="eastAsia" w:ascii="Arial" w:hAnsi="Arial" w:eastAsia="黑体"/>
          <w:b w:val="0"/>
          <w:color w:val="000000"/>
          <w:sz w:val="28"/>
          <w:szCs w:val="28"/>
        </w:rPr>
        <w:t>一、全区土地利用现状</w:t>
      </w:r>
    </w:p>
    <w:p w14:paraId="24E0E7FC">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2014年，东川区农用地面积为105318.40公顷，占土地面总面积的56.45%，其中耕地32403.4公顷、园地1687.07公顷、林地61455.47公顷、其他农用地9772.46公顷。</w:t>
      </w:r>
    </w:p>
    <w:p w14:paraId="2F0C5560">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建设用地5816.16公顷，占土地总面积的3.12%，其中城乡建设用地5055.54公顷、交通水利用地714.07公顷、其他建设用地46.55公顷。</w:t>
      </w:r>
    </w:p>
    <w:p w14:paraId="22D41730">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其他土地面积为75435.25公顷，占土地总面积的40.43%，其中水域4034.68公顷、自然保留地71400.57公顷。</w:t>
      </w:r>
    </w:p>
    <w:p w14:paraId="33E0BCB5">
      <w:pPr>
        <w:spacing w:line="360" w:lineRule="auto"/>
        <w:ind w:firstLine="560" w:firstLineChars="200"/>
        <w:rPr>
          <w:rFonts w:ascii="仿宋_GB2312" w:hAnsi="宋体" w:eastAsia="仿宋_GB2312"/>
          <w:sz w:val="28"/>
          <w:szCs w:val="28"/>
        </w:rPr>
      </w:pPr>
    </w:p>
    <w:p w14:paraId="5C2432D8">
      <w:pPr>
        <w:spacing w:line="360" w:lineRule="auto"/>
        <w:ind w:firstLine="560" w:firstLineChars="200"/>
        <w:rPr>
          <w:rFonts w:ascii="仿宋_GB2312" w:hAnsi="宋体" w:eastAsia="仿宋_GB2312"/>
          <w:sz w:val="28"/>
          <w:szCs w:val="28"/>
        </w:rPr>
      </w:pPr>
    </w:p>
    <w:p w14:paraId="34627C49">
      <w:pPr>
        <w:spacing w:line="360" w:lineRule="auto"/>
        <w:ind w:firstLine="560" w:firstLineChars="200"/>
        <w:rPr>
          <w:rFonts w:ascii="仿宋_GB2312" w:hAnsi="宋体" w:eastAsia="仿宋_GB2312"/>
          <w:sz w:val="28"/>
          <w:szCs w:val="28"/>
        </w:rPr>
      </w:pPr>
    </w:p>
    <w:p w14:paraId="30398149">
      <w:pPr>
        <w:spacing w:line="360" w:lineRule="auto"/>
        <w:ind w:firstLine="560" w:firstLineChars="200"/>
        <w:rPr>
          <w:rFonts w:ascii="仿宋_GB2312" w:hAnsi="宋体" w:eastAsia="仿宋_GB2312"/>
          <w:sz w:val="28"/>
          <w:szCs w:val="28"/>
        </w:rPr>
      </w:pPr>
    </w:p>
    <w:p w14:paraId="141B9DDF">
      <w:pPr>
        <w:spacing w:line="360" w:lineRule="auto"/>
        <w:ind w:firstLine="560" w:firstLineChars="200"/>
        <w:rPr>
          <w:rFonts w:ascii="仿宋_GB2312" w:hAnsi="宋体" w:eastAsia="仿宋_GB2312"/>
          <w:sz w:val="28"/>
          <w:szCs w:val="28"/>
        </w:rPr>
      </w:pPr>
    </w:p>
    <w:p w14:paraId="63FB5836">
      <w:pPr>
        <w:spacing w:line="360" w:lineRule="auto"/>
        <w:ind w:firstLine="560" w:firstLineChars="200"/>
        <w:rPr>
          <w:rFonts w:ascii="仿宋_GB2312" w:hAnsi="宋体" w:eastAsia="仿宋_GB2312"/>
          <w:sz w:val="28"/>
          <w:szCs w:val="28"/>
        </w:rPr>
      </w:pPr>
    </w:p>
    <w:p w14:paraId="174A8BAE">
      <w:pPr>
        <w:jc w:val="center"/>
        <w:outlineLvl w:val="4"/>
        <w:rPr>
          <w:rFonts w:ascii="宋体" w:hAnsi="宋体"/>
          <w:b/>
          <w:sz w:val="24"/>
        </w:rPr>
      </w:pPr>
    </w:p>
    <w:p w14:paraId="326B670E">
      <w:pPr>
        <w:jc w:val="center"/>
        <w:outlineLvl w:val="4"/>
        <w:rPr>
          <w:rFonts w:ascii="宋体" w:hAnsi="宋体"/>
          <w:b/>
          <w:sz w:val="24"/>
        </w:rPr>
      </w:pPr>
      <w:r>
        <w:rPr>
          <w:rFonts w:hint="eastAsia" w:ascii="宋体" w:hAnsi="宋体"/>
          <w:b/>
          <w:sz w:val="24"/>
        </w:rPr>
        <w:t>表2-1  东川区土地利用现状表（2014年）</w:t>
      </w:r>
    </w:p>
    <w:p w14:paraId="0C333505">
      <w:pPr>
        <w:spacing w:line="360" w:lineRule="auto"/>
        <w:ind w:firstLine="600"/>
        <w:jc w:val="right"/>
        <w:rPr>
          <w:rFonts w:ascii="宋体" w:hAnsi="宋体"/>
          <w:color w:val="000000"/>
          <w:sz w:val="18"/>
          <w:szCs w:val="18"/>
        </w:rPr>
      </w:pPr>
      <w:r>
        <w:rPr>
          <w:rFonts w:hint="eastAsia" w:ascii="宋体" w:hAnsi="宋体"/>
          <w:color w:val="000000"/>
          <w:sz w:val="18"/>
          <w:szCs w:val="18"/>
        </w:rPr>
        <w:t>单位：公顷</w:t>
      </w:r>
    </w:p>
    <w:tbl>
      <w:tblPr>
        <w:tblStyle w:val="27"/>
        <w:tblW w:w="8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960"/>
        <w:gridCol w:w="2061"/>
        <w:gridCol w:w="1985"/>
        <w:gridCol w:w="2126"/>
      </w:tblGrid>
      <w:tr w14:paraId="78C1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81" w:type="dxa"/>
            <w:gridSpan w:val="3"/>
            <w:vAlign w:val="center"/>
          </w:tcPr>
          <w:p w14:paraId="1ADA1E50">
            <w:pPr>
              <w:jc w:val="center"/>
              <w:rPr>
                <w:rFonts w:ascii="宋体" w:hAnsi="宋体" w:cs="宋体"/>
                <w:b/>
                <w:bCs/>
                <w:color w:val="000000"/>
                <w:kern w:val="0"/>
                <w:sz w:val="18"/>
                <w:szCs w:val="18"/>
              </w:rPr>
            </w:pPr>
            <w:r>
              <w:rPr>
                <w:rFonts w:hint="eastAsia" w:ascii="宋体" w:hAnsi="宋体" w:cs="宋体"/>
                <w:b/>
                <w:bCs/>
                <w:color w:val="000000"/>
                <w:kern w:val="0"/>
                <w:sz w:val="18"/>
                <w:szCs w:val="18"/>
              </w:rPr>
              <w:t>地类名称</w:t>
            </w:r>
          </w:p>
        </w:tc>
        <w:tc>
          <w:tcPr>
            <w:tcW w:w="1985" w:type="dxa"/>
            <w:shd w:val="clear" w:color="auto" w:fill="auto"/>
            <w:noWrap/>
            <w:vAlign w:val="center"/>
          </w:tcPr>
          <w:p w14:paraId="1EFDBD4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2126" w:type="dxa"/>
            <w:shd w:val="clear" w:color="auto" w:fill="auto"/>
            <w:noWrap/>
            <w:vAlign w:val="center"/>
          </w:tcPr>
          <w:p w14:paraId="0A537EF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r>
      <w:tr w14:paraId="67D4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restart"/>
            <w:shd w:val="clear" w:color="auto" w:fill="auto"/>
            <w:vAlign w:val="center"/>
          </w:tcPr>
          <w:p w14:paraId="6A615EE1">
            <w:pPr>
              <w:widowControl/>
              <w:jc w:val="center"/>
              <w:rPr>
                <w:rFonts w:ascii="宋体" w:hAnsi="宋体" w:cs="宋体"/>
                <w:color w:val="000000"/>
                <w:kern w:val="0"/>
                <w:sz w:val="18"/>
                <w:szCs w:val="18"/>
              </w:rPr>
            </w:pPr>
            <w:r>
              <w:rPr>
                <w:rFonts w:hint="eastAsia" w:ascii="宋体" w:hAnsi="宋体" w:cs="宋体"/>
                <w:color w:val="000000"/>
                <w:kern w:val="0"/>
                <w:sz w:val="18"/>
                <w:szCs w:val="18"/>
              </w:rPr>
              <w:t>农用地</w:t>
            </w:r>
          </w:p>
        </w:tc>
        <w:tc>
          <w:tcPr>
            <w:tcW w:w="3021" w:type="dxa"/>
            <w:gridSpan w:val="2"/>
            <w:shd w:val="clear" w:color="auto" w:fill="auto"/>
            <w:vAlign w:val="center"/>
          </w:tcPr>
          <w:p w14:paraId="268A1FD9">
            <w:pPr>
              <w:widowControl/>
              <w:jc w:val="center"/>
              <w:rPr>
                <w:rFonts w:ascii="宋体" w:hAnsi="宋体" w:cs="宋体"/>
                <w:color w:val="000000"/>
                <w:kern w:val="0"/>
                <w:sz w:val="18"/>
                <w:szCs w:val="18"/>
              </w:rPr>
            </w:pPr>
            <w:r>
              <w:rPr>
                <w:rFonts w:hint="eastAsia" w:ascii="宋体" w:hAnsi="宋体" w:cs="宋体"/>
                <w:color w:val="000000"/>
                <w:kern w:val="0"/>
                <w:sz w:val="18"/>
                <w:szCs w:val="18"/>
              </w:rPr>
              <w:t>耕地</w:t>
            </w:r>
          </w:p>
        </w:tc>
        <w:tc>
          <w:tcPr>
            <w:tcW w:w="1985" w:type="dxa"/>
            <w:shd w:val="clear" w:color="auto" w:fill="auto"/>
            <w:noWrap/>
            <w:vAlign w:val="center"/>
          </w:tcPr>
          <w:p w14:paraId="141FD41F">
            <w:pPr>
              <w:widowControl/>
              <w:jc w:val="center"/>
              <w:rPr>
                <w:rFonts w:ascii="宋体" w:hAnsi="宋体" w:cs="宋体"/>
                <w:color w:val="000000"/>
                <w:kern w:val="0"/>
                <w:sz w:val="18"/>
                <w:szCs w:val="18"/>
              </w:rPr>
            </w:pPr>
            <w:r>
              <w:rPr>
                <w:rFonts w:hint="eastAsia" w:ascii="宋体" w:hAnsi="宋体" w:cs="宋体"/>
                <w:color w:val="000000"/>
                <w:kern w:val="0"/>
                <w:sz w:val="18"/>
                <w:szCs w:val="18"/>
              </w:rPr>
              <w:t>32403.40</w:t>
            </w:r>
          </w:p>
        </w:tc>
        <w:tc>
          <w:tcPr>
            <w:tcW w:w="2126" w:type="dxa"/>
            <w:shd w:val="clear" w:color="auto" w:fill="auto"/>
            <w:vAlign w:val="center"/>
          </w:tcPr>
          <w:p w14:paraId="7CDF1E2C">
            <w:pPr>
              <w:widowControl/>
              <w:jc w:val="center"/>
              <w:rPr>
                <w:rFonts w:ascii="宋体" w:hAnsi="宋体" w:cs="宋体"/>
                <w:color w:val="000000"/>
                <w:kern w:val="0"/>
                <w:sz w:val="18"/>
                <w:szCs w:val="18"/>
              </w:rPr>
            </w:pPr>
            <w:r>
              <w:rPr>
                <w:rFonts w:hint="eastAsia" w:ascii="宋体" w:hAnsi="宋体" w:cs="宋体"/>
                <w:color w:val="000000"/>
                <w:kern w:val="0"/>
                <w:sz w:val="18"/>
                <w:szCs w:val="18"/>
              </w:rPr>
              <w:t>17.37%</w:t>
            </w:r>
          </w:p>
        </w:tc>
      </w:tr>
      <w:tr w14:paraId="2557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continue"/>
            <w:vAlign w:val="center"/>
          </w:tcPr>
          <w:p w14:paraId="3A783D89">
            <w:pPr>
              <w:widowControl/>
              <w:jc w:val="left"/>
              <w:rPr>
                <w:rFonts w:ascii="宋体" w:hAnsi="宋体" w:cs="宋体"/>
                <w:color w:val="000000"/>
                <w:kern w:val="0"/>
                <w:sz w:val="18"/>
                <w:szCs w:val="18"/>
              </w:rPr>
            </w:pPr>
          </w:p>
        </w:tc>
        <w:tc>
          <w:tcPr>
            <w:tcW w:w="3021" w:type="dxa"/>
            <w:gridSpan w:val="2"/>
            <w:shd w:val="clear" w:color="auto" w:fill="auto"/>
            <w:vAlign w:val="center"/>
          </w:tcPr>
          <w:p w14:paraId="58EB0531">
            <w:pPr>
              <w:widowControl/>
              <w:jc w:val="center"/>
              <w:rPr>
                <w:rFonts w:ascii="宋体" w:hAnsi="宋体" w:cs="宋体"/>
                <w:color w:val="000000"/>
                <w:kern w:val="0"/>
                <w:sz w:val="18"/>
                <w:szCs w:val="18"/>
              </w:rPr>
            </w:pPr>
            <w:r>
              <w:rPr>
                <w:rFonts w:hint="eastAsia" w:ascii="宋体" w:hAnsi="宋体" w:cs="宋体"/>
                <w:color w:val="000000"/>
                <w:kern w:val="0"/>
                <w:sz w:val="18"/>
                <w:szCs w:val="18"/>
              </w:rPr>
              <w:t>园地</w:t>
            </w:r>
          </w:p>
        </w:tc>
        <w:tc>
          <w:tcPr>
            <w:tcW w:w="1985" w:type="dxa"/>
            <w:shd w:val="clear" w:color="auto" w:fill="auto"/>
            <w:noWrap/>
            <w:vAlign w:val="center"/>
          </w:tcPr>
          <w:p w14:paraId="0C14EE7F">
            <w:pPr>
              <w:widowControl/>
              <w:jc w:val="center"/>
              <w:rPr>
                <w:rFonts w:ascii="宋体" w:hAnsi="宋体" w:cs="宋体"/>
                <w:color w:val="000000"/>
                <w:kern w:val="0"/>
                <w:sz w:val="18"/>
                <w:szCs w:val="18"/>
              </w:rPr>
            </w:pPr>
            <w:r>
              <w:rPr>
                <w:rFonts w:hint="eastAsia" w:ascii="宋体" w:hAnsi="宋体" w:cs="宋体"/>
                <w:color w:val="000000"/>
                <w:kern w:val="0"/>
                <w:sz w:val="18"/>
                <w:szCs w:val="18"/>
              </w:rPr>
              <w:t>1687.07</w:t>
            </w:r>
          </w:p>
        </w:tc>
        <w:tc>
          <w:tcPr>
            <w:tcW w:w="2126" w:type="dxa"/>
            <w:shd w:val="clear" w:color="auto" w:fill="auto"/>
            <w:vAlign w:val="center"/>
          </w:tcPr>
          <w:p w14:paraId="2B3BFD6A">
            <w:pPr>
              <w:widowControl/>
              <w:jc w:val="center"/>
              <w:rPr>
                <w:rFonts w:ascii="宋体" w:hAnsi="宋体" w:cs="宋体"/>
                <w:color w:val="000000"/>
                <w:kern w:val="0"/>
                <w:sz w:val="18"/>
                <w:szCs w:val="18"/>
              </w:rPr>
            </w:pPr>
            <w:r>
              <w:rPr>
                <w:rFonts w:hint="eastAsia" w:ascii="宋体" w:hAnsi="宋体" w:cs="宋体"/>
                <w:color w:val="000000"/>
                <w:kern w:val="0"/>
                <w:sz w:val="18"/>
                <w:szCs w:val="18"/>
              </w:rPr>
              <w:t>0.90%</w:t>
            </w:r>
          </w:p>
        </w:tc>
      </w:tr>
      <w:tr w14:paraId="23C56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continue"/>
            <w:vAlign w:val="center"/>
          </w:tcPr>
          <w:p w14:paraId="23C6E882">
            <w:pPr>
              <w:widowControl/>
              <w:jc w:val="left"/>
              <w:rPr>
                <w:rFonts w:ascii="宋体" w:hAnsi="宋体" w:cs="宋体"/>
                <w:color w:val="000000"/>
                <w:kern w:val="0"/>
                <w:sz w:val="18"/>
                <w:szCs w:val="18"/>
              </w:rPr>
            </w:pPr>
          </w:p>
        </w:tc>
        <w:tc>
          <w:tcPr>
            <w:tcW w:w="3021" w:type="dxa"/>
            <w:gridSpan w:val="2"/>
            <w:shd w:val="clear" w:color="auto" w:fill="auto"/>
            <w:vAlign w:val="center"/>
          </w:tcPr>
          <w:p w14:paraId="0BCE175C">
            <w:pPr>
              <w:widowControl/>
              <w:jc w:val="center"/>
              <w:rPr>
                <w:rFonts w:ascii="宋体" w:hAnsi="宋体" w:cs="宋体"/>
                <w:color w:val="000000"/>
                <w:kern w:val="0"/>
                <w:sz w:val="18"/>
                <w:szCs w:val="18"/>
              </w:rPr>
            </w:pPr>
            <w:r>
              <w:rPr>
                <w:rFonts w:hint="eastAsia" w:ascii="宋体" w:hAnsi="宋体" w:cs="宋体"/>
                <w:color w:val="000000"/>
                <w:kern w:val="0"/>
                <w:sz w:val="18"/>
                <w:szCs w:val="18"/>
              </w:rPr>
              <w:t>林地</w:t>
            </w:r>
          </w:p>
        </w:tc>
        <w:tc>
          <w:tcPr>
            <w:tcW w:w="1985" w:type="dxa"/>
            <w:shd w:val="clear" w:color="auto" w:fill="auto"/>
            <w:noWrap/>
            <w:vAlign w:val="center"/>
          </w:tcPr>
          <w:p w14:paraId="2642C914">
            <w:pPr>
              <w:widowControl/>
              <w:jc w:val="center"/>
              <w:rPr>
                <w:rFonts w:ascii="宋体" w:hAnsi="宋体" w:cs="宋体"/>
                <w:color w:val="000000"/>
                <w:kern w:val="0"/>
                <w:sz w:val="18"/>
                <w:szCs w:val="18"/>
              </w:rPr>
            </w:pPr>
            <w:r>
              <w:rPr>
                <w:rFonts w:hint="eastAsia" w:ascii="宋体" w:hAnsi="宋体" w:cs="宋体"/>
                <w:color w:val="000000"/>
                <w:kern w:val="0"/>
                <w:sz w:val="18"/>
                <w:szCs w:val="18"/>
              </w:rPr>
              <w:t>61455.47</w:t>
            </w:r>
          </w:p>
        </w:tc>
        <w:tc>
          <w:tcPr>
            <w:tcW w:w="2126" w:type="dxa"/>
            <w:shd w:val="clear" w:color="auto" w:fill="auto"/>
            <w:vAlign w:val="center"/>
          </w:tcPr>
          <w:p w14:paraId="6C206643">
            <w:pPr>
              <w:widowControl/>
              <w:jc w:val="center"/>
              <w:rPr>
                <w:rFonts w:ascii="宋体" w:hAnsi="宋体" w:cs="宋体"/>
                <w:color w:val="000000"/>
                <w:kern w:val="0"/>
                <w:sz w:val="18"/>
                <w:szCs w:val="18"/>
              </w:rPr>
            </w:pPr>
            <w:r>
              <w:rPr>
                <w:rFonts w:hint="eastAsia" w:ascii="宋体" w:hAnsi="宋体" w:cs="宋体"/>
                <w:color w:val="000000"/>
                <w:kern w:val="0"/>
                <w:sz w:val="18"/>
                <w:szCs w:val="18"/>
              </w:rPr>
              <w:t>32.94%</w:t>
            </w:r>
          </w:p>
        </w:tc>
      </w:tr>
      <w:tr w14:paraId="0047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continue"/>
            <w:vAlign w:val="center"/>
          </w:tcPr>
          <w:p w14:paraId="32E92275">
            <w:pPr>
              <w:widowControl/>
              <w:jc w:val="left"/>
              <w:rPr>
                <w:rFonts w:ascii="宋体" w:hAnsi="宋体" w:cs="宋体"/>
                <w:color w:val="000000"/>
                <w:kern w:val="0"/>
                <w:sz w:val="18"/>
                <w:szCs w:val="18"/>
              </w:rPr>
            </w:pPr>
          </w:p>
        </w:tc>
        <w:tc>
          <w:tcPr>
            <w:tcW w:w="3021" w:type="dxa"/>
            <w:gridSpan w:val="2"/>
            <w:shd w:val="clear" w:color="auto" w:fill="auto"/>
            <w:vAlign w:val="center"/>
          </w:tcPr>
          <w:p w14:paraId="35C15583">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其他农用地</w:t>
            </w:r>
          </w:p>
        </w:tc>
        <w:tc>
          <w:tcPr>
            <w:tcW w:w="1985" w:type="dxa"/>
            <w:shd w:val="clear" w:color="auto" w:fill="auto"/>
            <w:noWrap/>
            <w:vAlign w:val="center"/>
          </w:tcPr>
          <w:p w14:paraId="646DD64B">
            <w:pPr>
              <w:widowControl/>
              <w:jc w:val="center"/>
              <w:rPr>
                <w:rFonts w:ascii="宋体" w:hAnsi="宋体" w:cs="宋体"/>
                <w:color w:val="000000"/>
                <w:kern w:val="0"/>
                <w:sz w:val="18"/>
                <w:szCs w:val="18"/>
              </w:rPr>
            </w:pPr>
            <w:r>
              <w:rPr>
                <w:rFonts w:hint="eastAsia" w:ascii="宋体" w:hAnsi="宋体" w:cs="宋体"/>
                <w:color w:val="000000"/>
                <w:kern w:val="0"/>
                <w:sz w:val="18"/>
                <w:szCs w:val="18"/>
              </w:rPr>
              <w:t>9772.46</w:t>
            </w:r>
          </w:p>
        </w:tc>
        <w:tc>
          <w:tcPr>
            <w:tcW w:w="2126" w:type="dxa"/>
            <w:shd w:val="clear" w:color="auto" w:fill="auto"/>
            <w:vAlign w:val="center"/>
          </w:tcPr>
          <w:p w14:paraId="505963E3">
            <w:pPr>
              <w:widowControl/>
              <w:jc w:val="center"/>
              <w:rPr>
                <w:rFonts w:ascii="宋体" w:hAnsi="宋体" w:cs="宋体"/>
                <w:color w:val="000000"/>
                <w:kern w:val="0"/>
                <w:sz w:val="18"/>
                <w:szCs w:val="18"/>
              </w:rPr>
            </w:pPr>
            <w:r>
              <w:rPr>
                <w:rFonts w:hint="eastAsia" w:ascii="宋体" w:hAnsi="宋体" w:cs="宋体"/>
                <w:color w:val="000000"/>
                <w:kern w:val="0"/>
                <w:sz w:val="18"/>
                <w:szCs w:val="18"/>
              </w:rPr>
              <w:t>5.24%</w:t>
            </w:r>
          </w:p>
        </w:tc>
      </w:tr>
      <w:tr w14:paraId="4478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continue"/>
            <w:vAlign w:val="center"/>
          </w:tcPr>
          <w:p w14:paraId="6A21167F">
            <w:pPr>
              <w:widowControl/>
              <w:jc w:val="left"/>
              <w:rPr>
                <w:rFonts w:ascii="宋体" w:hAnsi="宋体" w:cs="宋体"/>
                <w:color w:val="000000"/>
                <w:kern w:val="0"/>
                <w:sz w:val="18"/>
                <w:szCs w:val="18"/>
              </w:rPr>
            </w:pPr>
          </w:p>
        </w:tc>
        <w:tc>
          <w:tcPr>
            <w:tcW w:w="3021" w:type="dxa"/>
            <w:gridSpan w:val="2"/>
            <w:shd w:val="clear" w:color="auto" w:fill="auto"/>
            <w:vAlign w:val="center"/>
          </w:tcPr>
          <w:p w14:paraId="36EB7059">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985" w:type="dxa"/>
            <w:shd w:val="clear" w:color="auto" w:fill="auto"/>
            <w:vAlign w:val="center"/>
          </w:tcPr>
          <w:p w14:paraId="7B7940DA">
            <w:pPr>
              <w:widowControl/>
              <w:jc w:val="center"/>
              <w:rPr>
                <w:rFonts w:ascii="宋体" w:hAnsi="宋体" w:cs="宋体"/>
                <w:color w:val="000000"/>
                <w:kern w:val="0"/>
                <w:sz w:val="18"/>
                <w:szCs w:val="18"/>
              </w:rPr>
            </w:pPr>
            <w:r>
              <w:rPr>
                <w:rFonts w:hint="eastAsia" w:ascii="宋体" w:hAnsi="宋体" w:cs="宋体"/>
                <w:color w:val="000000"/>
                <w:kern w:val="0"/>
                <w:sz w:val="18"/>
                <w:szCs w:val="18"/>
              </w:rPr>
              <w:t>105318.4</w:t>
            </w:r>
          </w:p>
        </w:tc>
        <w:tc>
          <w:tcPr>
            <w:tcW w:w="2126" w:type="dxa"/>
            <w:shd w:val="clear" w:color="auto" w:fill="auto"/>
            <w:vAlign w:val="center"/>
          </w:tcPr>
          <w:p w14:paraId="2CE23A4C">
            <w:pPr>
              <w:widowControl/>
              <w:jc w:val="center"/>
              <w:rPr>
                <w:rFonts w:ascii="宋体" w:hAnsi="宋体" w:cs="宋体"/>
                <w:color w:val="000000"/>
                <w:kern w:val="0"/>
                <w:sz w:val="18"/>
                <w:szCs w:val="18"/>
              </w:rPr>
            </w:pPr>
            <w:r>
              <w:rPr>
                <w:rFonts w:hint="eastAsia" w:ascii="宋体" w:hAnsi="宋体" w:cs="宋体"/>
                <w:color w:val="000000"/>
                <w:kern w:val="0"/>
                <w:sz w:val="18"/>
                <w:szCs w:val="18"/>
              </w:rPr>
              <w:t>56.45%</w:t>
            </w:r>
          </w:p>
        </w:tc>
      </w:tr>
      <w:tr w14:paraId="47EE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restart"/>
            <w:shd w:val="clear" w:color="auto" w:fill="auto"/>
            <w:vAlign w:val="center"/>
          </w:tcPr>
          <w:p w14:paraId="2E2CE46B">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w:t>
            </w:r>
          </w:p>
        </w:tc>
        <w:tc>
          <w:tcPr>
            <w:tcW w:w="960" w:type="dxa"/>
            <w:vMerge w:val="restart"/>
            <w:shd w:val="clear" w:color="auto" w:fill="auto"/>
            <w:vAlign w:val="center"/>
          </w:tcPr>
          <w:p w14:paraId="64DB89A8">
            <w:pPr>
              <w:widowControl/>
              <w:jc w:val="center"/>
              <w:rPr>
                <w:rFonts w:ascii="宋体" w:hAnsi="宋体" w:cs="宋体"/>
                <w:color w:val="000000"/>
                <w:kern w:val="0"/>
                <w:sz w:val="18"/>
                <w:szCs w:val="18"/>
              </w:rPr>
            </w:pPr>
            <w:r>
              <w:rPr>
                <w:rFonts w:hint="eastAsia" w:ascii="宋体" w:hAnsi="宋体" w:cs="宋体"/>
                <w:color w:val="000000"/>
                <w:kern w:val="0"/>
                <w:sz w:val="18"/>
                <w:szCs w:val="18"/>
              </w:rPr>
              <w:t>城乡建设用地</w:t>
            </w:r>
          </w:p>
        </w:tc>
        <w:tc>
          <w:tcPr>
            <w:tcW w:w="2061" w:type="dxa"/>
            <w:shd w:val="clear" w:color="auto" w:fill="auto"/>
            <w:vAlign w:val="center"/>
          </w:tcPr>
          <w:p w14:paraId="35B1FB42">
            <w:pPr>
              <w:widowControl/>
              <w:jc w:val="center"/>
              <w:rPr>
                <w:rFonts w:ascii="宋体" w:hAnsi="宋体" w:cs="宋体"/>
                <w:color w:val="000000"/>
                <w:kern w:val="0"/>
                <w:sz w:val="18"/>
                <w:szCs w:val="18"/>
              </w:rPr>
            </w:pPr>
            <w:r>
              <w:rPr>
                <w:rFonts w:hint="eastAsia" w:ascii="宋体" w:hAnsi="宋体" w:cs="宋体"/>
                <w:color w:val="000000"/>
                <w:kern w:val="0"/>
                <w:sz w:val="18"/>
                <w:szCs w:val="18"/>
              </w:rPr>
              <w:t>城镇用地</w:t>
            </w:r>
          </w:p>
        </w:tc>
        <w:tc>
          <w:tcPr>
            <w:tcW w:w="1985" w:type="dxa"/>
            <w:shd w:val="clear" w:color="auto" w:fill="auto"/>
            <w:vAlign w:val="center"/>
          </w:tcPr>
          <w:p w14:paraId="08EF3E06">
            <w:pPr>
              <w:widowControl/>
              <w:jc w:val="center"/>
              <w:rPr>
                <w:rFonts w:ascii="宋体" w:hAnsi="宋体" w:cs="宋体"/>
                <w:color w:val="000000"/>
                <w:kern w:val="0"/>
                <w:sz w:val="18"/>
                <w:szCs w:val="18"/>
              </w:rPr>
            </w:pPr>
            <w:r>
              <w:rPr>
                <w:rFonts w:hint="eastAsia" w:ascii="宋体" w:hAnsi="宋体" w:cs="宋体"/>
                <w:color w:val="000000"/>
                <w:kern w:val="0"/>
                <w:sz w:val="18"/>
                <w:szCs w:val="18"/>
              </w:rPr>
              <w:t>891.14</w:t>
            </w:r>
          </w:p>
        </w:tc>
        <w:tc>
          <w:tcPr>
            <w:tcW w:w="2126" w:type="dxa"/>
            <w:shd w:val="clear" w:color="auto" w:fill="auto"/>
            <w:vAlign w:val="center"/>
          </w:tcPr>
          <w:p w14:paraId="042883AB">
            <w:pPr>
              <w:widowControl/>
              <w:jc w:val="center"/>
              <w:rPr>
                <w:rFonts w:ascii="宋体" w:hAnsi="宋体" w:cs="宋体"/>
                <w:color w:val="000000"/>
                <w:kern w:val="0"/>
                <w:sz w:val="18"/>
                <w:szCs w:val="18"/>
              </w:rPr>
            </w:pPr>
            <w:r>
              <w:rPr>
                <w:rFonts w:hint="eastAsia" w:ascii="宋体" w:hAnsi="宋体" w:cs="宋体"/>
                <w:color w:val="000000"/>
                <w:kern w:val="0"/>
                <w:sz w:val="18"/>
                <w:szCs w:val="18"/>
              </w:rPr>
              <w:t>0.48%</w:t>
            </w:r>
          </w:p>
        </w:tc>
      </w:tr>
      <w:tr w14:paraId="77F9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continue"/>
            <w:vAlign w:val="center"/>
          </w:tcPr>
          <w:p w14:paraId="6C3FF988">
            <w:pPr>
              <w:widowControl/>
              <w:jc w:val="left"/>
              <w:rPr>
                <w:rFonts w:ascii="宋体" w:hAnsi="宋体" w:cs="宋体"/>
                <w:color w:val="000000"/>
                <w:kern w:val="0"/>
                <w:sz w:val="18"/>
                <w:szCs w:val="18"/>
              </w:rPr>
            </w:pPr>
          </w:p>
        </w:tc>
        <w:tc>
          <w:tcPr>
            <w:tcW w:w="960" w:type="dxa"/>
            <w:vMerge w:val="continue"/>
            <w:vAlign w:val="center"/>
          </w:tcPr>
          <w:p w14:paraId="33DFF0F3">
            <w:pPr>
              <w:widowControl/>
              <w:jc w:val="left"/>
              <w:rPr>
                <w:rFonts w:ascii="宋体" w:hAnsi="宋体" w:cs="宋体"/>
                <w:color w:val="000000"/>
                <w:kern w:val="0"/>
                <w:sz w:val="18"/>
                <w:szCs w:val="18"/>
              </w:rPr>
            </w:pPr>
          </w:p>
        </w:tc>
        <w:tc>
          <w:tcPr>
            <w:tcW w:w="2061" w:type="dxa"/>
            <w:shd w:val="clear" w:color="auto" w:fill="auto"/>
            <w:vAlign w:val="center"/>
          </w:tcPr>
          <w:p w14:paraId="5B6D2A2A">
            <w:pPr>
              <w:widowControl/>
              <w:jc w:val="center"/>
              <w:rPr>
                <w:rFonts w:ascii="宋体" w:hAnsi="宋体" w:cs="宋体"/>
                <w:color w:val="000000"/>
                <w:kern w:val="0"/>
                <w:sz w:val="18"/>
                <w:szCs w:val="18"/>
              </w:rPr>
            </w:pPr>
            <w:r>
              <w:rPr>
                <w:rFonts w:hint="eastAsia" w:ascii="宋体" w:hAnsi="宋体" w:cs="宋体"/>
                <w:color w:val="000000"/>
                <w:kern w:val="0"/>
                <w:sz w:val="18"/>
                <w:szCs w:val="18"/>
              </w:rPr>
              <w:t>农村居民点用地</w:t>
            </w:r>
          </w:p>
        </w:tc>
        <w:tc>
          <w:tcPr>
            <w:tcW w:w="1985" w:type="dxa"/>
            <w:shd w:val="clear" w:color="auto" w:fill="auto"/>
            <w:noWrap/>
            <w:vAlign w:val="center"/>
          </w:tcPr>
          <w:p w14:paraId="1B488472">
            <w:pPr>
              <w:widowControl/>
              <w:jc w:val="center"/>
              <w:rPr>
                <w:rFonts w:ascii="宋体" w:hAnsi="宋体" w:cs="宋体"/>
                <w:color w:val="000000"/>
                <w:kern w:val="0"/>
                <w:sz w:val="18"/>
                <w:szCs w:val="18"/>
              </w:rPr>
            </w:pPr>
            <w:r>
              <w:rPr>
                <w:rFonts w:hint="eastAsia" w:ascii="宋体" w:hAnsi="宋体" w:cs="宋体"/>
                <w:color w:val="000000"/>
                <w:kern w:val="0"/>
                <w:sz w:val="18"/>
                <w:szCs w:val="18"/>
              </w:rPr>
              <w:t>3251.57</w:t>
            </w:r>
          </w:p>
        </w:tc>
        <w:tc>
          <w:tcPr>
            <w:tcW w:w="2126" w:type="dxa"/>
            <w:shd w:val="clear" w:color="auto" w:fill="auto"/>
            <w:vAlign w:val="center"/>
          </w:tcPr>
          <w:p w14:paraId="713FFBEB">
            <w:pPr>
              <w:widowControl/>
              <w:jc w:val="center"/>
              <w:rPr>
                <w:rFonts w:ascii="宋体" w:hAnsi="宋体" w:cs="宋体"/>
                <w:color w:val="000000"/>
                <w:kern w:val="0"/>
                <w:sz w:val="18"/>
                <w:szCs w:val="18"/>
              </w:rPr>
            </w:pPr>
            <w:r>
              <w:rPr>
                <w:rFonts w:hint="eastAsia" w:ascii="宋体" w:hAnsi="宋体" w:cs="宋体"/>
                <w:color w:val="000000"/>
                <w:kern w:val="0"/>
                <w:sz w:val="18"/>
                <w:szCs w:val="18"/>
              </w:rPr>
              <w:t>1.74%</w:t>
            </w:r>
          </w:p>
        </w:tc>
      </w:tr>
      <w:tr w14:paraId="1753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continue"/>
            <w:vAlign w:val="center"/>
          </w:tcPr>
          <w:p w14:paraId="0D94608C">
            <w:pPr>
              <w:widowControl/>
              <w:jc w:val="left"/>
              <w:rPr>
                <w:rFonts w:ascii="宋体" w:hAnsi="宋体" w:cs="宋体"/>
                <w:color w:val="000000"/>
                <w:kern w:val="0"/>
                <w:sz w:val="18"/>
                <w:szCs w:val="18"/>
              </w:rPr>
            </w:pPr>
          </w:p>
        </w:tc>
        <w:tc>
          <w:tcPr>
            <w:tcW w:w="960" w:type="dxa"/>
            <w:vMerge w:val="continue"/>
            <w:vAlign w:val="center"/>
          </w:tcPr>
          <w:p w14:paraId="78B1857F">
            <w:pPr>
              <w:widowControl/>
              <w:jc w:val="left"/>
              <w:rPr>
                <w:rFonts w:ascii="宋体" w:hAnsi="宋体" w:cs="宋体"/>
                <w:color w:val="000000"/>
                <w:kern w:val="0"/>
                <w:sz w:val="18"/>
                <w:szCs w:val="18"/>
              </w:rPr>
            </w:pPr>
          </w:p>
        </w:tc>
        <w:tc>
          <w:tcPr>
            <w:tcW w:w="2061" w:type="dxa"/>
            <w:shd w:val="clear" w:color="auto" w:fill="auto"/>
            <w:vAlign w:val="center"/>
          </w:tcPr>
          <w:p w14:paraId="0B86E5B6">
            <w:pPr>
              <w:widowControl/>
              <w:jc w:val="center"/>
              <w:rPr>
                <w:rFonts w:ascii="宋体" w:hAnsi="宋体" w:cs="宋体"/>
                <w:color w:val="000000"/>
                <w:kern w:val="0"/>
                <w:sz w:val="18"/>
                <w:szCs w:val="18"/>
              </w:rPr>
            </w:pPr>
            <w:r>
              <w:rPr>
                <w:rFonts w:hint="eastAsia" w:ascii="宋体" w:hAnsi="宋体" w:cs="宋体"/>
                <w:color w:val="000000"/>
                <w:kern w:val="0"/>
                <w:sz w:val="18"/>
                <w:szCs w:val="18"/>
              </w:rPr>
              <w:t>采矿用地</w:t>
            </w:r>
          </w:p>
        </w:tc>
        <w:tc>
          <w:tcPr>
            <w:tcW w:w="1985" w:type="dxa"/>
            <w:shd w:val="clear" w:color="auto" w:fill="auto"/>
            <w:noWrap/>
            <w:vAlign w:val="center"/>
          </w:tcPr>
          <w:p w14:paraId="0E495F2C">
            <w:pPr>
              <w:widowControl/>
              <w:jc w:val="center"/>
              <w:rPr>
                <w:rFonts w:ascii="宋体" w:hAnsi="宋体" w:cs="宋体"/>
                <w:color w:val="000000"/>
                <w:kern w:val="0"/>
                <w:sz w:val="18"/>
                <w:szCs w:val="18"/>
              </w:rPr>
            </w:pPr>
            <w:r>
              <w:rPr>
                <w:rFonts w:hint="eastAsia" w:ascii="宋体" w:hAnsi="宋体" w:cs="宋体"/>
                <w:color w:val="000000"/>
                <w:kern w:val="0"/>
                <w:sz w:val="18"/>
                <w:szCs w:val="18"/>
              </w:rPr>
              <w:t>912.83</w:t>
            </w:r>
          </w:p>
        </w:tc>
        <w:tc>
          <w:tcPr>
            <w:tcW w:w="2126" w:type="dxa"/>
            <w:shd w:val="clear" w:color="auto" w:fill="auto"/>
            <w:vAlign w:val="center"/>
          </w:tcPr>
          <w:p w14:paraId="25D65A04">
            <w:pPr>
              <w:widowControl/>
              <w:jc w:val="center"/>
              <w:rPr>
                <w:rFonts w:ascii="宋体" w:hAnsi="宋体" w:cs="宋体"/>
                <w:color w:val="000000"/>
                <w:kern w:val="0"/>
                <w:sz w:val="18"/>
                <w:szCs w:val="18"/>
              </w:rPr>
            </w:pPr>
            <w:r>
              <w:rPr>
                <w:rFonts w:hint="eastAsia" w:ascii="宋体" w:hAnsi="宋体" w:cs="宋体"/>
                <w:color w:val="000000"/>
                <w:kern w:val="0"/>
                <w:sz w:val="18"/>
                <w:szCs w:val="18"/>
              </w:rPr>
              <w:t>0.49%</w:t>
            </w:r>
          </w:p>
        </w:tc>
      </w:tr>
      <w:tr w14:paraId="6596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continue"/>
            <w:vAlign w:val="center"/>
          </w:tcPr>
          <w:p w14:paraId="3F1712BA">
            <w:pPr>
              <w:widowControl/>
              <w:jc w:val="left"/>
              <w:rPr>
                <w:rFonts w:ascii="宋体" w:hAnsi="宋体" w:cs="宋体"/>
                <w:color w:val="000000"/>
                <w:kern w:val="0"/>
                <w:sz w:val="18"/>
                <w:szCs w:val="18"/>
              </w:rPr>
            </w:pPr>
          </w:p>
        </w:tc>
        <w:tc>
          <w:tcPr>
            <w:tcW w:w="960" w:type="dxa"/>
            <w:vMerge w:val="continue"/>
            <w:vAlign w:val="center"/>
          </w:tcPr>
          <w:p w14:paraId="72D37AF0">
            <w:pPr>
              <w:widowControl/>
              <w:jc w:val="left"/>
              <w:rPr>
                <w:rFonts w:ascii="宋体" w:hAnsi="宋体" w:cs="宋体"/>
                <w:color w:val="000000"/>
                <w:kern w:val="0"/>
                <w:sz w:val="18"/>
                <w:szCs w:val="18"/>
              </w:rPr>
            </w:pPr>
          </w:p>
        </w:tc>
        <w:tc>
          <w:tcPr>
            <w:tcW w:w="2061" w:type="dxa"/>
            <w:shd w:val="clear" w:color="auto" w:fill="auto"/>
            <w:vAlign w:val="center"/>
          </w:tcPr>
          <w:p w14:paraId="7459D46B">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985" w:type="dxa"/>
            <w:shd w:val="clear" w:color="auto" w:fill="auto"/>
            <w:vAlign w:val="center"/>
          </w:tcPr>
          <w:p w14:paraId="7D6C4933">
            <w:pPr>
              <w:widowControl/>
              <w:jc w:val="center"/>
              <w:rPr>
                <w:rFonts w:ascii="宋体" w:hAnsi="宋体" w:cs="宋体"/>
                <w:color w:val="000000"/>
                <w:kern w:val="0"/>
                <w:sz w:val="18"/>
                <w:szCs w:val="18"/>
              </w:rPr>
            </w:pPr>
            <w:r>
              <w:rPr>
                <w:rFonts w:hint="eastAsia" w:ascii="宋体" w:hAnsi="宋体" w:cs="宋体"/>
                <w:color w:val="000000"/>
                <w:kern w:val="0"/>
                <w:sz w:val="18"/>
                <w:szCs w:val="18"/>
              </w:rPr>
              <w:t>5055.54</w:t>
            </w:r>
          </w:p>
        </w:tc>
        <w:tc>
          <w:tcPr>
            <w:tcW w:w="2126" w:type="dxa"/>
            <w:shd w:val="clear" w:color="auto" w:fill="auto"/>
            <w:vAlign w:val="center"/>
          </w:tcPr>
          <w:p w14:paraId="0609FCD9">
            <w:pPr>
              <w:widowControl/>
              <w:jc w:val="center"/>
              <w:rPr>
                <w:rFonts w:ascii="宋体" w:hAnsi="宋体" w:cs="宋体"/>
                <w:color w:val="000000"/>
                <w:kern w:val="0"/>
                <w:sz w:val="18"/>
                <w:szCs w:val="18"/>
              </w:rPr>
            </w:pPr>
            <w:r>
              <w:rPr>
                <w:rFonts w:hint="eastAsia" w:ascii="宋体" w:hAnsi="宋体" w:cs="宋体"/>
                <w:color w:val="000000"/>
                <w:kern w:val="0"/>
                <w:sz w:val="18"/>
                <w:szCs w:val="18"/>
              </w:rPr>
              <w:t>2.71%</w:t>
            </w:r>
          </w:p>
        </w:tc>
      </w:tr>
      <w:tr w14:paraId="5469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continue"/>
            <w:vAlign w:val="center"/>
          </w:tcPr>
          <w:p w14:paraId="155552A4">
            <w:pPr>
              <w:widowControl/>
              <w:jc w:val="left"/>
              <w:rPr>
                <w:rFonts w:ascii="宋体" w:hAnsi="宋体" w:cs="宋体"/>
                <w:color w:val="000000"/>
                <w:kern w:val="0"/>
                <w:sz w:val="18"/>
                <w:szCs w:val="18"/>
              </w:rPr>
            </w:pPr>
          </w:p>
        </w:tc>
        <w:tc>
          <w:tcPr>
            <w:tcW w:w="3021" w:type="dxa"/>
            <w:gridSpan w:val="2"/>
            <w:shd w:val="clear" w:color="auto" w:fill="auto"/>
            <w:vAlign w:val="center"/>
          </w:tcPr>
          <w:p w14:paraId="35040693">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交通水利用地</w:t>
            </w:r>
          </w:p>
        </w:tc>
        <w:tc>
          <w:tcPr>
            <w:tcW w:w="1985" w:type="dxa"/>
            <w:shd w:val="clear" w:color="auto" w:fill="auto"/>
            <w:noWrap/>
            <w:vAlign w:val="center"/>
          </w:tcPr>
          <w:p w14:paraId="4912BE12">
            <w:pPr>
              <w:widowControl/>
              <w:jc w:val="center"/>
              <w:rPr>
                <w:rFonts w:ascii="宋体" w:hAnsi="宋体" w:cs="宋体"/>
                <w:color w:val="000000"/>
                <w:kern w:val="0"/>
                <w:sz w:val="18"/>
                <w:szCs w:val="18"/>
              </w:rPr>
            </w:pPr>
            <w:r>
              <w:rPr>
                <w:rFonts w:hint="eastAsia" w:ascii="宋体" w:hAnsi="宋体" w:cs="宋体"/>
                <w:color w:val="000000"/>
                <w:kern w:val="0"/>
                <w:sz w:val="18"/>
                <w:szCs w:val="18"/>
              </w:rPr>
              <w:t>714.07</w:t>
            </w:r>
          </w:p>
        </w:tc>
        <w:tc>
          <w:tcPr>
            <w:tcW w:w="2126" w:type="dxa"/>
            <w:shd w:val="clear" w:color="auto" w:fill="auto"/>
            <w:vAlign w:val="center"/>
          </w:tcPr>
          <w:p w14:paraId="654254A6">
            <w:pPr>
              <w:widowControl/>
              <w:jc w:val="center"/>
              <w:rPr>
                <w:rFonts w:ascii="宋体" w:hAnsi="宋体" w:cs="宋体"/>
                <w:color w:val="000000"/>
                <w:kern w:val="0"/>
                <w:sz w:val="18"/>
                <w:szCs w:val="18"/>
              </w:rPr>
            </w:pPr>
            <w:r>
              <w:rPr>
                <w:rFonts w:hint="eastAsia" w:ascii="宋体" w:hAnsi="宋体" w:cs="宋体"/>
                <w:color w:val="000000"/>
                <w:kern w:val="0"/>
                <w:sz w:val="18"/>
                <w:szCs w:val="18"/>
              </w:rPr>
              <w:t>0.38%</w:t>
            </w:r>
          </w:p>
        </w:tc>
      </w:tr>
      <w:tr w14:paraId="4CE6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continue"/>
            <w:vAlign w:val="center"/>
          </w:tcPr>
          <w:p w14:paraId="02A62821">
            <w:pPr>
              <w:widowControl/>
              <w:jc w:val="left"/>
              <w:rPr>
                <w:rFonts w:ascii="宋体" w:hAnsi="宋体" w:cs="宋体"/>
                <w:color w:val="000000"/>
                <w:kern w:val="0"/>
                <w:sz w:val="18"/>
                <w:szCs w:val="18"/>
              </w:rPr>
            </w:pPr>
          </w:p>
        </w:tc>
        <w:tc>
          <w:tcPr>
            <w:tcW w:w="3021" w:type="dxa"/>
            <w:gridSpan w:val="2"/>
            <w:shd w:val="clear" w:color="auto" w:fill="auto"/>
            <w:vAlign w:val="center"/>
          </w:tcPr>
          <w:p w14:paraId="1650B014">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其他建设用地</w:t>
            </w:r>
          </w:p>
        </w:tc>
        <w:tc>
          <w:tcPr>
            <w:tcW w:w="1985" w:type="dxa"/>
            <w:shd w:val="clear" w:color="auto" w:fill="auto"/>
            <w:noWrap/>
            <w:vAlign w:val="center"/>
          </w:tcPr>
          <w:p w14:paraId="1AD5A98E">
            <w:pPr>
              <w:widowControl/>
              <w:jc w:val="center"/>
              <w:rPr>
                <w:rFonts w:ascii="宋体" w:hAnsi="宋体" w:cs="宋体"/>
                <w:color w:val="000000"/>
                <w:kern w:val="0"/>
                <w:sz w:val="18"/>
                <w:szCs w:val="18"/>
              </w:rPr>
            </w:pPr>
            <w:r>
              <w:rPr>
                <w:rFonts w:hint="eastAsia" w:ascii="宋体" w:hAnsi="宋体" w:cs="宋体"/>
                <w:color w:val="000000"/>
                <w:kern w:val="0"/>
                <w:sz w:val="18"/>
                <w:szCs w:val="18"/>
              </w:rPr>
              <w:t>46.55</w:t>
            </w:r>
          </w:p>
        </w:tc>
        <w:tc>
          <w:tcPr>
            <w:tcW w:w="2126" w:type="dxa"/>
            <w:shd w:val="clear" w:color="auto" w:fill="auto"/>
            <w:vAlign w:val="center"/>
          </w:tcPr>
          <w:p w14:paraId="5B835736">
            <w:pPr>
              <w:widowControl/>
              <w:jc w:val="center"/>
              <w:rPr>
                <w:rFonts w:ascii="宋体" w:hAnsi="宋体" w:cs="宋体"/>
                <w:color w:val="000000"/>
                <w:kern w:val="0"/>
                <w:sz w:val="18"/>
                <w:szCs w:val="18"/>
              </w:rPr>
            </w:pPr>
            <w:r>
              <w:rPr>
                <w:rFonts w:hint="eastAsia" w:ascii="宋体" w:hAnsi="宋体" w:cs="宋体"/>
                <w:color w:val="000000"/>
                <w:kern w:val="0"/>
                <w:sz w:val="18"/>
                <w:szCs w:val="18"/>
              </w:rPr>
              <w:t>0.02%</w:t>
            </w:r>
          </w:p>
        </w:tc>
      </w:tr>
      <w:tr w14:paraId="21CC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continue"/>
            <w:vAlign w:val="center"/>
          </w:tcPr>
          <w:p w14:paraId="30F7BF00">
            <w:pPr>
              <w:widowControl/>
              <w:jc w:val="left"/>
              <w:rPr>
                <w:rFonts w:ascii="宋体" w:hAnsi="宋体" w:cs="宋体"/>
                <w:color w:val="000000"/>
                <w:kern w:val="0"/>
                <w:sz w:val="18"/>
                <w:szCs w:val="18"/>
              </w:rPr>
            </w:pPr>
          </w:p>
        </w:tc>
        <w:tc>
          <w:tcPr>
            <w:tcW w:w="3021" w:type="dxa"/>
            <w:gridSpan w:val="2"/>
            <w:shd w:val="clear" w:color="auto" w:fill="auto"/>
            <w:vAlign w:val="center"/>
          </w:tcPr>
          <w:p w14:paraId="7A3AD23A">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1985" w:type="dxa"/>
            <w:shd w:val="clear" w:color="auto" w:fill="auto"/>
            <w:vAlign w:val="center"/>
          </w:tcPr>
          <w:p w14:paraId="7750805F">
            <w:pPr>
              <w:widowControl/>
              <w:jc w:val="center"/>
              <w:rPr>
                <w:rFonts w:ascii="宋体" w:hAnsi="宋体" w:cs="宋体"/>
                <w:color w:val="000000"/>
                <w:kern w:val="0"/>
                <w:sz w:val="18"/>
                <w:szCs w:val="18"/>
              </w:rPr>
            </w:pPr>
            <w:r>
              <w:rPr>
                <w:rFonts w:hint="eastAsia" w:ascii="宋体" w:hAnsi="宋体" w:cs="宋体"/>
                <w:color w:val="000000"/>
                <w:kern w:val="0"/>
                <w:sz w:val="18"/>
                <w:szCs w:val="18"/>
              </w:rPr>
              <w:t>5816.16</w:t>
            </w:r>
          </w:p>
        </w:tc>
        <w:tc>
          <w:tcPr>
            <w:tcW w:w="2126" w:type="dxa"/>
            <w:shd w:val="clear" w:color="auto" w:fill="auto"/>
            <w:vAlign w:val="center"/>
          </w:tcPr>
          <w:p w14:paraId="461E6710">
            <w:pPr>
              <w:widowControl/>
              <w:jc w:val="center"/>
              <w:rPr>
                <w:rFonts w:ascii="宋体" w:hAnsi="宋体" w:cs="宋体"/>
                <w:color w:val="000000"/>
                <w:kern w:val="0"/>
                <w:sz w:val="18"/>
                <w:szCs w:val="18"/>
              </w:rPr>
            </w:pPr>
            <w:r>
              <w:rPr>
                <w:rFonts w:hint="eastAsia" w:ascii="宋体" w:hAnsi="宋体" w:cs="宋体"/>
                <w:color w:val="000000"/>
                <w:kern w:val="0"/>
                <w:sz w:val="18"/>
                <w:szCs w:val="18"/>
              </w:rPr>
              <w:t>3.12%</w:t>
            </w:r>
          </w:p>
        </w:tc>
      </w:tr>
      <w:tr w14:paraId="6C9A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restart"/>
            <w:shd w:val="clear" w:color="auto" w:fill="auto"/>
            <w:vAlign w:val="center"/>
          </w:tcPr>
          <w:p w14:paraId="619DDEA0">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其他土地</w:t>
            </w:r>
          </w:p>
        </w:tc>
        <w:tc>
          <w:tcPr>
            <w:tcW w:w="3021" w:type="dxa"/>
            <w:gridSpan w:val="2"/>
            <w:shd w:val="clear" w:color="auto" w:fill="auto"/>
            <w:vAlign w:val="center"/>
          </w:tcPr>
          <w:p w14:paraId="5D5F19C7">
            <w:pPr>
              <w:widowControl/>
              <w:jc w:val="center"/>
              <w:rPr>
                <w:rFonts w:ascii="宋体" w:hAnsi="宋体" w:cs="宋体"/>
                <w:color w:val="000000"/>
                <w:kern w:val="0"/>
                <w:sz w:val="18"/>
                <w:szCs w:val="18"/>
              </w:rPr>
            </w:pPr>
            <w:r>
              <w:rPr>
                <w:rFonts w:hint="eastAsia" w:ascii="宋体" w:hAnsi="宋体" w:cs="宋体"/>
                <w:color w:val="000000"/>
                <w:kern w:val="0"/>
                <w:sz w:val="18"/>
                <w:szCs w:val="18"/>
              </w:rPr>
              <w:t>水域</w:t>
            </w:r>
          </w:p>
        </w:tc>
        <w:tc>
          <w:tcPr>
            <w:tcW w:w="1985" w:type="dxa"/>
            <w:shd w:val="clear" w:color="auto" w:fill="auto"/>
            <w:noWrap/>
            <w:vAlign w:val="center"/>
          </w:tcPr>
          <w:p w14:paraId="49D7E5AB">
            <w:pPr>
              <w:widowControl/>
              <w:jc w:val="center"/>
              <w:rPr>
                <w:rFonts w:ascii="宋体" w:hAnsi="宋体" w:cs="宋体"/>
                <w:color w:val="000000"/>
                <w:kern w:val="0"/>
                <w:sz w:val="18"/>
                <w:szCs w:val="18"/>
              </w:rPr>
            </w:pPr>
            <w:r>
              <w:rPr>
                <w:rFonts w:hint="eastAsia" w:ascii="宋体" w:hAnsi="宋体" w:cs="宋体"/>
                <w:color w:val="000000"/>
                <w:kern w:val="0"/>
                <w:sz w:val="18"/>
                <w:szCs w:val="18"/>
              </w:rPr>
              <w:t>4034.68</w:t>
            </w:r>
          </w:p>
        </w:tc>
        <w:tc>
          <w:tcPr>
            <w:tcW w:w="2126" w:type="dxa"/>
            <w:shd w:val="clear" w:color="auto" w:fill="auto"/>
            <w:vAlign w:val="center"/>
          </w:tcPr>
          <w:p w14:paraId="13550B22">
            <w:pPr>
              <w:widowControl/>
              <w:jc w:val="center"/>
              <w:rPr>
                <w:rFonts w:ascii="宋体" w:hAnsi="宋体" w:cs="宋体"/>
                <w:color w:val="000000"/>
                <w:kern w:val="0"/>
                <w:sz w:val="18"/>
                <w:szCs w:val="18"/>
              </w:rPr>
            </w:pPr>
            <w:r>
              <w:rPr>
                <w:rFonts w:hint="eastAsia" w:ascii="宋体" w:hAnsi="宋体" w:cs="宋体"/>
                <w:color w:val="000000"/>
                <w:kern w:val="0"/>
                <w:sz w:val="18"/>
                <w:szCs w:val="18"/>
              </w:rPr>
              <w:t>2.16%</w:t>
            </w:r>
          </w:p>
        </w:tc>
      </w:tr>
      <w:tr w14:paraId="636D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continue"/>
            <w:vAlign w:val="center"/>
          </w:tcPr>
          <w:p w14:paraId="04C0B86C">
            <w:pPr>
              <w:widowControl/>
              <w:jc w:val="left"/>
              <w:rPr>
                <w:rFonts w:ascii="宋体" w:hAnsi="宋体" w:cs="宋体"/>
                <w:color w:val="000000"/>
                <w:kern w:val="0"/>
                <w:sz w:val="18"/>
                <w:szCs w:val="18"/>
              </w:rPr>
            </w:pPr>
          </w:p>
        </w:tc>
        <w:tc>
          <w:tcPr>
            <w:tcW w:w="3021" w:type="dxa"/>
            <w:gridSpan w:val="2"/>
            <w:shd w:val="clear" w:color="auto" w:fill="auto"/>
            <w:vAlign w:val="center"/>
          </w:tcPr>
          <w:p w14:paraId="1165FFFB">
            <w:pPr>
              <w:widowControl/>
              <w:jc w:val="center"/>
              <w:rPr>
                <w:rFonts w:ascii="宋体" w:hAnsi="宋体" w:cs="宋体"/>
                <w:color w:val="000000"/>
                <w:kern w:val="0"/>
                <w:sz w:val="18"/>
                <w:szCs w:val="18"/>
              </w:rPr>
            </w:pPr>
            <w:r>
              <w:rPr>
                <w:rFonts w:hint="eastAsia" w:ascii="宋体" w:hAnsi="宋体" w:cs="宋体"/>
                <w:color w:val="000000"/>
                <w:kern w:val="0"/>
                <w:sz w:val="18"/>
                <w:szCs w:val="18"/>
              </w:rPr>
              <w:t>自然保留地</w:t>
            </w:r>
          </w:p>
        </w:tc>
        <w:tc>
          <w:tcPr>
            <w:tcW w:w="1985" w:type="dxa"/>
            <w:shd w:val="clear" w:color="auto" w:fill="auto"/>
            <w:noWrap/>
            <w:vAlign w:val="center"/>
          </w:tcPr>
          <w:p w14:paraId="1ABB55E2">
            <w:pPr>
              <w:widowControl/>
              <w:jc w:val="center"/>
              <w:rPr>
                <w:rFonts w:ascii="宋体" w:hAnsi="宋体" w:cs="宋体"/>
                <w:color w:val="000000"/>
                <w:kern w:val="0"/>
                <w:sz w:val="18"/>
                <w:szCs w:val="18"/>
              </w:rPr>
            </w:pPr>
            <w:r>
              <w:rPr>
                <w:rFonts w:hint="eastAsia" w:ascii="宋体" w:hAnsi="宋体" w:cs="宋体"/>
                <w:color w:val="000000"/>
                <w:kern w:val="0"/>
                <w:sz w:val="18"/>
                <w:szCs w:val="18"/>
              </w:rPr>
              <w:t>71400.57</w:t>
            </w:r>
          </w:p>
        </w:tc>
        <w:tc>
          <w:tcPr>
            <w:tcW w:w="2126" w:type="dxa"/>
            <w:shd w:val="clear" w:color="auto" w:fill="auto"/>
            <w:vAlign w:val="center"/>
          </w:tcPr>
          <w:p w14:paraId="42048781">
            <w:pPr>
              <w:widowControl/>
              <w:jc w:val="center"/>
              <w:rPr>
                <w:rFonts w:ascii="宋体" w:hAnsi="宋体" w:cs="宋体"/>
                <w:color w:val="000000"/>
                <w:kern w:val="0"/>
                <w:sz w:val="18"/>
                <w:szCs w:val="18"/>
              </w:rPr>
            </w:pPr>
            <w:r>
              <w:rPr>
                <w:rFonts w:hint="eastAsia" w:ascii="宋体" w:hAnsi="宋体" w:cs="宋体"/>
                <w:color w:val="000000"/>
                <w:kern w:val="0"/>
                <w:sz w:val="18"/>
                <w:szCs w:val="18"/>
              </w:rPr>
              <w:t>38.27%</w:t>
            </w:r>
          </w:p>
        </w:tc>
      </w:tr>
      <w:tr w14:paraId="293B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0" w:type="dxa"/>
            <w:vMerge w:val="continue"/>
            <w:vAlign w:val="center"/>
          </w:tcPr>
          <w:p w14:paraId="5D0FB309">
            <w:pPr>
              <w:widowControl/>
              <w:jc w:val="left"/>
              <w:rPr>
                <w:rFonts w:ascii="宋体" w:hAnsi="宋体" w:cs="宋体"/>
                <w:color w:val="000000"/>
                <w:kern w:val="0"/>
                <w:sz w:val="18"/>
                <w:szCs w:val="18"/>
              </w:rPr>
            </w:pPr>
          </w:p>
        </w:tc>
        <w:tc>
          <w:tcPr>
            <w:tcW w:w="3021" w:type="dxa"/>
            <w:gridSpan w:val="2"/>
            <w:shd w:val="clear" w:color="auto" w:fill="auto"/>
            <w:vAlign w:val="center"/>
          </w:tcPr>
          <w:p w14:paraId="44089076">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985" w:type="dxa"/>
            <w:shd w:val="clear" w:color="auto" w:fill="auto"/>
            <w:vAlign w:val="center"/>
          </w:tcPr>
          <w:p w14:paraId="4B4AD2EC">
            <w:pPr>
              <w:widowControl/>
              <w:jc w:val="center"/>
              <w:rPr>
                <w:rFonts w:ascii="宋体" w:hAnsi="宋体" w:cs="宋体"/>
                <w:color w:val="000000"/>
                <w:kern w:val="0"/>
                <w:sz w:val="18"/>
                <w:szCs w:val="18"/>
              </w:rPr>
            </w:pPr>
            <w:r>
              <w:rPr>
                <w:rFonts w:hint="eastAsia" w:ascii="宋体" w:hAnsi="宋体" w:cs="宋体"/>
                <w:color w:val="000000"/>
                <w:kern w:val="0"/>
                <w:sz w:val="18"/>
                <w:szCs w:val="18"/>
              </w:rPr>
              <w:t>75435.25</w:t>
            </w:r>
          </w:p>
        </w:tc>
        <w:tc>
          <w:tcPr>
            <w:tcW w:w="2126" w:type="dxa"/>
            <w:shd w:val="clear" w:color="auto" w:fill="auto"/>
            <w:vAlign w:val="center"/>
          </w:tcPr>
          <w:p w14:paraId="4C79362D">
            <w:pPr>
              <w:widowControl/>
              <w:jc w:val="center"/>
              <w:rPr>
                <w:rFonts w:ascii="宋体" w:hAnsi="宋体" w:cs="宋体"/>
                <w:color w:val="000000"/>
                <w:kern w:val="0"/>
                <w:sz w:val="18"/>
                <w:szCs w:val="18"/>
              </w:rPr>
            </w:pPr>
            <w:r>
              <w:rPr>
                <w:rFonts w:hint="eastAsia" w:ascii="宋体" w:hAnsi="宋体" w:cs="宋体"/>
                <w:color w:val="000000"/>
                <w:kern w:val="0"/>
                <w:sz w:val="18"/>
                <w:szCs w:val="18"/>
              </w:rPr>
              <w:t>40.43%</w:t>
            </w:r>
          </w:p>
        </w:tc>
      </w:tr>
      <w:tr w14:paraId="2418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81" w:type="dxa"/>
            <w:gridSpan w:val="3"/>
            <w:shd w:val="clear" w:color="auto" w:fill="auto"/>
            <w:vAlign w:val="center"/>
          </w:tcPr>
          <w:p w14:paraId="6C7F155A">
            <w:pPr>
              <w:widowControl/>
              <w:jc w:val="center"/>
              <w:rPr>
                <w:rFonts w:ascii="宋体" w:hAnsi="宋体" w:cs="宋体"/>
                <w:color w:val="000000"/>
                <w:kern w:val="0"/>
                <w:sz w:val="18"/>
                <w:szCs w:val="18"/>
              </w:rPr>
            </w:pPr>
            <w:r>
              <w:rPr>
                <w:rFonts w:hint="eastAsia" w:ascii="宋体" w:hAnsi="宋体" w:cs="宋体"/>
                <w:color w:val="000000"/>
                <w:kern w:val="0"/>
                <w:sz w:val="18"/>
                <w:szCs w:val="18"/>
              </w:rPr>
              <w:t>总计</w:t>
            </w:r>
          </w:p>
        </w:tc>
        <w:tc>
          <w:tcPr>
            <w:tcW w:w="1985" w:type="dxa"/>
            <w:shd w:val="clear" w:color="auto" w:fill="auto"/>
            <w:noWrap/>
            <w:vAlign w:val="center"/>
          </w:tcPr>
          <w:p w14:paraId="1CFC8D18">
            <w:pPr>
              <w:widowControl/>
              <w:jc w:val="center"/>
              <w:rPr>
                <w:rFonts w:ascii="宋体" w:hAnsi="宋体" w:cs="宋体"/>
                <w:color w:val="000000"/>
                <w:kern w:val="0"/>
                <w:sz w:val="18"/>
                <w:szCs w:val="18"/>
              </w:rPr>
            </w:pPr>
            <w:r>
              <w:rPr>
                <w:rFonts w:hint="eastAsia" w:ascii="宋体" w:hAnsi="宋体" w:cs="宋体"/>
                <w:color w:val="000000"/>
                <w:kern w:val="0"/>
                <w:sz w:val="18"/>
                <w:szCs w:val="18"/>
              </w:rPr>
              <w:t>186569.81</w:t>
            </w:r>
          </w:p>
        </w:tc>
        <w:tc>
          <w:tcPr>
            <w:tcW w:w="2126" w:type="dxa"/>
            <w:shd w:val="clear" w:color="auto" w:fill="auto"/>
            <w:vAlign w:val="center"/>
          </w:tcPr>
          <w:p w14:paraId="00A000B2">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r>
    </w:tbl>
    <w:p w14:paraId="7CC29F6F">
      <w:pPr>
        <w:pStyle w:val="4"/>
        <w:spacing w:before="0" w:after="0" w:line="360" w:lineRule="auto"/>
        <w:rPr>
          <w:rFonts w:ascii="Arial" w:hAnsi="Arial" w:eastAsia="黑体"/>
          <w:b w:val="0"/>
          <w:color w:val="000000"/>
          <w:sz w:val="28"/>
          <w:szCs w:val="28"/>
        </w:rPr>
      </w:pPr>
      <w:bookmarkStart w:id="50" w:name="_Toc465110246"/>
      <w:r>
        <w:rPr>
          <w:rFonts w:hint="eastAsia" w:ascii="Arial" w:hAnsi="Arial" w:eastAsia="黑体"/>
          <w:b w:val="0"/>
          <w:color w:val="000000"/>
          <w:sz w:val="28"/>
          <w:szCs w:val="28"/>
        </w:rPr>
        <w:t>二、坝区土地利用现状</w:t>
      </w:r>
      <w:bookmarkEnd w:id="50"/>
    </w:p>
    <w:p w14:paraId="4137B1D6">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以全国第二次土地利用调查为依据，经云南省国土资源厅认定的范围作为东川区的坝区范围，东川区现有坝子6个，面积4133.08公顷，占全区土地总面积的2.22%。其中：坝区农用地面积为1663.77公顷，占土地总面积的40.26%，其中耕地1348.44公顷，园地25.41公顷、林地142.43公顷、其他农用地147.5公顷；建设用地662.02公顷，占土地总面积的16.02%，其中城乡建设用地524.18公顷、交通水利用地137.84公顷；其他土地面积为1807.25公顷，占土地总面积的43.73%，其中水域1604.14公顷、自然保留地203.11公顷。</w:t>
      </w:r>
    </w:p>
    <w:p w14:paraId="6C056F89">
      <w:pPr>
        <w:pStyle w:val="78"/>
        <w:ind w:firstLine="482"/>
        <w:rPr>
          <w:rFonts w:ascii="宋体" w:hAnsi="宋体"/>
          <w:b/>
          <w:sz w:val="24"/>
        </w:rPr>
      </w:pPr>
    </w:p>
    <w:p w14:paraId="79F28B18">
      <w:pPr>
        <w:pStyle w:val="78"/>
        <w:ind w:firstLine="482"/>
        <w:rPr>
          <w:rFonts w:ascii="宋体" w:hAnsi="宋体"/>
          <w:b/>
          <w:sz w:val="24"/>
        </w:rPr>
      </w:pPr>
    </w:p>
    <w:p w14:paraId="4D6F30CE">
      <w:pPr>
        <w:pStyle w:val="78"/>
        <w:ind w:firstLine="482"/>
        <w:rPr>
          <w:rFonts w:ascii="宋体" w:hAnsi="宋体"/>
          <w:b/>
          <w:sz w:val="24"/>
        </w:rPr>
      </w:pPr>
    </w:p>
    <w:p w14:paraId="105584F0">
      <w:pPr>
        <w:pStyle w:val="78"/>
        <w:ind w:firstLine="482"/>
        <w:rPr>
          <w:rFonts w:ascii="宋体" w:hAnsi="宋体"/>
          <w:b/>
          <w:sz w:val="24"/>
        </w:rPr>
      </w:pPr>
    </w:p>
    <w:p w14:paraId="16934DD3">
      <w:pPr>
        <w:pStyle w:val="78"/>
        <w:ind w:firstLine="482"/>
        <w:rPr>
          <w:rFonts w:ascii="宋体" w:hAnsi="宋体"/>
          <w:b/>
          <w:sz w:val="24"/>
        </w:rPr>
      </w:pPr>
    </w:p>
    <w:p w14:paraId="3ED6011C">
      <w:pPr>
        <w:pStyle w:val="78"/>
        <w:ind w:firstLine="482"/>
        <w:rPr>
          <w:rFonts w:ascii="宋体" w:hAnsi="宋体"/>
          <w:b/>
          <w:sz w:val="24"/>
        </w:rPr>
      </w:pPr>
    </w:p>
    <w:p w14:paraId="5E78991E">
      <w:pPr>
        <w:pStyle w:val="78"/>
        <w:ind w:firstLine="482"/>
        <w:rPr>
          <w:rFonts w:ascii="宋体" w:hAnsi="宋体"/>
          <w:b/>
          <w:sz w:val="24"/>
        </w:rPr>
      </w:pPr>
    </w:p>
    <w:p w14:paraId="32200A14">
      <w:pPr>
        <w:pStyle w:val="78"/>
        <w:ind w:firstLine="482"/>
        <w:rPr>
          <w:rFonts w:ascii="宋体" w:hAnsi="宋体"/>
          <w:b/>
          <w:sz w:val="24"/>
        </w:rPr>
      </w:pPr>
    </w:p>
    <w:p w14:paraId="4E6FBC61">
      <w:pPr>
        <w:jc w:val="center"/>
        <w:outlineLvl w:val="4"/>
        <w:rPr>
          <w:rFonts w:ascii="宋体" w:hAnsi="宋体"/>
          <w:b/>
          <w:sz w:val="24"/>
        </w:rPr>
      </w:pPr>
      <w:r>
        <w:rPr>
          <w:rFonts w:hint="eastAsia" w:ascii="宋体" w:hAnsi="宋体"/>
          <w:b/>
          <w:sz w:val="24"/>
        </w:rPr>
        <w:t>表2-2  东川区坝区土地利用现状表（2014年）</w:t>
      </w:r>
    </w:p>
    <w:p w14:paraId="3C4A06FC">
      <w:pPr>
        <w:spacing w:line="360" w:lineRule="auto"/>
        <w:ind w:firstLine="600"/>
        <w:jc w:val="right"/>
        <w:rPr>
          <w:rFonts w:ascii="宋体" w:hAnsi="宋体"/>
          <w:color w:val="000000"/>
          <w:sz w:val="18"/>
          <w:szCs w:val="18"/>
        </w:rPr>
      </w:pPr>
      <w:r>
        <w:rPr>
          <w:rFonts w:hint="eastAsia" w:ascii="宋体" w:hAnsi="宋体"/>
          <w:color w:val="000000"/>
          <w:sz w:val="18"/>
          <w:szCs w:val="18"/>
        </w:rPr>
        <w:t>单位：公顷</w:t>
      </w:r>
    </w:p>
    <w:tbl>
      <w:tblPr>
        <w:tblStyle w:val="27"/>
        <w:tblW w:w="8483" w:type="dxa"/>
        <w:jc w:val="center"/>
        <w:tblLayout w:type="autofit"/>
        <w:tblCellMar>
          <w:top w:w="0" w:type="dxa"/>
          <w:left w:w="108" w:type="dxa"/>
          <w:bottom w:w="0" w:type="dxa"/>
          <w:right w:w="108" w:type="dxa"/>
        </w:tblCellMar>
      </w:tblPr>
      <w:tblGrid>
        <w:gridCol w:w="1085"/>
        <w:gridCol w:w="1476"/>
        <w:gridCol w:w="2142"/>
        <w:gridCol w:w="1835"/>
        <w:gridCol w:w="1945"/>
      </w:tblGrid>
      <w:tr w14:paraId="6DD079C8">
        <w:tblPrEx>
          <w:tblCellMar>
            <w:top w:w="0" w:type="dxa"/>
            <w:left w:w="108" w:type="dxa"/>
            <w:bottom w:w="0" w:type="dxa"/>
            <w:right w:w="108" w:type="dxa"/>
          </w:tblCellMar>
        </w:tblPrEx>
        <w:trPr>
          <w:trHeight w:val="312" w:hRule="atLeast"/>
          <w:jc w:val="center"/>
        </w:trPr>
        <w:tc>
          <w:tcPr>
            <w:tcW w:w="4703" w:type="dxa"/>
            <w:gridSpan w:val="3"/>
            <w:tcBorders>
              <w:top w:val="single" w:color="auto" w:sz="4" w:space="0"/>
              <w:left w:val="single" w:color="auto" w:sz="4" w:space="0"/>
              <w:bottom w:val="single" w:color="auto" w:sz="4" w:space="0"/>
              <w:right w:val="single" w:color="000000" w:sz="4" w:space="0"/>
            </w:tcBorders>
            <w:shd w:val="clear" w:color="auto" w:fill="auto"/>
            <w:noWrap/>
            <w:vAlign w:val="bottom"/>
          </w:tcPr>
          <w:p w14:paraId="506EDCA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地类</w:t>
            </w:r>
          </w:p>
        </w:tc>
        <w:tc>
          <w:tcPr>
            <w:tcW w:w="1835" w:type="dxa"/>
            <w:tcBorders>
              <w:top w:val="single" w:color="auto" w:sz="4" w:space="0"/>
              <w:left w:val="nil"/>
              <w:bottom w:val="single" w:color="auto" w:sz="4" w:space="0"/>
              <w:right w:val="single" w:color="auto" w:sz="4" w:space="0"/>
            </w:tcBorders>
            <w:shd w:val="clear" w:color="auto" w:fill="auto"/>
            <w:noWrap/>
            <w:vAlign w:val="bottom"/>
          </w:tcPr>
          <w:p w14:paraId="0850887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w:t>
            </w:r>
          </w:p>
        </w:tc>
        <w:tc>
          <w:tcPr>
            <w:tcW w:w="1945" w:type="dxa"/>
            <w:tcBorders>
              <w:top w:val="single" w:color="auto" w:sz="4" w:space="0"/>
              <w:left w:val="nil"/>
              <w:bottom w:val="single" w:color="auto" w:sz="4" w:space="0"/>
              <w:right w:val="single" w:color="auto" w:sz="4" w:space="0"/>
            </w:tcBorders>
            <w:shd w:val="clear" w:color="auto" w:fill="auto"/>
            <w:vAlign w:val="bottom"/>
          </w:tcPr>
          <w:p w14:paraId="02CCE20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占坝区面积比例</w:t>
            </w:r>
          </w:p>
        </w:tc>
      </w:tr>
      <w:tr w14:paraId="326D2903">
        <w:tblPrEx>
          <w:tblCellMar>
            <w:top w:w="0" w:type="dxa"/>
            <w:left w:w="108" w:type="dxa"/>
            <w:bottom w:w="0" w:type="dxa"/>
            <w:right w:w="108" w:type="dxa"/>
          </w:tblCellMar>
        </w:tblPrEx>
        <w:trPr>
          <w:trHeight w:val="312" w:hRule="atLeast"/>
          <w:jc w:val="center"/>
        </w:trPr>
        <w:tc>
          <w:tcPr>
            <w:tcW w:w="4703"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7D9B9EE">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1835" w:type="dxa"/>
            <w:tcBorders>
              <w:top w:val="nil"/>
              <w:left w:val="nil"/>
              <w:bottom w:val="single" w:color="auto" w:sz="4" w:space="0"/>
              <w:right w:val="single" w:color="auto" w:sz="4" w:space="0"/>
            </w:tcBorders>
            <w:shd w:val="clear" w:color="auto" w:fill="auto"/>
            <w:noWrap/>
            <w:vAlign w:val="center"/>
          </w:tcPr>
          <w:p w14:paraId="0082034E">
            <w:pPr>
              <w:widowControl/>
              <w:jc w:val="center"/>
              <w:rPr>
                <w:rFonts w:ascii="宋体" w:hAnsi="宋体" w:cs="宋体"/>
                <w:color w:val="000000"/>
                <w:kern w:val="0"/>
                <w:sz w:val="18"/>
                <w:szCs w:val="18"/>
              </w:rPr>
            </w:pPr>
            <w:r>
              <w:rPr>
                <w:rFonts w:hint="eastAsia" w:ascii="宋体" w:hAnsi="宋体" w:cs="宋体"/>
                <w:color w:val="000000"/>
                <w:kern w:val="0"/>
                <w:sz w:val="18"/>
                <w:szCs w:val="18"/>
              </w:rPr>
              <w:t>4133.04</w:t>
            </w:r>
          </w:p>
        </w:tc>
        <w:tc>
          <w:tcPr>
            <w:tcW w:w="1945" w:type="dxa"/>
            <w:tcBorders>
              <w:top w:val="nil"/>
              <w:left w:val="nil"/>
              <w:bottom w:val="single" w:color="auto" w:sz="4" w:space="0"/>
              <w:right w:val="single" w:color="auto" w:sz="4" w:space="0"/>
            </w:tcBorders>
            <w:shd w:val="clear" w:color="auto" w:fill="auto"/>
            <w:noWrap/>
            <w:vAlign w:val="center"/>
          </w:tcPr>
          <w:p w14:paraId="312DF176">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r>
      <w:tr w14:paraId="10ACD195">
        <w:tblPrEx>
          <w:tblCellMar>
            <w:top w:w="0" w:type="dxa"/>
            <w:left w:w="108" w:type="dxa"/>
            <w:bottom w:w="0" w:type="dxa"/>
            <w:right w:w="108" w:type="dxa"/>
          </w:tblCellMar>
        </w:tblPrEx>
        <w:trPr>
          <w:trHeight w:val="312" w:hRule="atLeast"/>
          <w:jc w:val="center"/>
        </w:trPr>
        <w:tc>
          <w:tcPr>
            <w:tcW w:w="1085" w:type="dxa"/>
            <w:vMerge w:val="restart"/>
            <w:tcBorders>
              <w:top w:val="nil"/>
              <w:left w:val="single" w:color="auto" w:sz="4" w:space="0"/>
              <w:bottom w:val="single" w:color="000000" w:sz="4" w:space="0"/>
              <w:right w:val="single" w:color="auto" w:sz="4" w:space="0"/>
            </w:tcBorders>
            <w:shd w:val="clear" w:color="auto" w:fill="auto"/>
            <w:noWrap/>
            <w:vAlign w:val="center"/>
          </w:tcPr>
          <w:p w14:paraId="3659FDAF">
            <w:pPr>
              <w:widowControl/>
              <w:jc w:val="center"/>
              <w:rPr>
                <w:rFonts w:ascii="宋体" w:hAnsi="宋体" w:cs="宋体"/>
                <w:color w:val="000000"/>
                <w:kern w:val="0"/>
                <w:sz w:val="18"/>
                <w:szCs w:val="18"/>
              </w:rPr>
            </w:pPr>
            <w:r>
              <w:rPr>
                <w:rFonts w:hint="eastAsia" w:ascii="宋体" w:hAnsi="宋体" w:cs="宋体"/>
                <w:color w:val="000000"/>
                <w:kern w:val="0"/>
                <w:sz w:val="18"/>
                <w:szCs w:val="18"/>
              </w:rPr>
              <w:t>农用地</w:t>
            </w:r>
          </w:p>
        </w:tc>
        <w:tc>
          <w:tcPr>
            <w:tcW w:w="3618" w:type="dxa"/>
            <w:gridSpan w:val="2"/>
            <w:tcBorders>
              <w:top w:val="single" w:color="auto" w:sz="4" w:space="0"/>
              <w:left w:val="nil"/>
              <w:bottom w:val="single" w:color="auto" w:sz="4" w:space="0"/>
              <w:right w:val="single" w:color="000000" w:sz="4" w:space="0"/>
            </w:tcBorders>
            <w:shd w:val="clear" w:color="auto" w:fill="auto"/>
            <w:noWrap/>
            <w:vAlign w:val="center"/>
          </w:tcPr>
          <w:p w14:paraId="50521F0E">
            <w:pPr>
              <w:widowControl/>
              <w:jc w:val="center"/>
              <w:rPr>
                <w:rFonts w:ascii="宋体" w:hAnsi="宋体" w:cs="宋体"/>
                <w:color w:val="000000"/>
                <w:kern w:val="0"/>
                <w:sz w:val="18"/>
                <w:szCs w:val="18"/>
              </w:rPr>
            </w:pPr>
            <w:r>
              <w:rPr>
                <w:rFonts w:hint="eastAsia" w:ascii="宋体" w:hAnsi="宋体" w:cs="宋体"/>
                <w:color w:val="000000"/>
                <w:kern w:val="0"/>
                <w:sz w:val="18"/>
                <w:szCs w:val="18"/>
              </w:rPr>
              <w:t>耕地</w:t>
            </w:r>
          </w:p>
        </w:tc>
        <w:tc>
          <w:tcPr>
            <w:tcW w:w="1835" w:type="dxa"/>
            <w:tcBorders>
              <w:top w:val="nil"/>
              <w:left w:val="nil"/>
              <w:bottom w:val="single" w:color="auto" w:sz="4" w:space="0"/>
              <w:right w:val="single" w:color="auto" w:sz="4" w:space="0"/>
            </w:tcBorders>
            <w:shd w:val="clear" w:color="auto" w:fill="auto"/>
            <w:noWrap/>
            <w:vAlign w:val="center"/>
          </w:tcPr>
          <w:p w14:paraId="40D10FBE">
            <w:pPr>
              <w:widowControl/>
              <w:jc w:val="center"/>
              <w:rPr>
                <w:rFonts w:ascii="宋体" w:hAnsi="宋体" w:cs="宋体"/>
                <w:color w:val="000000"/>
                <w:kern w:val="0"/>
                <w:sz w:val="18"/>
                <w:szCs w:val="18"/>
              </w:rPr>
            </w:pPr>
            <w:r>
              <w:rPr>
                <w:rFonts w:hint="eastAsia" w:ascii="宋体" w:hAnsi="宋体" w:cs="宋体"/>
                <w:color w:val="000000"/>
                <w:kern w:val="0"/>
                <w:sz w:val="18"/>
                <w:szCs w:val="18"/>
              </w:rPr>
              <w:t>1348.44</w:t>
            </w:r>
          </w:p>
        </w:tc>
        <w:tc>
          <w:tcPr>
            <w:tcW w:w="1945" w:type="dxa"/>
            <w:tcBorders>
              <w:top w:val="nil"/>
              <w:left w:val="nil"/>
              <w:bottom w:val="single" w:color="auto" w:sz="4" w:space="0"/>
              <w:right w:val="single" w:color="auto" w:sz="4" w:space="0"/>
            </w:tcBorders>
            <w:shd w:val="clear" w:color="auto" w:fill="auto"/>
            <w:noWrap/>
            <w:vAlign w:val="center"/>
          </w:tcPr>
          <w:p w14:paraId="07C2F62C">
            <w:pPr>
              <w:widowControl/>
              <w:jc w:val="center"/>
              <w:rPr>
                <w:rFonts w:ascii="宋体" w:hAnsi="宋体" w:cs="宋体"/>
                <w:color w:val="000000"/>
                <w:kern w:val="0"/>
                <w:sz w:val="18"/>
                <w:szCs w:val="18"/>
              </w:rPr>
            </w:pPr>
            <w:r>
              <w:rPr>
                <w:rFonts w:hint="eastAsia" w:ascii="宋体" w:hAnsi="宋体" w:cs="宋体"/>
                <w:color w:val="000000"/>
                <w:kern w:val="0"/>
                <w:sz w:val="18"/>
                <w:szCs w:val="18"/>
              </w:rPr>
              <w:t>32.63</w:t>
            </w:r>
          </w:p>
        </w:tc>
      </w:tr>
      <w:tr w14:paraId="396B31E3">
        <w:tblPrEx>
          <w:tblCellMar>
            <w:top w:w="0" w:type="dxa"/>
            <w:left w:w="108" w:type="dxa"/>
            <w:bottom w:w="0" w:type="dxa"/>
            <w:right w:w="108" w:type="dxa"/>
          </w:tblCellMar>
        </w:tblPrEx>
        <w:trPr>
          <w:trHeight w:val="312" w:hRule="atLeast"/>
          <w:jc w:val="center"/>
        </w:trPr>
        <w:tc>
          <w:tcPr>
            <w:tcW w:w="1085" w:type="dxa"/>
            <w:vMerge w:val="continue"/>
            <w:tcBorders>
              <w:top w:val="nil"/>
              <w:left w:val="single" w:color="auto" w:sz="4" w:space="0"/>
              <w:bottom w:val="single" w:color="000000" w:sz="4" w:space="0"/>
              <w:right w:val="single" w:color="auto" w:sz="4" w:space="0"/>
            </w:tcBorders>
            <w:vAlign w:val="center"/>
          </w:tcPr>
          <w:p w14:paraId="4B86A304">
            <w:pPr>
              <w:widowControl/>
              <w:jc w:val="center"/>
              <w:rPr>
                <w:rFonts w:ascii="宋体" w:hAnsi="宋体" w:cs="宋体"/>
                <w:color w:val="000000"/>
                <w:kern w:val="0"/>
                <w:sz w:val="18"/>
                <w:szCs w:val="18"/>
              </w:rPr>
            </w:pPr>
          </w:p>
        </w:tc>
        <w:tc>
          <w:tcPr>
            <w:tcW w:w="3618" w:type="dxa"/>
            <w:gridSpan w:val="2"/>
            <w:tcBorders>
              <w:top w:val="single" w:color="auto" w:sz="4" w:space="0"/>
              <w:left w:val="nil"/>
              <w:bottom w:val="single" w:color="auto" w:sz="4" w:space="0"/>
              <w:right w:val="single" w:color="000000" w:sz="4" w:space="0"/>
            </w:tcBorders>
            <w:shd w:val="clear" w:color="auto" w:fill="auto"/>
            <w:noWrap/>
            <w:vAlign w:val="center"/>
          </w:tcPr>
          <w:p w14:paraId="6C9A0230">
            <w:pPr>
              <w:widowControl/>
              <w:jc w:val="center"/>
              <w:rPr>
                <w:rFonts w:ascii="宋体" w:hAnsi="宋体" w:cs="宋体"/>
                <w:color w:val="000000"/>
                <w:kern w:val="0"/>
                <w:sz w:val="18"/>
                <w:szCs w:val="18"/>
              </w:rPr>
            </w:pPr>
            <w:r>
              <w:rPr>
                <w:rFonts w:hint="eastAsia" w:ascii="宋体" w:hAnsi="宋体" w:cs="宋体"/>
                <w:color w:val="000000"/>
                <w:kern w:val="0"/>
                <w:sz w:val="18"/>
                <w:szCs w:val="18"/>
              </w:rPr>
              <w:t>园地</w:t>
            </w:r>
          </w:p>
        </w:tc>
        <w:tc>
          <w:tcPr>
            <w:tcW w:w="1835" w:type="dxa"/>
            <w:tcBorders>
              <w:top w:val="nil"/>
              <w:left w:val="nil"/>
              <w:bottom w:val="single" w:color="auto" w:sz="4" w:space="0"/>
              <w:right w:val="single" w:color="auto" w:sz="4" w:space="0"/>
            </w:tcBorders>
            <w:shd w:val="clear" w:color="auto" w:fill="auto"/>
            <w:noWrap/>
            <w:vAlign w:val="center"/>
          </w:tcPr>
          <w:p w14:paraId="319648EA">
            <w:pPr>
              <w:widowControl/>
              <w:jc w:val="center"/>
              <w:rPr>
                <w:rFonts w:ascii="宋体" w:hAnsi="宋体" w:cs="宋体"/>
                <w:color w:val="000000"/>
                <w:kern w:val="0"/>
                <w:sz w:val="18"/>
                <w:szCs w:val="18"/>
              </w:rPr>
            </w:pPr>
            <w:r>
              <w:rPr>
                <w:rFonts w:hint="eastAsia" w:ascii="宋体" w:hAnsi="宋体" w:cs="宋体"/>
                <w:color w:val="000000"/>
                <w:kern w:val="0"/>
                <w:sz w:val="18"/>
                <w:szCs w:val="18"/>
              </w:rPr>
              <w:t>25.41</w:t>
            </w:r>
          </w:p>
        </w:tc>
        <w:tc>
          <w:tcPr>
            <w:tcW w:w="1945" w:type="dxa"/>
            <w:tcBorders>
              <w:top w:val="nil"/>
              <w:left w:val="nil"/>
              <w:bottom w:val="single" w:color="auto" w:sz="4" w:space="0"/>
              <w:right w:val="single" w:color="auto" w:sz="4" w:space="0"/>
            </w:tcBorders>
            <w:shd w:val="clear" w:color="auto" w:fill="auto"/>
            <w:noWrap/>
            <w:vAlign w:val="center"/>
          </w:tcPr>
          <w:p w14:paraId="2EC00172">
            <w:pPr>
              <w:widowControl/>
              <w:jc w:val="center"/>
              <w:rPr>
                <w:rFonts w:ascii="宋体" w:hAnsi="宋体" w:cs="宋体"/>
                <w:color w:val="000000"/>
                <w:kern w:val="0"/>
                <w:sz w:val="18"/>
                <w:szCs w:val="18"/>
              </w:rPr>
            </w:pPr>
            <w:r>
              <w:rPr>
                <w:rFonts w:hint="eastAsia" w:ascii="宋体" w:hAnsi="宋体" w:cs="宋体"/>
                <w:color w:val="000000"/>
                <w:kern w:val="0"/>
                <w:sz w:val="18"/>
                <w:szCs w:val="18"/>
              </w:rPr>
              <w:t>0.61</w:t>
            </w:r>
          </w:p>
        </w:tc>
      </w:tr>
      <w:tr w14:paraId="53336400">
        <w:tblPrEx>
          <w:tblCellMar>
            <w:top w:w="0" w:type="dxa"/>
            <w:left w:w="108" w:type="dxa"/>
            <w:bottom w:w="0" w:type="dxa"/>
            <w:right w:w="108" w:type="dxa"/>
          </w:tblCellMar>
        </w:tblPrEx>
        <w:trPr>
          <w:trHeight w:val="312" w:hRule="atLeast"/>
          <w:jc w:val="center"/>
        </w:trPr>
        <w:tc>
          <w:tcPr>
            <w:tcW w:w="1085" w:type="dxa"/>
            <w:vMerge w:val="continue"/>
            <w:tcBorders>
              <w:top w:val="nil"/>
              <w:left w:val="single" w:color="auto" w:sz="4" w:space="0"/>
              <w:bottom w:val="single" w:color="000000" w:sz="4" w:space="0"/>
              <w:right w:val="single" w:color="auto" w:sz="4" w:space="0"/>
            </w:tcBorders>
            <w:vAlign w:val="center"/>
          </w:tcPr>
          <w:p w14:paraId="67A7C66D">
            <w:pPr>
              <w:widowControl/>
              <w:jc w:val="center"/>
              <w:rPr>
                <w:rFonts w:ascii="宋体" w:hAnsi="宋体" w:cs="宋体"/>
                <w:color w:val="000000"/>
                <w:kern w:val="0"/>
                <w:sz w:val="18"/>
                <w:szCs w:val="18"/>
              </w:rPr>
            </w:pPr>
          </w:p>
        </w:tc>
        <w:tc>
          <w:tcPr>
            <w:tcW w:w="3618" w:type="dxa"/>
            <w:gridSpan w:val="2"/>
            <w:tcBorders>
              <w:top w:val="single" w:color="auto" w:sz="4" w:space="0"/>
              <w:left w:val="nil"/>
              <w:bottom w:val="single" w:color="auto" w:sz="4" w:space="0"/>
              <w:right w:val="single" w:color="000000" w:sz="4" w:space="0"/>
            </w:tcBorders>
            <w:shd w:val="clear" w:color="auto" w:fill="auto"/>
            <w:noWrap/>
            <w:vAlign w:val="center"/>
          </w:tcPr>
          <w:p w14:paraId="0BE6345C">
            <w:pPr>
              <w:widowControl/>
              <w:jc w:val="center"/>
              <w:rPr>
                <w:rFonts w:ascii="宋体" w:hAnsi="宋体" w:cs="宋体"/>
                <w:color w:val="000000"/>
                <w:kern w:val="0"/>
                <w:sz w:val="18"/>
                <w:szCs w:val="18"/>
              </w:rPr>
            </w:pPr>
            <w:r>
              <w:rPr>
                <w:rFonts w:hint="eastAsia" w:ascii="宋体" w:hAnsi="宋体" w:cs="宋体"/>
                <w:color w:val="000000"/>
                <w:kern w:val="0"/>
                <w:sz w:val="18"/>
                <w:szCs w:val="18"/>
              </w:rPr>
              <w:t>林地</w:t>
            </w:r>
          </w:p>
        </w:tc>
        <w:tc>
          <w:tcPr>
            <w:tcW w:w="1835" w:type="dxa"/>
            <w:tcBorders>
              <w:top w:val="nil"/>
              <w:left w:val="nil"/>
              <w:bottom w:val="single" w:color="auto" w:sz="4" w:space="0"/>
              <w:right w:val="single" w:color="auto" w:sz="4" w:space="0"/>
            </w:tcBorders>
            <w:shd w:val="clear" w:color="auto" w:fill="auto"/>
            <w:noWrap/>
            <w:vAlign w:val="center"/>
          </w:tcPr>
          <w:p w14:paraId="7D7098E7">
            <w:pPr>
              <w:widowControl/>
              <w:jc w:val="center"/>
              <w:rPr>
                <w:rFonts w:ascii="宋体" w:hAnsi="宋体" w:cs="宋体"/>
                <w:color w:val="000000"/>
                <w:kern w:val="0"/>
                <w:sz w:val="18"/>
                <w:szCs w:val="18"/>
              </w:rPr>
            </w:pPr>
            <w:r>
              <w:rPr>
                <w:rFonts w:hint="eastAsia" w:ascii="宋体" w:hAnsi="宋体" w:cs="宋体"/>
                <w:color w:val="000000"/>
                <w:kern w:val="0"/>
                <w:sz w:val="18"/>
                <w:szCs w:val="18"/>
              </w:rPr>
              <w:t>142.43</w:t>
            </w:r>
          </w:p>
        </w:tc>
        <w:tc>
          <w:tcPr>
            <w:tcW w:w="1945" w:type="dxa"/>
            <w:tcBorders>
              <w:top w:val="nil"/>
              <w:left w:val="nil"/>
              <w:bottom w:val="single" w:color="auto" w:sz="4" w:space="0"/>
              <w:right w:val="single" w:color="auto" w:sz="4" w:space="0"/>
            </w:tcBorders>
            <w:shd w:val="clear" w:color="auto" w:fill="auto"/>
            <w:noWrap/>
            <w:vAlign w:val="center"/>
          </w:tcPr>
          <w:p w14:paraId="2FA6E907">
            <w:pPr>
              <w:widowControl/>
              <w:jc w:val="center"/>
              <w:rPr>
                <w:rFonts w:ascii="宋体" w:hAnsi="宋体" w:cs="宋体"/>
                <w:color w:val="000000"/>
                <w:kern w:val="0"/>
                <w:sz w:val="18"/>
                <w:szCs w:val="18"/>
              </w:rPr>
            </w:pPr>
            <w:r>
              <w:rPr>
                <w:rFonts w:hint="eastAsia" w:ascii="宋体" w:hAnsi="宋体" w:cs="宋体"/>
                <w:color w:val="000000"/>
                <w:kern w:val="0"/>
                <w:sz w:val="18"/>
                <w:szCs w:val="18"/>
              </w:rPr>
              <w:t>3.45</w:t>
            </w:r>
          </w:p>
        </w:tc>
      </w:tr>
      <w:tr w14:paraId="635638D6">
        <w:tblPrEx>
          <w:tblCellMar>
            <w:top w:w="0" w:type="dxa"/>
            <w:left w:w="108" w:type="dxa"/>
            <w:bottom w:w="0" w:type="dxa"/>
            <w:right w:w="108" w:type="dxa"/>
          </w:tblCellMar>
        </w:tblPrEx>
        <w:trPr>
          <w:trHeight w:val="312" w:hRule="atLeast"/>
          <w:jc w:val="center"/>
        </w:trPr>
        <w:tc>
          <w:tcPr>
            <w:tcW w:w="1085" w:type="dxa"/>
            <w:vMerge w:val="continue"/>
            <w:tcBorders>
              <w:top w:val="nil"/>
              <w:left w:val="single" w:color="auto" w:sz="4" w:space="0"/>
              <w:bottom w:val="single" w:color="000000" w:sz="4" w:space="0"/>
              <w:right w:val="single" w:color="auto" w:sz="4" w:space="0"/>
            </w:tcBorders>
            <w:vAlign w:val="center"/>
          </w:tcPr>
          <w:p w14:paraId="635C8868">
            <w:pPr>
              <w:widowControl/>
              <w:jc w:val="center"/>
              <w:rPr>
                <w:rFonts w:ascii="宋体" w:hAnsi="宋体" w:cs="宋体"/>
                <w:color w:val="000000"/>
                <w:kern w:val="0"/>
                <w:sz w:val="18"/>
                <w:szCs w:val="18"/>
              </w:rPr>
            </w:pPr>
          </w:p>
        </w:tc>
        <w:tc>
          <w:tcPr>
            <w:tcW w:w="3618" w:type="dxa"/>
            <w:gridSpan w:val="2"/>
            <w:tcBorders>
              <w:top w:val="single" w:color="auto" w:sz="4" w:space="0"/>
              <w:left w:val="nil"/>
              <w:bottom w:val="single" w:color="auto" w:sz="4" w:space="0"/>
              <w:right w:val="single" w:color="000000" w:sz="4" w:space="0"/>
            </w:tcBorders>
            <w:shd w:val="clear" w:color="auto" w:fill="auto"/>
            <w:noWrap/>
            <w:vAlign w:val="center"/>
          </w:tcPr>
          <w:p w14:paraId="55BE886D">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其他农用地</w:t>
            </w:r>
          </w:p>
        </w:tc>
        <w:tc>
          <w:tcPr>
            <w:tcW w:w="1835" w:type="dxa"/>
            <w:tcBorders>
              <w:top w:val="nil"/>
              <w:left w:val="nil"/>
              <w:bottom w:val="single" w:color="auto" w:sz="4" w:space="0"/>
              <w:right w:val="single" w:color="auto" w:sz="4" w:space="0"/>
            </w:tcBorders>
            <w:shd w:val="clear" w:color="auto" w:fill="auto"/>
            <w:noWrap/>
            <w:vAlign w:val="center"/>
          </w:tcPr>
          <w:p w14:paraId="4E2F35EE">
            <w:pPr>
              <w:widowControl/>
              <w:jc w:val="center"/>
              <w:rPr>
                <w:rFonts w:ascii="宋体" w:hAnsi="宋体" w:cs="宋体"/>
                <w:color w:val="000000"/>
                <w:kern w:val="0"/>
                <w:sz w:val="18"/>
                <w:szCs w:val="18"/>
              </w:rPr>
            </w:pPr>
            <w:r>
              <w:rPr>
                <w:rFonts w:hint="eastAsia" w:ascii="宋体" w:hAnsi="宋体" w:cs="宋体"/>
                <w:color w:val="000000"/>
                <w:kern w:val="0"/>
                <w:sz w:val="18"/>
                <w:szCs w:val="18"/>
              </w:rPr>
              <w:t>147.5</w:t>
            </w:r>
          </w:p>
        </w:tc>
        <w:tc>
          <w:tcPr>
            <w:tcW w:w="1945" w:type="dxa"/>
            <w:tcBorders>
              <w:top w:val="nil"/>
              <w:left w:val="nil"/>
              <w:bottom w:val="single" w:color="auto" w:sz="4" w:space="0"/>
              <w:right w:val="single" w:color="auto" w:sz="4" w:space="0"/>
            </w:tcBorders>
            <w:shd w:val="clear" w:color="auto" w:fill="auto"/>
            <w:noWrap/>
            <w:vAlign w:val="center"/>
          </w:tcPr>
          <w:p w14:paraId="3C512EEE">
            <w:pPr>
              <w:widowControl/>
              <w:jc w:val="center"/>
              <w:rPr>
                <w:rFonts w:ascii="宋体" w:hAnsi="宋体" w:cs="宋体"/>
                <w:color w:val="000000"/>
                <w:kern w:val="0"/>
                <w:sz w:val="18"/>
                <w:szCs w:val="18"/>
              </w:rPr>
            </w:pPr>
            <w:r>
              <w:rPr>
                <w:rFonts w:hint="eastAsia" w:ascii="宋体" w:hAnsi="宋体" w:cs="宋体"/>
                <w:color w:val="000000"/>
                <w:kern w:val="0"/>
                <w:sz w:val="18"/>
                <w:szCs w:val="18"/>
              </w:rPr>
              <w:t>3.57</w:t>
            </w:r>
          </w:p>
        </w:tc>
      </w:tr>
      <w:tr w14:paraId="21C973CD">
        <w:tblPrEx>
          <w:tblCellMar>
            <w:top w:w="0" w:type="dxa"/>
            <w:left w:w="108" w:type="dxa"/>
            <w:bottom w:w="0" w:type="dxa"/>
            <w:right w:w="108" w:type="dxa"/>
          </w:tblCellMar>
        </w:tblPrEx>
        <w:trPr>
          <w:trHeight w:val="312" w:hRule="atLeast"/>
          <w:jc w:val="center"/>
        </w:trPr>
        <w:tc>
          <w:tcPr>
            <w:tcW w:w="1085" w:type="dxa"/>
            <w:vMerge w:val="continue"/>
            <w:tcBorders>
              <w:top w:val="nil"/>
              <w:left w:val="single" w:color="auto" w:sz="4" w:space="0"/>
              <w:bottom w:val="single" w:color="000000" w:sz="4" w:space="0"/>
              <w:right w:val="single" w:color="auto" w:sz="4" w:space="0"/>
            </w:tcBorders>
            <w:vAlign w:val="center"/>
          </w:tcPr>
          <w:p w14:paraId="56DD290F">
            <w:pPr>
              <w:widowControl/>
              <w:jc w:val="center"/>
              <w:rPr>
                <w:rFonts w:ascii="宋体" w:hAnsi="宋体" w:cs="宋体"/>
                <w:color w:val="000000"/>
                <w:kern w:val="0"/>
                <w:sz w:val="18"/>
                <w:szCs w:val="18"/>
              </w:rPr>
            </w:pPr>
          </w:p>
        </w:tc>
        <w:tc>
          <w:tcPr>
            <w:tcW w:w="3618" w:type="dxa"/>
            <w:gridSpan w:val="2"/>
            <w:tcBorders>
              <w:top w:val="single" w:color="auto" w:sz="4" w:space="0"/>
              <w:left w:val="nil"/>
              <w:bottom w:val="single" w:color="auto" w:sz="4" w:space="0"/>
              <w:right w:val="single" w:color="000000" w:sz="4" w:space="0"/>
            </w:tcBorders>
            <w:shd w:val="clear" w:color="auto" w:fill="auto"/>
            <w:noWrap/>
            <w:vAlign w:val="center"/>
          </w:tcPr>
          <w:p w14:paraId="2BB034EC">
            <w:pPr>
              <w:widowControl/>
              <w:jc w:val="center"/>
              <w:rPr>
                <w:rFonts w:ascii="宋体" w:hAnsi="宋体" w:cs="宋体"/>
                <w:color w:val="000000"/>
                <w:kern w:val="0"/>
                <w:sz w:val="18"/>
                <w:szCs w:val="18"/>
              </w:rPr>
            </w:pPr>
            <w:r>
              <w:rPr>
                <w:rFonts w:hint="eastAsia" w:ascii="宋体" w:hAnsi="宋体" w:cs="宋体"/>
                <w:color w:val="000000"/>
                <w:kern w:val="0"/>
                <w:sz w:val="18"/>
                <w:szCs w:val="18"/>
              </w:rPr>
              <w:t>农用地合计</w:t>
            </w:r>
          </w:p>
        </w:tc>
        <w:tc>
          <w:tcPr>
            <w:tcW w:w="1835" w:type="dxa"/>
            <w:tcBorders>
              <w:top w:val="nil"/>
              <w:left w:val="nil"/>
              <w:bottom w:val="single" w:color="auto" w:sz="4" w:space="0"/>
              <w:right w:val="single" w:color="auto" w:sz="4" w:space="0"/>
            </w:tcBorders>
            <w:shd w:val="clear" w:color="auto" w:fill="auto"/>
            <w:noWrap/>
            <w:vAlign w:val="center"/>
          </w:tcPr>
          <w:p w14:paraId="7FB29560">
            <w:pPr>
              <w:widowControl/>
              <w:jc w:val="center"/>
              <w:rPr>
                <w:rFonts w:ascii="宋体" w:hAnsi="宋体" w:cs="宋体"/>
                <w:color w:val="000000"/>
                <w:kern w:val="0"/>
                <w:sz w:val="18"/>
                <w:szCs w:val="18"/>
              </w:rPr>
            </w:pPr>
            <w:r>
              <w:rPr>
                <w:rFonts w:hint="eastAsia" w:ascii="宋体" w:hAnsi="宋体" w:cs="宋体"/>
                <w:color w:val="000000"/>
                <w:kern w:val="0"/>
                <w:sz w:val="18"/>
                <w:szCs w:val="18"/>
              </w:rPr>
              <w:t>1663.77</w:t>
            </w:r>
          </w:p>
        </w:tc>
        <w:tc>
          <w:tcPr>
            <w:tcW w:w="1945" w:type="dxa"/>
            <w:tcBorders>
              <w:top w:val="nil"/>
              <w:left w:val="nil"/>
              <w:bottom w:val="single" w:color="auto" w:sz="4" w:space="0"/>
              <w:right w:val="single" w:color="auto" w:sz="4" w:space="0"/>
            </w:tcBorders>
            <w:shd w:val="clear" w:color="auto" w:fill="auto"/>
            <w:noWrap/>
            <w:vAlign w:val="center"/>
          </w:tcPr>
          <w:p w14:paraId="39753C2A">
            <w:pPr>
              <w:widowControl/>
              <w:jc w:val="center"/>
              <w:rPr>
                <w:rFonts w:ascii="宋体" w:hAnsi="宋体" w:cs="宋体"/>
                <w:color w:val="000000"/>
                <w:kern w:val="0"/>
                <w:sz w:val="18"/>
                <w:szCs w:val="18"/>
              </w:rPr>
            </w:pPr>
            <w:r>
              <w:rPr>
                <w:rFonts w:hint="eastAsia" w:ascii="宋体" w:hAnsi="宋体" w:cs="宋体"/>
                <w:color w:val="000000"/>
                <w:kern w:val="0"/>
                <w:sz w:val="18"/>
                <w:szCs w:val="18"/>
              </w:rPr>
              <w:t>40.26</w:t>
            </w:r>
          </w:p>
        </w:tc>
      </w:tr>
      <w:tr w14:paraId="404D5852">
        <w:tblPrEx>
          <w:tblCellMar>
            <w:top w:w="0" w:type="dxa"/>
            <w:left w:w="108" w:type="dxa"/>
            <w:bottom w:w="0" w:type="dxa"/>
            <w:right w:w="108" w:type="dxa"/>
          </w:tblCellMar>
        </w:tblPrEx>
        <w:trPr>
          <w:trHeight w:val="312" w:hRule="atLeast"/>
          <w:jc w:val="center"/>
        </w:trPr>
        <w:tc>
          <w:tcPr>
            <w:tcW w:w="1085" w:type="dxa"/>
            <w:vMerge w:val="restart"/>
            <w:tcBorders>
              <w:top w:val="nil"/>
              <w:left w:val="single" w:color="auto" w:sz="4" w:space="0"/>
              <w:bottom w:val="single" w:color="000000" w:sz="4" w:space="0"/>
              <w:right w:val="single" w:color="auto" w:sz="4" w:space="0"/>
            </w:tcBorders>
            <w:shd w:val="clear" w:color="auto" w:fill="auto"/>
            <w:noWrap/>
            <w:vAlign w:val="center"/>
          </w:tcPr>
          <w:p w14:paraId="388E12F1">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w:t>
            </w:r>
          </w:p>
        </w:tc>
        <w:tc>
          <w:tcPr>
            <w:tcW w:w="1476" w:type="dxa"/>
            <w:vMerge w:val="restart"/>
            <w:tcBorders>
              <w:top w:val="nil"/>
              <w:left w:val="single" w:color="auto" w:sz="4" w:space="0"/>
              <w:bottom w:val="single" w:color="000000" w:sz="4" w:space="0"/>
              <w:right w:val="single" w:color="auto" w:sz="4" w:space="0"/>
            </w:tcBorders>
            <w:shd w:val="clear" w:color="auto" w:fill="auto"/>
            <w:noWrap/>
            <w:vAlign w:val="center"/>
          </w:tcPr>
          <w:p w14:paraId="29DAD066">
            <w:pPr>
              <w:widowControl/>
              <w:jc w:val="center"/>
              <w:rPr>
                <w:rFonts w:ascii="宋体" w:hAnsi="宋体" w:cs="宋体"/>
                <w:color w:val="000000"/>
                <w:kern w:val="0"/>
                <w:sz w:val="18"/>
                <w:szCs w:val="18"/>
              </w:rPr>
            </w:pPr>
            <w:r>
              <w:rPr>
                <w:rFonts w:hint="eastAsia" w:ascii="宋体" w:hAnsi="宋体" w:cs="宋体"/>
                <w:color w:val="000000"/>
                <w:kern w:val="0"/>
                <w:sz w:val="18"/>
                <w:szCs w:val="18"/>
              </w:rPr>
              <w:t>城乡建设用地</w:t>
            </w:r>
          </w:p>
        </w:tc>
        <w:tc>
          <w:tcPr>
            <w:tcW w:w="2142" w:type="dxa"/>
            <w:tcBorders>
              <w:top w:val="nil"/>
              <w:left w:val="nil"/>
              <w:bottom w:val="single" w:color="auto" w:sz="4" w:space="0"/>
              <w:right w:val="single" w:color="auto" w:sz="4" w:space="0"/>
            </w:tcBorders>
            <w:shd w:val="clear" w:color="auto" w:fill="auto"/>
            <w:noWrap/>
            <w:vAlign w:val="center"/>
          </w:tcPr>
          <w:p w14:paraId="726FEB0C">
            <w:pPr>
              <w:widowControl/>
              <w:jc w:val="center"/>
              <w:rPr>
                <w:rFonts w:ascii="宋体" w:hAnsi="宋体" w:cs="宋体"/>
                <w:color w:val="000000"/>
                <w:kern w:val="0"/>
                <w:sz w:val="18"/>
                <w:szCs w:val="18"/>
              </w:rPr>
            </w:pPr>
            <w:r>
              <w:rPr>
                <w:rFonts w:hint="eastAsia" w:ascii="宋体" w:hAnsi="宋体" w:cs="宋体"/>
                <w:color w:val="000000"/>
                <w:kern w:val="0"/>
                <w:sz w:val="18"/>
                <w:szCs w:val="18"/>
              </w:rPr>
              <w:t>城镇建设用地</w:t>
            </w:r>
          </w:p>
        </w:tc>
        <w:tc>
          <w:tcPr>
            <w:tcW w:w="1835" w:type="dxa"/>
            <w:tcBorders>
              <w:top w:val="nil"/>
              <w:left w:val="nil"/>
              <w:bottom w:val="single" w:color="auto" w:sz="4" w:space="0"/>
              <w:right w:val="single" w:color="auto" w:sz="4" w:space="0"/>
            </w:tcBorders>
            <w:shd w:val="clear" w:color="auto" w:fill="auto"/>
            <w:noWrap/>
            <w:vAlign w:val="center"/>
          </w:tcPr>
          <w:p w14:paraId="4336AFDB">
            <w:pPr>
              <w:widowControl/>
              <w:jc w:val="center"/>
              <w:rPr>
                <w:rFonts w:ascii="宋体" w:hAnsi="宋体" w:cs="宋体"/>
                <w:color w:val="000000"/>
                <w:kern w:val="0"/>
                <w:sz w:val="18"/>
                <w:szCs w:val="18"/>
              </w:rPr>
            </w:pPr>
            <w:r>
              <w:rPr>
                <w:rFonts w:hint="eastAsia" w:ascii="宋体" w:hAnsi="宋体" w:cs="宋体"/>
                <w:color w:val="000000"/>
                <w:kern w:val="0"/>
                <w:sz w:val="18"/>
                <w:szCs w:val="18"/>
              </w:rPr>
              <w:t>366.84</w:t>
            </w:r>
          </w:p>
        </w:tc>
        <w:tc>
          <w:tcPr>
            <w:tcW w:w="1945" w:type="dxa"/>
            <w:tcBorders>
              <w:top w:val="nil"/>
              <w:left w:val="nil"/>
              <w:bottom w:val="single" w:color="auto" w:sz="4" w:space="0"/>
              <w:right w:val="single" w:color="auto" w:sz="4" w:space="0"/>
            </w:tcBorders>
            <w:shd w:val="clear" w:color="auto" w:fill="auto"/>
            <w:noWrap/>
            <w:vAlign w:val="center"/>
          </w:tcPr>
          <w:p w14:paraId="5AE86C3F">
            <w:pPr>
              <w:widowControl/>
              <w:jc w:val="center"/>
              <w:rPr>
                <w:rFonts w:ascii="宋体" w:hAnsi="宋体" w:cs="宋体"/>
                <w:color w:val="000000"/>
                <w:kern w:val="0"/>
                <w:sz w:val="18"/>
                <w:szCs w:val="18"/>
              </w:rPr>
            </w:pPr>
            <w:r>
              <w:rPr>
                <w:rFonts w:hint="eastAsia" w:ascii="宋体" w:hAnsi="宋体" w:cs="宋体"/>
                <w:color w:val="000000"/>
                <w:kern w:val="0"/>
                <w:sz w:val="18"/>
                <w:szCs w:val="18"/>
              </w:rPr>
              <w:t>8.88</w:t>
            </w:r>
          </w:p>
        </w:tc>
      </w:tr>
      <w:tr w14:paraId="17E66D20">
        <w:tblPrEx>
          <w:tblCellMar>
            <w:top w:w="0" w:type="dxa"/>
            <w:left w:w="108" w:type="dxa"/>
            <w:bottom w:w="0" w:type="dxa"/>
            <w:right w:w="108" w:type="dxa"/>
          </w:tblCellMar>
        </w:tblPrEx>
        <w:trPr>
          <w:trHeight w:val="312" w:hRule="atLeast"/>
          <w:jc w:val="center"/>
        </w:trPr>
        <w:tc>
          <w:tcPr>
            <w:tcW w:w="1085" w:type="dxa"/>
            <w:vMerge w:val="continue"/>
            <w:tcBorders>
              <w:top w:val="nil"/>
              <w:left w:val="single" w:color="auto" w:sz="4" w:space="0"/>
              <w:bottom w:val="single" w:color="000000" w:sz="4" w:space="0"/>
              <w:right w:val="single" w:color="auto" w:sz="4" w:space="0"/>
            </w:tcBorders>
            <w:vAlign w:val="center"/>
          </w:tcPr>
          <w:p w14:paraId="5E047307">
            <w:pPr>
              <w:widowControl/>
              <w:jc w:val="center"/>
              <w:rPr>
                <w:rFonts w:ascii="宋体" w:hAnsi="宋体" w:cs="宋体"/>
                <w:color w:val="000000"/>
                <w:kern w:val="0"/>
                <w:sz w:val="18"/>
                <w:szCs w:val="18"/>
              </w:rPr>
            </w:pPr>
          </w:p>
        </w:tc>
        <w:tc>
          <w:tcPr>
            <w:tcW w:w="1476" w:type="dxa"/>
            <w:vMerge w:val="continue"/>
            <w:tcBorders>
              <w:top w:val="nil"/>
              <w:left w:val="single" w:color="auto" w:sz="4" w:space="0"/>
              <w:bottom w:val="single" w:color="000000" w:sz="4" w:space="0"/>
              <w:right w:val="single" w:color="auto" w:sz="4" w:space="0"/>
            </w:tcBorders>
            <w:vAlign w:val="center"/>
          </w:tcPr>
          <w:p w14:paraId="35D6C974">
            <w:pPr>
              <w:widowControl/>
              <w:jc w:val="center"/>
              <w:rPr>
                <w:rFonts w:ascii="宋体" w:hAnsi="宋体" w:cs="宋体"/>
                <w:color w:val="000000"/>
                <w:kern w:val="0"/>
                <w:sz w:val="18"/>
                <w:szCs w:val="18"/>
              </w:rPr>
            </w:pPr>
          </w:p>
        </w:tc>
        <w:tc>
          <w:tcPr>
            <w:tcW w:w="2142" w:type="dxa"/>
            <w:tcBorders>
              <w:top w:val="nil"/>
              <w:left w:val="nil"/>
              <w:bottom w:val="single" w:color="auto" w:sz="4" w:space="0"/>
              <w:right w:val="single" w:color="auto" w:sz="4" w:space="0"/>
            </w:tcBorders>
            <w:shd w:val="clear" w:color="auto" w:fill="auto"/>
            <w:noWrap/>
            <w:vAlign w:val="center"/>
          </w:tcPr>
          <w:p w14:paraId="3EEB5174">
            <w:pPr>
              <w:widowControl/>
              <w:jc w:val="center"/>
              <w:rPr>
                <w:rFonts w:ascii="宋体" w:hAnsi="宋体" w:cs="宋体"/>
                <w:color w:val="000000"/>
                <w:kern w:val="0"/>
                <w:sz w:val="18"/>
                <w:szCs w:val="18"/>
              </w:rPr>
            </w:pPr>
            <w:r>
              <w:rPr>
                <w:rFonts w:hint="eastAsia" w:ascii="宋体" w:hAnsi="宋体" w:cs="宋体"/>
                <w:color w:val="000000"/>
                <w:kern w:val="0"/>
                <w:sz w:val="18"/>
                <w:szCs w:val="18"/>
              </w:rPr>
              <w:t>农村居民点用地</w:t>
            </w:r>
          </w:p>
        </w:tc>
        <w:tc>
          <w:tcPr>
            <w:tcW w:w="1835" w:type="dxa"/>
            <w:tcBorders>
              <w:top w:val="nil"/>
              <w:left w:val="nil"/>
              <w:bottom w:val="single" w:color="auto" w:sz="4" w:space="0"/>
              <w:right w:val="single" w:color="auto" w:sz="4" w:space="0"/>
            </w:tcBorders>
            <w:shd w:val="clear" w:color="auto" w:fill="auto"/>
            <w:noWrap/>
            <w:vAlign w:val="center"/>
          </w:tcPr>
          <w:p w14:paraId="7878FA00">
            <w:pPr>
              <w:widowControl/>
              <w:jc w:val="center"/>
              <w:rPr>
                <w:rFonts w:ascii="宋体" w:hAnsi="宋体" w:cs="宋体"/>
                <w:color w:val="000000"/>
                <w:kern w:val="0"/>
                <w:sz w:val="18"/>
                <w:szCs w:val="18"/>
              </w:rPr>
            </w:pPr>
            <w:r>
              <w:rPr>
                <w:rFonts w:hint="eastAsia" w:ascii="宋体" w:hAnsi="宋体" w:cs="宋体"/>
                <w:color w:val="000000"/>
                <w:kern w:val="0"/>
                <w:sz w:val="18"/>
                <w:szCs w:val="18"/>
              </w:rPr>
              <w:t>65.39</w:t>
            </w:r>
          </w:p>
        </w:tc>
        <w:tc>
          <w:tcPr>
            <w:tcW w:w="1945" w:type="dxa"/>
            <w:tcBorders>
              <w:top w:val="nil"/>
              <w:left w:val="nil"/>
              <w:bottom w:val="single" w:color="auto" w:sz="4" w:space="0"/>
              <w:right w:val="single" w:color="auto" w:sz="4" w:space="0"/>
            </w:tcBorders>
            <w:shd w:val="clear" w:color="auto" w:fill="auto"/>
            <w:noWrap/>
            <w:vAlign w:val="center"/>
          </w:tcPr>
          <w:p w14:paraId="32B045F3">
            <w:pPr>
              <w:widowControl/>
              <w:jc w:val="center"/>
              <w:rPr>
                <w:rFonts w:ascii="宋体" w:hAnsi="宋体" w:cs="宋体"/>
                <w:color w:val="000000"/>
                <w:kern w:val="0"/>
                <w:sz w:val="18"/>
                <w:szCs w:val="18"/>
              </w:rPr>
            </w:pPr>
            <w:r>
              <w:rPr>
                <w:rFonts w:hint="eastAsia" w:ascii="宋体" w:hAnsi="宋体" w:cs="宋体"/>
                <w:color w:val="000000"/>
                <w:kern w:val="0"/>
                <w:sz w:val="18"/>
                <w:szCs w:val="18"/>
              </w:rPr>
              <w:t>1.58</w:t>
            </w:r>
          </w:p>
        </w:tc>
      </w:tr>
      <w:tr w14:paraId="2935C497">
        <w:tblPrEx>
          <w:tblCellMar>
            <w:top w:w="0" w:type="dxa"/>
            <w:left w:w="108" w:type="dxa"/>
            <w:bottom w:w="0" w:type="dxa"/>
            <w:right w:w="108" w:type="dxa"/>
          </w:tblCellMar>
        </w:tblPrEx>
        <w:trPr>
          <w:trHeight w:val="312" w:hRule="atLeast"/>
          <w:jc w:val="center"/>
        </w:trPr>
        <w:tc>
          <w:tcPr>
            <w:tcW w:w="1085" w:type="dxa"/>
            <w:vMerge w:val="continue"/>
            <w:tcBorders>
              <w:top w:val="nil"/>
              <w:left w:val="single" w:color="auto" w:sz="4" w:space="0"/>
              <w:bottom w:val="single" w:color="000000" w:sz="4" w:space="0"/>
              <w:right w:val="single" w:color="auto" w:sz="4" w:space="0"/>
            </w:tcBorders>
            <w:vAlign w:val="center"/>
          </w:tcPr>
          <w:p w14:paraId="24D5E443">
            <w:pPr>
              <w:widowControl/>
              <w:jc w:val="center"/>
              <w:rPr>
                <w:rFonts w:ascii="宋体" w:hAnsi="宋体" w:cs="宋体"/>
                <w:color w:val="000000"/>
                <w:kern w:val="0"/>
                <w:sz w:val="18"/>
                <w:szCs w:val="18"/>
              </w:rPr>
            </w:pPr>
          </w:p>
        </w:tc>
        <w:tc>
          <w:tcPr>
            <w:tcW w:w="1476" w:type="dxa"/>
            <w:vMerge w:val="continue"/>
            <w:tcBorders>
              <w:top w:val="nil"/>
              <w:left w:val="single" w:color="auto" w:sz="4" w:space="0"/>
              <w:bottom w:val="single" w:color="000000" w:sz="4" w:space="0"/>
              <w:right w:val="single" w:color="auto" w:sz="4" w:space="0"/>
            </w:tcBorders>
            <w:vAlign w:val="center"/>
          </w:tcPr>
          <w:p w14:paraId="08D1576F">
            <w:pPr>
              <w:widowControl/>
              <w:jc w:val="center"/>
              <w:rPr>
                <w:rFonts w:ascii="宋体" w:hAnsi="宋体" w:cs="宋体"/>
                <w:color w:val="000000"/>
                <w:kern w:val="0"/>
                <w:sz w:val="18"/>
                <w:szCs w:val="18"/>
              </w:rPr>
            </w:pPr>
          </w:p>
        </w:tc>
        <w:tc>
          <w:tcPr>
            <w:tcW w:w="2142" w:type="dxa"/>
            <w:tcBorders>
              <w:top w:val="nil"/>
              <w:left w:val="nil"/>
              <w:bottom w:val="single" w:color="auto" w:sz="4" w:space="0"/>
              <w:right w:val="single" w:color="auto" w:sz="4" w:space="0"/>
            </w:tcBorders>
            <w:shd w:val="clear" w:color="auto" w:fill="auto"/>
            <w:noWrap/>
            <w:vAlign w:val="center"/>
          </w:tcPr>
          <w:p w14:paraId="42C3CA0F">
            <w:pPr>
              <w:widowControl/>
              <w:jc w:val="center"/>
              <w:rPr>
                <w:rFonts w:ascii="宋体" w:hAnsi="宋体" w:cs="宋体"/>
                <w:color w:val="000000"/>
                <w:kern w:val="0"/>
                <w:sz w:val="18"/>
                <w:szCs w:val="18"/>
              </w:rPr>
            </w:pPr>
            <w:r>
              <w:rPr>
                <w:rFonts w:hint="eastAsia" w:ascii="宋体" w:hAnsi="宋体" w:cs="宋体"/>
                <w:color w:val="000000"/>
                <w:kern w:val="0"/>
                <w:sz w:val="18"/>
                <w:szCs w:val="18"/>
              </w:rPr>
              <w:t>采矿用地</w:t>
            </w:r>
          </w:p>
        </w:tc>
        <w:tc>
          <w:tcPr>
            <w:tcW w:w="1835" w:type="dxa"/>
            <w:tcBorders>
              <w:top w:val="nil"/>
              <w:left w:val="nil"/>
              <w:bottom w:val="single" w:color="auto" w:sz="4" w:space="0"/>
              <w:right w:val="single" w:color="auto" w:sz="4" w:space="0"/>
            </w:tcBorders>
            <w:shd w:val="clear" w:color="auto" w:fill="auto"/>
            <w:noWrap/>
            <w:vAlign w:val="center"/>
          </w:tcPr>
          <w:p w14:paraId="6AB803F8">
            <w:pPr>
              <w:widowControl/>
              <w:jc w:val="center"/>
              <w:rPr>
                <w:rFonts w:ascii="宋体" w:hAnsi="宋体" w:cs="宋体"/>
                <w:color w:val="000000"/>
                <w:kern w:val="0"/>
                <w:sz w:val="18"/>
                <w:szCs w:val="18"/>
              </w:rPr>
            </w:pPr>
            <w:r>
              <w:rPr>
                <w:rFonts w:hint="eastAsia" w:ascii="宋体" w:hAnsi="宋体" w:cs="宋体"/>
                <w:color w:val="000000"/>
                <w:kern w:val="0"/>
                <w:sz w:val="18"/>
                <w:szCs w:val="18"/>
              </w:rPr>
              <w:t>91.95</w:t>
            </w:r>
          </w:p>
        </w:tc>
        <w:tc>
          <w:tcPr>
            <w:tcW w:w="1945" w:type="dxa"/>
            <w:tcBorders>
              <w:top w:val="nil"/>
              <w:left w:val="nil"/>
              <w:bottom w:val="single" w:color="auto" w:sz="4" w:space="0"/>
              <w:right w:val="single" w:color="auto" w:sz="4" w:space="0"/>
            </w:tcBorders>
            <w:shd w:val="clear" w:color="auto" w:fill="auto"/>
            <w:noWrap/>
            <w:vAlign w:val="center"/>
          </w:tcPr>
          <w:p w14:paraId="3559B857">
            <w:pPr>
              <w:widowControl/>
              <w:jc w:val="center"/>
              <w:rPr>
                <w:rFonts w:ascii="宋体" w:hAnsi="宋体" w:cs="宋体"/>
                <w:color w:val="000000"/>
                <w:kern w:val="0"/>
                <w:sz w:val="18"/>
                <w:szCs w:val="18"/>
              </w:rPr>
            </w:pPr>
            <w:r>
              <w:rPr>
                <w:rFonts w:hint="eastAsia" w:ascii="宋体" w:hAnsi="宋体" w:cs="宋体"/>
                <w:color w:val="000000"/>
                <w:kern w:val="0"/>
                <w:sz w:val="18"/>
                <w:szCs w:val="18"/>
              </w:rPr>
              <w:t>2.22</w:t>
            </w:r>
          </w:p>
        </w:tc>
      </w:tr>
      <w:tr w14:paraId="611325CA">
        <w:tblPrEx>
          <w:tblCellMar>
            <w:top w:w="0" w:type="dxa"/>
            <w:left w:w="108" w:type="dxa"/>
            <w:bottom w:w="0" w:type="dxa"/>
            <w:right w:w="108" w:type="dxa"/>
          </w:tblCellMar>
        </w:tblPrEx>
        <w:trPr>
          <w:trHeight w:val="312" w:hRule="atLeast"/>
          <w:jc w:val="center"/>
        </w:trPr>
        <w:tc>
          <w:tcPr>
            <w:tcW w:w="1085" w:type="dxa"/>
            <w:vMerge w:val="continue"/>
            <w:tcBorders>
              <w:top w:val="nil"/>
              <w:left w:val="single" w:color="auto" w:sz="4" w:space="0"/>
              <w:bottom w:val="single" w:color="000000" w:sz="4" w:space="0"/>
              <w:right w:val="single" w:color="auto" w:sz="4" w:space="0"/>
            </w:tcBorders>
            <w:vAlign w:val="center"/>
          </w:tcPr>
          <w:p w14:paraId="25F2BE02">
            <w:pPr>
              <w:widowControl/>
              <w:jc w:val="center"/>
              <w:rPr>
                <w:rFonts w:ascii="宋体" w:hAnsi="宋体" w:cs="宋体"/>
                <w:color w:val="000000"/>
                <w:kern w:val="0"/>
                <w:sz w:val="18"/>
                <w:szCs w:val="18"/>
              </w:rPr>
            </w:pPr>
          </w:p>
        </w:tc>
        <w:tc>
          <w:tcPr>
            <w:tcW w:w="1476" w:type="dxa"/>
            <w:vMerge w:val="continue"/>
            <w:tcBorders>
              <w:top w:val="nil"/>
              <w:left w:val="single" w:color="auto" w:sz="4" w:space="0"/>
              <w:bottom w:val="single" w:color="000000" w:sz="4" w:space="0"/>
              <w:right w:val="single" w:color="auto" w:sz="4" w:space="0"/>
            </w:tcBorders>
            <w:vAlign w:val="center"/>
          </w:tcPr>
          <w:p w14:paraId="45C9489E">
            <w:pPr>
              <w:widowControl/>
              <w:jc w:val="center"/>
              <w:rPr>
                <w:rFonts w:ascii="宋体" w:hAnsi="宋体" w:cs="宋体"/>
                <w:color w:val="000000"/>
                <w:kern w:val="0"/>
                <w:sz w:val="18"/>
                <w:szCs w:val="18"/>
              </w:rPr>
            </w:pPr>
          </w:p>
        </w:tc>
        <w:tc>
          <w:tcPr>
            <w:tcW w:w="2142" w:type="dxa"/>
            <w:tcBorders>
              <w:top w:val="nil"/>
              <w:left w:val="nil"/>
              <w:bottom w:val="single" w:color="auto" w:sz="4" w:space="0"/>
              <w:right w:val="single" w:color="auto" w:sz="4" w:space="0"/>
            </w:tcBorders>
            <w:shd w:val="clear" w:color="auto" w:fill="auto"/>
            <w:noWrap/>
            <w:vAlign w:val="center"/>
          </w:tcPr>
          <w:p w14:paraId="0FC3CCB7">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835" w:type="dxa"/>
            <w:tcBorders>
              <w:top w:val="nil"/>
              <w:left w:val="nil"/>
              <w:bottom w:val="single" w:color="auto" w:sz="4" w:space="0"/>
              <w:right w:val="single" w:color="auto" w:sz="4" w:space="0"/>
            </w:tcBorders>
            <w:shd w:val="clear" w:color="auto" w:fill="auto"/>
            <w:noWrap/>
            <w:vAlign w:val="center"/>
          </w:tcPr>
          <w:p w14:paraId="5E91BFA9">
            <w:pPr>
              <w:widowControl/>
              <w:jc w:val="center"/>
              <w:rPr>
                <w:rFonts w:ascii="宋体" w:hAnsi="宋体" w:cs="宋体"/>
                <w:color w:val="000000"/>
                <w:kern w:val="0"/>
                <w:sz w:val="18"/>
                <w:szCs w:val="18"/>
              </w:rPr>
            </w:pPr>
            <w:r>
              <w:rPr>
                <w:rFonts w:hint="eastAsia" w:ascii="宋体" w:hAnsi="宋体" w:cs="宋体"/>
                <w:color w:val="000000"/>
                <w:kern w:val="0"/>
                <w:sz w:val="18"/>
                <w:szCs w:val="18"/>
              </w:rPr>
              <w:t>524.18</w:t>
            </w:r>
          </w:p>
        </w:tc>
        <w:tc>
          <w:tcPr>
            <w:tcW w:w="1945" w:type="dxa"/>
            <w:tcBorders>
              <w:top w:val="nil"/>
              <w:left w:val="nil"/>
              <w:bottom w:val="single" w:color="auto" w:sz="4" w:space="0"/>
              <w:right w:val="single" w:color="auto" w:sz="4" w:space="0"/>
            </w:tcBorders>
            <w:shd w:val="clear" w:color="auto" w:fill="auto"/>
            <w:noWrap/>
            <w:vAlign w:val="center"/>
          </w:tcPr>
          <w:p w14:paraId="55171403">
            <w:pPr>
              <w:widowControl/>
              <w:jc w:val="center"/>
              <w:rPr>
                <w:rFonts w:ascii="宋体" w:hAnsi="宋体" w:cs="宋体"/>
                <w:color w:val="000000"/>
                <w:kern w:val="0"/>
                <w:sz w:val="18"/>
                <w:szCs w:val="18"/>
              </w:rPr>
            </w:pPr>
            <w:r>
              <w:rPr>
                <w:rFonts w:hint="eastAsia" w:ascii="宋体" w:hAnsi="宋体" w:cs="宋体"/>
                <w:color w:val="000000"/>
                <w:kern w:val="0"/>
                <w:sz w:val="18"/>
                <w:szCs w:val="18"/>
              </w:rPr>
              <w:t>12.68</w:t>
            </w:r>
          </w:p>
        </w:tc>
      </w:tr>
      <w:tr w14:paraId="3E3A0399">
        <w:tblPrEx>
          <w:tblCellMar>
            <w:top w:w="0" w:type="dxa"/>
            <w:left w:w="108" w:type="dxa"/>
            <w:bottom w:w="0" w:type="dxa"/>
            <w:right w:w="108" w:type="dxa"/>
          </w:tblCellMar>
        </w:tblPrEx>
        <w:trPr>
          <w:trHeight w:val="312" w:hRule="atLeast"/>
          <w:jc w:val="center"/>
        </w:trPr>
        <w:tc>
          <w:tcPr>
            <w:tcW w:w="1085" w:type="dxa"/>
            <w:vMerge w:val="continue"/>
            <w:tcBorders>
              <w:top w:val="nil"/>
              <w:left w:val="single" w:color="auto" w:sz="4" w:space="0"/>
              <w:bottom w:val="single" w:color="000000" w:sz="4" w:space="0"/>
              <w:right w:val="single" w:color="auto" w:sz="4" w:space="0"/>
            </w:tcBorders>
            <w:vAlign w:val="center"/>
          </w:tcPr>
          <w:p w14:paraId="04455EEF">
            <w:pPr>
              <w:widowControl/>
              <w:jc w:val="center"/>
              <w:rPr>
                <w:rFonts w:ascii="宋体" w:hAnsi="宋体" w:cs="宋体"/>
                <w:color w:val="000000"/>
                <w:kern w:val="0"/>
                <w:sz w:val="18"/>
                <w:szCs w:val="18"/>
              </w:rPr>
            </w:pPr>
          </w:p>
        </w:tc>
        <w:tc>
          <w:tcPr>
            <w:tcW w:w="3618" w:type="dxa"/>
            <w:gridSpan w:val="2"/>
            <w:tcBorders>
              <w:top w:val="single" w:color="auto" w:sz="4" w:space="0"/>
              <w:left w:val="nil"/>
              <w:bottom w:val="single" w:color="auto" w:sz="4" w:space="0"/>
              <w:right w:val="single" w:color="000000" w:sz="4" w:space="0"/>
            </w:tcBorders>
            <w:shd w:val="clear" w:color="auto" w:fill="auto"/>
            <w:noWrap/>
            <w:vAlign w:val="center"/>
          </w:tcPr>
          <w:p w14:paraId="5E370EA5">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交通水利用地</w:t>
            </w:r>
          </w:p>
        </w:tc>
        <w:tc>
          <w:tcPr>
            <w:tcW w:w="1835" w:type="dxa"/>
            <w:tcBorders>
              <w:top w:val="nil"/>
              <w:left w:val="nil"/>
              <w:bottom w:val="single" w:color="auto" w:sz="4" w:space="0"/>
              <w:right w:val="single" w:color="auto" w:sz="4" w:space="0"/>
            </w:tcBorders>
            <w:shd w:val="clear" w:color="auto" w:fill="auto"/>
            <w:noWrap/>
            <w:vAlign w:val="center"/>
          </w:tcPr>
          <w:p w14:paraId="2E3A657C">
            <w:pPr>
              <w:widowControl/>
              <w:jc w:val="center"/>
              <w:rPr>
                <w:rFonts w:ascii="宋体" w:hAnsi="宋体" w:cs="宋体"/>
                <w:color w:val="000000"/>
                <w:kern w:val="0"/>
                <w:sz w:val="18"/>
                <w:szCs w:val="18"/>
              </w:rPr>
            </w:pPr>
            <w:r>
              <w:rPr>
                <w:rFonts w:hint="eastAsia" w:ascii="宋体" w:hAnsi="宋体" w:cs="宋体"/>
                <w:color w:val="000000"/>
                <w:kern w:val="0"/>
                <w:sz w:val="18"/>
                <w:szCs w:val="18"/>
              </w:rPr>
              <w:t>137.84</w:t>
            </w:r>
          </w:p>
        </w:tc>
        <w:tc>
          <w:tcPr>
            <w:tcW w:w="1945" w:type="dxa"/>
            <w:tcBorders>
              <w:top w:val="nil"/>
              <w:left w:val="nil"/>
              <w:bottom w:val="single" w:color="auto" w:sz="4" w:space="0"/>
              <w:right w:val="single" w:color="auto" w:sz="4" w:space="0"/>
            </w:tcBorders>
            <w:shd w:val="clear" w:color="auto" w:fill="auto"/>
            <w:noWrap/>
            <w:vAlign w:val="center"/>
          </w:tcPr>
          <w:p w14:paraId="6B372679">
            <w:pPr>
              <w:widowControl/>
              <w:jc w:val="center"/>
              <w:rPr>
                <w:rFonts w:ascii="宋体" w:hAnsi="宋体" w:cs="宋体"/>
                <w:color w:val="000000"/>
                <w:kern w:val="0"/>
                <w:sz w:val="18"/>
                <w:szCs w:val="18"/>
              </w:rPr>
            </w:pPr>
            <w:r>
              <w:rPr>
                <w:rFonts w:hint="eastAsia" w:ascii="宋体" w:hAnsi="宋体" w:cs="宋体"/>
                <w:color w:val="000000"/>
                <w:kern w:val="0"/>
                <w:sz w:val="18"/>
                <w:szCs w:val="18"/>
              </w:rPr>
              <w:t>3.34</w:t>
            </w:r>
          </w:p>
        </w:tc>
      </w:tr>
      <w:tr w14:paraId="73FA2EC0">
        <w:tblPrEx>
          <w:tblCellMar>
            <w:top w:w="0" w:type="dxa"/>
            <w:left w:w="108" w:type="dxa"/>
            <w:bottom w:w="0" w:type="dxa"/>
            <w:right w:w="108" w:type="dxa"/>
          </w:tblCellMar>
        </w:tblPrEx>
        <w:trPr>
          <w:trHeight w:val="312" w:hRule="atLeast"/>
          <w:jc w:val="center"/>
        </w:trPr>
        <w:tc>
          <w:tcPr>
            <w:tcW w:w="1085" w:type="dxa"/>
            <w:vMerge w:val="continue"/>
            <w:tcBorders>
              <w:top w:val="nil"/>
              <w:left w:val="single" w:color="auto" w:sz="4" w:space="0"/>
              <w:bottom w:val="single" w:color="000000" w:sz="4" w:space="0"/>
              <w:right w:val="single" w:color="auto" w:sz="4" w:space="0"/>
            </w:tcBorders>
            <w:vAlign w:val="center"/>
          </w:tcPr>
          <w:p w14:paraId="5510E256">
            <w:pPr>
              <w:widowControl/>
              <w:jc w:val="center"/>
              <w:rPr>
                <w:rFonts w:ascii="宋体" w:hAnsi="宋体" w:cs="宋体"/>
                <w:color w:val="000000"/>
                <w:kern w:val="0"/>
                <w:sz w:val="18"/>
                <w:szCs w:val="18"/>
              </w:rPr>
            </w:pPr>
          </w:p>
        </w:tc>
        <w:tc>
          <w:tcPr>
            <w:tcW w:w="3618" w:type="dxa"/>
            <w:gridSpan w:val="2"/>
            <w:tcBorders>
              <w:top w:val="single" w:color="auto" w:sz="4" w:space="0"/>
              <w:left w:val="nil"/>
              <w:bottom w:val="single" w:color="auto" w:sz="4" w:space="0"/>
              <w:right w:val="single" w:color="000000" w:sz="4" w:space="0"/>
            </w:tcBorders>
            <w:shd w:val="clear" w:color="auto" w:fill="auto"/>
            <w:noWrap/>
            <w:vAlign w:val="center"/>
          </w:tcPr>
          <w:p w14:paraId="0D7A75A2">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其他建设用地</w:t>
            </w:r>
          </w:p>
        </w:tc>
        <w:tc>
          <w:tcPr>
            <w:tcW w:w="1835" w:type="dxa"/>
            <w:tcBorders>
              <w:top w:val="nil"/>
              <w:left w:val="nil"/>
              <w:bottom w:val="single" w:color="auto" w:sz="4" w:space="0"/>
              <w:right w:val="single" w:color="auto" w:sz="4" w:space="0"/>
            </w:tcBorders>
            <w:shd w:val="clear" w:color="auto" w:fill="auto"/>
            <w:noWrap/>
            <w:vAlign w:val="center"/>
          </w:tcPr>
          <w:p w14:paraId="47FC318D">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945" w:type="dxa"/>
            <w:tcBorders>
              <w:top w:val="nil"/>
              <w:left w:val="nil"/>
              <w:bottom w:val="single" w:color="auto" w:sz="4" w:space="0"/>
              <w:right w:val="single" w:color="auto" w:sz="4" w:space="0"/>
            </w:tcBorders>
            <w:shd w:val="clear" w:color="auto" w:fill="auto"/>
            <w:noWrap/>
            <w:vAlign w:val="center"/>
          </w:tcPr>
          <w:p w14:paraId="351A14DB">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r>
      <w:tr w14:paraId="0DAAA31A">
        <w:tblPrEx>
          <w:tblCellMar>
            <w:top w:w="0" w:type="dxa"/>
            <w:left w:w="108" w:type="dxa"/>
            <w:bottom w:w="0" w:type="dxa"/>
            <w:right w:w="108" w:type="dxa"/>
          </w:tblCellMar>
        </w:tblPrEx>
        <w:trPr>
          <w:trHeight w:val="312" w:hRule="atLeast"/>
          <w:jc w:val="center"/>
        </w:trPr>
        <w:tc>
          <w:tcPr>
            <w:tcW w:w="1085" w:type="dxa"/>
            <w:vMerge w:val="continue"/>
            <w:tcBorders>
              <w:top w:val="nil"/>
              <w:left w:val="single" w:color="auto" w:sz="4" w:space="0"/>
              <w:bottom w:val="single" w:color="000000" w:sz="4" w:space="0"/>
              <w:right w:val="single" w:color="auto" w:sz="4" w:space="0"/>
            </w:tcBorders>
            <w:vAlign w:val="center"/>
          </w:tcPr>
          <w:p w14:paraId="4FDFCE5B">
            <w:pPr>
              <w:widowControl/>
              <w:jc w:val="center"/>
              <w:rPr>
                <w:rFonts w:ascii="宋体" w:hAnsi="宋体" w:cs="宋体"/>
                <w:color w:val="000000"/>
                <w:kern w:val="0"/>
                <w:sz w:val="18"/>
                <w:szCs w:val="18"/>
              </w:rPr>
            </w:pPr>
          </w:p>
        </w:tc>
        <w:tc>
          <w:tcPr>
            <w:tcW w:w="3618" w:type="dxa"/>
            <w:gridSpan w:val="2"/>
            <w:tcBorders>
              <w:top w:val="single" w:color="auto" w:sz="4" w:space="0"/>
              <w:left w:val="nil"/>
              <w:bottom w:val="single" w:color="auto" w:sz="4" w:space="0"/>
              <w:right w:val="single" w:color="000000" w:sz="4" w:space="0"/>
            </w:tcBorders>
            <w:shd w:val="clear" w:color="auto" w:fill="auto"/>
            <w:noWrap/>
            <w:vAlign w:val="center"/>
          </w:tcPr>
          <w:p w14:paraId="2C6BAE3A">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建设用地合计</w:t>
            </w:r>
          </w:p>
        </w:tc>
        <w:tc>
          <w:tcPr>
            <w:tcW w:w="1835" w:type="dxa"/>
            <w:tcBorders>
              <w:top w:val="nil"/>
              <w:left w:val="nil"/>
              <w:bottom w:val="single" w:color="auto" w:sz="4" w:space="0"/>
              <w:right w:val="single" w:color="auto" w:sz="4" w:space="0"/>
            </w:tcBorders>
            <w:shd w:val="clear" w:color="auto" w:fill="auto"/>
            <w:noWrap/>
            <w:vAlign w:val="center"/>
          </w:tcPr>
          <w:p w14:paraId="4A546F37">
            <w:pPr>
              <w:widowControl/>
              <w:jc w:val="center"/>
              <w:rPr>
                <w:rFonts w:ascii="宋体" w:hAnsi="宋体" w:cs="宋体"/>
                <w:color w:val="000000"/>
                <w:kern w:val="0"/>
                <w:sz w:val="18"/>
                <w:szCs w:val="18"/>
              </w:rPr>
            </w:pPr>
            <w:r>
              <w:rPr>
                <w:rFonts w:hint="eastAsia" w:ascii="宋体" w:hAnsi="宋体" w:cs="宋体"/>
                <w:color w:val="000000"/>
                <w:kern w:val="0"/>
                <w:sz w:val="18"/>
                <w:szCs w:val="18"/>
              </w:rPr>
              <w:t>662.02</w:t>
            </w:r>
          </w:p>
        </w:tc>
        <w:tc>
          <w:tcPr>
            <w:tcW w:w="1945" w:type="dxa"/>
            <w:tcBorders>
              <w:top w:val="nil"/>
              <w:left w:val="nil"/>
              <w:bottom w:val="single" w:color="auto" w:sz="4" w:space="0"/>
              <w:right w:val="single" w:color="auto" w:sz="4" w:space="0"/>
            </w:tcBorders>
            <w:shd w:val="clear" w:color="auto" w:fill="auto"/>
            <w:noWrap/>
            <w:vAlign w:val="center"/>
          </w:tcPr>
          <w:p w14:paraId="139A4ACC">
            <w:pPr>
              <w:widowControl/>
              <w:jc w:val="center"/>
              <w:rPr>
                <w:rFonts w:ascii="宋体" w:hAnsi="宋体" w:cs="宋体"/>
                <w:color w:val="000000"/>
                <w:kern w:val="0"/>
                <w:sz w:val="18"/>
                <w:szCs w:val="18"/>
              </w:rPr>
            </w:pPr>
            <w:r>
              <w:rPr>
                <w:rFonts w:hint="eastAsia" w:ascii="宋体" w:hAnsi="宋体" w:cs="宋体"/>
                <w:color w:val="000000"/>
                <w:kern w:val="0"/>
                <w:sz w:val="18"/>
                <w:szCs w:val="18"/>
              </w:rPr>
              <w:t>16.02</w:t>
            </w:r>
          </w:p>
        </w:tc>
      </w:tr>
      <w:tr w14:paraId="2AFC7C35">
        <w:tblPrEx>
          <w:tblCellMar>
            <w:top w:w="0" w:type="dxa"/>
            <w:left w:w="108" w:type="dxa"/>
            <w:bottom w:w="0" w:type="dxa"/>
            <w:right w:w="108" w:type="dxa"/>
          </w:tblCellMar>
        </w:tblPrEx>
        <w:trPr>
          <w:trHeight w:val="312" w:hRule="atLeast"/>
          <w:jc w:val="center"/>
        </w:trPr>
        <w:tc>
          <w:tcPr>
            <w:tcW w:w="1085" w:type="dxa"/>
            <w:vMerge w:val="restart"/>
            <w:tcBorders>
              <w:top w:val="nil"/>
              <w:left w:val="single" w:color="auto" w:sz="4" w:space="0"/>
              <w:bottom w:val="single" w:color="000000" w:sz="4" w:space="0"/>
              <w:right w:val="single" w:color="auto" w:sz="4" w:space="0"/>
            </w:tcBorders>
            <w:shd w:val="clear" w:color="auto" w:fill="auto"/>
            <w:noWrap/>
            <w:vAlign w:val="center"/>
          </w:tcPr>
          <w:p w14:paraId="32188E68">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其他土地</w:t>
            </w:r>
          </w:p>
        </w:tc>
        <w:tc>
          <w:tcPr>
            <w:tcW w:w="3618" w:type="dxa"/>
            <w:gridSpan w:val="2"/>
            <w:tcBorders>
              <w:top w:val="single" w:color="auto" w:sz="4" w:space="0"/>
              <w:left w:val="nil"/>
              <w:bottom w:val="single" w:color="auto" w:sz="4" w:space="0"/>
              <w:right w:val="single" w:color="000000" w:sz="4" w:space="0"/>
            </w:tcBorders>
            <w:shd w:val="clear" w:color="auto" w:fill="auto"/>
            <w:noWrap/>
            <w:vAlign w:val="center"/>
          </w:tcPr>
          <w:p w14:paraId="25109021">
            <w:pPr>
              <w:widowControl/>
              <w:jc w:val="center"/>
              <w:rPr>
                <w:rFonts w:ascii="宋体" w:hAnsi="宋体" w:cs="宋体"/>
                <w:color w:val="000000"/>
                <w:kern w:val="0"/>
                <w:sz w:val="18"/>
                <w:szCs w:val="18"/>
              </w:rPr>
            </w:pPr>
            <w:r>
              <w:rPr>
                <w:rFonts w:hint="eastAsia" w:ascii="宋体" w:hAnsi="宋体" w:cs="宋体"/>
                <w:color w:val="000000"/>
                <w:kern w:val="0"/>
                <w:sz w:val="18"/>
                <w:szCs w:val="18"/>
              </w:rPr>
              <w:t>水域</w:t>
            </w:r>
          </w:p>
        </w:tc>
        <w:tc>
          <w:tcPr>
            <w:tcW w:w="1835" w:type="dxa"/>
            <w:tcBorders>
              <w:top w:val="nil"/>
              <w:left w:val="nil"/>
              <w:bottom w:val="single" w:color="auto" w:sz="4" w:space="0"/>
              <w:right w:val="single" w:color="auto" w:sz="4" w:space="0"/>
            </w:tcBorders>
            <w:shd w:val="clear" w:color="auto" w:fill="auto"/>
            <w:noWrap/>
            <w:vAlign w:val="center"/>
          </w:tcPr>
          <w:p w14:paraId="59B2928E">
            <w:pPr>
              <w:widowControl/>
              <w:jc w:val="center"/>
              <w:rPr>
                <w:rFonts w:ascii="宋体" w:hAnsi="宋体" w:cs="宋体"/>
                <w:color w:val="000000"/>
                <w:kern w:val="0"/>
                <w:sz w:val="18"/>
                <w:szCs w:val="18"/>
              </w:rPr>
            </w:pPr>
            <w:r>
              <w:rPr>
                <w:rFonts w:hint="eastAsia" w:ascii="宋体" w:hAnsi="宋体" w:cs="宋体"/>
                <w:color w:val="000000"/>
                <w:kern w:val="0"/>
                <w:sz w:val="18"/>
                <w:szCs w:val="18"/>
              </w:rPr>
              <w:t>1604.14</w:t>
            </w:r>
          </w:p>
        </w:tc>
        <w:tc>
          <w:tcPr>
            <w:tcW w:w="1945" w:type="dxa"/>
            <w:tcBorders>
              <w:top w:val="nil"/>
              <w:left w:val="nil"/>
              <w:bottom w:val="single" w:color="auto" w:sz="4" w:space="0"/>
              <w:right w:val="single" w:color="auto" w:sz="4" w:space="0"/>
            </w:tcBorders>
            <w:shd w:val="clear" w:color="auto" w:fill="auto"/>
            <w:noWrap/>
            <w:vAlign w:val="center"/>
          </w:tcPr>
          <w:p w14:paraId="56626717">
            <w:pPr>
              <w:widowControl/>
              <w:jc w:val="center"/>
              <w:rPr>
                <w:rFonts w:ascii="宋体" w:hAnsi="宋体" w:cs="宋体"/>
                <w:color w:val="000000"/>
                <w:kern w:val="0"/>
                <w:sz w:val="18"/>
                <w:szCs w:val="18"/>
              </w:rPr>
            </w:pPr>
            <w:r>
              <w:rPr>
                <w:rFonts w:hint="eastAsia" w:ascii="宋体" w:hAnsi="宋体" w:cs="宋体"/>
                <w:color w:val="000000"/>
                <w:kern w:val="0"/>
                <w:sz w:val="18"/>
                <w:szCs w:val="18"/>
              </w:rPr>
              <w:t>38.81</w:t>
            </w:r>
          </w:p>
        </w:tc>
      </w:tr>
      <w:tr w14:paraId="040282FB">
        <w:tblPrEx>
          <w:tblCellMar>
            <w:top w:w="0" w:type="dxa"/>
            <w:left w:w="108" w:type="dxa"/>
            <w:bottom w:w="0" w:type="dxa"/>
            <w:right w:w="108" w:type="dxa"/>
          </w:tblCellMar>
        </w:tblPrEx>
        <w:trPr>
          <w:trHeight w:val="312" w:hRule="atLeast"/>
          <w:jc w:val="center"/>
        </w:trPr>
        <w:tc>
          <w:tcPr>
            <w:tcW w:w="1085" w:type="dxa"/>
            <w:vMerge w:val="continue"/>
            <w:tcBorders>
              <w:top w:val="nil"/>
              <w:left w:val="single" w:color="auto" w:sz="4" w:space="0"/>
              <w:bottom w:val="single" w:color="000000" w:sz="4" w:space="0"/>
              <w:right w:val="single" w:color="auto" w:sz="4" w:space="0"/>
            </w:tcBorders>
            <w:vAlign w:val="center"/>
          </w:tcPr>
          <w:p w14:paraId="27611E91">
            <w:pPr>
              <w:widowControl/>
              <w:jc w:val="center"/>
              <w:rPr>
                <w:rFonts w:ascii="宋体" w:hAnsi="宋体" w:cs="宋体"/>
                <w:color w:val="000000"/>
                <w:kern w:val="0"/>
                <w:sz w:val="18"/>
                <w:szCs w:val="18"/>
              </w:rPr>
            </w:pPr>
          </w:p>
        </w:tc>
        <w:tc>
          <w:tcPr>
            <w:tcW w:w="3618" w:type="dxa"/>
            <w:gridSpan w:val="2"/>
            <w:tcBorders>
              <w:top w:val="single" w:color="auto" w:sz="4" w:space="0"/>
              <w:left w:val="nil"/>
              <w:bottom w:val="single" w:color="auto" w:sz="4" w:space="0"/>
              <w:right w:val="single" w:color="000000" w:sz="4" w:space="0"/>
            </w:tcBorders>
            <w:shd w:val="clear" w:color="auto" w:fill="auto"/>
            <w:noWrap/>
            <w:vAlign w:val="center"/>
          </w:tcPr>
          <w:p w14:paraId="19D6D3F3">
            <w:pPr>
              <w:widowControl/>
              <w:jc w:val="center"/>
              <w:rPr>
                <w:rFonts w:ascii="宋体" w:hAnsi="宋体" w:cs="宋体"/>
                <w:color w:val="000000"/>
                <w:kern w:val="0"/>
                <w:sz w:val="18"/>
                <w:szCs w:val="18"/>
              </w:rPr>
            </w:pPr>
            <w:r>
              <w:rPr>
                <w:rFonts w:hint="eastAsia" w:ascii="宋体" w:hAnsi="宋体" w:cs="宋体"/>
                <w:color w:val="000000"/>
                <w:kern w:val="0"/>
                <w:sz w:val="18"/>
                <w:szCs w:val="18"/>
              </w:rPr>
              <w:t>自然保留地</w:t>
            </w:r>
          </w:p>
        </w:tc>
        <w:tc>
          <w:tcPr>
            <w:tcW w:w="1835" w:type="dxa"/>
            <w:tcBorders>
              <w:top w:val="nil"/>
              <w:left w:val="nil"/>
              <w:bottom w:val="single" w:color="auto" w:sz="4" w:space="0"/>
              <w:right w:val="single" w:color="auto" w:sz="4" w:space="0"/>
            </w:tcBorders>
            <w:shd w:val="clear" w:color="auto" w:fill="auto"/>
            <w:noWrap/>
            <w:vAlign w:val="center"/>
          </w:tcPr>
          <w:p w14:paraId="6814BE56">
            <w:pPr>
              <w:widowControl/>
              <w:jc w:val="center"/>
              <w:rPr>
                <w:rFonts w:ascii="宋体" w:hAnsi="宋体" w:cs="宋体"/>
                <w:color w:val="000000"/>
                <w:kern w:val="0"/>
                <w:sz w:val="18"/>
                <w:szCs w:val="18"/>
              </w:rPr>
            </w:pPr>
            <w:r>
              <w:rPr>
                <w:rFonts w:hint="eastAsia" w:ascii="宋体" w:hAnsi="宋体" w:cs="宋体"/>
                <w:color w:val="000000"/>
                <w:kern w:val="0"/>
                <w:sz w:val="18"/>
                <w:szCs w:val="18"/>
              </w:rPr>
              <w:t>203.11</w:t>
            </w:r>
          </w:p>
        </w:tc>
        <w:tc>
          <w:tcPr>
            <w:tcW w:w="1945" w:type="dxa"/>
            <w:tcBorders>
              <w:top w:val="nil"/>
              <w:left w:val="nil"/>
              <w:bottom w:val="single" w:color="auto" w:sz="4" w:space="0"/>
              <w:right w:val="single" w:color="auto" w:sz="4" w:space="0"/>
            </w:tcBorders>
            <w:shd w:val="clear" w:color="auto" w:fill="auto"/>
            <w:noWrap/>
            <w:vAlign w:val="center"/>
          </w:tcPr>
          <w:p w14:paraId="3EF19F9B">
            <w:pPr>
              <w:widowControl/>
              <w:jc w:val="center"/>
              <w:rPr>
                <w:rFonts w:ascii="宋体" w:hAnsi="宋体" w:cs="宋体"/>
                <w:color w:val="000000"/>
                <w:kern w:val="0"/>
                <w:sz w:val="18"/>
                <w:szCs w:val="18"/>
              </w:rPr>
            </w:pPr>
            <w:r>
              <w:rPr>
                <w:rFonts w:hint="eastAsia" w:ascii="宋体" w:hAnsi="宋体" w:cs="宋体"/>
                <w:color w:val="000000"/>
                <w:kern w:val="0"/>
                <w:sz w:val="18"/>
                <w:szCs w:val="18"/>
              </w:rPr>
              <w:t>4.91</w:t>
            </w:r>
          </w:p>
        </w:tc>
      </w:tr>
      <w:tr w14:paraId="130C1D9A">
        <w:tblPrEx>
          <w:tblCellMar>
            <w:top w:w="0" w:type="dxa"/>
            <w:left w:w="108" w:type="dxa"/>
            <w:bottom w:w="0" w:type="dxa"/>
            <w:right w:w="108" w:type="dxa"/>
          </w:tblCellMar>
        </w:tblPrEx>
        <w:trPr>
          <w:trHeight w:val="312" w:hRule="atLeast"/>
          <w:jc w:val="center"/>
        </w:trPr>
        <w:tc>
          <w:tcPr>
            <w:tcW w:w="1085" w:type="dxa"/>
            <w:vMerge w:val="continue"/>
            <w:tcBorders>
              <w:top w:val="nil"/>
              <w:left w:val="single" w:color="auto" w:sz="4" w:space="0"/>
              <w:bottom w:val="single" w:color="000000" w:sz="4" w:space="0"/>
              <w:right w:val="single" w:color="auto" w:sz="4" w:space="0"/>
            </w:tcBorders>
            <w:vAlign w:val="center"/>
          </w:tcPr>
          <w:p w14:paraId="1F6D1D83">
            <w:pPr>
              <w:widowControl/>
              <w:jc w:val="center"/>
              <w:rPr>
                <w:rFonts w:ascii="宋体" w:hAnsi="宋体" w:cs="宋体"/>
                <w:color w:val="000000"/>
                <w:kern w:val="0"/>
                <w:sz w:val="18"/>
                <w:szCs w:val="18"/>
              </w:rPr>
            </w:pPr>
          </w:p>
        </w:tc>
        <w:tc>
          <w:tcPr>
            <w:tcW w:w="3618" w:type="dxa"/>
            <w:gridSpan w:val="2"/>
            <w:tcBorders>
              <w:top w:val="single" w:color="auto" w:sz="4" w:space="0"/>
              <w:left w:val="nil"/>
              <w:bottom w:val="single" w:color="auto" w:sz="4" w:space="0"/>
              <w:right w:val="single" w:color="000000" w:sz="4" w:space="0"/>
            </w:tcBorders>
            <w:shd w:val="clear" w:color="auto" w:fill="auto"/>
            <w:noWrap/>
            <w:vAlign w:val="center"/>
          </w:tcPr>
          <w:p w14:paraId="3F6A664A">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其他土地合计</w:t>
            </w:r>
          </w:p>
        </w:tc>
        <w:tc>
          <w:tcPr>
            <w:tcW w:w="1835" w:type="dxa"/>
            <w:tcBorders>
              <w:top w:val="nil"/>
              <w:left w:val="nil"/>
              <w:bottom w:val="single" w:color="auto" w:sz="4" w:space="0"/>
              <w:right w:val="single" w:color="auto" w:sz="4" w:space="0"/>
            </w:tcBorders>
            <w:shd w:val="clear" w:color="auto" w:fill="auto"/>
            <w:noWrap/>
            <w:vAlign w:val="center"/>
          </w:tcPr>
          <w:p w14:paraId="15F030B5">
            <w:pPr>
              <w:widowControl/>
              <w:jc w:val="center"/>
              <w:rPr>
                <w:rFonts w:ascii="宋体" w:hAnsi="宋体" w:cs="宋体"/>
                <w:color w:val="000000"/>
                <w:kern w:val="0"/>
                <w:sz w:val="18"/>
                <w:szCs w:val="18"/>
              </w:rPr>
            </w:pPr>
            <w:r>
              <w:rPr>
                <w:rFonts w:hint="eastAsia" w:ascii="宋体" w:hAnsi="宋体" w:cs="宋体"/>
                <w:color w:val="000000"/>
                <w:kern w:val="0"/>
                <w:sz w:val="18"/>
                <w:szCs w:val="18"/>
              </w:rPr>
              <w:t>1807.25</w:t>
            </w:r>
          </w:p>
        </w:tc>
        <w:tc>
          <w:tcPr>
            <w:tcW w:w="1945" w:type="dxa"/>
            <w:tcBorders>
              <w:top w:val="nil"/>
              <w:left w:val="nil"/>
              <w:bottom w:val="single" w:color="auto" w:sz="4" w:space="0"/>
              <w:right w:val="single" w:color="auto" w:sz="4" w:space="0"/>
            </w:tcBorders>
            <w:shd w:val="clear" w:color="auto" w:fill="auto"/>
            <w:noWrap/>
            <w:vAlign w:val="center"/>
          </w:tcPr>
          <w:p w14:paraId="783664B8">
            <w:pPr>
              <w:widowControl/>
              <w:jc w:val="center"/>
              <w:rPr>
                <w:rFonts w:ascii="宋体" w:hAnsi="宋体" w:cs="宋体"/>
                <w:color w:val="000000"/>
                <w:kern w:val="0"/>
                <w:sz w:val="18"/>
                <w:szCs w:val="18"/>
              </w:rPr>
            </w:pPr>
            <w:r>
              <w:rPr>
                <w:rFonts w:hint="eastAsia" w:ascii="宋体" w:hAnsi="宋体" w:cs="宋体"/>
                <w:color w:val="000000"/>
                <w:kern w:val="0"/>
                <w:sz w:val="18"/>
                <w:szCs w:val="18"/>
              </w:rPr>
              <w:t>43.73</w:t>
            </w:r>
          </w:p>
        </w:tc>
      </w:tr>
    </w:tbl>
    <w:p w14:paraId="3A60F232">
      <w:pPr>
        <w:pStyle w:val="3"/>
        <w:spacing w:line="360" w:lineRule="auto"/>
        <w:jc w:val="center"/>
        <w:rPr>
          <w:b w:val="0"/>
          <w:color w:val="000000"/>
          <w:sz w:val="30"/>
          <w:szCs w:val="30"/>
        </w:rPr>
      </w:pPr>
      <w:bookmarkStart w:id="51" w:name="_Toc491074891"/>
      <w:r>
        <w:rPr>
          <w:rFonts w:hint="eastAsia"/>
          <w:b w:val="0"/>
          <w:color w:val="000000"/>
          <w:sz w:val="30"/>
          <w:szCs w:val="30"/>
        </w:rPr>
        <w:t>第三节  耕地与基本农田保护现状</w:t>
      </w:r>
      <w:bookmarkEnd w:id="51"/>
    </w:p>
    <w:p w14:paraId="3644C8FB">
      <w:pPr>
        <w:pStyle w:val="4"/>
        <w:spacing w:before="0" w:after="0" w:line="240" w:lineRule="auto"/>
        <w:rPr>
          <w:rFonts w:ascii="Arial" w:hAnsi="Arial" w:eastAsia="黑体"/>
          <w:b w:val="0"/>
          <w:color w:val="000000"/>
          <w:sz w:val="28"/>
          <w:szCs w:val="28"/>
        </w:rPr>
      </w:pPr>
      <w:r>
        <w:rPr>
          <w:rFonts w:hint="eastAsia" w:ascii="Arial" w:hAnsi="Arial" w:eastAsia="黑体"/>
          <w:b w:val="0"/>
          <w:color w:val="000000"/>
          <w:sz w:val="28"/>
          <w:szCs w:val="28"/>
        </w:rPr>
        <w:t>一、耕地现状</w:t>
      </w:r>
    </w:p>
    <w:p w14:paraId="475E1F8F">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（一）全区耕地现状</w:t>
      </w:r>
    </w:p>
    <w:p w14:paraId="153AECAC">
      <w:pPr>
        <w:pStyle w:val="78"/>
        <w:ind w:firstLine="560"/>
        <w:rPr>
          <w:rFonts w:ascii="仿宋_GB2312" w:hAnsi="宋体" w:eastAsia="仿宋_GB2312"/>
          <w:sz w:val="28"/>
          <w:szCs w:val="28"/>
        </w:rPr>
      </w:pPr>
      <w:r>
        <w:rPr>
          <w:rFonts w:hint="eastAsia" w:ascii="仿宋_GB2312" w:hAnsi="宋体" w:eastAsia="仿宋_GB2312"/>
          <w:sz w:val="28"/>
          <w:szCs w:val="28"/>
        </w:rPr>
        <w:t>2014年，东川区耕地面积32403.40公顷，其中铜都街道7469.62公顷、汤丹镇3745.54公顷、拖布卡镇3933.17公顷、因民镇952.52公顷、阿旺镇6000.63公顷、乌龙镇3557.47公顷、红土地镇5689.07公顷和舍块乡1055.38公顷。</w:t>
      </w:r>
    </w:p>
    <w:p w14:paraId="19D41E4B">
      <w:pPr>
        <w:pStyle w:val="78"/>
        <w:ind w:firstLine="560"/>
        <w:rPr>
          <w:rFonts w:ascii="仿宋_GB2312" w:hAnsi="宋体" w:eastAsia="仿宋_GB2312"/>
          <w:sz w:val="28"/>
          <w:szCs w:val="28"/>
        </w:rPr>
      </w:pPr>
      <w:r>
        <w:rPr>
          <w:rFonts w:hint="eastAsia" w:ascii="仿宋_GB2312" w:hAnsi="宋体" w:eastAsia="仿宋_GB2312"/>
          <w:sz w:val="28"/>
          <w:szCs w:val="28"/>
        </w:rPr>
        <w:t>从耕地地类构成来看，东川区2014年现状耕地中旱地面积最大，为29107.33公顷，占现状耕地总面积的89.83%，主要分布在铜都街道、阿旺镇和红土地镇；其次是水田3237.33公顷，占现状耕地总面积的9.99%，主要分布在铜都街道、乌龙镇和汤丹镇；水浇地面积最小为58.74公顷，占现状耕地总面积的0.18%，主要分布在铜都街道和拖布卡镇。</w:t>
      </w:r>
    </w:p>
    <w:p w14:paraId="008FF613">
      <w:pPr>
        <w:jc w:val="center"/>
        <w:outlineLvl w:val="4"/>
        <w:rPr>
          <w:rFonts w:ascii="宋体" w:hAnsi="宋体"/>
          <w:b/>
          <w:sz w:val="24"/>
        </w:rPr>
      </w:pPr>
      <w:r>
        <w:rPr>
          <w:rFonts w:hint="eastAsia" w:ascii="宋体" w:hAnsi="宋体"/>
          <w:b/>
          <w:sz w:val="24"/>
        </w:rPr>
        <w:t>表2-3  东川区耕地地类构成情况表</w:t>
      </w:r>
    </w:p>
    <w:p w14:paraId="3E7368FF">
      <w:pPr>
        <w:ind w:firstLine="420"/>
        <w:jc w:val="right"/>
        <w:rPr>
          <w:rFonts w:ascii="宋体" w:hAnsi="宋体"/>
          <w:color w:val="000000"/>
          <w:kern w:val="0"/>
          <w:sz w:val="18"/>
          <w:szCs w:val="18"/>
        </w:rPr>
      </w:pPr>
      <w:r>
        <w:rPr>
          <w:rFonts w:hint="eastAsia" w:ascii="宋体" w:hAnsi="宋体"/>
          <w:color w:val="000000"/>
          <w:kern w:val="0"/>
          <w:sz w:val="18"/>
          <w:szCs w:val="18"/>
        </w:rPr>
        <w:t>单位：公顷</w:t>
      </w:r>
    </w:p>
    <w:tbl>
      <w:tblPr>
        <w:tblStyle w:val="27"/>
        <w:tblW w:w="9000" w:type="dxa"/>
        <w:jc w:val="center"/>
        <w:tblLayout w:type="autofit"/>
        <w:tblCellMar>
          <w:top w:w="0" w:type="dxa"/>
          <w:left w:w="108" w:type="dxa"/>
          <w:bottom w:w="0" w:type="dxa"/>
          <w:right w:w="108" w:type="dxa"/>
        </w:tblCellMar>
      </w:tblPr>
      <w:tblGrid>
        <w:gridCol w:w="1160"/>
        <w:gridCol w:w="1120"/>
        <w:gridCol w:w="1234"/>
        <w:gridCol w:w="1062"/>
        <w:gridCol w:w="1067"/>
        <w:gridCol w:w="891"/>
        <w:gridCol w:w="1404"/>
        <w:gridCol w:w="1062"/>
      </w:tblGrid>
      <w:tr w14:paraId="4BFB5C44">
        <w:tblPrEx>
          <w:tblCellMar>
            <w:top w:w="0" w:type="dxa"/>
            <w:left w:w="108" w:type="dxa"/>
            <w:bottom w:w="0" w:type="dxa"/>
            <w:right w:w="108" w:type="dxa"/>
          </w:tblCellMar>
        </w:tblPrEx>
        <w:trPr>
          <w:trHeight w:val="312" w:hRule="atLeast"/>
          <w:jc w:val="center"/>
        </w:trPr>
        <w:tc>
          <w:tcPr>
            <w:tcW w:w="116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5E813FC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行政区域</w:t>
            </w:r>
          </w:p>
        </w:tc>
        <w:tc>
          <w:tcPr>
            <w:tcW w:w="112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207DB0E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耕地</w:t>
            </w:r>
          </w:p>
        </w:tc>
        <w:tc>
          <w:tcPr>
            <w:tcW w:w="6720" w:type="dxa"/>
            <w:gridSpan w:val="6"/>
            <w:tcBorders>
              <w:top w:val="single" w:color="auto" w:sz="4" w:space="0"/>
              <w:left w:val="nil"/>
              <w:bottom w:val="single" w:color="auto" w:sz="4" w:space="0"/>
              <w:right w:val="single" w:color="000000" w:sz="4" w:space="0"/>
            </w:tcBorders>
            <w:shd w:val="clear" w:color="auto" w:fill="auto"/>
            <w:noWrap/>
            <w:vAlign w:val="center"/>
          </w:tcPr>
          <w:p w14:paraId="687B645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其中</w:t>
            </w:r>
          </w:p>
        </w:tc>
      </w:tr>
      <w:tr w14:paraId="648347F9">
        <w:tblPrEx>
          <w:tblCellMar>
            <w:top w:w="0" w:type="dxa"/>
            <w:left w:w="108" w:type="dxa"/>
            <w:bottom w:w="0" w:type="dxa"/>
            <w:right w:w="108" w:type="dxa"/>
          </w:tblCellMar>
        </w:tblPrEx>
        <w:trPr>
          <w:trHeight w:val="312" w:hRule="atLeast"/>
          <w:jc w:val="center"/>
        </w:trPr>
        <w:tc>
          <w:tcPr>
            <w:tcW w:w="1160" w:type="dxa"/>
            <w:vMerge w:val="continue"/>
            <w:tcBorders>
              <w:top w:val="single" w:color="auto" w:sz="4" w:space="0"/>
              <w:left w:val="single" w:color="auto" w:sz="4" w:space="0"/>
              <w:bottom w:val="single" w:color="000000" w:sz="4" w:space="0"/>
              <w:right w:val="single" w:color="auto" w:sz="4" w:space="0"/>
            </w:tcBorders>
            <w:vAlign w:val="center"/>
          </w:tcPr>
          <w:p w14:paraId="27127109">
            <w:pPr>
              <w:widowControl/>
              <w:jc w:val="center"/>
              <w:rPr>
                <w:rFonts w:ascii="宋体" w:hAnsi="宋体" w:cs="宋体"/>
                <w:b/>
                <w:color w:val="000000"/>
                <w:kern w:val="0"/>
                <w:sz w:val="18"/>
                <w:szCs w:val="18"/>
              </w:rPr>
            </w:pPr>
          </w:p>
        </w:tc>
        <w:tc>
          <w:tcPr>
            <w:tcW w:w="1120" w:type="dxa"/>
            <w:vMerge w:val="continue"/>
            <w:tcBorders>
              <w:top w:val="single" w:color="auto" w:sz="4" w:space="0"/>
              <w:left w:val="single" w:color="auto" w:sz="4" w:space="0"/>
              <w:bottom w:val="single" w:color="000000" w:sz="4" w:space="0"/>
              <w:right w:val="single" w:color="auto" w:sz="4" w:space="0"/>
            </w:tcBorders>
            <w:vAlign w:val="center"/>
          </w:tcPr>
          <w:p w14:paraId="56585391">
            <w:pPr>
              <w:widowControl/>
              <w:jc w:val="center"/>
              <w:rPr>
                <w:rFonts w:ascii="宋体" w:hAnsi="宋体" w:cs="宋体"/>
                <w:b/>
                <w:color w:val="000000"/>
                <w:kern w:val="0"/>
                <w:sz w:val="18"/>
                <w:szCs w:val="18"/>
              </w:rPr>
            </w:pPr>
          </w:p>
        </w:tc>
        <w:tc>
          <w:tcPr>
            <w:tcW w:w="1234" w:type="dxa"/>
            <w:tcBorders>
              <w:top w:val="nil"/>
              <w:left w:val="nil"/>
              <w:bottom w:val="single" w:color="auto" w:sz="4" w:space="0"/>
              <w:right w:val="single" w:color="auto" w:sz="4" w:space="0"/>
            </w:tcBorders>
            <w:shd w:val="clear" w:color="auto" w:fill="auto"/>
            <w:noWrap/>
            <w:vAlign w:val="center"/>
          </w:tcPr>
          <w:p w14:paraId="3BCAE4F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水田</w:t>
            </w:r>
          </w:p>
        </w:tc>
        <w:tc>
          <w:tcPr>
            <w:tcW w:w="1062" w:type="dxa"/>
            <w:tcBorders>
              <w:top w:val="nil"/>
              <w:left w:val="nil"/>
              <w:bottom w:val="single" w:color="auto" w:sz="4" w:space="0"/>
              <w:right w:val="single" w:color="auto" w:sz="4" w:space="0"/>
            </w:tcBorders>
            <w:shd w:val="clear" w:color="auto" w:fill="auto"/>
            <w:noWrap/>
            <w:vAlign w:val="center"/>
          </w:tcPr>
          <w:p w14:paraId="1197A3E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c>
          <w:tcPr>
            <w:tcW w:w="1067" w:type="dxa"/>
            <w:tcBorders>
              <w:top w:val="nil"/>
              <w:left w:val="nil"/>
              <w:bottom w:val="single" w:color="auto" w:sz="4" w:space="0"/>
              <w:right w:val="single" w:color="auto" w:sz="4" w:space="0"/>
            </w:tcBorders>
            <w:shd w:val="clear" w:color="auto" w:fill="auto"/>
            <w:noWrap/>
            <w:vAlign w:val="center"/>
          </w:tcPr>
          <w:p w14:paraId="21488515">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水浇地</w:t>
            </w:r>
          </w:p>
        </w:tc>
        <w:tc>
          <w:tcPr>
            <w:tcW w:w="891" w:type="dxa"/>
            <w:tcBorders>
              <w:top w:val="nil"/>
              <w:left w:val="nil"/>
              <w:bottom w:val="single" w:color="auto" w:sz="4" w:space="0"/>
              <w:right w:val="single" w:color="auto" w:sz="4" w:space="0"/>
            </w:tcBorders>
            <w:shd w:val="clear" w:color="auto" w:fill="auto"/>
            <w:noWrap/>
            <w:vAlign w:val="center"/>
          </w:tcPr>
          <w:p w14:paraId="1E9A813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c>
          <w:tcPr>
            <w:tcW w:w="1404" w:type="dxa"/>
            <w:tcBorders>
              <w:top w:val="nil"/>
              <w:left w:val="nil"/>
              <w:bottom w:val="single" w:color="auto" w:sz="4" w:space="0"/>
              <w:right w:val="single" w:color="auto" w:sz="4" w:space="0"/>
            </w:tcBorders>
            <w:shd w:val="clear" w:color="auto" w:fill="auto"/>
            <w:noWrap/>
            <w:vAlign w:val="center"/>
          </w:tcPr>
          <w:p w14:paraId="5EC19F5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旱地</w:t>
            </w:r>
          </w:p>
        </w:tc>
        <w:tc>
          <w:tcPr>
            <w:tcW w:w="1062" w:type="dxa"/>
            <w:tcBorders>
              <w:top w:val="nil"/>
              <w:left w:val="nil"/>
              <w:bottom w:val="single" w:color="auto" w:sz="4" w:space="0"/>
              <w:right w:val="single" w:color="auto" w:sz="4" w:space="0"/>
            </w:tcBorders>
            <w:shd w:val="clear" w:color="auto" w:fill="auto"/>
            <w:noWrap/>
            <w:vAlign w:val="center"/>
          </w:tcPr>
          <w:p w14:paraId="0BD2E00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r>
      <w:tr w14:paraId="604372F6">
        <w:tblPrEx>
          <w:tblCellMar>
            <w:top w:w="0" w:type="dxa"/>
            <w:left w:w="108" w:type="dxa"/>
            <w:bottom w:w="0" w:type="dxa"/>
            <w:right w:w="108" w:type="dxa"/>
          </w:tblCellMar>
        </w:tblPrEx>
        <w:trPr>
          <w:trHeight w:val="312"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14:paraId="370EC16C">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120" w:type="dxa"/>
            <w:tcBorders>
              <w:top w:val="nil"/>
              <w:left w:val="nil"/>
              <w:bottom w:val="single" w:color="auto" w:sz="4" w:space="0"/>
              <w:right w:val="single" w:color="auto" w:sz="4" w:space="0"/>
            </w:tcBorders>
            <w:shd w:val="clear" w:color="auto" w:fill="auto"/>
            <w:noWrap/>
            <w:vAlign w:val="center"/>
          </w:tcPr>
          <w:p w14:paraId="775B663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6000.63 </w:t>
            </w:r>
          </w:p>
        </w:tc>
        <w:tc>
          <w:tcPr>
            <w:tcW w:w="1234" w:type="dxa"/>
            <w:tcBorders>
              <w:top w:val="nil"/>
              <w:left w:val="nil"/>
              <w:bottom w:val="single" w:color="auto" w:sz="4" w:space="0"/>
              <w:right w:val="single" w:color="auto" w:sz="4" w:space="0"/>
            </w:tcBorders>
            <w:shd w:val="clear" w:color="auto" w:fill="auto"/>
            <w:noWrap/>
            <w:vAlign w:val="center"/>
          </w:tcPr>
          <w:p w14:paraId="628EFED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317.32 </w:t>
            </w:r>
          </w:p>
        </w:tc>
        <w:tc>
          <w:tcPr>
            <w:tcW w:w="1062" w:type="dxa"/>
            <w:tcBorders>
              <w:top w:val="nil"/>
              <w:left w:val="nil"/>
              <w:bottom w:val="single" w:color="auto" w:sz="4" w:space="0"/>
              <w:right w:val="single" w:color="auto" w:sz="4" w:space="0"/>
            </w:tcBorders>
            <w:shd w:val="clear" w:color="auto" w:fill="auto"/>
            <w:noWrap/>
            <w:vAlign w:val="center"/>
          </w:tcPr>
          <w:p w14:paraId="65743615">
            <w:pPr>
              <w:widowControl/>
              <w:jc w:val="center"/>
              <w:rPr>
                <w:rFonts w:ascii="宋体" w:hAnsi="宋体" w:cs="宋体"/>
                <w:color w:val="000000"/>
                <w:kern w:val="0"/>
                <w:sz w:val="18"/>
                <w:szCs w:val="18"/>
              </w:rPr>
            </w:pPr>
            <w:r>
              <w:rPr>
                <w:rFonts w:hint="eastAsia" w:ascii="宋体" w:hAnsi="宋体" w:cs="宋体"/>
                <w:color w:val="000000"/>
                <w:kern w:val="0"/>
                <w:sz w:val="18"/>
                <w:szCs w:val="18"/>
              </w:rPr>
              <w:t>5.29%</w:t>
            </w:r>
          </w:p>
        </w:tc>
        <w:tc>
          <w:tcPr>
            <w:tcW w:w="1067" w:type="dxa"/>
            <w:tcBorders>
              <w:top w:val="nil"/>
              <w:left w:val="nil"/>
              <w:bottom w:val="single" w:color="auto" w:sz="4" w:space="0"/>
              <w:right w:val="single" w:color="auto" w:sz="4" w:space="0"/>
            </w:tcBorders>
            <w:shd w:val="clear" w:color="auto" w:fill="auto"/>
            <w:noWrap/>
            <w:vAlign w:val="center"/>
          </w:tcPr>
          <w:p w14:paraId="608C111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891" w:type="dxa"/>
            <w:tcBorders>
              <w:top w:val="nil"/>
              <w:left w:val="nil"/>
              <w:bottom w:val="single" w:color="auto" w:sz="4" w:space="0"/>
              <w:right w:val="single" w:color="auto" w:sz="4" w:space="0"/>
            </w:tcBorders>
            <w:shd w:val="clear" w:color="auto" w:fill="auto"/>
            <w:noWrap/>
            <w:vAlign w:val="center"/>
          </w:tcPr>
          <w:p w14:paraId="56772A9A">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404" w:type="dxa"/>
            <w:tcBorders>
              <w:top w:val="nil"/>
              <w:left w:val="nil"/>
              <w:bottom w:val="single" w:color="auto" w:sz="4" w:space="0"/>
              <w:right w:val="single" w:color="auto" w:sz="4" w:space="0"/>
            </w:tcBorders>
            <w:shd w:val="clear" w:color="auto" w:fill="auto"/>
            <w:noWrap/>
            <w:vAlign w:val="center"/>
          </w:tcPr>
          <w:p w14:paraId="7F4932BB">
            <w:pPr>
              <w:widowControl/>
              <w:jc w:val="center"/>
              <w:rPr>
                <w:rFonts w:ascii="宋体" w:hAnsi="宋体" w:cs="宋体"/>
                <w:color w:val="000000"/>
                <w:kern w:val="0"/>
                <w:sz w:val="18"/>
                <w:szCs w:val="18"/>
              </w:rPr>
            </w:pPr>
            <w:r>
              <w:rPr>
                <w:rFonts w:hint="eastAsia" w:ascii="宋体" w:hAnsi="宋体" w:cs="宋体"/>
                <w:color w:val="000000"/>
                <w:kern w:val="0"/>
                <w:sz w:val="18"/>
                <w:szCs w:val="18"/>
              </w:rPr>
              <w:t>5683.31</w:t>
            </w:r>
          </w:p>
        </w:tc>
        <w:tc>
          <w:tcPr>
            <w:tcW w:w="1062" w:type="dxa"/>
            <w:tcBorders>
              <w:top w:val="nil"/>
              <w:left w:val="nil"/>
              <w:bottom w:val="single" w:color="auto" w:sz="4" w:space="0"/>
              <w:right w:val="single" w:color="auto" w:sz="4" w:space="0"/>
            </w:tcBorders>
            <w:shd w:val="clear" w:color="auto" w:fill="auto"/>
            <w:noWrap/>
            <w:vAlign w:val="center"/>
          </w:tcPr>
          <w:p w14:paraId="013D297B">
            <w:pPr>
              <w:widowControl/>
              <w:jc w:val="center"/>
              <w:rPr>
                <w:rFonts w:ascii="宋体" w:hAnsi="宋体" w:cs="宋体"/>
                <w:color w:val="000000"/>
                <w:kern w:val="0"/>
                <w:sz w:val="18"/>
                <w:szCs w:val="18"/>
              </w:rPr>
            </w:pPr>
            <w:r>
              <w:rPr>
                <w:rFonts w:hint="eastAsia" w:ascii="宋体" w:hAnsi="宋体" w:cs="宋体"/>
                <w:color w:val="000000"/>
                <w:kern w:val="0"/>
                <w:sz w:val="18"/>
                <w:szCs w:val="18"/>
              </w:rPr>
              <w:t>94.71%</w:t>
            </w:r>
          </w:p>
        </w:tc>
      </w:tr>
      <w:tr w14:paraId="11BF30CF">
        <w:tblPrEx>
          <w:tblCellMar>
            <w:top w:w="0" w:type="dxa"/>
            <w:left w:w="108" w:type="dxa"/>
            <w:bottom w:w="0" w:type="dxa"/>
            <w:right w:w="108" w:type="dxa"/>
          </w:tblCellMar>
        </w:tblPrEx>
        <w:trPr>
          <w:trHeight w:val="312"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14:paraId="62F52825">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120" w:type="dxa"/>
            <w:tcBorders>
              <w:top w:val="nil"/>
              <w:left w:val="nil"/>
              <w:bottom w:val="single" w:color="auto" w:sz="4" w:space="0"/>
              <w:right w:val="single" w:color="auto" w:sz="4" w:space="0"/>
            </w:tcBorders>
            <w:shd w:val="clear" w:color="auto" w:fill="auto"/>
            <w:noWrap/>
            <w:vAlign w:val="center"/>
          </w:tcPr>
          <w:p w14:paraId="3BACF25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5689.07 </w:t>
            </w:r>
          </w:p>
        </w:tc>
        <w:tc>
          <w:tcPr>
            <w:tcW w:w="1234" w:type="dxa"/>
            <w:tcBorders>
              <w:top w:val="nil"/>
              <w:left w:val="nil"/>
              <w:bottom w:val="single" w:color="auto" w:sz="4" w:space="0"/>
              <w:right w:val="single" w:color="auto" w:sz="4" w:space="0"/>
            </w:tcBorders>
            <w:shd w:val="clear" w:color="auto" w:fill="auto"/>
            <w:noWrap/>
            <w:vAlign w:val="center"/>
          </w:tcPr>
          <w:p w14:paraId="778CC7B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136.25 </w:t>
            </w:r>
          </w:p>
        </w:tc>
        <w:tc>
          <w:tcPr>
            <w:tcW w:w="1062" w:type="dxa"/>
            <w:tcBorders>
              <w:top w:val="nil"/>
              <w:left w:val="nil"/>
              <w:bottom w:val="single" w:color="auto" w:sz="4" w:space="0"/>
              <w:right w:val="single" w:color="auto" w:sz="4" w:space="0"/>
            </w:tcBorders>
            <w:shd w:val="clear" w:color="auto" w:fill="auto"/>
            <w:noWrap/>
            <w:vAlign w:val="center"/>
          </w:tcPr>
          <w:p w14:paraId="1867C306">
            <w:pPr>
              <w:widowControl/>
              <w:jc w:val="center"/>
              <w:rPr>
                <w:rFonts w:ascii="宋体" w:hAnsi="宋体" w:cs="宋体"/>
                <w:color w:val="000000"/>
                <w:kern w:val="0"/>
                <w:sz w:val="18"/>
                <w:szCs w:val="18"/>
              </w:rPr>
            </w:pPr>
            <w:r>
              <w:rPr>
                <w:rFonts w:hint="eastAsia" w:ascii="宋体" w:hAnsi="宋体" w:cs="宋体"/>
                <w:color w:val="000000"/>
                <w:kern w:val="0"/>
                <w:sz w:val="18"/>
                <w:szCs w:val="18"/>
              </w:rPr>
              <w:t>2.39%</w:t>
            </w:r>
          </w:p>
        </w:tc>
        <w:tc>
          <w:tcPr>
            <w:tcW w:w="1067" w:type="dxa"/>
            <w:tcBorders>
              <w:top w:val="nil"/>
              <w:left w:val="nil"/>
              <w:bottom w:val="single" w:color="auto" w:sz="4" w:space="0"/>
              <w:right w:val="single" w:color="auto" w:sz="4" w:space="0"/>
            </w:tcBorders>
            <w:shd w:val="clear" w:color="auto" w:fill="auto"/>
            <w:noWrap/>
            <w:vAlign w:val="center"/>
          </w:tcPr>
          <w:p w14:paraId="206185E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891" w:type="dxa"/>
            <w:tcBorders>
              <w:top w:val="nil"/>
              <w:left w:val="nil"/>
              <w:bottom w:val="single" w:color="auto" w:sz="4" w:space="0"/>
              <w:right w:val="single" w:color="auto" w:sz="4" w:space="0"/>
            </w:tcBorders>
            <w:shd w:val="clear" w:color="auto" w:fill="auto"/>
            <w:noWrap/>
            <w:vAlign w:val="center"/>
          </w:tcPr>
          <w:p w14:paraId="46AD2906">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404" w:type="dxa"/>
            <w:tcBorders>
              <w:top w:val="nil"/>
              <w:left w:val="nil"/>
              <w:bottom w:val="single" w:color="auto" w:sz="4" w:space="0"/>
              <w:right w:val="single" w:color="auto" w:sz="4" w:space="0"/>
            </w:tcBorders>
            <w:shd w:val="clear" w:color="auto" w:fill="auto"/>
            <w:noWrap/>
            <w:vAlign w:val="center"/>
          </w:tcPr>
          <w:p w14:paraId="6A607700">
            <w:pPr>
              <w:widowControl/>
              <w:jc w:val="center"/>
              <w:rPr>
                <w:rFonts w:ascii="宋体" w:hAnsi="宋体" w:cs="宋体"/>
                <w:color w:val="000000"/>
                <w:kern w:val="0"/>
                <w:sz w:val="18"/>
                <w:szCs w:val="18"/>
              </w:rPr>
            </w:pPr>
            <w:r>
              <w:rPr>
                <w:rFonts w:hint="eastAsia" w:ascii="宋体" w:hAnsi="宋体" w:cs="宋体"/>
                <w:color w:val="000000"/>
                <w:kern w:val="0"/>
                <w:sz w:val="18"/>
                <w:szCs w:val="18"/>
              </w:rPr>
              <w:t>5552.82</w:t>
            </w:r>
          </w:p>
        </w:tc>
        <w:tc>
          <w:tcPr>
            <w:tcW w:w="1062" w:type="dxa"/>
            <w:tcBorders>
              <w:top w:val="nil"/>
              <w:left w:val="nil"/>
              <w:bottom w:val="single" w:color="auto" w:sz="4" w:space="0"/>
              <w:right w:val="single" w:color="auto" w:sz="4" w:space="0"/>
            </w:tcBorders>
            <w:shd w:val="clear" w:color="auto" w:fill="auto"/>
            <w:noWrap/>
            <w:vAlign w:val="center"/>
          </w:tcPr>
          <w:p w14:paraId="4DF11CC4">
            <w:pPr>
              <w:widowControl/>
              <w:jc w:val="center"/>
              <w:rPr>
                <w:rFonts w:ascii="宋体" w:hAnsi="宋体" w:cs="宋体"/>
                <w:color w:val="000000"/>
                <w:kern w:val="0"/>
                <w:sz w:val="18"/>
                <w:szCs w:val="18"/>
              </w:rPr>
            </w:pPr>
            <w:r>
              <w:rPr>
                <w:rFonts w:hint="eastAsia" w:ascii="宋体" w:hAnsi="宋体" w:cs="宋体"/>
                <w:color w:val="000000"/>
                <w:kern w:val="0"/>
                <w:sz w:val="18"/>
                <w:szCs w:val="18"/>
              </w:rPr>
              <w:t>97.61%</w:t>
            </w:r>
          </w:p>
        </w:tc>
      </w:tr>
      <w:tr w14:paraId="11437AAE">
        <w:tblPrEx>
          <w:tblCellMar>
            <w:top w:w="0" w:type="dxa"/>
            <w:left w:w="108" w:type="dxa"/>
            <w:bottom w:w="0" w:type="dxa"/>
            <w:right w:w="108" w:type="dxa"/>
          </w:tblCellMar>
        </w:tblPrEx>
        <w:trPr>
          <w:trHeight w:val="312"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14:paraId="7C4E79A3">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120" w:type="dxa"/>
            <w:tcBorders>
              <w:top w:val="nil"/>
              <w:left w:val="nil"/>
              <w:bottom w:val="single" w:color="auto" w:sz="4" w:space="0"/>
              <w:right w:val="single" w:color="auto" w:sz="4" w:space="0"/>
            </w:tcBorders>
            <w:shd w:val="clear" w:color="auto" w:fill="auto"/>
            <w:noWrap/>
            <w:vAlign w:val="center"/>
          </w:tcPr>
          <w:p w14:paraId="0856A14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1055.38 </w:t>
            </w:r>
          </w:p>
        </w:tc>
        <w:tc>
          <w:tcPr>
            <w:tcW w:w="1234" w:type="dxa"/>
            <w:tcBorders>
              <w:top w:val="nil"/>
              <w:left w:val="nil"/>
              <w:bottom w:val="single" w:color="auto" w:sz="4" w:space="0"/>
              <w:right w:val="single" w:color="auto" w:sz="4" w:space="0"/>
            </w:tcBorders>
            <w:shd w:val="clear" w:color="auto" w:fill="auto"/>
            <w:noWrap/>
            <w:vAlign w:val="center"/>
          </w:tcPr>
          <w:p w14:paraId="46F2713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49.97 </w:t>
            </w:r>
          </w:p>
        </w:tc>
        <w:tc>
          <w:tcPr>
            <w:tcW w:w="1062" w:type="dxa"/>
            <w:tcBorders>
              <w:top w:val="nil"/>
              <w:left w:val="nil"/>
              <w:bottom w:val="single" w:color="auto" w:sz="4" w:space="0"/>
              <w:right w:val="single" w:color="auto" w:sz="4" w:space="0"/>
            </w:tcBorders>
            <w:shd w:val="clear" w:color="auto" w:fill="auto"/>
            <w:noWrap/>
            <w:vAlign w:val="center"/>
          </w:tcPr>
          <w:p w14:paraId="48B1739D">
            <w:pPr>
              <w:widowControl/>
              <w:jc w:val="center"/>
              <w:rPr>
                <w:rFonts w:ascii="宋体" w:hAnsi="宋体" w:cs="宋体"/>
                <w:color w:val="000000"/>
                <w:kern w:val="0"/>
                <w:sz w:val="18"/>
                <w:szCs w:val="18"/>
              </w:rPr>
            </w:pPr>
            <w:r>
              <w:rPr>
                <w:rFonts w:hint="eastAsia" w:ascii="宋体" w:hAnsi="宋体" w:cs="宋体"/>
                <w:color w:val="000000"/>
                <w:kern w:val="0"/>
                <w:sz w:val="18"/>
                <w:szCs w:val="18"/>
              </w:rPr>
              <w:t>4.73%</w:t>
            </w:r>
          </w:p>
        </w:tc>
        <w:tc>
          <w:tcPr>
            <w:tcW w:w="1067" w:type="dxa"/>
            <w:tcBorders>
              <w:top w:val="nil"/>
              <w:left w:val="nil"/>
              <w:bottom w:val="single" w:color="auto" w:sz="4" w:space="0"/>
              <w:right w:val="single" w:color="auto" w:sz="4" w:space="0"/>
            </w:tcBorders>
            <w:shd w:val="clear" w:color="auto" w:fill="auto"/>
            <w:noWrap/>
            <w:vAlign w:val="center"/>
          </w:tcPr>
          <w:p w14:paraId="2A558F8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891" w:type="dxa"/>
            <w:tcBorders>
              <w:top w:val="nil"/>
              <w:left w:val="nil"/>
              <w:bottom w:val="single" w:color="auto" w:sz="4" w:space="0"/>
              <w:right w:val="single" w:color="auto" w:sz="4" w:space="0"/>
            </w:tcBorders>
            <w:shd w:val="clear" w:color="auto" w:fill="auto"/>
            <w:noWrap/>
            <w:vAlign w:val="center"/>
          </w:tcPr>
          <w:p w14:paraId="4EB80317">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404" w:type="dxa"/>
            <w:tcBorders>
              <w:top w:val="nil"/>
              <w:left w:val="nil"/>
              <w:bottom w:val="single" w:color="auto" w:sz="4" w:space="0"/>
              <w:right w:val="single" w:color="auto" w:sz="4" w:space="0"/>
            </w:tcBorders>
            <w:shd w:val="clear" w:color="auto" w:fill="auto"/>
            <w:noWrap/>
            <w:vAlign w:val="center"/>
          </w:tcPr>
          <w:p w14:paraId="0C121FAC">
            <w:pPr>
              <w:widowControl/>
              <w:jc w:val="center"/>
              <w:rPr>
                <w:rFonts w:ascii="宋体" w:hAnsi="宋体" w:cs="宋体"/>
                <w:color w:val="000000"/>
                <w:kern w:val="0"/>
                <w:sz w:val="18"/>
                <w:szCs w:val="18"/>
              </w:rPr>
            </w:pPr>
            <w:r>
              <w:rPr>
                <w:rFonts w:hint="eastAsia" w:ascii="宋体" w:hAnsi="宋体" w:cs="宋体"/>
                <w:color w:val="000000"/>
                <w:kern w:val="0"/>
                <w:sz w:val="18"/>
                <w:szCs w:val="18"/>
              </w:rPr>
              <w:t>1005.41</w:t>
            </w:r>
          </w:p>
        </w:tc>
        <w:tc>
          <w:tcPr>
            <w:tcW w:w="1062" w:type="dxa"/>
            <w:tcBorders>
              <w:top w:val="nil"/>
              <w:left w:val="nil"/>
              <w:bottom w:val="single" w:color="auto" w:sz="4" w:space="0"/>
              <w:right w:val="single" w:color="auto" w:sz="4" w:space="0"/>
            </w:tcBorders>
            <w:shd w:val="clear" w:color="auto" w:fill="auto"/>
            <w:noWrap/>
            <w:vAlign w:val="center"/>
          </w:tcPr>
          <w:p w14:paraId="358F80DF">
            <w:pPr>
              <w:widowControl/>
              <w:jc w:val="center"/>
              <w:rPr>
                <w:rFonts w:ascii="宋体" w:hAnsi="宋体" w:cs="宋体"/>
                <w:color w:val="000000"/>
                <w:kern w:val="0"/>
                <w:sz w:val="18"/>
                <w:szCs w:val="18"/>
              </w:rPr>
            </w:pPr>
            <w:r>
              <w:rPr>
                <w:rFonts w:hint="eastAsia" w:ascii="宋体" w:hAnsi="宋体" w:cs="宋体"/>
                <w:color w:val="000000"/>
                <w:kern w:val="0"/>
                <w:sz w:val="18"/>
                <w:szCs w:val="18"/>
              </w:rPr>
              <w:t>95.27%</w:t>
            </w:r>
          </w:p>
        </w:tc>
      </w:tr>
      <w:tr w14:paraId="6268D4CC">
        <w:tblPrEx>
          <w:tblCellMar>
            <w:top w:w="0" w:type="dxa"/>
            <w:left w:w="108" w:type="dxa"/>
            <w:bottom w:w="0" w:type="dxa"/>
            <w:right w:w="108" w:type="dxa"/>
          </w:tblCellMar>
        </w:tblPrEx>
        <w:trPr>
          <w:trHeight w:val="312"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14:paraId="36C81897">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120" w:type="dxa"/>
            <w:tcBorders>
              <w:top w:val="nil"/>
              <w:left w:val="nil"/>
              <w:bottom w:val="single" w:color="auto" w:sz="4" w:space="0"/>
              <w:right w:val="single" w:color="auto" w:sz="4" w:space="0"/>
            </w:tcBorders>
            <w:shd w:val="clear" w:color="auto" w:fill="auto"/>
            <w:noWrap/>
            <w:vAlign w:val="center"/>
          </w:tcPr>
          <w:p w14:paraId="6B4B225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3745.54 </w:t>
            </w:r>
          </w:p>
        </w:tc>
        <w:tc>
          <w:tcPr>
            <w:tcW w:w="1234" w:type="dxa"/>
            <w:tcBorders>
              <w:top w:val="nil"/>
              <w:left w:val="nil"/>
              <w:bottom w:val="single" w:color="auto" w:sz="4" w:space="0"/>
              <w:right w:val="single" w:color="auto" w:sz="4" w:space="0"/>
            </w:tcBorders>
            <w:shd w:val="clear" w:color="auto" w:fill="auto"/>
            <w:noWrap/>
            <w:vAlign w:val="center"/>
          </w:tcPr>
          <w:p w14:paraId="4AEE8D3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522.48 </w:t>
            </w:r>
          </w:p>
        </w:tc>
        <w:tc>
          <w:tcPr>
            <w:tcW w:w="1062" w:type="dxa"/>
            <w:tcBorders>
              <w:top w:val="nil"/>
              <w:left w:val="nil"/>
              <w:bottom w:val="single" w:color="auto" w:sz="4" w:space="0"/>
              <w:right w:val="single" w:color="auto" w:sz="4" w:space="0"/>
            </w:tcBorders>
            <w:shd w:val="clear" w:color="auto" w:fill="auto"/>
            <w:noWrap/>
            <w:vAlign w:val="center"/>
          </w:tcPr>
          <w:p w14:paraId="7FD5EE83">
            <w:pPr>
              <w:widowControl/>
              <w:jc w:val="center"/>
              <w:rPr>
                <w:rFonts w:ascii="宋体" w:hAnsi="宋体" w:cs="宋体"/>
                <w:color w:val="000000"/>
                <w:kern w:val="0"/>
                <w:sz w:val="18"/>
                <w:szCs w:val="18"/>
              </w:rPr>
            </w:pPr>
            <w:r>
              <w:rPr>
                <w:rFonts w:hint="eastAsia" w:ascii="宋体" w:hAnsi="宋体" w:cs="宋体"/>
                <w:color w:val="000000"/>
                <w:kern w:val="0"/>
                <w:sz w:val="18"/>
                <w:szCs w:val="18"/>
              </w:rPr>
              <w:t>13.95%</w:t>
            </w:r>
          </w:p>
        </w:tc>
        <w:tc>
          <w:tcPr>
            <w:tcW w:w="1067" w:type="dxa"/>
            <w:tcBorders>
              <w:top w:val="nil"/>
              <w:left w:val="nil"/>
              <w:bottom w:val="single" w:color="auto" w:sz="4" w:space="0"/>
              <w:right w:val="single" w:color="auto" w:sz="4" w:space="0"/>
            </w:tcBorders>
            <w:shd w:val="clear" w:color="auto" w:fill="auto"/>
            <w:noWrap/>
            <w:vAlign w:val="center"/>
          </w:tcPr>
          <w:p w14:paraId="1C5AFEF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891" w:type="dxa"/>
            <w:tcBorders>
              <w:top w:val="nil"/>
              <w:left w:val="nil"/>
              <w:bottom w:val="single" w:color="auto" w:sz="4" w:space="0"/>
              <w:right w:val="single" w:color="auto" w:sz="4" w:space="0"/>
            </w:tcBorders>
            <w:shd w:val="clear" w:color="auto" w:fill="auto"/>
            <w:noWrap/>
            <w:vAlign w:val="center"/>
          </w:tcPr>
          <w:p w14:paraId="4CE7F207">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404" w:type="dxa"/>
            <w:tcBorders>
              <w:top w:val="nil"/>
              <w:left w:val="nil"/>
              <w:bottom w:val="single" w:color="auto" w:sz="4" w:space="0"/>
              <w:right w:val="single" w:color="auto" w:sz="4" w:space="0"/>
            </w:tcBorders>
            <w:shd w:val="clear" w:color="auto" w:fill="auto"/>
            <w:noWrap/>
            <w:vAlign w:val="center"/>
          </w:tcPr>
          <w:p w14:paraId="5B373A2D">
            <w:pPr>
              <w:widowControl/>
              <w:jc w:val="center"/>
              <w:rPr>
                <w:rFonts w:ascii="宋体" w:hAnsi="宋体" w:cs="宋体"/>
                <w:color w:val="000000"/>
                <w:kern w:val="0"/>
                <w:sz w:val="18"/>
                <w:szCs w:val="18"/>
              </w:rPr>
            </w:pPr>
            <w:r>
              <w:rPr>
                <w:rFonts w:hint="eastAsia" w:ascii="宋体" w:hAnsi="宋体" w:cs="宋体"/>
                <w:color w:val="000000"/>
                <w:kern w:val="0"/>
                <w:sz w:val="18"/>
                <w:szCs w:val="18"/>
              </w:rPr>
              <w:t>3223.06</w:t>
            </w:r>
          </w:p>
        </w:tc>
        <w:tc>
          <w:tcPr>
            <w:tcW w:w="1062" w:type="dxa"/>
            <w:tcBorders>
              <w:top w:val="nil"/>
              <w:left w:val="nil"/>
              <w:bottom w:val="single" w:color="auto" w:sz="4" w:space="0"/>
              <w:right w:val="single" w:color="auto" w:sz="4" w:space="0"/>
            </w:tcBorders>
            <w:shd w:val="clear" w:color="auto" w:fill="auto"/>
            <w:noWrap/>
            <w:vAlign w:val="center"/>
          </w:tcPr>
          <w:p w14:paraId="573A6377">
            <w:pPr>
              <w:widowControl/>
              <w:jc w:val="center"/>
              <w:rPr>
                <w:rFonts w:ascii="宋体" w:hAnsi="宋体" w:cs="宋体"/>
                <w:color w:val="000000"/>
                <w:kern w:val="0"/>
                <w:sz w:val="18"/>
                <w:szCs w:val="18"/>
              </w:rPr>
            </w:pPr>
            <w:r>
              <w:rPr>
                <w:rFonts w:hint="eastAsia" w:ascii="宋体" w:hAnsi="宋体" w:cs="宋体"/>
                <w:color w:val="000000"/>
                <w:kern w:val="0"/>
                <w:sz w:val="18"/>
                <w:szCs w:val="18"/>
              </w:rPr>
              <w:t>86.05%</w:t>
            </w:r>
          </w:p>
        </w:tc>
      </w:tr>
      <w:tr w14:paraId="0623AA1F">
        <w:tblPrEx>
          <w:tblCellMar>
            <w:top w:w="0" w:type="dxa"/>
            <w:left w:w="108" w:type="dxa"/>
            <w:bottom w:w="0" w:type="dxa"/>
            <w:right w:w="108" w:type="dxa"/>
          </w:tblCellMar>
        </w:tblPrEx>
        <w:trPr>
          <w:trHeight w:val="312"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14:paraId="0806DCC8">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120" w:type="dxa"/>
            <w:tcBorders>
              <w:top w:val="nil"/>
              <w:left w:val="nil"/>
              <w:bottom w:val="single" w:color="auto" w:sz="4" w:space="0"/>
              <w:right w:val="single" w:color="auto" w:sz="4" w:space="0"/>
            </w:tcBorders>
            <w:shd w:val="clear" w:color="auto" w:fill="auto"/>
            <w:noWrap/>
            <w:vAlign w:val="center"/>
          </w:tcPr>
          <w:p w14:paraId="2774BFF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7469.62 </w:t>
            </w:r>
          </w:p>
        </w:tc>
        <w:tc>
          <w:tcPr>
            <w:tcW w:w="1234" w:type="dxa"/>
            <w:tcBorders>
              <w:top w:val="nil"/>
              <w:left w:val="nil"/>
              <w:bottom w:val="single" w:color="auto" w:sz="4" w:space="0"/>
              <w:right w:val="single" w:color="auto" w:sz="4" w:space="0"/>
            </w:tcBorders>
            <w:shd w:val="clear" w:color="auto" w:fill="auto"/>
            <w:noWrap/>
            <w:vAlign w:val="center"/>
          </w:tcPr>
          <w:p w14:paraId="476EB43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1238.46 </w:t>
            </w:r>
          </w:p>
        </w:tc>
        <w:tc>
          <w:tcPr>
            <w:tcW w:w="1062" w:type="dxa"/>
            <w:tcBorders>
              <w:top w:val="nil"/>
              <w:left w:val="nil"/>
              <w:bottom w:val="single" w:color="auto" w:sz="4" w:space="0"/>
              <w:right w:val="single" w:color="auto" w:sz="4" w:space="0"/>
            </w:tcBorders>
            <w:shd w:val="clear" w:color="auto" w:fill="auto"/>
            <w:noWrap/>
            <w:vAlign w:val="center"/>
          </w:tcPr>
          <w:p w14:paraId="7A4DDC69">
            <w:pPr>
              <w:widowControl/>
              <w:jc w:val="center"/>
              <w:rPr>
                <w:rFonts w:ascii="宋体" w:hAnsi="宋体" w:cs="宋体"/>
                <w:color w:val="000000"/>
                <w:kern w:val="0"/>
                <w:sz w:val="18"/>
                <w:szCs w:val="18"/>
              </w:rPr>
            </w:pPr>
            <w:r>
              <w:rPr>
                <w:rFonts w:hint="eastAsia" w:ascii="宋体" w:hAnsi="宋体" w:cs="宋体"/>
                <w:color w:val="000000"/>
                <w:kern w:val="0"/>
                <w:sz w:val="18"/>
                <w:szCs w:val="18"/>
              </w:rPr>
              <w:t>16.58%</w:t>
            </w:r>
          </w:p>
        </w:tc>
        <w:tc>
          <w:tcPr>
            <w:tcW w:w="1067" w:type="dxa"/>
            <w:tcBorders>
              <w:top w:val="nil"/>
              <w:left w:val="nil"/>
              <w:bottom w:val="single" w:color="auto" w:sz="4" w:space="0"/>
              <w:right w:val="single" w:color="auto" w:sz="4" w:space="0"/>
            </w:tcBorders>
            <w:shd w:val="clear" w:color="auto" w:fill="auto"/>
            <w:noWrap/>
            <w:vAlign w:val="center"/>
          </w:tcPr>
          <w:p w14:paraId="5DDDE92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38.94 </w:t>
            </w:r>
          </w:p>
        </w:tc>
        <w:tc>
          <w:tcPr>
            <w:tcW w:w="891" w:type="dxa"/>
            <w:tcBorders>
              <w:top w:val="nil"/>
              <w:left w:val="nil"/>
              <w:bottom w:val="single" w:color="auto" w:sz="4" w:space="0"/>
              <w:right w:val="single" w:color="auto" w:sz="4" w:space="0"/>
            </w:tcBorders>
            <w:shd w:val="clear" w:color="auto" w:fill="auto"/>
            <w:noWrap/>
            <w:vAlign w:val="center"/>
          </w:tcPr>
          <w:p w14:paraId="7B1F01AE">
            <w:pPr>
              <w:widowControl/>
              <w:jc w:val="center"/>
              <w:rPr>
                <w:rFonts w:ascii="宋体" w:hAnsi="宋体" w:cs="宋体"/>
                <w:color w:val="000000"/>
                <w:kern w:val="0"/>
                <w:sz w:val="18"/>
                <w:szCs w:val="18"/>
              </w:rPr>
            </w:pPr>
            <w:r>
              <w:rPr>
                <w:rFonts w:hint="eastAsia" w:ascii="宋体" w:hAnsi="宋体" w:cs="宋体"/>
                <w:color w:val="000000"/>
                <w:kern w:val="0"/>
                <w:sz w:val="18"/>
                <w:szCs w:val="18"/>
              </w:rPr>
              <w:t>0.52%</w:t>
            </w:r>
          </w:p>
        </w:tc>
        <w:tc>
          <w:tcPr>
            <w:tcW w:w="1404" w:type="dxa"/>
            <w:tcBorders>
              <w:top w:val="nil"/>
              <w:left w:val="nil"/>
              <w:bottom w:val="single" w:color="auto" w:sz="4" w:space="0"/>
              <w:right w:val="single" w:color="auto" w:sz="4" w:space="0"/>
            </w:tcBorders>
            <w:shd w:val="clear" w:color="auto" w:fill="auto"/>
            <w:noWrap/>
            <w:vAlign w:val="center"/>
          </w:tcPr>
          <w:p w14:paraId="51861DA7">
            <w:pPr>
              <w:widowControl/>
              <w:jc w:val="center"/>
              <w:rPr>
                <w:rFonts w:ascii="宋体" w:hAnsi="宋体" w:cs="宋体"/>
                <w:color w:val="000000"/>
                <w:kern w:val="0"/>
                <w:sz w:val="18"/>
                <w:szCs w:val="18"/>
              </w:rPr>
            </w:pPr>
            <w:r>
              <w:rPr>
                <w:rFonts w:hint="eastAsia" w:ascii="宋体" w:hAnsi="宋体" w:cs="宋体"/>
                <w:color w:val="000000"/>
                <w:kern w:val="0"/>
                <w:sz w:val="18"/>
                <w:szCs w:val="18"/>
              </w:rPr>
              <w:t>6192.22</w:t>
            </w:r>
          </w:p>
        </w:tc>
        <w:tc>
          <w:tcPr>
            <w:tcW w:w="1062" w:type="dxa"/>
            <w:tcBorders>
              <w:top w:val="nil"/>
              <w:left w:val="nil"/>
              <w:bottom w:val="single" w:color="auto" w:sz="4" w:space="0"/>
              <w:right w:val="single" w:color="auto" w:sz="4" w:space="0"/>
            </w:tcBorders>
            <w:shd w:val="clear" w:color="auto" w:fill="auto"/>
            <w:noWrap/>
            <w:vAlign w:val="center"/>
          </w:tcPr>
          <w:p w14:paraId="2FAB71B6">
            <w:pPr>
              <w:widowControl/>
              <w:jc w:val="center"/>
              <w:rPr>
                <w:rFonts w:ascii="宋体" w:hAnsi="宋体" w:cs="宋体"/>
                <w:color w:val="000000"/>
                <w:kern w:val="0"/>
                <w:sz w:val="18"/>
                <w:szCs w:val="18"/>
              </w:rPr>
            </w:pPr>
            <w:r>
              <w:rPr>
                <w:rFonts w:hint="eastAsia" w:ascii="宋体" w:hAnsi="宋体" w:cs="宋体"/>
                <w:color w:val="000000"/>
                <w:kern w:val="0"/>
                <w:sz w:val="18"/>
                <w:szCs w:val="18"/>
              </w:rPr>
              <w:t>82.90%</w:t>
            </w:r>
          </w:p>
        </w:tc>
      </w:tr>
      <w:tr w14:paraId="37552CEB">
        <w:tblPrEx>
          <w:tblCellMar>
            <w:top w:w="0" w:type="dxa"/>
            <w:left w:w="108" w:type="dxa"/>
            <w:bottom w:w="0" w:type="dxa"/>
            <w:right w:w="108" w:type="dxa"/>
          </w:tblCellMar>
        </w:tblPrEx>
        <w:trPr>
          <w:trHeight w:val="312"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14:paraId="2E66F821">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120" w:type="dxa"/>
            <w:tcBorders>
              <w:top w:val="nil"/>
              <w:left w:val="nil"/>
              <w:bottom w:val="single" w:color="auto" w:sz="4" w:space="0"/>
              <w:right w:val="single" w:color="auto" w:sz="4" w:space="0"/>
            </w:tcBorders>
            <w:shd w:val="clear" w:color="auto" w:fill="auto"/>
            <w:noWrap/>
            <w:vAlign w:val="center"/>
          </w:tcPr>
          <w:p w14:paraId="040123E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3933.17 </w:t>
            </w:r>
          </w:p>
        </w:tc>
        <w:tc>
          <w:tcPr>
            <w:tcW w:w="1234" w:type="dxa"/>
            <w:tcBorders>
              <w:top w:val="nil"/>
              <w:left w:val="nil"/>
              <w:bottom w:val="single" w:color="auto" w:sz="4" w:space="0"/>
              <w:right w:val="single" w:color="auto" w:sz="4" w:space="0"/>
            </w:tcBorders>
            <w:shd w:val="clear" w:color="auto" w:fill="auto"/>
            <w:noWrap/>
            <w:vAlign w:val="center"/>
          </w:tcPr>
          <w:p w14:paraId="769C074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340.96 </w:t>
            </w:r>
          </w:p>
        </w:tc>
        <w:tc>
          <w:tcPr>
            <w:tcW w:w="1062" w:type="dxa"/>
            <w:tcBorders>
              <w:top w:val="nil"/>
              <w:left w:val="nil"/>
              <w:bottom w:val="single" w:color="auto" w:sz="4" w:space="0"/>
              <w:right w:val="single" w:color="auto" w:sz="4" w:space="0"/>
            </w:tcBorders>
            <w:shd w:val="clear" w:color="auto" w:fill="auto"/>
            <w:noWrap/>
            <w:vAlign w:val="center"/>
          </w:tcPr>
          <w:p w14:paraId="3322D5EF">
            <w:pPr>
              <w:widowControl/>
              <w:jc w:val="center"/>
              <w:rPr>
                <w:rFonts w:ascii="宋体" w:hAnsi="宋体" w:cs="宋体"/>
                <w:color w:val="000000"/>
                <w:kern w:val="0"/>
                <w:sz w:val="18"/>
                <w:szCs w:val="18"/>
              </w:rPr>
            </w:pPr>
            <w:r>
              <w:rPr>
                <w:rFonts w:hint="eastAsia" w:ascii="宋体" w:hAnsi="宋体" w:cs="宋体"/>
                <w:color w:val="000000"/>
                <w:kern w:val="0"/>
                <w:sz w:val="18"/>
                <w:szCs w:val="18"/>
              </w:rPr>
              <w:t>8.67%</w:t>
            </w:r>
          </w:p>
        </w:tc>
        <w:tc>
          <w:tcPr>
            <w:tcW w:w="1067" w:type="dxa"/>
            <w:tcBorders>
              <w:top w:val="nil"/>
              <w:left w:val="nil"/>
              <w:bottom w:val="single" w:color="auto" w:sz="4" w:space="0"/>
              <w:right w:val="single" w:color="auto" w:sz="4" w:space="0"/>
            </w:tcBorders>
            <w:shd w:val="clear" w:color="auto" w:fill="auto"/>
            <w:noWrap/>
            <w:vAlign w:val="center"/>
          </w:tcPr>
          <w:p w14:paraId="1805B34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19.80 </w:t>
            </w:r>
          </w:p>
        </w:tc>
        <w:tc>
          <w:tcPr>
            <w:tcW w:w="891" w:type="dxa"/>
            <w:tcBorders>
              <w:top w:val="nil"/>
              <w:left w:val="nil"/>
              <w:bottom w:val="single" w:color="auto" w:sz="4" w:space="0"/>
              <w:right w:val="single" w:color="auto" w:sz="4" w:space="0"/>
            </w:tcBorders>
            <w:shd w:val="clear" w:color="auto" w:fill="auto"/>
            <w:noWrap/>
            <w:vAlign w:val="center"/>
          </w:tcPr>
          <w:p w14:paraId="315677AF">
            <w:pPr>
              <w:widowControl/>
              <w:jc w:val="center"/>
              <w:rPr>
                <w:rFonts w:ascii="宋体" w:hAnsi="宋体" w:cs="宋体"/>
                <w:color w:val="000000"/>
                <w:kern w:val="0"/>
                <w:sz w:val="18"/>
                <w:szCs w:val="18"/>
              </w:rPr>
            </w:pPr>
            <w:r>
              <w:rPr>
                <w:rFonts w:hint="eastAsia" w:ascii="宋体" w:hAnsi="宋体" w:cs="宋体"/>
                <w:color w:val="000000"/>
                <w:kern w:val="0"/>
                <w:sz w:val="18"/>
                <w:szCs w:val="18"/>
              </w:rPr>
              <w:t>0.50%</w:t>
            </w:r>
          </w:p>
        </w:tc>
        <w:tc>
          <w:tcPr>
            <w:tcW w:w="1404" w:type="dxa"/>
            <w:tcBorders>
              <w:top w:val="nil"/>
              <w:left w:val="nil"/>
              <w:bottom w:val="single" w:color="auto" w:sz="4" w:space="0"/>
              <w:right w:val="single" w:color="auto" w:sz="4" w:space="0"/>
            </w:tcBorders>
            <w:shd w:val="clear" w:color="auto" w:fill="auto"/>
            <w:noWrap/>
            <w:vAlign w:val="center"/>
          </w:tcPr>
          <w:p w14:paraId="51F22AC7">
            <w:pPr>
              <w:widowControl/>
              <w:jc w:val="center"/>
              <w:rPr>
                <w:rFonts w:ascii="宋体" w:hAnsi="宋体" w:cs="宋体"/>
                <w:color w:val="000000"/>
                <w:kern w:val="0"/>
                <w:sz w:val="18"/>
                <w:szCs w:val="18"/>
              </w:rPr>
            </w:pPr>
            <w:r>
              <w:rPr>
                <w:rFonts w:hint="eastAsia" w:ascii="宋体" w:hAnsi="宋体" w:cs="宋体"/>
                <w:color w:val="000000"/>
                <w:kern w:val="0"/>
                <w:sz w:val="18"/>
                <w:szCs w:val="18"/>
              </w:rPr>
              <w:t>3572.41</w:t>
            </w:r>
          </w:p>
        </w:tc>
        <w:tc>
          <w:tcPr>
            <w:tcW w:w="1062" w:type="dxa"/>
            <w:tcBorders>
              <w:top w:val="nil"/>
              <w:left w:val="nil"/>
              <w:bottom w:val="single" w:color="auto" w:sz="4" w:space="0"/>
              <w:right w:val="single" w:color="auto" w:sz="4" w:space="0"/>
            </w:tcBorders>
            <w:shd w:val="clear" w:color="auto" w:fill="auto"/>
            <w:noWrap/>
            <w:vAlign w:val="center"/>
          </w:tcPr>
          <w:p w14:paraId="7CD50333">
            <w:pPr>
              <w:widowControl/>
              <w:jc w:val="center"/>
              <w:rPr>
                <w:rFonts w:ascii="宋体" w:hAnsi="宋体" w:cs="宋体"/>
                <w:color w:val="000000"/>
                <w:kern w:val="0"/>
                <w:sz w:val="18"/>
                <w:szCs w:val="18"/>
              </w:rPr>
            </w:pPr>
            <w:r>
              <w:rPr>
                <w:rFonts w:hint="eastAsia" w:ascii="宋体" w:hAnsi="宋体" w:cs="宋体"/>
                <w:color w:val="000000"/>
                <w:kern w:val="0"/>
                <w:sz w:val="18"/>
                <w:szCs w:val="18"/>
              </w:rPr>
              <w:t>90.83%</w:t>
            </w:r>
          </w:p>
        </w:tc>
      </w:tr>
      <w:tr w14:paraId="4057B126">
        <w:tblPrEx>
          <w:tblCellMar>
            <w:top w:w="0" w:type="dxa"/>
            <w:left w:w="108" w:type="dxa"/>
            <w:bottom w:w="0" w:type="dxa"/>
            <w:right w:w="108" w:type="dxa"/>
          </w:tblCellMar>
        </w:tblPrEx>
        <w:trPr>
          <w:trHeight w:val="312"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14:paraId="21779293">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120" w:type="dxa"/>
            <w:tcBorders>
              <w:top w:val="nil"/>
              <w:left w:val="nil"/>
              <w:bottom w:val="single" w:color="auto" w:sz="4" w:space="0"/>
              <w:right w:val="single" w:color="auto" w:sz="4" w:space="0"/>
            </w:tcBorders>
            <w:shd w:val="clear" w:color="auto" w:fill="auto"/>
            <w:noWrap/>
            <w:vAlign w:val="center"/>
          </w:tcPr>
          <w:p w14:paraId="3A8D734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3557.47 </w:t>
            </w:r>
          </w:p>
        </w:tc>
        <w:tc>
          <w:tcPr>
            <w:tcW w:w="1234" w:type="dxa"/>
            <w:tcBorders>
              <w:top w:val="nil"/>
              <w:left w:val="nil"/>
              <w:bottom w:val="single" w:color="auto" w:sz="4" w:space="0"/>
              <w:right w:val="single" w:color="auto" w:sz="4" w:space="0"/>
            </w:tcBorders>
            <w:shd w:val="clear" w:color="auto" w:fill="auto"/>
            <w:noWrap/>
            <w:vAlign w:val="center"/>
          </w:tcPr>
          <w:p w14:paraId="6410331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608.78 </w:t>
            </w:r>
          </w:p>
        </w:tc>
        <w:tc>
          <w:tcPr>
            <w:tcW w:w="1062" w:type="dxa"/>
            <w:tcBorders>
              <w:top w:val="nil"/>
              <w:left w:val="nil"/>
              <w:bottom w:val="single" w:color="auto" w:sz="4" w:space="0"/>
              <w:right w:val="single" w:color="auto" w:sz="4" w:space="0"/>
            </w:tcBorders>
            <w:shd w:val="clear" w:color="auto" w:fill="auto"/>
            <w:noWrap/>
            <w:vAlign w:val="center"/>
          </w:tcPr>
          <w:p w14:paraId="26B9CD45">
            <w:pPr>
              <w:widowControl/>
              <w:jc w:val="center"/>
              <w:rPr>
                <w:rFonts w:ascii="宋体" w:hAnsi="宋体" w:cs="宋体"/>
                <w:color w:val="000000"/>
                <w:kern w:val="0"/>
                <w:sz w:val="18"/>
                <w:szCs w:val="18"/>
              </w:rPr>
            </w:pPr>
            <w:r>
              <w:rPr>
                <w:rFonts w:hint="eastAsia" w:ascii="宋体" w:hAnsi="宋体" w:cs="宋体"/>
                <w:color w:val="000000"/>
                <w:kern w:val="0"/>
                <w:sz w:val="18"/>
                <w:szCs w:val="18"/>
              </w:rPr>
              <w:t>17.11%</w:t>
            </w:r>
          </w:p>
        </w:tc>
        <w:tc>
          <w:tcPr>
            <w:tcW w:w="1067" w:type="dxa"/>
            <w:tcBorders>
              <w:top w:val="nil"/>
              <w:left w:val="nil"/>
              <w:bottom w:val="single" w:color="auto" w:sz="4" w:space="0"/>
              <w:right w:val="single" w:color="auto" w:sz="4" w:space="0"/>
            </w:tcBorders>
            <w:shd w:val="clear" w:color="auto" w:fill="auto"/>
            <w:noWrap/>
            <w:vAlign w:val="center"/>
          </w:tcPr>
          <w:p w14:paraId="745BE04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891" w:type="dxa"/>
            <w:tcBorders>
              <w:top w:val="nil"/>
              <w:left w:val="nil"/>
              <w:bottom w:val="single" w:color="auto" w:sz="4" w:space="0"/>
              <w:right w:val="single" w:color="auto" w:sz="4" w:space="0"/>
            </w:tcBorders>
            <w:shd w:val="clear" w:color="auto" w:fill="auto"/>
            <w:noWrap/>
            <w:vAlign w:val="center"/>
          </w:tcPr>
          <w:p w14:paraId="304C9C1C">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404" w:type="dxa"/>
            <w:tcBorders>
              <w:top w:val="nil"/>
              <w:left w:val="nil"/>
              <w:bottom w:val="single" w:color="auto" w:sz="4" w:space="0"/>
              <w:right w:val="single" w:color="auto" w:sz="4" w:space="0"/>
            </w:tcBorders>
            <w:shd w:val="clear" w:color="auto" w:fill="auto"/>
            <w:noWrap/>
            <w:vAlign w:val="center"/>
          </w:tcPr>
          <w:p w14:paraId="78D02355">
            <w:pPr>
              <w:widowControl/>
              <w:jc w:val="center"/>
              <w:rPr>
                <w:rFonts w:ascii="宋体" w:hAnsi="宋体" w:cs="宋体"/>
                <w:color w:val="000000"/>
                <w:kern w:val="0"/>
                <w:sz w:val="18"/>
                <w:szCs w:val="18"/>
              </w:rPr>
            </w:pPr>
            <w:r>
              <w:rPr>
                <w:rFonts w:hint="eastAsia" w:ascii="宋体" w:hAnsi="宋体" w:cs="宋体"/>
                <w:color w:val="000000"/>
                <w:kern w:val="0"/>
                <w:sz w:val="18"/>
                <w:szCs w:val="18"/>
              </w:rPr>
              <w:t>2948.69</w:t>
            </w:r>
          </w:p>
        </w:tc>
        <w:tc>
          <w:tcPr>
            <w:tcW w:w="1062" w:type="dxa"/>
            <w:tcBorders>
              <w:top w:val="nil"/>
              <w:left w:val="nil"/>
              <w:bottom w:val="single" w:color="auto" w:sz="4" w:space="0"/>
              <w:right w:val="single" w:color="auto" w:sz="4" w:space="0"/>
            </w:tcBorders>
            <w:shd w:val="clear" w:color="auto" w:fill="auto"/>
            <w:noWrap/>
            <w:vAlign w:val="center"/>
          </w:tcPr>
          <w:p w14:paraId="02677895">
            <w:pPr>
              <w:widowControl/>
              <w:jc w:val="center"/>
              <w:rPr>
                <w:rFonts w:ascii="宋体" w:hAnsi="宋体" w:cs="宋体"/>
                <w:color w:val="000000"/>
                <w:kern w:val="0"/>
                <w:sz w:val="18"/>
                <w:szCs w:val="18"/>
              </w:rPr>
            </w:pPr>
            <w:r>
              <w:rPr>
                <w:rFonts w:hint="eastAsia" w:ascii="宋体" w:hAnsi="宋体" w:cs="宋体"/>
                <w:color w:val="000000"/>
                <w:kern w:val="0"/>
                <w:sz w:val="18"/>
                <w:szCs w:val="18"/>
              </w:rPr>
              <w:t>82.89%</w:t>
            </w:r>
          </w:p>
        </w:tc>
      </w:tr>
      <w:tr w14:paraId="0B9C7920">
        <w:tblPrEx>
          <w:tblCellMar>
            <w:top w:w="0" w:type="dxa"/>
            <w:left w:w="108" w:type="dxa"/>
            <w:bottom w:w="0" w:type="dxa"/>
            <w:right w:w="108" w:type="dxa"/>
          </w:tblCellMar>
        </w:tblPrEx>
        <w:trPr>
          <w:trHeight w:val="312"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14:paraId="6373177A">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120" w:type="dxa"/>
            <w:tcBorders>
              <w:top w:val="nil"/>
              <w:left w:val="nil"/>
              <w:bottom w:val="single" w:color="auto" w:sz="4" w:space="0"/>
              <w:right w:val="single" w:color="auto" w:sz="4" w:space="0"/>
            </w:tcBorders>
            <w:shd w:val="clear" w:color="auto" w:fill="auto"/>
            <w:noWrap/>
            <w:vAlign w:val="center"/>
          </w:tcPr>
          <w:p w14:paraId="02098F7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952.52 </w:t>
            </w:r>
          </w:p>
        </w:tc>
        <w:tc>
          <w:tcPr>
            <w:tcW w:w="1234" w:type="dxa"/>
            <w:tcBorders>
              <w:top w:val="nil"/>
              <w:left w:val="nil"/>
              <w:bottom w:val="single" w:color="auto" w:sz="4" w:space="0"/>
              <w:right w:val="single" w:color="auto" w:sz="4" w:space="0"/>
            </w:tcBorders>
            <w:shd w:val="clear" w:color="auto" w:fill="auto"/>
            <w:noWrap/>
            <w:vAlign w:val="center"/>
          </w:tcPr>
          <w:p w14:paraId="5196F78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23.11 </w:t>
            </w:r>
          </w:p>
        </w:tc>
        <w:tc>
          <w:tcPr>
            <w:tcW w:w="1062" w:type="dxa"/>
            <w:tcBorders>
              <w:top w:val="nil"/>
              <w:left w:val="nil"/>
              <w:bottom w:val="single" w:color="auto" w:sz="4" w:space="0"/>
              <w:right w:val="single" w:color="auto" w:sz="4" w:space="0"/>
            </w:tcBorders>
            <w:shd w:val="clear" w:color="auto" w:fill="auto"/>
            <w:noWrap/>
            <w:vAlign w:val="center"/>
          </w:tcPr>
          <w:p w14:paraId="633684D7">
            <w:pPr>
              <w:widowControl/>
              <w:jc w:val="center"/>
              <w:rPr>
                <w:rFonts w:ascii="宋体" w:hAnsi="宋体" w:cs="宋体"/>
                <w:color w:val="000000"/>
                <w:kern w:val="0"/>
                <w:sz w:val="18"/>
                <w:szCs w:val="18"/>
              </w:rPr>
            </w:pPr>
            <w:r>
              <w:rPr>
                <w:rFonts w:hint="eastAsia" w:ascii="宋体" w:hAnsi="宋体" w:cs="宋体"/>
                <w:color w:val="000000"/>
                <w:kern w:val="0"/>
                <w:sz w:val="18"/>
                <w:szCs w:val="18"/>
              </w:rPr>
              <w:t>2.43%</w:t>
            </w:r>
          </w:p>
        </w:tc>
        <w:tc>
          <w:tcPr>
            <w:tcW w:w="1067" w:type="dxa"/>
            <w:tcBorders>
              <w:top w:val="nil"/>
              <w:left w:val="nil"/>
              <w:bottom w:val="single" w:color="auto" w:sz="4" w:space="0"/>
              <w:right w:val="single" w:color="auto" w:sz="4" w:space="0"/>
            </w:tcBorders>
            <w:shd w:val="clear" w:color="auto" w:fill="auto"/>
            <w:noWrap/>
            <w:vAlign w:val="center"/>
          </w:tcPr>
          <w:p w14:paraId="1481C61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891" w:type="dxa"/>
            <w:tcBorders>
              <w:top w:val="nil"/>
              <w:left w:val="nil"/>
              <w:bottom w:val="single" w:color="auto" w:sz="4" w:space="0"/>
              <w:right w:val="single" w:color="auto" w:sz="4" w:space="0"/>
            </w:tcBorders>
            <w:shd w:val="clear" w:color="auto" w:fill="auto"/>
            <w:noWrap/>
            <w:vAlign w:val="center"/>
          </w:tcPr>
          <w:p w14:paraId="63C31B29">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404" w:type="dxa"/>
            <w:tcBorders>
              <w:top w:val="nil"/>
              <w:left w:val="nil"/>
              <w:bottom w:val="single" w:color="auto" w:sz="4" w:space="0"/>
              <w:right w:val="single" w:color="auto" w:sz="4" w:space="0"/>
            </w:tcBorders>
            <w:shd w:val="clear" w:color="auto" w:fill="auto"/>
            <w:noWrap/>
            <w:vAlign w:val="center"/>
          </w:tcPr>
          <w:p w14:paraId="76F8DF7E">
            <w:pPr>
              <w:widowControl/>
              <w:jc w:val="center"/>
              <w:rPr>
                <w:rFonts w:ascii="宋体" w:hAnsi="宋体" w:cs="宋体"/>
                <w:color w:val="000000"/>
                <w:kern w:val="0"/>
                <w:sz w:val="18"/>
                <w:szCs w:val="18"/>
              </w:rPr>
            </w:pPr>
            <w:r>
              <w:rPr>
                <w:rFonts w:hint="eastAsia" w:ascii="宋体" w:hAnsi="宋体" w:cs="宋体"/>
                <w:color w:val="000000"/>
                <w:kern w:val="0"/>
                <w:sz w:val="18"/>
                <w:szCs w:val="18"/>
              </w:rPr>
              <w:t>929.41</w:t>
            </w:r>
          </w:p>
        </w:tc>
        <w:tc>
          <w:tcPr>
            <w:tcW w:w="1062" w:type="dxa"/>
            <w:tcBorders>
              <w:top w:val="nil"/>
              <w:left w:val="nil"/>
              <w:bottom w:val="single" w:color="auto" w:sz="4" w:space="0"/>
              <w:right w:val="single" w:color="auto" w:sz="4" w:space="0"/>
            </w:tcBorders>
            <w:shd w:val="clear" w:color="auto" w:fill="auto"/>
            <w:noWrap/>
            <w:vAlign w:val="center"/>
          </w:tcPr>
          <w:p w14:paraId="058AF1E9">
            <w:pPr>
              <w:widowControl/>
              <w:jc w:val="center"/>
              <w:rPr>
                <w:rFonts w:ascii="宋体" w:hAnsi="宋体" w:cs="宋体"/>
                <w:color w:val="000000"/>
                <w:kern w:val="0"/>
                <w:sz w:val="18"/>
                <w:szCs w:val="18"/>
              </w:rPr>
            </w:pPr>
            <w:r>
              <w:rPr>
                <w:rFonts w:hint="eastAsia" w:ascii="宋体" w:hAnsi="宋体" w:cs="宋体"/>
                <w:color w:val="000000"/>
                <w:kern w:val="0"/>
                <w:sz w:val="18"/>
                <w:szCs w:val="18"/>
              </w:rPr>
              <w:t>97.57%</w:t>
            </w:r>
          </w:p>
        </w:tc>
      </w:tr>
      <w:tr w14:paraId="56CBD046">
        <w:tblPrEx>
          <w:tblCellMar>
            <w:top w:w="0" w:type="dxa"/>
            <w:left w:w="108" w:type="dxa"/>
            <w:bottom w:w="0" w:type="dxa"/>
            <w:right w:w="108" w:type="dxa"/>
          </w:tblCellMar>
        </w:tblPrEx>
        <w:trPr>
          <w:trHeight w:val="312" w:hRule="atLeast"/>
          <w:jc w:val="center"/>
        </w:trPr>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81C743">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120" w:type="dxa"/>
            <w:tcBorders>
              <w:top w:val="single" w:color="auto" w:sz="4" w:space="0"/>
              <w:left w:val="nil"/>
              <w:bottom w:val="single" w:color="auto" w:sz="4" w:space="0"/>
              <w:right w:val="single" w:color="auto" w:sz="4" w:space="0"/>
            </w:tcBorders>
            <w:shd w:val="clear" w:color="auto" w:fill="auto"/>
            <w:noWrap/>
            <w:vAlign w:val="center"/>
          </w:tcPr>
          <w:p w14:paraId="0FAA129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32403.40 </w:t>
            </w:r>
          </w:p>
        </w:tc>
        <w:tc>
          <w:tcPr>
            <w:tcW w:w="1234" w:type="dxa"/>
            <w:tcBorders>
              <w:top w:val="single" w:color="auto" w:sz="4" w:space="0"/>
              <w:left w:val="nil"/>
              <w:bottom w:val="single" w:color="auto" w:sz="4" w:space="0"/>
              <w:right w:val="single" w:color="auto" w:sz="4" w:space="0"/>
            </w:tcBorders>
            <w:shd w:val="clear" w:color="auto" w:fill="auto"/>
            <w:noWrap/>
            <w:vAlign w:val="center"/>
          </w:tcPr>
          <w:p w14:paraId="4B3600C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3237.33 </w:t>
            </w:r>
          </w:p>
        </w:tc>
        <w:tc>
          <w:tcPr>
            <w:tcW w:w="1062" w:type="dxa"/>
            <w:tcBorders>
              <w:top w:val="single" w:color="auto" w:sz="4" w:space="0"/>
              <w:left w:val="nil"/>
              <w:bottom w:val="single" w:color="auto" w:sz="4" w:space="0"/>
              <w:right w:val="single" w:color="auto" w:sz="4" w:space="0"/>
            </w:tcBorders>
            <w:shd w:val="clear" w:color="auto" w:fill="auto"/>
            <w:noWrap/>
            <w:vAlign w:val="center"/>
          </w:tcPr>
          <w:p w14:paraId="25946C78">
            <w:pPr>
              <w:widowControl/>
              <w:jc w:val="center"/>
              <w:rPr>
                <w:rFonts w:ascii="宋体" w:hAnsi="宋体" w:cs="宋体"/>
                <w:color w:val="000000"/>
                <w:kern w:val="0"/>
                <w:sz w:val="18"/>
                <w:szCs w:val="18"/>
              </w:rPr>
            </w:pPr>
            <w:r>
              <w:rPr>
                <w:rFonts w:hint="eastAsia" w:ascii="宋体" w:hAnsi="宋体" w:cs="宋体"/>
                <w:color w:val="000000"/>
                <w:kern w:val="0"/>
                <w:sz w:val="18"/>
                <w:szCs w:val="18"/>
              </w:rPr>
              <w:t>9.99%</w:t>
            </w:r>
          </w:p>
        </w:tc>
        <w:tc>
          <w:tcPr>
            <w:tcW w:w="1067" w:type="dxa"/>
            <w:tcBorders>
              <w:top w:val="single" w:color="auto" w:sz="4" w:space="0"/>
              <w:left w:val="nil"/>
              <w:bottom w:val="single" w:color="auto" w:sz="4" w:space="0"/>
              <w:right w:val="single" w:color="auto" w:sz="4" w:space="0"/>
            </w:tcBorders>
            <w:shd w:val="clear" w:color="auto" w:fill="auto"/>
            <w:noWrap/>
            <w:vAlign w:val="center"/>
          </w:tcPr>
          <w:p w14:paraId="5D07A62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58.74 </w:t>
            </w:r>
          </w:p>
        </w:tc>
        <w:tc>
          <w:tcPr>
            <w:tcW w:w="891" w:type="dxa"/>
            <w:tcBorders>
              <w:top w:val="single" w:color="auto" w:sz="4" w:space="0"/>
              <w:left w:val="nil"/>
              <w:bottom w:val="single" w:color="auto" w:sz="4" w:space="0"/>
              <w:right w:val="single" w:color="auto" w:sz="4" w:space="0"/>
            </w:tcBorders>
            <w:shd w:val="clear" w:color="auto" w:fill="auto"/>
            <w:noWrap/>
            <w:vAlign w:val="center"/>
          </w:tcPr>
          <w:p w14:paraId="298EAEE3">
            <w:pPr>
              <w:widowControl/>
              <w:jc w:val="center"/>
              <w:rPr>
                <w:rFonts w:ascii="宋体" w:hAnsi="宋体" w:cs="宋体"/>
                <w:color w:val="000000"/>
                <w:kern w:val="0"/>
                <w:sz w:val="18"/>
                <w:szCs w:val="18"/>
              </w:rPr>
            </w:pPr>
            <w:r>
              <w:rPr>
                <w:rFonts w:hint="eastAsia" w:ascii="宋体" w:hAnsi="宋体" w:cs="宋体"/>
                <w:color w:val="000000"/>
                <w:kern w:val="0"/>
                <w:sz w:val="18"/>
                <w:szCs w:val="18"/>
              </w:rPr>
              <w:t>0.18%</w:t>
            </w:r>
          </w:p>
        </w:tc>
        <w:tc>
          <w:tcPr>
            <w:tcW w:w="1404" w:type="dxa"/>
            <w:tcBorders>
              <w:top w:val="single" w:color="auto" w:sz="4" w:space="0"/>
              <w:left w:val="nil"/>
              <w:bottom w:val="single" w:color="auto" w:sz="4" w:space="0"/>
              <w:right w:val="single" w:color="auto" w:sz="4" w:space="0"/>
            </w:tcBorders>
            <w:shd w:val="clear" w:color="auto" w:fill="auto"/>
            <w:noWrap/>
            <w:vAlign w:val="center"/>
          </w:tcPr>
          <w:p w14:paraId="113218A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29107.33 </w:t>
            </w:r>
          </w:p>
        </w:tc>
        <w:tc>
          <w:tcPr>
            <w:tcW w:w="1062" w:type="dxa"/>
            <w:tcBorders>
              <w:top w:val="single" w:color="auto" w:sz="4" w:space="0"/>
              <w:left w:val="nil"/>
              <w:bottom w:val="single" w:color="auto" w:sz="4" w:space="0"/>
              <w:right w:val="single" w:color="auto" w:sz="4" w:space="0"/>
            </w:tcBorders>
            <w:shd w:val="clear" w:color="auto" w:fill="auto"/>
            <w:noWrap/>
            <w:vAlign w:val="center"/>
          </w:tcPr>
          <w:p w14:paraId="7B8D9B51">
            <w:pPr>
              <w:widowControl/>
              <w:jc w:val="center"/>
              <w:rPr>
                <w:rFonts w:ascii="宋体" w:hAnsi="宋体" w:cs="宋体"/>
                <w:color w:val="000000"/>
                <w:kern w:val="0"/>
                <w:sz w:val="18"/>
                <w:szCs w:val="18"/>
              </w:rPr>
            </w:pPr>
            <w:r>
              <w:rPr>
                <w:rFonts w:hint="eastAsia" w:ascii="宋体" w:hAnsi="宋体" w:cs="宋体"/>
                <w:color w:val="000000"/>
                <w:kern w:val="0"/>
                <w:sz w:val="18"/>
                <w:szCs w:val="18"/>
              </w:rPr>
              <w:t>89.83%</w:t>
            </w:r>
          </w:p>
        </w:tc>
      </w:tr>
    </w:tbl>
    <w:p w14:paraId="072D8520">
      <w:pPr>
        <w:pStyle w:val="78"/>
        <w:ind w:firstLine="560"/>
        <w:rPr>
          <w:rFonts w:ascii="仿宋_GB2312" w:hAnsi="宋体" w:eastAsia="仿宋_GB2312"/>
          <w:sz w:val="28"/>
          <w:szCs w:val="28"/>
        </w:rPr>
      </w:pPr>
      <w:r>
        <w:rPr>
          <w:rFonts w:hint="eastAsia" w:ascii="仿宋_GB2312" w:hAnsi="宋体" w:eastAsia="仿宋_GB2312"/>
          <w:sz w:val="28"/>
          <w:szCs w:val="28"/>
        </w:rPr>
        <w:t>从坡度等级来看，全区2014年现状耕地中，坡度25°以上面积最大为9697.78公顷，占现状耕地总面积的29.93%，主要分布在铜都街道、阿旺镇和汤丹镇；其次是坡度6°～15°和坡度15°～25°耕地，面积分别是10149.79公顷和9222.92公顷，占现状耕地总面积的比例分别是31.32%和28.46%；坡度≤2°和2°～6°耕地面积最小，分别是1504.95公顷和1827.96公顷，占现状耕地总面积的比例分别是4.64%和5.64%，主要分布在拖布卡镇和铜都街道。</w:t>
      </w:r>
    </w:p>
    <w:p w14:paraId="6CF47FC9">
      <w:pPr>
        <w:jc w:val="center"/>
        <w:outlineLvl w:val="4"/>
        <w:rPr>
          <w:rFonts w:ascii="宋体" w:hAnsi="宋体"/>
          <w:b/>
          <w:sz w:val="24"/>
        </w:rPr>
      </w:pPr>
      <w:r>
        <w:rPr>
          <w:rFonts w:hint="eastAsia" w:ascii="宋体" w:hAnsi="宋体"/>
          <w:b/>
          <w:sz w:val="24"/>
        </w:rPr>
        <w:t>表2-4  东川区耕地坡度分级情况表</w:t>
      </w:r>
    </w:p>
    <w:p w14:paraId="3F61C2ED">
      <w:pPr>
        <w:wordWrap w:val="0"/>
        <w:ind w:firstLine="420"/>
        <w:jc w:val="right"/>
        <w:rPr>
          <w:rFonts w:ascii="宋体" w:hAnsi="宋体"/>
          <w:color w:val="000000"/>
          <w:kern w:val="0"/>
          <w:sz w:val="18"/>
          <w:szCs w:val="18"/>
        </w:rPr>
      </w:pPr>
      <w:r>
        <w:rPr>
          <w:rFonts w:hint="eastAsia" w:ascii="宋体" w:hAnsi="宋体"/>
          <w:color w:val="000000"/>
          <w:kern w:val="0"/>
          <w:sz w:val="18"/>
          <w:szCs w:val="18"/>
        </w:rPr>
        <w:t>单位：公顷</w:t>
      </w:r>
    </w:p>
    <w:tbl>
      <w:tblPr>
        <w:tblStyle w:val="27"/>
        <w:tblW w:w="9200" w:type="dxa"/>
        <w:jc w:val="center"/>
        <w:tblLayout w:type="autofit"/>
        <w:tblCellMar>
          <w:top w:w="0" w:type="dxa"/>
          <w:left w:w="108" w:type="dxa"/>
          <w:bottom w:w="0" w:type="dxa"/>
          <w:right w:w="108" w:type="dxa"/>
        </w:tblCellMar>
      </w:tblPr>
      <w:tblGrid>
        <w:gridCol w:w="1400"/>
        <w:gridCol w:w="1300"/>
        <w:gridCol w:w="1300"/>
        <w:gridCol w:w="1300"/>
        <w:gridCol w:w="1300"/>
        <w:gridCol w:w="1300"/>
        <w:gridCol w:w="1300"/>
      </w:tblGrid>
      <w:tr w14:paraId="6365C2CF">
        <w:tblPrEx>
          <w:tblCellMar>
            <w:top w:w="0" w:type="dxa"/>
            <w:left w:w="108" w:type="dxa"/>
            <w:bottom w:w="0" w:type="dxa"/>
            <w:right w:w="108" w:type="dxa"/>
          </w:tblCellMar>
        </w:tblPrEx>
        <w:trPr>
          <w:trHeight w:val="284" w:hRule="atLeast"/>
          <w:jc w:val="center"/>
        </w:trPr>
        <w:tc>
          <w:tcPr>
            <w:tcW w:w="14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132FD1">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行政区名称</w:t>
            </w:r>
          </w:p>
        </w:tc>
        <w:tc>
          <w:tcPr>
            <w:tcW w:w="1300" w:type="dxa"/>
            <w:tcBorders>
              <w:top w:val="single" w:color="auto" w:sz="4" w:space="0"/>
              <w:left w:val="nil"/>
              <w:bottom w:val="single" w:color="auto" w:sz="4" w:space="0"/>
              <w:right w:val="single" w:color="auto" w:sz="4" w:space="0"/>
            </w:tcBorders>
            <w:shd w:val="clear" w:color="auto" w:fill="auto"/>
            <w:noWrap/>
            <w:vAlign w:val="center"/>
          </w:tcPr>
          <w:p w14:paraId="1BDB049A">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≤2°</w:t>
            </w:r>
          </w:p>
        </w:tc>
        <w:tc>
          <w:tcPr>
            <w:tcW w:w="1300" w:type="dxa"/>
            <w:tcBorders>
              <w:top w:val="single" w:color="auto" w:sz="4" w:space="0"/>
              <w:left w:val="nil"/>
              <w:bottom w:val="single" w:color="auto" w:sz="4" w:space="0"/>
              <w:right w:val="single" w:color="auto" w:sz="4" w:space="0"/>
            </w:tcBorders>
            <w:shd w:val="clear" w:color="auto" w:fill="auto"/>
            <w:noWrap/>
            <w:vAlign w:val="center"/>
          </w:tcPr>
          <w:p w14:paraId="2968696F">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2°～6°</w:t>
            </w:r>
          </w:p>
        </w:tc>
        <w:tc>
          <w:tcPr>
            <w:tcW w:w="1300" w:type="dxa"/>
            <w:tcBorders>
              <w:top w:val="single" w:color="auto" w:sz="4" w:space="0"/>
              <w:left w:val="nil"/>
              <w:bottom w:val="single" w:color="auto" w:sz="4" w:space="0"/>
              <w:right w:val="single" w:color="auto" w:sz="4" w:space="0"/>
            </w:tcBorders>
            <w:shd w:val="clear" w:color="auto" w:fill="auto"/>
            <w:noWrap/>
            <w:vAlign w:val="center"/>
          </w:tcPr>
          <w:p w14:paraId="1A6CF6D1">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6°～15°</w:t>
            </w:r>
          </w:p>
        </w:tc>
        <w:tc>
          <w:tcPr>
            <w:tcW w:w="1300" w:type="dxa"/>
            <w:tcBorders>
              <w:top w:val="single" w:color="auto" w:sz="4" w:space="0"/>
              <w:left w:val="nil"/>
              <w:bottom w:val="single" w:color="auto" w:sz="4" w:space="0"/>
              <w:right w:val="single" w:color="auto" w:sz="4" w:space="0"/>
            </w:tcBorders>
            <w:shd w:val="clear" w:color="auto" w:fill="auto"/>
            <w:noWrap/>
            <w:vAlign w:val="center"/>
          </w:tcPr>
          <w:p w14:paraId="0273A044">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15°～25°</w:t>
            </w:r>
          </w:p>
        </w:tc>
        <w:tc>
          <w:tcPr>
            <w:tcW w:w="1300" w:type="dxa"/>
            <w:tcBorders>
              <w:top w:val="single" w:color="auto" w:sz="4" w:space="0"/>
              <w:left w:val="nil"/>
              <w:bottom w:val="single" w:color="auto" w:sz="4" w:space="0"/>
              <w:right w:val="single" w:color="auto" w:sz="4" w:space="0"/>
            </w:tcBorders>
            <w:shd w:val="clear" w:color="auto" w:fill="auto"/>
            <w:noWrap/>
            <w:vAlign w:val="center"/>
          </w:tcPr>
          <w:p w14:paraId="367E5434">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＞25°</w:t>
            </w:r>
          </w:p>
        </w:tc>
        <w:tc>
          <w:tcPr>
            <w:tcW w:w="1300" w:type="dxa"/>
            <w:tcBorders>
              <w:top w:val="single" w:color="auto" w:sz="4" w:space="0"/>
              <w:left w:val="nil"/>
              <w:bottom w:val="single" w:color="auto" w:sz="4" w:space="0"/>
              <w:right w:val="single" w:color="auto" w:sz="4" w:space="0"/>
            </w:tcBorders>
            <w:shd w:val="clear" w:color="auto" w:fill="auto"/>
            <w:noWrap/>
            <w:vAlign w:val="center"/>
          </w:tcPr>
          <w:p w14:paraId="4CD3C729">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总计</w:t>
            </w:r>
          </w:p>
        </w:tc>
      </w:tr>
      <w:tr w14:paraId="07AFC5ED">
        <w:tblPrEx>
          <w:tblCellMar>
            <w:top w:w="0" w:type="dxa"/>
            <w:left w:w="108" w:type="dxa"/>
            <w:bottom w:w="0" w:type="dxa"/>
            <w:right w:w="108" w:type="dxa"/>
          </w:tblCellMar>
        </w:tblPrEx>
        <w:trPr>
          <w:trHeight w:val="284" w:hRule="atLeast"/>
          <w:jc w:val="center"/>
        </w:trPr>
        <w:tc>
          <w:tcPr>
            <w:tcW w:w="1400" w:type="dxa"/>
            <w:tcBorders>
              <w:top w:val="nil"/>
              <w:left w:val="single" w:color="auto" w:sz="4" w:space="0"/>
              <w:bottom w:val="single" w:color="auto" w:sz="4" w:space="0"/>
              <w:right w:val="single" w:color="auto" w:sz="4" w:space="0"/>
            </w:tcBorders>
            <w:shd w:val="clear" w:color="auto" w:fill="auto"/>
            <w:noWrap/>
            <w:vAlign w:val="center"/>
          </w:tcPr>
          <w:p w14:paraId="04E79DAF">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300" w:type="dxa"/>
            <w:tcBorders>
              <w:top w:val="nil"/>
              <w:left w:val="nil"/>
              <w:bottom w:val="single" w:color="auto" w:sz="4" w:space="0"/>
              <w:right w:val="single" w:color="auto" w:sz="4" w:space="0"/>
            </w:tcBorders>
            <w:shd w:val="clear" w:color="auto" w:fill="auto"/>
            <w:noWrap/>
            <w:vAlign w:val="center"/>
          </w:tcPr>
          <w:p w14:paraId="0A32A1F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71.38 </w:t>
            </w:r>
          </w:p>
        </w:tc>
        <w:tc>
          <w:tcPr>
            <w:tcW w:w="1300" w:type="dxa"/>
            <w:tcBorders>
              <w:top w:val="nil"/>
              <w:left w:val="nil"/>
              <w:bottom w:val="single" w:color="auto" w:sz="4" w:space="0"/>
              <w:right w:val="single" w:color="auto" w:sz="4" w:space="0"/>
            </w:tcBorders>
            <w:shd w:val="clear" w:color="auto" w:fill="auto"/>
            <w:noWrap/>
            <w:vAlign w:val="center"/>
          </w:tcPr>
          <w:p w14:paraId="623CD6D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217.51 </w:t>
            </w:r>
          </w:p>
        </w:tc>
        <w:tc>
          <w:tcPr>
            <w:tcW w:w="1300" w:type="dxa"/>
            <w:tcBorders>
              <w:top w:val="nil"/>
              <w:left w:val="nil"/>
              <w:bottom w:val="single" w:color="auto" w:sz="4" w:space="0"/>
              <w:right w:val="single" w:color="auto" w:sz="4" w:space="0"/>
            </w:tcBorders>
            <w:shd w:val="clear" w:color="auto" w:fill="auto"/>
            <w:noWrap/>
            <w:vAlign w:val="center"/>
          </w:tcPr>
          <w:p w14:paraId="08CB67E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1861.98 </w:t>
            </w:r>
          </w:p>
        </w:tc>
        <w:tc>
          <w:tcPr>
            <w:tcW w:w="1300" w:type="dxa"/>
            <w:tcBorders>
              <w:top w:val="nil"/>
              <w:left w:val="nil"/>
              <w:bottom w:val="single" w:color="auto" w:sz="4" w:space="0"/>
              <w:right w:val="single" w:color="auto" w:sz="4" w:space="0"/>
            </w:tcBorders>
            <w:shd w:val="clear" w:color="auto" w:fill="auto"/>
            <w:noWrap/>
            <w:vAlign w:val="center"/>
          </w:tcPr>
          <w:p w14:paraId="1940F25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1845.91 </w:t>
            </w:r>
          </w:p>
        </w:tc>
        <w:tc>
          <w:tcPr>
            <w:tcW w:w="1300" w:type="dxa"/>
            <w:tcBorders>
              <w:top w:val="nil"/>
              <w:left w:val="nil"/>
              <w:bottom w:val="single" w:color="auto" w:sz="4" w:space="0"/>
              <w:right w:val="single" w:color="auto" w:sz="4" w:space="0"/>
            </w:tcBorders>
            <w:shd w:val="clear" w:color="auto" w:fill="auto"/>
            <w:noWrap/>
            <w:vAlign w:val="center"/>
          </w:tcPr>
          <w:p w14:paraId="35384D5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2003.86 </w:t>
            </w:r>
          </w:p>
        </w:tc>
        <w:tc>
          <w:tcPr>
            <w:tcW w:w="1300" w:type="dxa"/>
            <w:tcBorders>
              <w:top w:val="nil"/>
              <w:left w:val="nil"/>
              <w:bottom w:val="single" w:color="auto" w:sz="4" w:space="0"/>
              <w:right w:val="single" w:color="auto" w:sz="4" w:space="0"/>
            </w:tcBorders>
            <w:shd w:val="clear" w:color="auto" w:fill="auto"/>
            <w:noWrap/>
            <w:vAlign w:val="center"/>
          </w:tcPr>
          <w:p w14:paraId="5B44F4E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6000.64 </w:t>
            </w:r>
          </w:p>
        </w:tc>
      </w:tr>
      <w:tr w14:paraId="157D0F3F">
        <w:tblPrEx>
          <w:tblCellMar>
            <w:top w:w="0" w:type="dxa"/>
            <w:left w:w="108" w:type="dxa"/>
            <w:bottom w:w="0" w:type="dxa"/>
            <w:right w:w="108" w:type="dxa"/>
          </w:tblCellMar>
        </w:tblPrEx>
        <w:trPr>
          <w:trHeight w:val="284" w:hRule="atLeast"/>
          <w:jc w:val="center"/>
        </w:trPr>
        <w:tc>
          <w:tcPr>
            <w:tcW w:w="1400" w:type="dxa"/>
            <w:tcBorders>
              <w:top w:val="nil"/>
              <w:left w:val="single" w:color="auto" w:sz="4" w:space="0"/>
              <w:bottom w:val="single" w:color="auto" w:sz="4" w:space="0"/>
              <w:right w:val="single" w:color="auto" w:sz="4" w:space="0"/>
            </w:tcBorders>
            <w:shd w:val="clear" w:color="auto" w:fill="auto"/>
            <w:noWrap/>
            <w:vAlign w:val="center"/>
          </w:tcPr>
          <w:p w14:paraId="56D63018">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300" w:type="dxa"/>
            <w:tcBorders>
              <w:top w:val="nil"/>
              <w:left w:val="nil"/>
              <w:bottom w:val="single" w:color="auto" w:sz="4" w:space="0"/>
              <w:right w:val="single" w:color="auto" w:sz="4" w:space="0"/>
            </w:tcBorders>
            <w:shd w:val="clear" w:color="auto" w:fill="auto"/>
            <w:noWrap/>
            <w:vAlign w:val="center"/>
          </w:tcPr>
          <w:p w14:paraId="307E928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0.34 </w:t>
            </w:r>
          </w:p>
        </w:tc>
        <w:tc>
          <w:tcPr>
            <w:tcW w:w="1300" w:type="dxa"/>
            <w:tcBorders>
              <w:top w:val="nil"/>
              <w:left w:val="nil"/>
              <w:bottom w:val="single" w:color="auto" w:sz="4" w:space="0"/>
              <w:right w:val="single" w:color="auto" w:sz="4" w:space="0"/>
            </w:tcBorders>
            <w:shd w:val="clear" w:color="auto" w:fill="auto"/>
            <w:noWrap/>
            <w:vAlign w:val="center"/>
          </w:tcPr>
          <w:p w14:paraId="7565017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14.48 </w:t>
            </w:r>
          </w:p>
        </w:tc>
        <w:tc>
          <w:tcPr>
            <w:tcW w:w="1300" w:type="dxa"/>
            <w:tcBorders>
              <w:top w:val="nil"/>
              <w:left w:val="nil"/>
              <w:bottom w:val="single" w:color="auto" w:sz="4" w:space="0"/>
              <w:right w:val="single" w:color="auto" w:sz="4" w:space="0"/>
            </w:tcBorders>
            <w:shd w:val="clear" w:color="auto" w:fill="auto"/>
            <w:noWrap/>
            <w:vAlign w:val="center"/>
          </w:tcPr>
          <w:p w14:paraId="30ED759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2151.56 </w:t>
            </w:r>
          </w:p>
        </w:tc>
        <w:tc>
          <w:tcPr>
            <w:tcW w:w="1300" w:type="dxa"/>
            <w:tcBorders>
              <w:top w:val="nil"/>
              <w:left w:val="nil"/>
              <w:bottom w:val="single" w:color="auto" w:sz="4" w:space="0"/>
              <w:right w:val="single" w:color="auto" w:sz="4" w:space="0"/>
            </w:tcBorders>
            <w:shd w:val="clear" w:color="auto" w:fill="auto"/>
            <w:noWrap/>
            <w:vAlign w:val="center"/>
          </w:tcPr>
          <w:p w14:paraId="202D298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2293.54 </w:t>
            </w:r>
          </w:p>
        </w:tc>
        <w:tc>
          <w:tcPr>
            <w:tcW w:w="1300" w:type="dxa"/>
            <w:tcBorders>
              <w:top w:val="nil"/>
              <w:left w:val="nil"/>
              <w:bottom w:val="single" w:color="auto" w:sz="4" w:space="0"/>
              <w:right w:val="single" w:color="auto" w:sz="4" w:space="0"/>
            </w:tcBorders>
            <w:shd w:val="clear" w:color="auto" w:fill="auto"/>
            <w:noWrap/>
            <w:vAlign w:val="center"/>
          </w:tcPr>
          <w:p w14:paraId="140AEB0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1229.16 </w:t>
            </w:r>
          </w:p>
        </w:tc>
        <w:tc>
          <w:tcPr>
            <w:tcW w:w="1300" w:type="dxa"/>
            <w:tcBorders>
              <w:top w:val="nil"/>
              <w:left w:val="nil"/>
              <w:bottom w:val="single" w:color="auto" w:sz="4" w:space="0"/>
              <w:right w:val="single" w:color="auto" w:sz="4" w:space="0"/>
            </w:tcBorders>
            <w:shd w:val="clear" w:color="auto" w:fill="auto"/>
            <w:noWrap/>
            <w:vAlign w:val="center"/>
          </w:tcPr>
          <w:p w14:paraId="4F376DB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5689.08 </w:t>
            </w:r>
          </w:p>
        </w:tc>
      </w:tr>
      <w:tr w14:paraId="14A0A9F7">
        <w:tblPrEx>
          <w:tblCellMar>
            <w:top w:w="0" w:type="dxa"/>
            <w:left w:w="108" w:type="dxa"/>
            <w:bottom w:w="0" w:type="dxa"/>
            <w:right w:w="108" w:type="dxa"/>
          </w:tblCellMar>
        </w:tblPrEx>
        <w:trPr>
          <w:trHeight w:val="284" w:hRule="atLeast"/>
          <w:jc w:val="center"/>
        </w:trPr>
        <w:tc>
          <w:tcPr>
            <w:tcW w:w="1400" w:type="dxa"/>
            <w:tcBorders>
              <w:top w:val="nil"/>
              <w:left w:val="single" w:color="auto" w:sz="4" w:space="0"/>
              <w:bottom w:val="single" w:color="auto" w:sz="4" w:space="0"/>
              <w:right w:val="single" w:color="auto" w:sz="4" w:space="0"/>
            </w:tcBorders>
            <w:shd w:val="clear" w:color="auto" w:fill="auto"/>
            <w:noWrap/>
            <w:vAlign w:val="center"/>
          </w:tcPr>
          <w:p w14:paraId="7B93F82F">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300" w:type="dxa"/>
            <w:tcBorders>
              <w:top w:val="nil"/>
              <w:left w:val="nil"/>
              <w:bottom w:val="single" w:color="auto" w:sz="4" w:space="0"/>
              <w:right w:val="single" w:color="auto" w:sz="4" w:space="0"/>
            </w:tcBorders>
            <w:shd w:val="clear" w:color="auto" w:fill="auto"/>
            <w:noWrap/>
            <w:vAlign w:val="center"/>
          </w:tcPr>
          <w:p w14:paraId="4B6A8BE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00" w:type="dxa"/>
            <w:tcBorders>
              <w:top w:val="nil"/>
              <w:left w:val="nil"/>
              <w:bottom w:val="single" w:color="auto" w:sz="4" w:space="0"/>
              <w:right w:val="single" w:color="auto" w:sz="4" w:space="0"/>
            </w:tcBorders>
            <w:shd w:val="clear" w:color="auto" w:fill="auto"/>
            <w:noWrap/>
            <w:vAlign w:val="center"/>
          </w:tcPr>
          <w:p w14:paraId="043BF01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26.06 </w:t>
            </w:r>
          </w:p>
        </w:tc>
        <w:tc>
          <w:tcPr>
            <w:tcW w:w="1300" w:type="dxa"/>
            <w:tcBorders>
              <w:top w:val="nil"/>
              <w:left w:val="nil"/>
              <w:bottom w:val="single" w:color="auto" w:sz="4" w:space="0"/>
              <w:right w:val="single" w:color="auto" w:sz="4" w:space="0"/>
            </w:tcBorders>
            <w:shd w:val="clear" w:color="auto" w:fill="auto"/>
            <w:noWrap/>
            <w:vAlign w:val="center"/>
          </w:tcPr>
          <w:p w14:paraId="17386D2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154.42 </w:t>
            </w:r>
          </w:p>
        </w:tc>
        <w:tc>
          <w:tcPr>
            <w:tcW w:w="1300" w:type="dxa"/>
            <w:tcBorders>
              <w:top w:val="nil"/>
              <w:left w:val="nil"/>
              <w:bottom w:val="single" w:color="auto" w:sz="4" w:space="0"/>
              <w:right w:val="single" w:color="auto" w:sz="4" w:space="0"/>
            </w:tcBorders>
            <w:shd w:val="clear" w:color="auto" w:fill="auto"/>
            <w:noWrap/>
            <w:vAlign w:val="center"/>
          </w:tcPr>
          <w:p w14:paraId="161FAFA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88.95 </w:t>
            </w:r>
          </w:p>
        </w:tc>
        <w:tc>
          <w:tcPr>
            <w:tcW w:w="1300" w:type="dxa"/>
            <w:tcBorders>
              <w:top w:val="nil"/>
              <w:left w:val="nil"/>
              <w:bottom w:val="single" w:color="auto" w:sz="4" w:space="0"/>
              <w:right w:val="single" w:color="auto" w:sz="4" w:space="0"/>
            </w:tcBorders>
            <w:shd w:val="clear" w:color="auto" w:fill="auto"/>
            <w:noWrap/>
            <w:vAlign w:val="center"/>
          </w:tcPr>
          <w:p w14:paraId="5F786E8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785.96 </w:t>
            </w:r>
          </w:p>
        </w:tc>
        <w:tc>
          <w:tcPr>
            <w:tcW w:w="1300" w:type="dxa"/>
            <w:tcBorders>
              <w:top w:val="nil"/>
              <w:left w:val="nil"/>
              <w:bottom w:val="single" w:color="auto" w:sz="4" w:space="0"/>
              <w:right w:val="single" w:color="auto" w:sz="4" w:space="0"/>
            </w:tcBorders>
            <w:shd w:val="clear" w:color="auto" w:fill="auto"/>
            <w:noWrap/>
            <w:vAlign w:val="center"/>
          </w:tcPr>
          <w:p w14:paraId="65AC19F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1055.39 </w:t>
            </w:r>
          </w:p>
        </w:tc>
      </w:tr>
      <w:tr w14:paraId="5DC55BF4">
        <w:tblPrEx>
          <w:tblCellMar>
            <w:top w:w="0" w:type="dxa"/>
            <w:left w:w="108" w:type="dxa"/>
            <w:bottom w:w="0" w:type="dxa"/>
            <w:right w:w="108" w:type="dxa"/>
          </w:tblCellMar>
        </w:tblPrEx>
        <w:trPr>
          <w:trHeight w:val="284" w:hRule="atLeast"/>
          <w:jc w:val="center"/>
        </w:trPr>
        <w:tc>
          <w:tcPr>
            <w:tcW w:w="1400" w:type="dxa"/>
            <w:tcBorders>
              <w:top w:val="nil"/>
              <w:left w:val="single" w:color="auto" w:sz="4" w:space="0"/>
              <w:bottom w:val="single" w:color="auto" w:sz="4" w:space="0"/>
              <w:right w:val="single" w:color="auto" w:sz="4" w:space="0"/>
            </w:tcBorders>
            <w:shd w:val="clear" w:color="auto" w:fill="auto"/>
            <w:noWrap/>
            <w:vAlign w:val="center"/>
          </w:tcPr>
          <w:p w14:paraId="12EF6680">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300" w:type="dxa"/>
            <w:tcBorders>
              <w:top w:val="nil"/>
              <w:left w:val="nil"/>
              <w:bottom w:val="single" w:color="auto" w:sz="4" w:space="0"/>
              <w:right w:val="single" w:color="auto" w:sz="4" w:space="0"/>
            </w:tcBorders>
            <w:shd w:val="clear" w:color="auto" w:fill="auto"/>
            <w:noWrap/>
            <w:vAlign w:val="center"/>
          </w:tcPr>
          <w:p w14:paraId="7B92941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262.97 </w:t>
            </w:r>
          </w:p>
        </w:tc>
        <w:tc>
          <w:tcPr>
            <w:tcW w:w="1300" w:type="dxa"/>
            <w:tcBorders>
              <w:top w:val="nil"/>
              <w:left w:val="nil"/>
              <w:bottom w:val="single" w:color="auto" w:sz="4" w:space="0"/>
              <w:right w:val="single" w:color="auto" w:sz="4" w:space="0"/>
            </w:tcBorders>
            <w:shd w:val="clear" w:color="auto" w:fill="auto"/>
            <w:noWrap/>
            <w:vAlign w:val="center"/>
          </w:tcPr>
          <w:p w14:paraId="7BBF031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51.81 </w:t>
            </w:r>
          </w:p>
        </w:tc>
        <w:tc>
          <w:tcPr>
            <w:tcW w:w="1300" w:type="dxa"/>
            <w:tcBorders>
              <w:top w:val="nil"/>
              <w:left w:val="nil"/>
              <w:bottom w:val="single" w:color="auto" w:sz="4" w:space="0"/>
              <w:right w:val="single" w:color="auto" w:sz="4" w:space="0"/>
            </w:tcBorders>
            <w:shd w:val="clear" w:color="auto" w:fill="auto"/>
            <w:noWrap/>
            <w:vAlign w:val="center"/>
          </w:tcPr>
          <w:p w14:paraId="69E2B7C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646.70 </w:t>
            </w:r>
          </w:p>
        </w:tc>
        <w:tc>
          <w:tcPr>
            <w:tcW w:w="1300" w:type="dxa"/>
            <w:tcBorders>
              <w:top w:val="nil"/>
              <w:left w:val="nil"/>
              <w:bottom w:val="single" w:color="auto" w:sz="4" w:space="0"/>
              <w:right w:val="single" w:color="auto" w:sz="4" w:space="0"/>
            </w:tcBorders>
            <w:shd w:val="clear" w:color="auto" w:fill="auto"/>
            <w:noWrap/>
            <w:vAlign w:val="center"/>
          </w:tcPr>
          <w:p w14:paraId="5852F4A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1228.09 </w:t>
            </w:r>
          </w:p>
        </w:tc>
        <w:tc>
          <w:tcPr>
            <w:tcW w:w="1300" w:type="dxa"/>
            <w:tcBorders>
              <w:top w:val="nil"/>
              <w:left w:val="nil"/>
              <w:bottom w:val="single" w:color="auto" w:sz="4" w:space="0"/>
              <w:right w:val="single" w:color="auto" w:sz="4" w:space="0"/>
            </w:tcBorders>
            <w:shd w:val="clear" w:color="auto" w:fill="auto"/>
            <w:noWrap/>
            <w:vAlign w:val="center"/>
          </w:tcPr>
          <w:p w14:paraId="4DBEB56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1555.97 </w:t>
            </w:r>
          </w:p>
        </w:tc>
        <w:tc>
          <w:tcPr>
            <w:tcW w:w="1300" w:type="dxa"/>
            <w:tcBorders>
              <w:top w:val="nil"/>
              <w:left w:val="nil"/>
              <w:bottom w:val="single" w:color="auto" w:sz="4" w:space="0"/>
              <w:right w:val="single" w:color="auto" w:sz="4" w:space="0"/>
            </w:tcBorders>
            <w:shd w:val="clear" w:color="auto" w:fill="auto"/>
            <w:noWrap/>
            <w:vAlign w:val="center"/>
          </w:tcPr>
          <w:p w14:paraId="13A2EB9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3745.54 </w:t>
            </w:r>
          </w:p>
        </w:tc>
      </w:tr>
      <w:tr w14:paraId="5BE6FB92">
        <w:tblPrEx>
          <w:tblCellMar>
            <w:top w:w="0" w:type="dxa"/>
            <w:left w:w="108" w:type="dxa"/>
            <w:bottom w:w="0" w:type="dxa"/>
            <w:right w:w="108" w:type="dxa"/>
          </w:tblCellMar>
        </w:tblPrEx>
        <w:trPr>
          <w:trHeight w:val="284" w:hRule="atLeast"/>
          <w:jc w:val="center"/>
        </w:trPr>
        <w:tc>
          <w:tcPr>
            <w:tcW w:w="1400" w:type="dxa"/>
            <w:tcBorders>
              <w:top w:val="nil"/>
              <w:left w:val="single" w:color="auto" w:sz="4" w:space="0"/>
              <w:bottom w:val="single" w:color="auto" w:sz="4" w:space="0"/>
              <w:right w:val="single" w:color="auto" w:sz="4" w:space="0"/>
            </w:tcBorders>
            <w:shd w:val="clear" w:color="auto" w:fill="auto"/>
            <w:noWrap/>
            <w:vAlign w:val="center"/>
          </w:tcPr>
          <w:p w14:paraId="645F153E">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300" w:type="dxa"/>
            <w:tcBorders>
              <w:top w:val="nil"/>
              <w:left w:val="nil"/>
              <w:bottom w:val="single" w:color="auto" w:sz="4" w:space="0"/>
              <w:right w:val="single" w:color="auto" w:sz="4" w:space="0"/>
            </w:tcBorders>
            <w:shd w:val="clear" w:color="auto" w:fill="auto"/>
            <w:noWrap/>
            <w:vAlign w:val="center"/>
          </w:tcPr>
          <w:p w14:paraId="7FDE75D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792.08 </w:t>
            </w:r>
          </w:p>
        </w:tc>
        <w:tc>
          <w:tcPr>
            <w:tcW w:w="1300" w:type="dxa"/>
            <w:tcBorders>
              <w:top w:val="nil"/>
              <w:left w:val="nil"/>
              <w:bottom w:val="single" w:color="auto" w:sz="4" w:space="0"/>
              <w:right w:val="single" w:color="auto" w:sz="4" w:space="0"/>
            </w:tcBorders>
            <w:shd w:val="clear" w:color="auto" w:fill="auto"/>
            <w:noWrap/>
            <w:vAlign w:val="center"/>
          </w:tcPr>
          <w:p w14:paraId="6B3CE02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971.10 </w:t>
            </w:r>
          </w:p>
        </w:tc>
        <w:tc>
          <w:tcPr>
            <w:tcW w:w="1300" w:type="dxa"/>
            <w:tcBorders>
              <w:top w:val="nil"/>
              <w:left w:val="nil"/>
              <w:bottom w:val="single" w:color="auto" w:sz="4" w:space="0"/>
              <w:right w:val="single" w:color="auto" w:sz="4" w:space="0"/>
            </w:tcBorders>
            <w:shd w:val="clear" w:color="auto" w:fill="auto"/>
            <w:noWrap/>
            <w:vAlign w:val="center"/>
          </w:tcPr>
          <w:p w14:paraId="392C87B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2398.89 </w:t>
            </w:r>
          </w:p>
        </w:tc>
        <w:tc>
          <w:tcPr>
            <w:tcW w:w="1300" w:type="dxa"/>
            <w:tcBorders>
              <w:top w:val="nil"/>
              <w:left w:val="nil"/>
              <w:bottom w:val="single" w:color="auto" w:sz="4" w:space="0"/>
              <w:right w:val="single" w:color="auto" w:sz="4" w:space="0"/>
            </w:tcBorders>
            <w:shd w:val="clear" w:color="auto" w:fill="auto"/>
            <w:noWrap/>
            <w:vAlign w:val="center"/>
          </w:tcPr>
          <w:p w14:paraId="07FF9E0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1808.58 </w:t>
            </w:r>
          </w:p>
        </w:tc>
        <w:tc>
          <w:tcPr>
            <w:tcW w:w="1300" w:type="dxa"/>
            <w:tcBorders>
              <w:top w:val="nil"/>
              <w:left w:val="nil"/>
              <w:bottom w:val="single" w:color="auto" w:sz="4" w:space="0"/>
              <w:right w:val="single" w:color="auto" w:sz="4" w:space="0"/>
            </w:tcBorders>
            <w:shd w:val="clear" w:color="auto" w:fill="auto"/>
            <w:noWrap/>
            <w:vAlign w:val="center"/>
          </w:tcPr>
          <w:p w14:paraId="3462384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1498.97 </w:t>
            </w:r>
          </w:p>
        </w:tc>
        <w:tc>
          <w:tcPr>
            <w:tcW w:w="1300" w:type="dxa"/>
            <w:tcBorders>
              <w:top w:val="nil"/>
              <w:left w:val="nil"/>
              <w:bottom w:val="single" w:color="auto" w:sz="4" w:space="0"/>
              <w:right w:val="single" w:color="auto" w:sz="4" w:space="0"/>
            </w:tcBorders>
            <w:shd w:val="clear" w:color="auto" w:fill="auto"/>
            <w:noWrap/>
            <w:vAlign w:val="center"/>
          </w:tcPr>
          <w:p w14:paraId="037C00C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7469.62 </w:t>
            </w:r>
          </w:p>
        </w:tc>
      </w:tr>
      <w:tr w14:paraId="067A0FD1">
        <w:tblPrEx>
          <w:tblCellMar>
            <w:top w:w="0" w:type="dxa"/>
            <w:left w:w="108" w:type="dxa"/>
            <w:bottom w:w="0" w:type="dxa"/>
            <w:right w:w="108" w:type="dxa"/>
          </w:tblCellMar>
        </w:tblPrEx>
        <w:trPr>
          <w:trHeight w:val="284" w:hRule="atLeast"/>
          <w:jc w:val="center"/>
        </w:trPr>
        <w:tc>
          <w:tcPr>
            <w:tcW w:w="1400" w:type="dxa"/>
            <w:tcBorders>
              <w:top w:val="nil"/>
              <w:left w:val="single" w:color="auto" w:sz="4" w:space="0"/>
              <w:bottom w:val="single" w:color="auto" w:sz="4" w:space="0"/>
              <w:right w:val="single" w:color="auto" w:sz="4" w:space="0"/>
            </w:tcBorders>
            <w:shd w:val="clear" w:color="auto" w:fill="auto"/>
            <w:noWrap/>
            <w:vAlign w:val="center"/>
          </w:tcPr>
          <w:p w14:paraId="22B34D52">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300" w:type="dxa"/>
            <w:tcBorders>
              <w:top w:val="nil"/>
              <w:left w:val="nil"/>
              <w:bottom w:val="single" w:color="auto" w:sz="4" w:space="0"/>
              <w:right w:val="single" w:color="auto" w:sz="4" w:space="0"/>
            </w:tcBorders>
            <w:shd w:val="clear" w:color="auto" w:fill="auto"/>
            <w:noWrap/>
            <w:vAlign w:val="center"/>
          </w:tcPr>
          <w:p w14:paraId="0813D55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332.80 </w:t>
            </w:r>
          </w:p>
        </w:tc>
        <w:tc>
          <w:tcPr>
            <w:tcW w:w="1300" w:type="dxa"/>
            <w:tcBorders>
              <w:top w:val="nil"/>
              <w:left w:val="nil"/>
              <w:bottom w:val="single" w:color="auto" w:sz="4" w:space="0"/>
              <w:right w:val="single" w:color="auto" w:sz="4" w:space="0"/>
            </w:tcBorders>
            <w:shd w:val="clear" w:color="auto" w:fill="auto"/>
            <w:noWrap/>
            <w:vAlign w:val="center"/>
          </w:tcPr>
          <w:p w14:paraId="5A5EBDA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207.73 </w:t>
            </w:r>
          </w:p>
        </w:tc>
        <w:tc>
          <w:tcPr>
            <w:tcW w:w="1300" w:type="dxa"/>
            <w:tcBorders>
              <w:top w:val="nil"/>
              <w:left w:val="nil"/>
              <w:bottom w:val="single" w:color="auto" w:sz="4" w:space="0"/>
              <w:right w:val="single" w:color="auto" w:sz="4" w:space="0"/>
            </w:tcBorders>
            <w:shd w:val="clear" w:color="auto" w:fill="auto"/>
            <w:noWrap/>
            <w:vAlign w:val="center"/>
          </w:tcPr>
          <w:p w14:paraId="6E2C0AC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1380.74 </w:t>
            </w:r>
          </w:p>
        </w:tc>
        <w:tc>
          <w:tcPr>
            <w:tcW w:w="1300" w:type="dxa"/>
            <w:tcBorders>
              <w:top w:val="nil"/>
              <w:left w:val="nil"/>
              <w:bottom w:val="single" w:color="auto" w:sz="4" w:space="0"/>
              <w:right w:val="single" w:color="auto" w:sz="4" w:space="0"/>
            </w:tcBorders>
            <w:shd w:val="clear" w:color="auto" w:fill="auto"/>
            <w:noWrap/>
            <w:vAlign w:val="center"/>
          </w:tcPr>
          <w:p w14:paraId="4B812D3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919.03 </w:t>
            </w:r>
          </w:p>
        </w:tc>
        <w:tc>
          <w:tcPr>
            <w:tcW w:w="1300" w:type="dxa"/>
            <w:tcBorders>
              <w:top w:val="nil"/>
              <w:left w:val="nil"/>
              <w:bottom w:val="single" w:color="auto" w:sz="4" w:space="0"/>
              <w:right w:val="single" w:color="auto" w:sz="4" w:space="0"/>
            </w:tcBorders>
            <w:shd w:val="clear" w:color="auto" w:fill="auto"/>
            <w:noWrap/>
            <w:vAlign w:val="center"/>
          </w:tcPr>
          <w:p w14:paraId="57720F4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1092.87 </w:t>
            </w:r>
          </w:p>
        </w:tc>
        <w:tc>
          <w:tcPr>
            <w:tcW w:w="1300" w:type="dxa"/>
            <w:tcBorders>
              <w:top w:val="nil"/>
              <w:left w:val="nil"/>
              <w:bottom w:val="single" w:color="auto" w:sz="4" w:space="0"/>
              <w:right w:val="single" w:color="auto" w:sz="4" w:space="0"/>
            </w:tcBorders>
            <w:shd w:val="clear" w:color="auto" w:fill="auto"/>
            <w:noWrap/>
            <w:vAlign w:val="center"/>
          </w:tcPr>
          <w:p w14:paraId="4B5BDB3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3933.17 </w:t>
            </w:r>
          </w:p>
        </w:tc>
      </w:tr>
      <w:tr w14:paraId="29167EC2">
        <w:tblPrEx>
          <w:tblCellMar>
            <w:top w:w="0" w:type="dxa"/>
            <w:left w:w="108" w:type="dxa"/>
            <w:bottom w:w="0" w:type="dxa"/>
            <w:right w:w="108" w:type="dxa"/>
          </w:tblCellMar>
        </w:tblPrEx>
        <w:trPr>
          <w:trHeight w:val="284" w:hRule="atLeast"/>
          <w:jc w:val="center"/>
        </w:trPr>
        <w:tc>
          <w:tcPr>
            <w:tcW w:w="1400" w:type="dxa"/>
            <w:tcBorders>
              <w:top w:val="nil"/>
              <w:left w:val="single" w:color="auto" w:sz="4" w:space="0"/>
              <w:bottom w:val="single" w:color="auto" w:sz="4" w:space="0"/>
              <w:right w:val="single" w:color="auto" w:sz="4" w:space="0"/>
            </w:tcBorders>
            <w:shd w:val="clear" w:color="auto" w:fill="auto"/>
            <w:noWrap/>
            <w:vAlign w:val="center"/>
          </w:tcPr>
          <w:p w14:paraId="5FE27598">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300" w:type="dxa"/>
            <w:tcBorders>
              <w:top w:val="nil"/>
              <w:left w:val="nil"/>
              <w:bottom w:val="single" w:color="auto" w:sz="4" w:space="0"/>
              <w:right w:val="single" w:color="auto" w:sz="4" w:space="0"/>
            </w:tcBorders>
            <w:shd w:val="clear" w:color="auto" w:fill="auto"/>
            <w:noWrap/>
            <w:vAlign w:val="center"/>
          </w:tcPr>
          <w:p w14:paraId="6CC96CB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39.80 </w:t>
            </w:r>
          </w:p>
        </w:tc>
        <w:tc>
          <w:tcPr>
            <w:tcW w:w="1300" w:type="dxa"/>
            <w:tcBorders>
              <w:top w:val="nil"/>
              <w:left w:val="nil"/>
              <w:bottom w:val="single" w:color="auto" w:sz="4" w:space="0"/>
              <w:right w:val="single" w:color="auto" w:sz="4" w:space="0"/>
            </w:tcBorders>
            <w:shd w:val="clear" w:color="auto" w:fill="auto"/>
            <w:noWrap/>
            <w:vAlign w:val="center"/>
          </w:tcPr>
          <w:p w14:paraId="72DEB84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330.91 </w:t>
            </w:r>
          </w:p>
        </w:tc>
        <w:tc>
          <w:tcPr>
            <w:tcW w:w="1300" w:type="dxa"/>
            <w:tcBorders>
              <w:top w:val="nil"/>
              <w:left w:val="nil"/>
              <w:bottom w:val="single" w:color="auto" w:sz="4" w:space="0"/>
              <w:right w:val="single" w:color="auto" w:sz="4" w:space="0"/>
            </w:tcBorders>
            <w:shd w:val="clear" w:color="auto" w:fill="auto"/>
            <w:noWrap/>
            <w:vAlign w:val="center"/>
          </w:tcPr>
          <w:p w14:paraId="0BB14AA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1492.34 </w:t>
            </w:r>
          </w:p>
        </w:tc>
        <w:tc>
          <w:tcPr>
            <w:tcW w:w="1300" w:type="dxa"/>
            <w:tcBorders>
              <w:top w:val="nil"/>
              <w:left w:val="nil"/>
              <w:bottom w:val="single" w:color="auto" w:sz="4" w:space="0"/>
              <w:right w:val="single" w:color="auto" w:sz="4" w:space="0"/>
            </w:tcBorders>
            <w:shd w:val="clear" w:color="auto" w:fill="auto"/>
            <w:noWrap/>
            <w:vAlign w:val="center"/>
          </w:tcPr>
          <w:p w14:paraId="211B6F5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949.78 </w:t>
            </w:r>
          </w:p>
        </w:tc>
        <w:tc>
          <w:tcPr>
            <w:tcW w:w="1300" w:type="dxa"/>
            <w:tcBorders>
              <w:top w:val="nil"/>
              <w:left w:val="nil"/>
              <w:bottom w:val="single" w:color="auto" w:sz="4" w:space="0"/>
              <w:right w:val="single" w:color="auto" w:sz="4" w:space="0"/>
            </w:tcBorders>
            <w:shd w:val="clear" w:color="auto" w:fill="auto"/>
            <w:noWrap/>
            <w:vAlign w:val="center"/>
          </w:tcPr>
          <w:p w14:paraId="1BE6445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744.62 </w:t>
            </w:r>
          </w:p>
        </w:tc>
        <w:tc>
          <w:tcPr>
            <w:tcW w:w="1300" w:type="dxa"/>
            <w:tcBorders>
              <w:top w:val="nil"/>
              <w:left w:val="nil"/>
              <w:bottom w:val="single" w:color="auto" w:sz="4" w:space="0"/>
              <w:right w:val="single" w:color="auto" w:sz="4" w:space="0"/>
            </w:tcBorders>
            <w:shd w:val="clear" w:color="auto" w:fill="auto"/>
            <w:noWrap/>
            <w:vAlign w:val="center"/>
          </w:tcPr>
          <w:p w14:paraId="221333F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3557.45 </w:t>
            </w:r>
          </w:p>
        </w:tc>
      </w:tr>
      <w:tr w14:paraId="1C03826C">
        <w:tblPrEx>
          <w:tblCellMar>
            <w:top w:w="0" w:type="dxa"/>
            <w:left w:w="108" w:type="dxa"/>
            <w:bottom w:w="0" w:type="dxa"/>
            <w:right w:w="108" w:type="dxa"/>
          </w:tblCellMar>
        </w:tblPrEx>
        <w:trPr>
          <w:trHeight w:val="284" w:hRule="atLeast"/>
          <w:jc w:val="center"/>
        </w:trPr>
        <w:tc>
          <w:tcPr>
            <w:tcW w:w="1400" w:type="dxa"/>
            <w:tcBorders>
              <w:top w:val="nil"/>
              <w:left w:val="single" w:color="auto" w:sz="4" w:space="0"/>
              <w:bottom w:val="single" w:color="auto" w:sz="4" w:space="0"/>
              <w:right w:val="single" w:color="auto" w:sz="4" w:space="0"/>
            </w:tcBorders>
            <w:shd w:val="clear" w:color="auto" w:fill="auto"/>
            <w:noWrap/>
            <w:vAlign w:val="center"/>
          </w:tcPr>
          <w:p w14:paraId="7A9C6D90">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300" w:type="dxa"/>
            <w:tcBorders>
              <w:top w:val="nil"/>
              <w:left w:val="nil"/>
              <w:bottom w:val="single" w:color="auto" w:sz="4" w:space="0"/>
              <w:right w:val="single" w:color="auto" w:sz="4" w:space="0"/>
            </w:tcBorders>
            <w:shd w:val="clear" w:color="auto" w:fill="auto"/>
            <w:noWrap/>
            <w:vAlign w:val="center"/>
          </w:tcPr>
          <w:p w14:paraId="46E8357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5.58 </w:t>
            </w:r>
          </w:p>
        </w:tc>
        <w:tc>
          <w:tcPr>
            <w:tcW w:w="1300" w:type="dxa"/>
            <w:tcBorders>
              <w:top w:val="nil"/>
              <w:left w:val="nil"/>
              <w:bottom w:val="single" w:color="auto" w:sz="4" w:space="0"/>
              <w:right w:val="single" w:color="auto" w:sz="4" w:space="0"/>
            </w:tcBorders>
            <w:shd w:val="clear" w:color="auto" w:fill="auto"/>
            <w:noWrap/>
            <w:vAlign w:val="center"/>
          </w:tcPr>
          <w:p w14:paraId="12C73AC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8.36 </w:t>
            </w:r>
          </w:p>
        </w:tc>
        <w:tc>
          <w:tcPr>
            <w:tcW w:w="1300" w:type="dxa"/>
            <w:tcBorders>
              <w:top w:val="nil"/>
              <w:left w:val="nil"/>
              <w:bottom w:val="single" w:color="auto" w:sz="4" w:space="0"/>
              <w:right w:val="single" w:color="auto" w:sz="4" w:space="0"/>
            </w:tcBorders>
            <w:shd w:val="clear" w:color="auto" w:fill="auto"/>
            <w:noWrap/>
            <w:vAlign w:val="center"/>
          </w:tcPr>
          <w:p w14:paraId="00253F0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63.16 </w:t>
            </w:r>
          </w:p>
        </w:tc>
        <w:tc>
          <w:tcPr>
            <w:tcW w:w="1300" w:type="dxa"/>
            <w:tcBorders>
              <w:top w:val="nil"/>
              <w:left w:val="nil"/>
              <w:bottom w:val="single" w:color="auto" w:sz="4" w:space="0"/>
              <w:right w:val="single" w:color="auto" w:sz="4" w:space="0"/>
            </w:tcBorders>
            <w:shd w:val="clear" w:color="auto" w:fill="auto"/>
            <w:noWrap/>
            <w:vAlign w:val="center"/>
          </w:tcPr>
          <w:p w14:paraId="31A21D4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89.04 </w:t>
            </w:r>
          </w:p>
        </w:tc>
        <w:tc>
          <w:tcPr>
            <w:tcW w:w="1300" w:type="dxa"/>
            <w:tcBorders>
              <w:top w:val="nil"/>
              <w:left w:val="nil"/>
              <w:bottom w:val="single" w:color="auto" w:sz="4" w:space="0"/>
              <w:right w:val="single" w:color="auto" w:sz="4" w:space="0"/>
            </w:tcBorders>
            <w:shd w:val="clear" w:color="auto" w:fill="auto"/>
            <w:noWrap/>
            <w:vAlign w:val="center"/>
          </w:tcPr>
          <w:p w14:paraId="3276C48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786.37 </w:t>
            </w:r>
          </w:p>
        </w:tc>
        <w:tc>
          <w:tcPr>
            <w:tcW w:w="1300" w:type="dxa"/>
            <w:tcBorders>
              <w:top w:val="nil"/>
              <w:left w:val="nil"/>
              <w:bottom w:val="single" w:color="auto" w:sz="4" w:space="0"/>
              <w:right w:val="single" w:color="auto" w:sz="4" w:space="0"/>
            </w:tcBorders>
            <w:shd w:val="clear" w:color="auto" w:fill="auto"/>
            <w:noWrap/>
            <w:vAlign w:val="center"/>
          </w:tcPr>
          <w:p w14:paraId="10D31B2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952.51 </w:t>
            </w:r>
          </w:p>
        </w:tc>
      </w:tr>
      <w:tr w14:paraId="6D183A68">
        <w:tblPrEx>
          <w:tblCellMar>
            <w:top w:w="0" w:type="dxa"/>
            <w:left w:w="108" w:type="dxa"/>
            <w:bottom w:w="0" w:type="dxa"/>
            <w:right w:w="108" w:type="dxa"/>
          </w:tblCellMar>
        </w:tblPrEx>
        <w:trPr>
          <w:trHeight w:val="284" w:hRule="atLeast"/>
          <w:jc w:val="center"/>
        </w:trPr>
        <w:tc>
          <w:tcPr>
            <w:tcW w:w="1400" w:type="dxa"/>
            <w:tcBorders>
              <w:top w:val="nil"/>
              <w:left w:val="single" w:color="auto" w:sz="4" w:space="0"/>
              <w:bottom w:val="single" w:color="auto" w:sz="4" w:space="0"/>
              <w:right w:val="single" w:color="auto" w:sz="4" w:space="0"/>
            </w:tcBorders>
            <w:shd w:val="clear" w:color="auto" w:fill="auto"/>
            <w:noWrap/>
            <w:vAlign w:val="center"/>
          </w:tcPr>
          <w:p w14:paraId="4A43A763">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300" w:type="dxa"/>
            <w:tcBorders>
              <w:top w:val="nil"/>
              <w:left w:val="nil"/>
              <w:bottom w:val="single" w:color="auto" w:sz="4" w:space="0"/>
              <w:right w:val="single" w:color="auto" w:sz="4" w:space="0"/>
            </w:tcBorders>
            <w:shd w:val="clear" w:color="auto" w:fill="auto"/>
            <w:noWrap/>
            <w:vAlign w:val="center"/>
          </w:tcPr>
          <w:p w14:paraId="469134C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1504.95 </w:t>
            </w:r>
          </w:p>
        </w:tc>
        <w:tc>
          <w:tcPr>
            <w:tcW w:w="1300" w:type="dxa"/>
            <w:tcBorders>
              <w:top w:val="nil"/>
              <w:left w:val="nil"/>
              <w:bottom w:val="single" w:color="auto" w:sz="4" w:space="0"/>
              <w:right w:val="single" w:color="auto" w:sz="4" w:space="0"/>
            </w:tcBorders>
            <w:shd w:val="clear" w:color="auto" w:fill="auto"/>
            <w:noWrap/>
            <w:vAlign w:val="center"/>
          </w:tcPr>
          <w:p w14:paraId="647AEC3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1827.96 </w:t>
            </w:r>
          </w:p>
        </w:tc>
        <w:tc>
          <w:tcPr>
            <w:tcW w:w="1300" w:type="dxa"/>
            <w:tcBorders>
              <w:top w:val="nil"/>
              <w:left w:val="nil"/>
              <w:bottom w:val="single" w:color="auto" w:sz="4" w:space="0"/>
              <w:right w:val="single" w:color="auto" w:sz="4" w:space="0"/>
            </w:tcBorders>
            <w:shd w:val="clear" w:color="auto" w:fill="auto"/>
            <w:noWrap/>
            <w:vAlign w:val="center"/>
          </w:tcPr>
          <w:p w14:paraId="05068A0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10149.79 </w:t>
            </w:r>
          </w:p>
        </w:tc>
        <w:tc>
          <w:tcPr>
            <w:tcW w:w="1300" w:type="dxa"/>
            <w:tcBorders>
              <w:top w:val="nil"/>
              <w:left w:val="nil"/>
              <w:bottom w:val="single" w:color="auto" w:sz="4" w:space="0"/>
              <w:right w:val="single" w:color="auto" w:sz="4" w:space="0"/>
            </w:tcBorders>
            <w:shd w:val="clear" w:color="auto" w:fill="auto"/>
            <w:noWrap/>
            <w:vAlign w:val="center"/>
          </w:tcPr>
          <w:p w14:paraId="4CB4CCA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9222.92 </w:t>
            </w:r>
          </w:p>
        </w:tc>
        <w:tc>
          <w:tcPr>
            <w:tcW w:w="1300" w:type="dxa"/>
            <w:tcBorders>
              <w:top w:val="nil"/>
              <w:left w:val="nil"/>
              <w:bottom w:val="single" w:color="auto" w:sz="4" w:space="0"/>
              <w:right w:val="single" w:color="auto" w:sz="4" w:space="0"/>
            </w:tcBorders>
            <w:shd w:val="clear" w:color="auto" w:fill="auto"/>
            <w:noWrap/>
            <w:vAlign w:val="center"/>
          </w:tcPr>
          <w:p w14:paraId="6A706B8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9697.78 </w:t>
            </w:r>
          </w:p>
        </w:tc>
        <w:tc>
          <w:tcPr>
            <w:tcW w:w="1300" w:type="dxa"/>
            <w:tcBorders>
              <w:top w:val="nil"/>
              <w:left w:val="nil"/>
              <w:bottom w:val="single" w:color="auto" w:sz="4" w:space="0"/>
              <w:right w:val="single" w:color="auto" w:sz="4" w:space="0"/>
            </w:tcBorders>
            <w:shd w:val="clear" w:color="auto" w:fill="auto"/>
            <w:noWrap/>
            <w:vAlign w:val="center"/>
          </w:tcPr>
          <w:p w14:paraId="1AA6D4B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32403.40 </w:t>
            </w:r>
          </w:p>
        </w:tc>
      </w:tr>
      <w:tr w14:paraId="623EAB4F">
        <w:tblPrEx>
          <w:tblCellMar>
            <w:top w:w="0" w:type="dxa"/>
            <w:left w:w="108" w:type="dxa"/>
            <w:bottom w:w="0" w:type="dxa"/>
            <w:right w:w="108" w:type="dxa"/>
          </w:tblCellMar>
        </w:tblPrEx>
        <w:trPr>
          <w:trHeight w:val="284" w:hRule="atLeast"/>
          <w:jc w:val="center"/>
        </w:trPr>
        <w:tc>
          <w:tcPr>
            <w:tcW w:w="1400" w:type="dxa"/>
            <w:tcBorders>
              <w:top w:val="nil"/>
              <w:left w:val="single" w:color="auto" w:sz="4" w:space="0"/>
              <w:bottom w:val="single" w:color="auto" w:sz="4" w:space="0"/>
              <w:right w:val="single" w:color="auto" w:sz="4" w:space="0"/>
            </w:tcBorders>
            <w:shd w:val="clear" w:color="auto" w:fill="auto"/>
            <w:noWrap/>
            <w:vAlign w:val="center"/>
          </w:tcPr>
          <w:p w14:paraId="4006E0F0">
            <w:pPr>
              <w:widowControl/>
              <w:jc w:val="center"/>
              <w:rPr>
                <w:rFonts w:ascii="宋体" w:hAnsi="宋体" w:cs="宋体"/>
                <w:color w:val="000000"/>
                <w:kern w:val="0"/>
                <w:sz w:val="18"/>
                <w:szCs w:val="18"/>
              </w:rPr>
            </w:pPr>
            <w:r>
              <w:rPr>
                <w:rFonts w:hint="eastAsia" w:ascii="宋体" w:hAnsi="宋体" w:cs="宋体"/>
                <w:color w:val="000000"/>
                <w:kern w:val="0"/>
                <w:sz w:val="18"/>
                <w:szCs w:val="18"/>
              </w:rPr>
              <w:t>比例</w:t>
            </w:r>
          </w:p>
        </w:tc>
        <w:tc>
          <w:tcPr>
            <w:tcW w:w="1300" w:type="dxa"/>
            <w:tcBorders>
              <w:top w:val="nil"/>
              <w:left w:val="nil"/>
              <w:bottom w:val="single" w:color="auto" w:sz="4" w:space="0"/>
              <w:right w:val="single" w:color="auto" w:sz="4" w:space="0"/>
            </w:tcBorders>
            <w:shd w:val="clear" w:color="auto" w:fill="auto"/>
            <w:noWrap/>
            <w:vAlign w:val="center"/>
          </w:tcPr>
          <w:p w14:paraId="5316FED8">
            <w:pPr>
              <w:widowControl/>
              <w:jc w:val="center"/>
              <w:rPr>
                <w:rFonts w:ascii="宋体" w:hAnsi="宋体" w:cs="宋体"/>
                <w:color w:val="000000"/>
                <w:kern w:val="0"/>
                <w:sz w:val="18"/>
                <w:szCs w:val="18"/>
              </w:rPr>
            </w:pPr>
            <w:r>
              <w:rPr>
                <w:rFonts w:hint="eastAsia" w:ascii="宋体" w:hAnsi="宋体" w:cs="宋体"/>
                <w:color w:val="000000"/>
                <w:kern w:val="0"/>
                <w:sz w:val="18"/>
                <w:szCs w:val="18"/>
              </w:rPr>
              <w:t>4.64%</w:t>
            </w:r>
          </w:p>
        </w:tc>
        <w:tc>
          <w:tcPr>
            <w:tcW w:w="1300" w:type="dxa"/>
            <w:tcBorders>
              <w:top w:val="nil"/>
              <w:left w:val="nil"/>
              <w:bottom w:val="single" w:color="auto" w:sz="4" w:space="0"/>
              <w:right w:val="single" w:color="auto" w:sz="4" w:space="0"/>
            </w:tcBorders>
            <w:shd w:val="clear" w:color="auto" w:fill="auto"/>
            <w:noWrap/>
            <w:vAlign w:val="center"/>
          </w:tcPr>
          <w:p w14:paraId="74E21457">
            <w:pPr>
              <w:widowControl/>
              <w:jc w:val="center"/>
              <w:rPr>
                <w:rFonts w:ascii="宋体" w:hAnsi="宋体" w:cs="宋体"/>
                <w:color w:val="000000"/>
                <w:kern w:val="0"/>
                <w:sz w:val="18"/>
                <w:szCs w:val="18"/>
              </w:rPr>
            </w:pPr>
            <w:r>
              <w:rPr>
                <w:rFonts w:hint="eastAsia" w:ascii="宋体" w:hAnsi="宋体" w:cs="宋体"/>
                <w:color w:val="000000"/>
                <w:kern w:val="0"/>
                <w:sz w:val="18"/>
                <w:szCs w:val="18"/>
              </w:rPr>
              <w:t>5.64%</w:t>
            </w:r>
          </w:p>
        </w:tc>
        <w:tc>
          <w:tcPr>
            <w:tcW w:w="1300" w:type="dxa"/>
            <w:tcBorders>
              <w:top w:val="nil"/>
              <w:left w:val="nil"/>
              <w:bottom w:val="single" w:color="auto" w:sz="4" w:space="0"/>
              <w:right w:val="single" w:color="auto" w:sz="4" w:space="0"/>
            </w:tcBorders>
            <w:shd w:val="clear" w:color="auto" w:fill="auto"/>
            <w:noWrap/>
            <w:vAlign w:val="center"/>
          </w:tcPr>
          <w:p w14:paraId="4E9DE729">
            <w:pPr>
              <w:widowControl/>
              <w:jc w:val="center"/>
              <w:rPr>
                <w:rFonts w:ascii="宋体" w:hAnsi="宋体" w:cs="宋体"/>
                <w:color w:val="000000"/>
                <w:kern w:val="0"/>
                <w:sz w:val="18"/>
                <w:szCs w:val="18"/>
              </w:rPr>
            </w:pPr>
            <w:r>
              <w:rPr>
                <w:rFonts w:hint="eastAsia" w:ascii="宋体" w:hAnsi="宋体" w:cs="宋体"/>
                <w:color w:val="000000"/>
                <w:kern w:val="0"/>
                <w:sz w:val="18"/>
                <w:szCs w:val="18"/>
              </w:rPr>
              <w:t>31.32%</w:t>
            </w:r>
          </w:p>
        </w:tc>
        <w:tc>
          <w:tcPr>
            <w:tcW w:w="1300" w:type="dxa"/>
            <w:tcBorders>
              <w:top w:val="nil"/>
              <w:left w:val="nil"/>
              <w:bottom w:val="single" w:color="auto" w:sz="4" w:space="0"/>
              <w:right w:val="single" w:color="auto" w:sz="4" w:space="0"/>
            </w:tcBorders>
            <w:shd w:val="clear" w:color="auto" w:fill="auto"/>
            <w:noWrap/>
            <w:vAlign w:val="center"/>
          </w:tcPr>
          <w:p w14:paraId="25B6307D">
            <w:pPr>
              <w:widowControl/>
              <w:jc w:val="center"/>
              <w:rPr>
                <w:rFonts w:ascii="宋体" w:hAnsi="宋体" w:cs="宋体"/>
                <w:color w:val="000000"/>
                <w:kern w:val="0"/>
                <w:sz w:val="18"/>
                <w:szCs w:val="18"/>
              </w:rPr>
            </w:pPr>
            <w:r>
              <w:rPr>
                <w:rFonts w:hint="eastAsia" w:ascii="宋体" w:hAnsi="宋体" w:cs="宋体"/>
                <w:color w:val="000000"/>
                <w:kern w:val="0"/>
                <w:sz w:val="18"/>
                <w:szCs w:val="18"/>
              </w:rPr>
              <w:t>28.46%</w:t>
            </w:r>
          </w:p>
        </w:tc>
        <w:tc>
          <w:tcPr>
            <w:tcW w:w="1300" w:type="dxa"/>
            <w:tcBorders>
              <w:top w:val="nil"/>
              <w:left w:val="nil"/>
              <w:bottom w:val="single" w:color="auto" w:sz="4" w:space="0"/>
              <w:right w:val="single" w:color="auto" w:sz="4" w:space="0"/>
            </w:tcBorders>
            <w:shd w:val="clear" w:color="auto" w:fill="auto"/>
            <w:noWrap/>
            <w:vAlign w:val="center"/>
          </w:tcPr>
          <w:p w14:paraId="65066FCE">
            <w:pPr>
              <w:widowControl/>
              <w:jc w:val="center"/>
              <w:rPr>
                <w:rFonts w:ascii="宋体" w:hAnsi="宋体" w:cs="宋体"/>
                <w:color w:val="000000"/>
                <w:kern w:val="0"/>
                <w:sz w:val="18"/>
                <w:szCs w:val="18"/>
              </w:rPr>
            </w:pPr>
            <w:r>
              <w:rPr>
                <w:rFonts w:hint="eastAsia" w:ascii="宋体" w:hAnsi="宋体" w:cs="宋体"/>
                <w:color w:val="000000"/>
                <w:kern w:val="0"/>
                <w:sz w:val="18"/>
                <w:szCs w:val="18"/>
              </w:rPr>
              <w:t>29.93%</w:t>
            </w:r>
          </w:p>
        </w:tc>
        <w:tc>
          <w:tcPr>
            <w:tcW w:w="1300" w:type="dxa"/>
            <w:tcBorders>
              <w:top w:val="nil"/>
              <w:left w:val="nil"/>
              <w:bottom w:val="single" w:color="auto" w:sz="4" w:space="0"/>
              <w:right w:val="single" w:color="auto" w:sz="4" w:space="0"/>
            </w:tcBorders>
            <w:shd w:val="clear" w:color="auto" w:fill="auto"/>
            <w:noWrap/>
            <w:vAlign w:val="center"/>
          </w:tcPr>
          <w:p w14:paraId="7C958CF2">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r>
    </w:tbl>
    <w:p w14:paraId="2E36E4E4">
      <w:pPr>
        <w:pStyle w:val="78"/>
        <w:ind w:firstLine="560"/>
        <w:rPr>
          <w:rFonts w:ascii="仿宋_GB2312" w:hAnsi="宋体" w:eastAsia="仿宋_GB2312"/>
          <w:sz w:val="28"/>
          <w:szCs w:val="28"/>
        </w:rPr>
      </w:pPr>
      <w:r>
        <w:rPr>
          <w:rFonts w:hint="eastAsia" w:ascii="仿宋_GB2312" w:hAnsi="宋体" w:eastAsia="仿宋_GB2312"/>
          <w:sz w:val="28"/>
          <w:szCs w:val="28"/>
        </w:rPr>
        <w:t>根据东川区农用地分等定级成果对2014年现状耕地质量进行分析，2014年现状耕地中六等和七等面积较小，分别为1317.37公顷和1576.92公顷，仅占全区现状耕地总面积的4.07%和4.87%，六等主要分布在拖布卡镇和汤丹镇、七等主要分布在铜都街道和阿旺镇；劣质耕地十一等、十二等和十三等面积较大，分别为7313.42公顷、2381.54公顷和3034.81公顷，占全区现状耕地的22.57%、7.35%和9.37%。</w:t>
      </w:r>
    </w:p>
    <w:p w14:paraId="5A1F0029">
      <w:pPr>
        <w:jc w:val="center"/>
        <w:outlineLvl w:val="4"/>
        <w:rPr>
          <w:rFonts w:ascii="宋体" w:hAnsi="宋体"/>
          <w:b/>
          <w:sz w:val="24"/>
        </w:rPr>
      </w:pPr>
      <w:r>
        <w:rPr>
          <w:rFonts w:hint="eastAsia" w:ascii="宋体" w:hAnsi="宋体"/>
          <w:b/>
          <w:sz w:val="24"/>
        </w:rPr>
        <w:t>表2-5  东川区耕地利用等情况表</w:t>
      </w:r>
    </w:p>
    <w:p w14:paraId="7250F25C">
      <w:pPr>
        <w:wordWrap w:val="0"/>
        <w:ind w:firstLine="420"/>
        <w:jc w:val="right"/>
        <w:rPr>
          <w:rFonts w:ascii="宋体" w:hAnsi="宋体"/>
          <w:color w:val="000000"/>
          <w:kern w:val="0"/>
          <w:sz w:val="18"/>
          <w:szCs w:val="18"/>
        </w:rPr>
      </w:pPr>
      <w:r>
        <w:rPr>
          <w:rFonts w:hint="eastAsia" w:ascii="宋体" w:hAnsi="宋体"/>
          <w:color w:val="000000"/>
          <w:kern w:val="0"/>
          <w:sz w:val="18"/>
          <w:szCs w:val="18"/>
        </w:rPr>
        <w:t>单位：公顷</w:t>
      </w:r>
    </w:p>
    <w:tbl>
      <w:tblPr>
        <w:tblStyle w:val="27"/>
        <w:tblW w:w="8295" w:type="dxa"/>
        <w:jc w:val="center"/>
        <w:tblLayout w:type="autofit"/>
        <w:tblCellMar>
          <w:top w:w="0" w:type="dxa"/>
          <w:left w:w="108" w:type="dxa"/>
          <w:bottom w:w="0" w:type="dxa"/>
          <w:right w:w="108" w:type="dxa"/>
        </w:tblCellMar>
      </w:tblPr>
      <w:tblGrid>
        <w:gridCol w:w="1119"/>
        <w:gridCol w:w="1116"/>
        <w:gridCol w:w="1116"/>
        <w:gridCol w:w="1197"/>
        <w:gridCol w:w="939"/>
        <w:gridCol w:w="846"/>
        <w:gridCol w:w="1026"/>
        <w:gridCol w:w="936"/>
      </w:tblGrid>
      <w:tr w14:paraId="3863B15F">
        <w:tblPrEx>
          <w:tblCellMar>
            <w:top w:w="0" w:type="dxa"/>
            <w:left w:w="108" w:type="dxa"/>
            <w:bottom w:w="0" w:type="dxa"/>
            <w:right w:w="108" w:type="dxa"/>
          </w:tblCellMar>
        </w:tblPrEx>
        <w:trPr>
          <w:trHeight w:val="284" w:hRule="atLeast"/>
          <w:jc w:val="center"/>
        </w:trPr>
        <w:tc>
          <w:tcPr>
            <w:tcW w:w="1119"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5E878E4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行政区域</w:t>
            </w:r>
          </w:p>
        </w:tc>
        <w:tc>
          <w:tcPr>
            <w:tcW w:w="1116"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7C9D874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耕地</w:t>
            </w:r>
          </w:p>
        </w:tc>
        <w:tc>
          <w:tcPr>
            <w:tcW w:w="6060" w:type="dxa"/>
            <w:gridSpan w:val="6"/>
            <w:tcBorders>
              <w:top w:val="single" w:color="auto" w:sz="4" w:space="0"/>
              <w:left w:val="nil"/>
              <w:bottom w:val="single" w:color="auto" w:sz="4" w:space="0"/>
              <w:right w:val="single" w:color="000000" w:sz="4" w:space="0"/>
            </w:tcBorders>
            <w:shd w:val="clear" w:color="auto" w:fill="auto"/>
            <w:noWrap/>
            <w:vAlign w:val="center"/>
          </w:tcPr>
          <w:p w14:paraId="25A8E6C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其中</w:t>
            </w:r>
          </w:p>
        </w:tc>
      </w:tr>
      <w:tr w14:paraId="09F5CB4A">
        <w:tblPrEx>
          <w:tblCellMar>
            <w:top w:w="0" w:type="dxa"/>
            <w:left w:w="108" w:type="dxa"/>
            <w:bottom w:w="0" w:type="dxa"/>
            <w:right w:w="108" w:type="dxa"/>
          </w:tblCellMar>
        </w:tblPrEx>
        <w:trPr>
          <w:trHeight w:val="284" w:hRule="atLeast"/>
          <w:jc w:val="center"/>
        </w:trPr>
        <w:tc>
          <w:tcPr>
            <w:tcW w:w="1119" w:type="dxa"/>
            <w:vMerge w:val="continue"/>
            <w:tcBorders>
              <w:top w:val="single" w:color="auto" w:sz="4" w:space="0"/>
              <w:left w:val="single" w:color="auto" w:sz="4" w:space="0"/>
              <w:bottom w:val="single" w:color="000000" w:sz="4" w:space="0"/>
              <w:right w:val="single" w:color="auto" w:sz="4" w:space="0"/>
            </w:tcBorders>
            <w:vAlign w:val="center"/>
          </w:tcPr>
          <w:p w14:paraId="179D07AE">
            <w:pPr>
              <w:widowControl/>
              <w:jc w:val="left"/>
              <w:rPr>
                <w:rFonts w:ascii="宋体" w:hAnsi="宋体" w:cs="宋体"/>
                <w:b/>
                <w:bCs/>
                <w:color w:val="000000"/>
                <w:kern w:val="0"/>
                <w:sz w:val="18"/>
                <w:szCs w:val="18"/>
              </w:rPr>
            </w:pPr>
          </w:p>
        </w:tc>
        <w:tc>
          <w:tcPr>
            <w:tcW w:w="1116" w:type="dxa"/>
            <w:vMerge w:val="continue"/>
            <w:tcBorders>
              <w:top w:val="single" w:color="auto" w:sz="4" w:space="0"/>
              <w:left w:val="single" w:color="auto" w:sz="4" w:space="0"/>
              <w:bottom w:val="single" w:color="000000" w:sz="4" w:space="0"/>
              <w:right w:val="single" w:color="auto" w:sz="4" w:space="0"/>
            </w:tcBorders>
            <w:vAlign w:val="center"/>
          </w:tcPr>
          <w:p w14:paraId="12FEE8F7">
            <w:pPr>
              <w:widowControl/>
              <w:jc w:val="left"/>
              <w:rPr>
                <w:rFonts w:ascii="宋体" w:hAnsi="宋体" w:cs="宋体"/>
                <w:b/>
                <w:bCs/>
                <w:color w:val="000000"/>
                <w:kern w:val="0"/>
                <w:sz w:val="18"/>
                <w:szCs w:val="18"/>
              </w:rPr>
            </w:pPr>
          </w:p>
        </w:tc>
        <w:tc>
          <w:tcPr>
            <w:tcW w:w="1116" w:type="dxa"/>
            <w:tcBorders>
              <w:top w:val="nil"/>
              <w:left w:val="nil"/>
              <w:bottom w:val="single" w:color="auto" w:sz="4" w:space="0"/>
              <w:right w:val="single" w:color="auto" w:sz="4" w:space="0"/>
            </w:tcBorders>
            <w:shd w:val="clear" w:color="auto" w:fill="auto"/>
            <w:noWrap/>
            <w:vAlign w:val="center"/>
          </w:tcPr>
          <w:p w14:paraId="288EB9CC">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水田</w:t>
            </w:r>
          </w:p>
        </w:tc>
        <w:tc>
          <w:tcPr>
            <w:tcW w:w="1197" w:type="dxa"/>
            <w:tcBorders>
              <w:top w:val="nil"/>
              <w:left w:val="nil"/>
              <w:bottom w:val="single" w:color="auto" w:sz="4" w:space="0"/>
              <w:right w:val="single" w:color="auto" w:sz="4" w:space="0"/>
            </w:tcBorders>
            <w:shd w:val="clear" w:color="auto" w:fill="auto"/>
            <w:noWrap/>
            <w:vAlign w:val="center"/>
          </w:tcPr>
          <w:p w14:paraId="500B980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939" w:type="dxa"/>
            <w:tcBorders>
              <w:top w:val="nil"/>
              <w:left w:val="nil"/>
              <w:bottom w:val="single" w:color="auto" w:sz="4" w:space="0"/>
              <w:right w:val="single" w:color="auto" w:sz="4" w:space="0"/>
            </w:tcBorders>
            <w:shd w:val="clear" w:color="auto" w:fill="auto"/>
            <w:noWrap/>
            <w:vAlign w:val="center"/>
          </w:tcPr>
          <w:p w14:paraId="75C9DE8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水浇地</w:t>
            </w:r>
          </w:p>
        </w:tc>
        <w:tc>
          <w:tcPr>
            <w:tcW w:w="846" w:type="dxa"/>
            <w:tcBorders>
              <w:top w:val="nil"/>
              <w:left w:val="nil"/>
              <w:bottom w:val="single" w:color="auto" w:sz="4" w:space="0"/>
              <w:right w:val="single" w:color="auto" w:sz="4" w:space="0"/>
            </w:tcBorders>
            <w:shd w:val="clear" w:color="auto" w:fill="auto"/>
            <w:noWrap/>
            <w:vAlign w:val="center"/>
          </w:tcPr>
          <w:p w14:paraId="16AD652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026" w:type="dxa"/>
            <w:tcBorders>
              <w:top w:val="nil"/>
              <w:left w:val="nil"/>
              <w:bottom w:val="single" w:color="auto" w:sz="4" w:space="0"/>
              <w:right w:val="single" w:color="auto" w:sz="4" w:space="0"/>
            </w:tcBorders>
            <w:shd w:val="clear" w:color="auto" w:fill="auto"/>
            <w:noWrap/>
            <w:vAlign w:val="center"/>
          </w:tcPr>
          <w:p w14:paraId="22105F3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旱地</w:t>
            </w:r>
          </w:p>
        </w:tc>
        <w:tc>
          <w:tcPr>
            <w:tcW w:w="936" w:type="dxa"/>
            <w:tcBorders>
              <w:top w:val="nil"/>
              <w:left w:val="nil"/>
              <w:bottom w:val="single" w:color="auto" w:sz="4" w:space="0"/>
              <w:right w:val="single" w:color="auto" w:sz="4" w:space="0"/>
            </w:tcBorders>
            <w:shd w:val="clear" w:color="auto" w:fill="auto"/>
            <w:noWrap/>
            <w:vAlign w:val="center"/>
          </w:tcPr>
          <w:p w14:paraId="1350B68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r>
      <w:tr w14:paraId="66420384">
        <w:tblPrEx>
          <w:tblCellMar>
            <w:top w:w="0" w:type="dxa"/>
            <w:left w:w="108" w:type="dxa"/>
            <w:bottom w:w="0" w:type="dxa"/>
            <w:right w:w="108" w:type="dxa"/>
          </w:tblCellMar>
        </w:tblPrEx>
        <w:trPr>
          <w:trHeight w:val="284"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487819FB">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116" w:type="dxa"/>
            <w:tcBorders>
              <w:top w:val="nil"/>
              <w:left w:val="nil"/>
              <w:bottom w:val="single" w:color="auto" w:sz="4" w:space="0"/>
              <w:right w:val="single" w:color="auto" w:sz="4" w:space="0"/>
            </w:tcBorders>
            <w:shd w:val="clear" w:color="auto" w:fill="auto"/>
            <w:noWrap/>
            <w:vAlign w:val="center"/>
          </w:tcPr>
          <w:p w14:paraId="57A069B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120.34 </w:t>
            </w:r>
          </w:p>
        </w:tc>
        <w:tc>
          <w:tcPr>
            <w:tcW w:w="1116" w:type="dxa"/>
            <w:tcBorders>
              <w:top w:val="nil"/>
              <w:left w:val="nil"/>
              <w:bottom w:val="single" w:color="auto" w:sz="4" w:space="0"/>
              <w:right w:val="single" w:color="auto" w:sz="4" w:space="0"/>
            </w:tcBorders>
            <w:shd w:val="clear" w:color="auto" w:fill="auto"/>
            <w:noWrap/>
            <w:vAlign w:val="center"/>
          </w:tcPr>
          <w:p w14:paraId="2F76F7C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104.27 </w:t>
            </w:r>
          </w:p>
        </w:tc>
        <w:tc>
          <w:tcPr>
            <w:tcW w:w="1197" w:type="dxa"/>
            <w:tcBorders>
              <w:top w:val="nil"/>
              <w:left w:val="nil"/>
              <w:bottom w:val="single" w:color="auto" w:sz="4" w:space="0"/>
              <w:right w:val="single" w:color="auto" w:sz="4" w:space="0"/>
            </w:tcBorders>
            <w:shd w:val="clear" w:color="auto" w:fill="auto"/>
            <w:noWrap/>
            <w:vAlign w:val="center"/>
          </w:tcPr>
          <w:p w14:paraId="685A14DC">
            <w:pPr>
              <w:widowControl/>
              <w:jc w:val="center"/>
              <w:rPr>
                <w:rFonts w:ascii="宋体" w:hAnsi="宋体" w:cs="宋体"/>
                <w:color w:val="000000"/>
                <w:kern w:val="0"/>
                <w:sz w:val="18"/>
                <w:szCs w:val="18"/>
              </w:rPr>
            </w:pPr>
            <w:r>
              <w:rPr>
                <w:rFonts w:hint="eastAsia" w:ascii="宋体" w:hAnsi="宋体" w:cs="宋体"/>
                <w:color w:val="000000"/>
                <w:kern w:val="0"/>
                <w:sz w:val="18"/>
                <w:szCs w:val="18"/>
              </w:rPr>
              <w:t>7.73%</w:t>
            </w:r>
          </w:p>
        </w:tc>
        <w:tc>
          <w:tcPr>
            <w:tcW w:w="939" w:type="dxa"/>
            <w:tcBorders>
              <w:top w:val="nil"/>
              <w:left w:val="nil"/>
              <w:bottom w:val="single" w:color="auto" w:sz="4" w:space="0"/>
              <w:right w:val="single" w:color="auto" w:sz="4" w:space="0"/>
            </w:tcBorders>
            <w:shd w:val="clear" w:color="auto" w:fill="auto"/>
            <w:noWrap/>
            <w:vAlign w:val="center"/>
          </w:tcPr>
          <w:p w14:paraId="660AF60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846" w:type="dxa"/>
            <w:tcBorders>
              <w:top w:val="nil"/>
              <w:left w:val="nil"/>
              <w:bottom w:val="single" w:color="auto" w:sz="4" w:space="0"/>
              <w:right w:val="single" w:color="auto" w:sz="4" w:space="0"/>
            </w:tcBorders>
            <w:shd w:val="clear" w:color="auto" w:fill="auto"/>
            <w:noWrap/>
            <w:vAlign w:val="center"/>
          </w:tcPr>
          <w:p w14:paraId="0B7796DD">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6" w:type="dxa"/>
            <w:tcBorders>
              <w:top w:val="nil"/>
              <w:left w:val="nil"/>
              <w:bottom w:val="single" w:color="auto" w:sz="4" w:space="0"/>
              <w:right w:val="single" w:color="auto" w:sz="4" w:space="0"/>
            </w:tcBorders>
            <w:shd w:val="clear" w:color="auto" w:fill="auto"/>
            <w:noWrap/>
            <w:vAlign w:val="center"/>
          </w:tcPr>
          <w:p w14:paraId="4D5D0FD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16.07 </w:t>
            </w:r>
          </w:p>
        </w:tc>
        <w:tc>
          <w:tcPr>
            <w:tcW w:w="936" w:type="dxa"/>
            <w:tcBorders>
              <w:top w:val="nil"/>
              <w:left w:val="nil"/>
              <w:bottom w:val="single" w:color="auto" w:sz="4" w:space="0"/>
              <w:right w:val="single" w:color="auto" w:sz="4" w:space="0"/>
            </w:tcBorders>
            <w:shd w:val="clear" w:color="auto" w:fill="auto"/>
            <w:noWrap/>
            <w:vAlign w:val="center"/>
          </w:tcPr>
          <w:p w14:paraId="361C2B9B">
            <w:pPr>
              <w:widowControl/>
              <w:jc w:val="center"/>
              <w:rPr>
                <w:rFonts w:ascii="宋体" w:hAnsi="宋体" w:cs="宋体"/>
                <w:color w:val="000000"/>
                <w:kern w:val="0"/>
                <w:sz w:val="18"/>
                <w:szCs w:val="18"/>
              </w:rPr>
            </w:pPr>
            <w:r>
              <w:rPr>
                <w:rFonts w:hint="eastAsia" w:ascii="宋体" w:hAnsi="宋体" w:cs="宋体"/>
                <w:color w:val="000000"/>
                <w:kern w:val="0"/>
                <w:sz w:val="18"/>
                <w:szCs w:val="18"/>
              </w:rPr>
              <w:t>1.19%</w:t>
            </w:r>
          </w:p>
        </w:tc>
      </w:tr>
      <w:tr w14:paraId="1239FB5C">
        <w:tblPrEx>
          <w:tblCellMar>
            <w:top w:w="0" w:type="dxa"/>
            <w:left w:w="108" w:type="dxa"/>
            <w:bottom w:w="0" w:type="dxa"/>
            <w:right w:w="108" w:type="dxa"/>
          </w:tblCellMar>
        </w:tblPrEx>
        <w:trPr>
          <w:trHeight w:val="284"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31428CE2">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116" w:type="dxa"/>
            <w:tcBorders>
              <w:top w:val="nil"/>
              <w:left w:val="nil"/>
              <w:bottom w:val="single" w:color="auto" w:sz="4" w:space="0"/>
              <w:right w:val="single" w:color="auto" w:sz="4" w:space="0"/>
            </w:tcBorders>
            <w:shd w:val="clear" w:color="auto" w:fill="auto"/>
            <w:noWrap/>
            <w:vAlign w:val="center"/>
          </w:tcPr>
          <w:p w14:paraId="725CE86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16" w:type="dxa"/>
            <w:tcBorders>
              <w:top w:val="nil"/>
              <w:left w:val="nil"/>
              <w:bottom w:val="single" w:color="auto" w:sz="4" w:space="0"/>
              <w:right w:val="single" w:color="auto" w:sz="4" w:space="0"/>
            </w:tcBorders>
            <w:shd w:val="clear" w:color="auto" w:fill="auto"/>
            <w:noWrap/>
            <w:vAlign w:val="center"/>
          </w:tcPr>
          <w:p w14:paraId="3058823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97" w:type="dxa"/>
            <w:tcBorders>
              <w:top w:val="nil"/>
              <w:left w:val="nil"/>
              <w:bottom w:val="single" w:color="auto" w:sz="4" w:space="0"/>
              <w:right w:val="single" w:color="auto" w:sz="4" w:space="0"/>
            </w:tcBorders>
            <w:shd w:val="clear" w:color="auto" w:fill="auto"/>
            <w:noWrap/>
            <w:vAlign w:val="center"/>
          </w:tcPr>
          <w:p w14:paraId="15C1AA1D">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39" w:type="dxa"/>
            <w:tcBorders>
              <w:top w:val="nil"/>
              <w:left w:val="nil"/>
              <w:bottom w:val="single" w:color="auto" w:sz="4" w:space="0"/>
              <w:right w:val="single" w:color="auto" w:sz="4" w:space="0"/>
            </w:tcBorders>
            <w:shd w:val="clear" w:color="auto" w:fill="auto"/>
            <w:noWrap/>
            <w:vAlign w:val="center"/>
          </w:tcPr>
          <w:p w14:paraId="448E3FE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846" w:type="dxa"/>
            <w:tcBorders>
              <w:top w:val="nil"/>
              <w:left w:val="nil"/>
              <w:bottom w:val="single" w:color="auto" w:sz="4" w:space="0"/>
              <w:right w:val="single" w:color="auto" w:sz="4" w:space="0"/>
            </w:tcBorders>
            <w:shd w:val="clear" w:color="auto" w:fill="auto"/>
            <w:noWrap/>
            <w:vAlign w:val="center"/>
          </w:tcPr>
          <w:p w14:paraId="3EC3CA2B">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6" w:type="dxa"/>
            <w:tcBorders>
              <w:top w:val="nil"/>
              <w:left w:val="nil"/>
              <w:bottom w:val="single" w:color="auto" w:sz="4" w:space="0"/>
              <w:right w:val="single" w:color="auto" w:sz="4" w:space="0"/>
            </w:tcBorders>
            <w:shd w:val="clear" w:color="auto" w:fill="auto"/>
            <w:noWrap/>
            <w:vAlign w:val="center"/>
          </w:tcPr>
          <w:p w14:paraId="710FB66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tcBorders>
              <w:top w:val="nil"/>
              <w:left w:val="nil"/>
              <w:bottom w:val="single" w:color="auto" w:sz="4" w:space="0"/>
              <w:right w:val="single" w:color="auto" w:sz="4" w:space="0"/>
            </w:tcBorders>
            <w:shd w:val="clear" w:color="auto" w:fill="auto"/>
            <w:noWrap/>
            <w:vAlign w:val="center"/>
          </w:tcPr>
          <w:p w14:paraId="06188C4D">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796D68B5">
        <w:tblPrEx>
          <w:tblCellMar>
            <w:top w:w="0" w:type="dxa"/>
            <w:left w:w="108" w:type="dxa"/>
            <w:bottom w:w="0" w:type="dxa"/>
            <w:right w:w="108" w:type="dxa"/>
          </w:tblCellMar>
        </w:tblPrEx>
        <w:trPr>
          <w:trHeight w:val="284"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703A75D2">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116" w:type="dxa"/>
            <w:tcBorders>
              <w:top w:val="nil"/>
              <w:left w:val="nil"/>
              <w:bottom w:val="single" w:color="auto" w:sz="4" w:space="0"/>
              <w:right w:val="single" w:color="auto" w:sz="4" w:space="0"/>
            </w:tcBorders>
            <w:shd w:val="clear" w:color="auto" w:fill="auto"/>
            <w:noWrap/>
            <w:vAlign w:val="center"/>
          </w:tcPr>
          <w:p w14:paraId="06CF355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16" w:type="dxa"/>
            <w:tcBorders>
              <w:top w:val="nil"/>
              <w:left w:val="nil"/>
              <w:bottom w:val="single" w:color="auto" w:sz="4" w:space="0"/>
              <w:right w:val="single" w:color="auto" w:sz="4" w:space="0"/>
            </w:tcBorders>
            <w:shd w:val="clear" w:color="auto" w:fill="auto"/>
            <w:noWrap/>
            <w:vAlign w:val="center"/>
          </w:tcPr>
          <w:p w14:paraId="5803B59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97" w:type="dxa"/>
            <w:tcBorders>
              <w:top w:val="nil"/>
              <w:left w:val="nil"/>
              <w:bottom w:val="single" w:color="auto" w:sz="4" w:space="0"/>
              <w:right w:val="single" w:color="auto" w:sz="4" w:space="0"/>
            </w:tcBorders>
            <w:shd w:val="clear" w:color="auto" w:fill="auto"/>
            <w:noWrap/>
            <w:vAlign w:val="center"/>
          </w:tcPr>
          <w:p w14:paraId="7B43A98E">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39" w:type="dxa"/>
            <w:tcBorders>
              <w:top w:val="nil"/>
              <w:left w:val="nil"/>
              <w:bottom w:val="single" w:color="auto" w:sz="4" w:space="0"/>
              <w:right w:val="single" w:color="auto" w:sz="4" w:space="0"/>
            </w:tcBorders>
            <w:shd w:val="clear" w:color="auto" w:fill="auto"/>
            <w:noWrap/>
            <w:vAlign w:val="center"/>
          </w:tcPr>
          <w:p w14:paraId="6F8C2DF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846" w:type="dxa"/>
            <w:tcBorders>
              <w:top w:val="nil"/>
              <w:left w:val="nil"/>
              <w:bottom w:val="single" w:color="auto" w:sz="4" w:space="0"/>
              <w:right w:val="single" w:color="auto" w:sz="4" w:space="0"/>
            </w:tcBorders>
            <w:shd w:val="clear" w:color="auto" w:fill="auto"/>
            <w:noWrap/>
            <w:vAlign w:val="center"/>
          </w:tcPr>
          <w:p w14:paraId="652DE058">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6" w:type="dxa"/>
            <w:tcBorders>
              <w:top w:val="nil"/>
              <w:left w:val="nil"/>
              <w:bottom w:val="single" w:color="auto" w:sz="4" w:space="0"/>
              <w:right w:val="single" w:color="auto" w:sz="4" w:space="0"/>
            </w:tcBorders>
            <w:shd w:val="clear" w:color="auto" w:fill="auto"/>
            <w:noWrap/>
            <w:vAlign w:val="center"/>
          </w:tcPr>
          <w:p w14:paraId="2ADD75A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tcBorders>
              <w:top w:val="nil"/>
              <w:left w:val="nil"/>
              <w:bottom w:val="single" w:color="auto" w:sz="4" w:space="0"/>
              <w:right w:val="single" w:color="auto" w:sz="4" w:space="0"/>
            </w:tcBorders>
            <w:shd w:val="clear" w:color="auto" w:fill="auto"/>
            <w:noWrap/>
            <w:vAlign w:val="center"/>
          </w:tcPr>
          <w:p w14:paraId="34FE2BBB">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484FB1CD">
        <w:tblPrEx>
          <w:tblCellMar>
            <w:top w:w="0" w:type="dxa"/>
            <w:left w:w="108" w:type="dxa"/>
            <w:bottom w:w="0" w:type="dxa"/>
            <w:right w:w="108" w:type="dxa"/>
          </w:tblCellMar>
        </w:tblPrEx>
        <w:trPr>
          <w:trHeight w:val="284"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6EB1E130">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116" w:type="dxa"/>
            <w:tcBorders>
              <w:top w:val="nil"/>
              <w:left w:val="nil"/>
              <w:bottom w:val="single" w:color="auto" w:sz="4" w:space="0"/>
              <w:right w:val="single" w:color="auto" w:sz="4" w:space="0"/>
            </w:tcBorders>
            <w:shd w:val="clear" w:color="auto" w:fill="auto"/>
            <w:noWrap/>
            <w:vAlign w:val="center"/>
          </w:tcPr>
          <w:p w14:paraId="37E55DE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232.13 </w:t>
            </w:r>
          </w:p>
        </w:tc>
        <w:tc>
          <w:tcPr>
            <w:tcW w:w="1116" w:type="dxa"/>
            <w:tcBorders>
              <w:top w:val="nil"/>
              <w:left w:val="nil"/>
              <w:bottom w:val="single" w:color="auto" w:sz="4" w:space="0"/>
              <w:right w:val="single" w:color="auto" w:sz="4" w:space="0"/>
            </w:tcBorders>
            <w:shd w:val="clear" w:color="auto" w:fill="auto"/>
            <w:noWrap/>
            <w:vAlign w:val="center"/>
          </w:tcPr>
          <w:p w14:paraId="48BD0AD2">
            <w:pPr>
              <w:widowControl/>
              <w:jc w:val="center"/>
              <w:rPr>
                <w:rFonts w:ascii="宋体" w:hAnsi="宋体" w:cs="宋体"/>
                <w:color w:val="000000"/>
                <w:kern w:val="0"/>
                <w:sz w:val="18"/>
                <w:szCs w:val="18"/>
              </w:rPr>
            </w:pPr>
            <w:r>
              <w:rPr>
                <w:rFonts w:hint="eastAsia" w:ascii="宋体" w:hAnsi="宋体" w:cs="宋体"/>
                <w:color w:val="000000"/>
                <w:kern w:val="0"/>
                <w:sz w:val="18"/>
                <w:szCs w:val="18"/>
              </w:rPr>
              <w:t>212.69</w:t>
            </w:r>
          </w:p>
        </w:tc>
        <w:tc>
          <w:tcPr>
            <w:tcW w:w="1197" w:type="dxa"/>
            <w:tcBorders>
              <w:top w:val="nil"/>
              <w:left w:val="nil"/>
              <w:bottom w:val="single" w:color="auto" w:sz="4" w:space="0"/>
              <w:right w:val="single" w:color="auto" w:sz="4" w:space="0"/>
            </w:tcBorders>
            <w:shd w:val="clear" w:color="auto" w:fill="auto"/>
            <w:noWrap/>
            <w:vAlign w:val="center"/>
          </w:tcPr>
          <w:p w14:paraId="56364BEF">
            <w:pPr>
              <w:widowControl/>
              <w:jc w:val="center"/>
              <w:rPr>
                <w:rFonts w:ascii="宋体" w:hAnsi="宋体" w:cs="宋体"/>
                <w:color w:val="000000"/>
                <w:kern w:val="0"/>
                <w:sz w:val="18"/>
                <w:szCs w:val="18"/>
              </w:rPr>
            </w:pPr>
            <w:r>
              <w:rPr>
                <w:rFonts w:hint="eastAsia" w:ascii="宋体" w:hAnsi="宋体" w:cs="宋体"/>
                <w:color w:val="000000"/>
                <w:kern w:val="0"/>
                <w:sz w:val="18"/>
                <w:szCs w:val="18"/>
              </w:rPr>
              <w:t>15.77%</w:t>
            </w:r>
          </w:p>
        </w:tc>
        <w:tc>
          <w:tcPr>
            <w:tcW w:w="939" w:type="dxa"/>
            <w:tcBorders>
              <w:top w:val="nil"/>
              <w:left w:val="nil"/>
              <w:bottom w:val="single" w:color="auto" w:sz="4" w:space="0"/>
              <w:right w:val="single" w:color="auto" w:sz="4" w:space="0"/>
            </w:tcBorders>
            <w:shd w:val="clear" w:color="auto" w:fill="auto"/>
            <w:noWrap/>
            <w:vAlign w:val="center"/>
          </w:tcPr>
          <w:p w14:paraId="71FD656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846" w:type="dxa"/>
            <w:tcBorders>
              <w:top w:val="nil"/>
              <w:left w:val="nil"/>
              <w:bottom w:val="single" w:color="auto" w:sz="4" w:space="0"/>
              <w:right w:val="single" w:color="auto" w:sz="4" w:space="0"/>
            </w:tcBorders>
            <w:shd w:val="clear" w:color="auto" w:fill="auto"/>
            <w:noWrap/>
            <w:vAlign w:val="center"/>
          </w:tcPr>
          <w:p w14:paraId="6F94CC2D">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6" w:type="dxa"/>
            <w:tcBorders>
              <w:top w:val="nil"/>
              <w:left w:val="nil"/>
              <w:bottom w:val="single" w:color="auto" w:sz="4" w:space="0"/>
              <w:right w:val="single" w:color="auto" w:sz="4" w:space="0"/>
            </w:tcBorders>
            <w:shd w:val="clear" w:color="auto" w:fill="auto"/>
            <w:noWrap/>
            <w:vAlign w:val="center"/>
          </w:tcPr>
          <w:p w14:paraId="10C769C5">
            <w:pPr>
              <w:widowControl/>
              <w:jc w:val="center"/>
              <w:rPr>
                <w:rFonts w:ascii="宋体" w:hAnsi="宋体" w:cs="宋体"/>
                <w:color w:val="000000"/>
                <w:kern w:val="0"/>
                <w:sz w:val="18"/>
                <w:szCs w:val="18"/>
              </w:rPr>
            </w:pPr>
            <w:r>
              <w:rPr>
                <w:rFonts w:hint="eastAsia" w:ascii="宋体" w:hAnsi="宋体" w:cs="宋体"/>
                <w:color w:val="000000"/>
                <w:kern w:val="0"/>
                <w:sz w:val="18"/>
                <w:szCs w:val="18"/>
              </w:rPr>
              <w:t>19.44</w:t>
            </w:r>
          </w:p>
        </w:tc>
        <w:tc>
          <w:tcPr>
            <w:tcW w:w="936" w:type="dxa"/>
            <w:tcBorders>
              <w:top w:val="nil"/>
              <w:left w:val="nil"/>
              <w:bottom w:val="single" w:color="auto" w:sz="4" w:space="0"/>
              <w:right w:val="single" w:color="auto" w:sz="4" w:space="0"/>
            </w:tcBorders>
            <w:shd w:val="clear" w:color="auto" w:fill="auto"/>
            <w:noWrap/>
            <w:vAlign w:val="center"/>
          </w:tcPr>
          <w:p w14:paraId="1BC0A331">
            <w:pPr>
              <w:widowControl/>
              <w:jc w:val="center"/>
              <w:rPr>
                <w:rFonts w:ascii="宋体" w:hAnsi="宋体" w:cs="宋体"/>
                <w:color w:val="000000"/>
                <w:kern w:val="0"/>
                <w:sz w:val="18"/>
                <w:szCs w:val="18"/>
              </w:rPr>
            </w:pPr>
            <w:r>
              <w:rPr>
                <w:rFonts w:hint="eastAsia" w:ascii="宋体" w:hAnsi="宋体" w:cs="宋体"/>
                <w:color w:val="000000"/>
                <w:kern w:val="0"/>
                <w:sz w:val="18"/>
                <w:szCs w:val="18"/>
              </w:rPr>
              <w:t>1.44%</w:t>
            </w:r>
          </w:p>
        </w:tc>
      </w:tr>
      <w:tr w14:paraId="05F4EA95">
        <w:tblPrEx>
          <w:tblCellMar>
            <w:top w:w="0" w:type="dxa"/>
            <w:left w:w="108" w:type="dxa"/>
            <w:bottom w:w="0" w:type="dxa"/>
            <w:right w:w="108" w:type="dxa"/>
          </w:tblCellMar>
        </w:tblPrEx>
        <w:trPr>
          <w:trHeight w:val="284"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264CB0B2">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116" w:type="dxa"/>
            <w:tcBorders>
              <w:top w:val="nil"/>
              <w:left w:val="nil"/>
              <w:bottom w:val="single" w:color="auto" w:sz="4" w:space="0"/>
              <w:right w:val="single" w:color="auto" w:sz="4" w:space="0"/>
            </w:tcBorders>
            <w:shd w:val="clear" w:color="auto" w:fill="auto"/>
            <w:noWrap/>
            <w:vAlign w:val="center"/>
          </w:tcPr>
          <w:p w14:paraId="5F1269F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671.56 </w:t>
            </w:r>
          </w:p>
        </w:tc>
        <w:tc>
          <w:tcPr>
            <w:tcW w:w="1116" w:type="dxa"/>
            <w:tcBorders>
              <w:top w:val="nil"/>
              <w:left w:val="nil"/>
              <w:bottom w:val="single" w:color="auto" w:sz="4" w:space="0"/>
              <w:right w:val="single" w:color="auto" w:sz="4" w:space="0"/>
            </w:tcBorders>
            <w:shd w:val="clear" w:color="auto" w:fill="auto"/>
            <w:noWrap/>
            <w:vAlign w:val="center"/>
          </w:tcPr>
          <w:p w14:paraId="7432D612">
            <w:pPr>
              <w:widowControl/>
              <w:jc w:val="center"/>
              <w:rPr>
                <w:rFonts w:ascii="宋体" w:hAnsi="宋体" w:cs="宋体"/>
                <w:color w:val="000000"/>
                <w:kern w:val="0"/>
                <w:sz w:val="18"/>
                <w:szCs w:val="18"/>
              </w:rPr>
            </w:pPr>
            <w:r>
              <w:rPr>
                <w:rFonts w:hint="eastAsia" w:ascii="宋体" w:hAnsi="宋体" w:cs="宋体"/>
                <w:color w:val="000000"/>
                <w:kern w:val="0"/>
                <w:sz w:val="18"/>
                <w:szCs w:val="18"/>
              </w:rPr>
              <w:t>492.98</w:t>
            </w:r>
          </w:p>
        </w:tc>
        <w:tc>
          <w:tcPr>
            <w:tcW w:w="1197" w:type="dxa"/>
            <w:tcBorders>
              <w:top w:val="nil"/>
              <w:left w:val="nil"/>
              <w:bottom w:val="single" w:color="auto" w:sz="4" w:space="0"/>
              <w:right w:val="single" w:color="auto" w:sz="4" w:space="0"/>
            </w:tcBorders>
            <w:shd w:val="clear" w:color="auto" w:fill="auto"/>
            <w:noWrap/>
            <w:vAlign w:val="center"/>
          </w:tcPr>
          <w:p w14:paraId="39DD9920">
            <w:pPr>
              <w:widowControl/>
              <w:jc w:val="center"/>
              <w:rPr>
                <w:rFonts w:ascii="宋体" w:hAnsi="宋体" w:cs="宋体"/>
                <w:color w:val="000000"/>
                <w:kern w:val="0"/>
                <w:sz w:val="18"/>
                <w:szCs w:val="18"/>
              </w:rPr>
            </w:pPr>
            <w:r>
              <w:rPr>
                <w:rFonts w:hint="eastAsia" w:ascii="宋体" w:hAnsi="宋体" w:cs="宋体"/>
                <w:color w:val="000000"/>
                <w:kern w:val="0"/>
                <w:sz w:val="18"/>
                <w:szCs w:val="18"/>
              </w:rPr>
              <w:t>36.56%</w:t>
            </w:r>
          </w:p>
        </w:tc>
        <w:tc>
          <w:tcPr>
            <w:tcW w:w="939" w:type="dxa"/>
            <w:tcBorders>
              <w:top w:val="nil"/>
              <w:left w:val="nil"/>
              <w:bottom w:val="single" w:color="auto" w:sz="4" w:space="0"/>
              <w:right w:val="single" w:color="auto" w:sz="4" w:space="0"/>
            </w:tcBorders>
            <w:shd w:val="clear" w:color="auto" w:fill="auto"/>
            <w:noWrap/>
            <w:vAlign w:val="center"/>
          </w:tcPr>
          <w:p w14:paraId="28CE3B7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846" w:type="dxa"/>
            <w:tcBorders>
              <w:top w:val="nil"/>
              <w:left w:val="nil"/>
              <w:bottom w:val="single" w:color="auto" w:sz="4" w:space="0"/>
              <w:right w:val="single" w:color="auto" w:sz="4" w:space="0"/>
            </w:tcBorders>
            <w:shd w:val="clear" w:color="auto" w:fill="auto"/>
            <w:noWrap/>
            <w:vAlign w:val="center"/>
          </w:tcPr>
          <w:p w14:paraId="769ACD37">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6" w:type="dxa"/>
            <w:tcBorders>
              <w:top w:val="nil"/>
              <w:left w:val="nil"/>
              <w:bottom w:val="single" w:color="auto" w:sz="4" w:space="0"/>
              <w:right w:val="single" w:color="auto" w:sz="4" w:space="0"/>
            </w:tcBorders>
            <w:shd w:val="clear" w:color="auto" w:fill="auto"/>
            <w:noWrap/>
            <w:vAlign w:val="center"/>
          </w:tcPr>
          <w:p w14:paraId="12965520">
            <w:pPr>
              <w:widowControl/>
              <w:jc w:val="center"/>
              <w:rPr>
                <w:rFonts w:ascii="宋体" w:hAnsi="宋体" w:cs="宋体"/>
                <w:color w:val="000000"/>
                <w:kern w:val="0"/>
                <w:sz w:val="18"/>
                <w:szCs w:val="18"/>
              </w:rPr>
            </w:pPr>
            <w:r>
              <w:rPr>
                <w:rFonts w:hint="eastAsia" w:ascii="宋体" w:hAnsi="宋体" w:cs="宋体"/>
                <w:color w:val="000000"/>
                <w:kern w:val="0"/>
                <w:sz w:val="18"/>
                <w:szCs w:val="18"/>
              </w:rPr>
              <w:t>178.58</w:t>
            </w:r>
          </w:p>
        </w:tc>
        <w:tc>
          <w:tcPr>
            <w:tcW w:w="936" w:type="dxa"/>
            <w:tcBorders>
              <w:top w:val="nil"/>
              <w:left w:val="nil"/>
              <w:bottom w:val="single" w:color="auto" w:sz="4" w:space="0"/>
              <w:right w:val="single" w:color="auto" w:sz="4" w:space="0"/>
            </w:tcBorders>
            <w:shd w:val="clear" w:color="auto" w:fill="auto"/>
            <w:noWrap/>
            <w:vAlign w:val="center"/>
          </w:tcPr>
          <w:p w14:paraId="00215EC6">
            <w:pPr>
              <w:widowControl/>
              <w:jc w:val="center"/>
              <w:rPr>
                <w:rFonts w:ascii="宋体" w:hAnsi="宋体" w:cs="宋体"/>
                <w:color w:val="000000"/>
                <w:kern w:val="0"/>
                <w:sz w:val="18"/>
                <w:szCs w:val="18"/>
              </w:rPr>
            </w:pPr>
            <w:r>
              <w:rPr>
                <w:rFonts w:hint="eastAsia" w:ascii="宋体" w:hAnsi="宋体" w:cs="宋体"/>
                <w:color w:val="000000"/>
                <w:kern w:val="0"/>
                <w:sz w:val="18"/>
                <w:szCs w:val="18"/>
              </w:rPr>
              <w:t>13.24%</w:t>
            </w:r>
          </w:p>
        </w:tc>
      </w:tr>
      <w:tr w14:paraId="384B44A2">
        <w:tblPrEx>
          <w:tblCellMar>
            <w:top w:w="0" w:type="dxa"/>
            <w:left w:w="108" w:type="dxa"/>
            <w:bottom w:w="0" w:type="dxa"/>
            <w:right w:w="108" w:type="dxa"/>
          </w:tblCellMar>
        </w:tblPrEx>
        <w:trPr>
          <w:trHeight w:val="284"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1931C6AE">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116" w:type="dxa"/>
            <w:tcBorders>
              <w:top w:val="nil"/>
              <w:left w:val="nil"/>
              <w:bottom w:val="single" w:color="auto" w:sz="4" w:space="0"/>
              <w:right w:val="single" w:color="auto" w:sz="4" w:space="0"/>
            </w:tcBorders>
            <w:shd w:val="clear" w:color="auto" w:fill="auto"/>
            <w:noWrap/>
            <w:vAlign w:val="center"/>
          </w:tcPr>
          <w:p w14:paraId="3735094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272.44 </w:t>
            </w:r>
          </w:p>
        </w:tc>
        <w:tc>
          <w:tcPr>
            <w:tcW w:w="1116" w:type="dxa"/>
            <w:tcBorders>
              <w:top w:val="nil"/>
              <w:left w:val="nil"/>
              <w:bottom w:val="single" w:color="auto" w:sz="4" w:space="0"/>
              <w:right w:val="single" w:color="auto" w:sz="4" w:space="0"/>
            </w:tcBorders>
            <w:shd w:val="clear" w:color="auto" w:fill="auto"/>
            <w:noWrap/>
            <w:vAlign w:val="center"/>
          </w:tcPr>
          <w:p w14:paraId="0ACE2741">
            <w:pPr>
              <w:widowControl/>
              <w:jc w:val="center"/>
              <w:rPr>
                <w:rFonts w:ascii="宋体" w:hAnsi="宋体" w:cs="宋体"/>
                <w:color w:val="000000"/>
                <w:kern w:val="0"/>
                <w:sz w:val="18"/>
                <w:szCs w:val="18"/>
              </w:rPr>
            </w:pPr>
            <w:r>
              <w:rPr>
                <w:rFonts w:hint="eastAsia" w:ascii="宋体" w:hAnsi="宋体" w:cs="宋体"/>
                <w:color w:val="000000"/>
                <w:kern w:val="0"/>
                <w:sz w:val="18"/>
                <w:szCs w:val="18"/>
              </w:rPr>
              <w:t>225.53</w:t>
            </w:r>
          </w:p>
        </w:tc>
        <w:tc>
          <w:tcPr>
            <w:tcW w:w="1197" w:type="dxa"/>
            <w:tcBorders>
              <w:top w:val="nil"/>
              <w:left w:val="nil"/>
              <w:bottom w:val="single" w:color="auto" w:sz="4" w:space="0"/>
              <w:right w:val="single" w:color="auto" w:sz="4" w:space="0"/>
            </w:tcBorders>
            <w:shd w:val="clear" w:color="auto" w:fill="auto"/>
            <w:noWrap/>
            <w:vAlign w:val="center"/>
          </w:tcPr>
          <w:p w14:paraId="67A541CB">
            <w:pPr>
              <w:widowControl/>
              <w:jc w:val="center"/>
              <w:rPr>
                <w:rFonts w:ascii="宋体" w:hAnsi="宋体" w:cs="宋体"/>
                <w:color w:val="000000"/>
                <w:kern w:val="0"/>
                <w:sz w:val="18"/>
                <w:szCs w:val="18"/>
              </w:rPr>
            </w:pPr>
            <w:r>
              <w:rPr>
                <w:rFonts w:hint="eastAsia" w:ascii="宋体" w:hAnsi="宋体" w:cs="宋体"/>
                <w:color w:val="000000"/>
                <w:kern w:val="0"/>
                <w:sz w:val="18"/>
                <w:szCs w:val="18"/>
              </w:rPr>
              <w:t>16.73%</w:t>
            </w:r>
          </w:p>
        </w:tc>
        <w:tc>
          <w:tcPr>
            <w:tcW w:w="939" w:type="dxa"/>
            <w:tcBorders>
              <w:top w:val="nil"/>
              <w:left w:val="nil"/>
              <w:bottom w:val="single" w:color="auto" w:sz="4" w:space="0"/>
              <w:right w:val="single" w:color="auto" w:sz="4" w:space="0"/>
            </w:tcBorders>
            <w:shd w:val="clear" w:color="auto" w:fill="auto"/>
            <w:noWrap/>
            <w:vAlign w:val="center"/>
          </w:tcPr>
          <w:p w14:paraId="5E25342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18.98 </w:t>
            </w:r>
          </w:p>
        </w:tc>
        <w:tc>
          <w:tcPr>
            <w:tcW w:w="846" w:type="dxa"/>
            <w:tcBorders>
              <w:top w:val="nil"/>
              <w:left w:val="nil"/>
              <w:bottom w:val="single" w:color="auto" w:sz="4" w:space="0"/>
              <w:right w:val="single" w:color="auto" w:sz="4" w:space="0"/>
            </w:tcBorders>
            <w:shd w:val="clear" w:color="auto" w:fill="auto"/>
            <w:noWrap/>
            <w:vAlign w:val="center"/>
          </w:tcPr>
          <w:p w14:paraId="650A9882">
            <w:pPr>
              <w:widowControl/>
              <w:jc w:val="center"/>
              <w:rPr>
                <w:rFonts w:ascii="宋体" w:hAnsi="宋体" w:cs="宋体"/>
                <w:color w:val="000000"/>
                <w:kern w:val="0"/>
                <w:sz w:val="18"/>
                <w:szCs w:val="18"/>
              </w:rPr>
            </w:pPr>
            <w:r>
              <w:rPr>
                <w:rFonts w:hint="eastAsia" w:ascii="宋体" w:hAnsi="宋体" w:cs="宋体"/>
                <w:color w:val="000000"/>
                <w:kern w:val="0"/>
                <w:sz w:val="18"/>
                <w:szCs w:val="18"/>
              </w:rPr>
              <w:t>1.41%</w:t>
            </w:r>
          </w:p>
        </w:tc>
        <w:tc>
          <w:tcPr>
            <w:tcW w:w="1026" w:type="dxa"/>
            <w:tcBorders>
              <w:top w:val="nil"/>
              <w:left w:val="nil"/>
              <w:bottom w:val="single" w:color="auto" w:sz="4" w:space="0"/>
              <w:right w:val="single" w:color="auto" w:sz="4" w:space="0"/>
            </w:tcBorders>
            <w:shd w:val="clear" w:color="auto" w:fill="auto"/>
            <w:noWrap/>
            <w:vAlign w:val="center"/>
          </w:tcPr>
          <w:p w14:paraId="50819C23">
            <w:pPr>
              <w:widowControl/>
              <w:jc w:val="center"/>
              <w:rPr>
                <w:rFonts w:ascii="宋体" w:hAnsi="宋体" w:cs="宋体"/>
                <w:color w:val="000000"/>
                <w:kern w:val="0"/>
                <w:sz w:val="18"/>
                <w:szCs w:val="18"/>
              </w:rPr>
            </w:pPr>
            <w:r>
              <w:rPr>
                <w:rFonts w:hint="eastAsia" w:ascii="宋体" w:hAnsi="宋体" w:cs="宋体"/>
                <w:color w:val="000000"/>
                <w:kern w:val="0"/>
                <w:sz w:val="18"/>
                <w:szCs w:val="18"/>
              </w:rPr>
              <w:t>27.93</w:t>
            </w:r>
          </w:p>
        </w:tc>
        <w:tc>
          <w:tcPr>
            <w:tcW w:w="936" w:type="dxa"/>
            <w:tcBorders>
              <w:top w:val="nil"/>
              <w:left w:val="nil"/>
              <w:bottom w:val="single" w:color="auto" w:sz="4" w:space="0"/>
              <w:right w:val="single" w:color="auto" w:sz="4" w:space="0"/>
            </w:tcBorders>
            <w:shd w:val="clear" w:color="auto" w:fill="auto"/>
            <w:noWrap/>
            <w:vAlign w:val="center"/>
          </w:tcPr>
          <w:p w14:paraId="514549DD">
            <w:pPr>
              <w:widowControl/>
              <w:jc w:val="center"/>
              <w:rPr>
                <w:rFonts w:ascii="宋体" w:hAnsi="宋体" w:cs="宋体"/>
                <w:color w:val="000000"/>
                <w:kern w:val="0"/>
                <w:sz w:val="18"/>
                <w:szCs w:val="18"/>
              </w:rPr>
            </w:pPr>
            <w:r>
              <w:rPr>
                <w:rFonts w:hint="eastAsia" w:ascii="宋体" w:hAnsi="宋体" w:cs="宋体"/>
                <w:color w:val="000000"/>
                <w:kern w:val="0"/>
                <w:sz w:val="18"/>
                <w:szCs w:val="18"/>
              </w:rPr>
              <w:t>2.07%</w:t>
            </w:r>
          </w:p>
        </w:tc>
      </w:tr>
      <w:tr w14:paraId="3280914C">
        <w:tblPrEx>
          <w:tblCellMar>
            <w:top w:w="0" w:type="dxa"/>
            <w:left w:w="108" w:type="dxa"/>
            <w:bottom w:w="0" w:type="dxa"/>
            <w:right w:w="108" w:type="dxa"/>
          </w:tblCellMar>
        </w:tblPrEx>
        <w:trPr>
          <w:trHeight w:val="284"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74A42FB5">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116" w:type="dxa"/>
            <w:tcBorders>
              <w:top w:val="nil"/>
              <w:left w:val="nil"/>
              <w:bottom w:val="single" w:color="auto" w:sz="4" w:space="0"/>
              <w:right w:val="single" w:color="auto" w:sz="4" w:space="0"/>
            </w:tcBorders>
            <w:shd w:val="clear" w:color="auto" w:fill="auto"/>
            <w:noWrap/>
            <w:vAlign w:val="center"/>
          </w:tcPr>
          <w:p w14:paraId="5226E88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51.97 </w:t>
            </w:r>
          </w:p>
        </w:tc>
        <w:tc>
          <w:tcPr>
            <w:tcW w:w="1116" w:type="dxa"/>
            <w:tcBorders>
              <w:top w:val="nil"/>
              <w:left w:val="nil"/>
              <w:bottom w:val="single" w:color="auto" w:sz="4" w:space="0"/>
              <w:right w:val="single" w:color="auto" w:sz="4" w:space="0"/>
            </w:tcBorders>
            <w:shd w:val="clear" w:color="auto" w:fill="auto"/>
            <w:noWrap/>
            <w:vAlign w:val="center"/>
          </w:tcPr>
          <w:p w14:paraId="2EABBA27">
            <w:pPr>
              <w:widowControl/>
              <w:jc w:val="center"/>
              <w:rPr>
                <w:rFonts w:ascii="宋体" w:hAnsi="宋体" w:cs="宋体"/>
                <w:color w:val="000000"/>
                <w:kern w:val="0"/>
                <w:sz w:val="18"/>
                <w:szCs w:val="18"/>
              </w:rPr>
            </w:pPr>
            <w:r>
              <w:rPr>
                <w:rFonts w:hint="eastAsia" w:ascii="宋体" w:hAnsi="宋体" w:cs="宋体"/>
                <w:color w:val="000000"/>
                <w:kern w:val="0"/>
                <w:sz w:val="18"/>
                <w:szCs w:val="18"/>
              </w:rPr>
              <w:t>39.2</w:t>
            </w:r>
          </w:p>
        </w:tc>
        <w:tc>
          <w:tcPr>
            <w:tcW w:w="1197" w:type="dxa"/>
            <w:tcBorders>
              <w:top w:val="nil"/>
              <w:left w:val="nil"/>
              <w:bottom w:val="single" w:color="auto" w:sz="4" w:space="0"/>
              <w:right w:val="single" w:color="auto" w:sz="4" w:space="0"/>
            </w:tcBorders>
            <w:shd w:val="clear" w:color="auto" w:fill="auto"/>
            <w:noWrap/>
            <w:vAlign w:val="center"/>
          </w:tcPr>
          <w:p w14:paraId="304506BE">
            <w:pPr>
              <w:widowControl/>
              <w:jc w:val="center"/>
              <w:rPr>
                <w:rFonts w:ascii="宋体" w:hAnsi="宋体" w:cs="宋体"/>
                <w:color w:val="000000"/>
                <w:kern w:val="0"/>
                <w:sz w:val="18"/>
                <w:szCs w:val="18"/>
              </w:rPr>
            </w:pPr>
            <w:r>
              <w:rPr>
                <w:rFonts w:hint="eastAsia" w:ascii="宋体" w:hAnsi="宋体" w:cs="宋体"/>
                <w:color w:val="000000"/>
                <w:kern w:val="0"/>
                <w:sz w:val="18"/>
                <w:szCs w:val="18"/>
              </w:rPr>
              <w:t>2.91%</w:t>
            </w:r>
          </w:p>
        </w:tc>
        <w:tc>
          <w:tcPr>
            <w:tcW w:w="939" w:type="dxa"/>
            <w:tcBorders>
              <w:top w:val="nil"/>
              <w:left w:val="nil"/>
              <w:bottom w:val="single" w:color="auto" w:sz="4" w:space="0"/>
              <w:right w:val="single" w:color="auto" w:sz="4" w:space="0"/>
            </w:tcBorders>
            <w:shd w:val="clear" w:color="auto" w:fill="auto"/>
            <w:noWrap/>
            <w:vAlign w:val="center"/>
          </w:tcPr>
          <w:p w14:paraId="4665AB4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846" w:type="dxa"/>
            <w:tcBorders>
              <w:top w:val="nil"/>
              <w:left w:val="nil"/>
              <w:bottom w:val="single" w:color="auto" w:sz="4" w:space="0"/>
              <w:right w:val="single" w:color="auto" w:sz="4" w:space="0"/>
            </w:tcBorders>
            <w:shd w:val="clear" w:color="auto" w:fill="auto"/>
            <w:noWrap/>
            <w:vAlign w:val="center"/>
          </w:tcPr>
          <w:p w14:paraId="20571703">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6" w:type="dxa"/>
            <w:tcBorders>
              <w:top w:val="nil"/>
              <w:left w:val="nil"/>
              <w:bottom w:val="single" w:color="auto" w:sz="4" w:space="0"/>
              <w:right w:val="single" w:color="auto" w:sz="4" w:space="0"/>
            </w:tcBorders>
            <w:shd w:val="clear" w:color="auto" w:fill="auto"/>
            <w:noWrap/>
            <w:vAlign w:val="center"/>
          </w:tcPr>
          <w:p w14:paraId="2C03EA52">
            <w:pPr>
              <w:widowControl/>
              <w:jc w:val="center"/>
              <w:rPr>
                <w:rFonts w:ascii="宋体" w:hAnsi="宋体" w:cs="宋体"/>
                <w:color w:val="000000"/>
                <w:kern w:val="0"/>
                <w:sz w:val="18"/>
                <w:szCs w:val="18"/>
              </w:rPr>
            </w:pPr>
            <w:r>
              <w:rPr>
                <w:rFonts w:hint="eastAsia" w:ascii="宋体" w:hAnsi="宋体" w:cs="宋体"/>
                <w:color w:val="000000"/>
                <w:kern w:val="0"/>
                <w:sz w:val="18"/>
                <w:szCs w:val="18"/>
              </w:rPr>
              <w:t>12.77</w:t>
            </w:r>
          </w:p>
        </w:tc>
        <w:tc>
          <w:tcPr>
            <w:tcW w:w="936" w:type="dxa"/>
            <w:tcBorders>
              <w:top w:val="nil"/>
              <w:left w:val="nil"/>
              <w:bottom w:val="single" w:color="auto" w:sz="4" w:space="0"/>
              <w:right w:val="single" w:color="auto" w:sz="4" w:space="0"/>
            </w:tcBorders>
            <w:shd w:val="clear" w:color="auto" w:fill="auto"/>
            <w:noWrap/>
            <w:vAlign w:val="center"/>
          </w:tcPr>
          <w:p w14:paraId="221433FE">
            <w:pPr>
              <w:widowControl/>
              <w:jc w:val="center"/>
              <w:rPr>
                <w:rFonts w:ascii="宋体" w:hAnsi="宋体" w:cs="宋体"/>
                <w:color w:val="000000"/>
                <w:kern w:val="0"/>
                <w:sz w:val="18"/>
                <w:szCs w:val="18"/>
              </w:rPr>
            </w:pPr>
            <w:r>
              <w:rPr>
                <w:rFonts w:hint="eastAsia" w:ascii="宋体" w:hAnsi="宋体" w:cs="宋体"/>
                <w:color w:val="000000"/>
                <w:kern w:val="0"/>
                <w:sz w:val="18"/>
                <w:szCs w:val="18"/>
              </w:rPr>
              <w:t>0.95%</w:t>
            </w:r>
          </w:p>
        </w:tc>
      </w:tr>
      <w:tr w14:paraId="10B13739">
        <w:tblPrEx>
          <w:tblCellMar>
            <w:top w:w="0" w:type="dxa"/>
            <w:left w:w="108" w:type="dxa"/>
            <w:bottom w:w="0" w:type="dxa"/>
            <w:right w:w="108" w:type="dxa"/>
          </w:tblCellMar>
        </w:tblPrEx>
        <w:trPr>
          <w:trHeight w:val="284"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327ED303">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116" w:type="dxa"/>
            <w:tcBorders>
              <w:top w:val="nil"/>
              <w:left w:val="nil"/>
              <w:bottom w:val="single" w:color="auto" w:sz="4" w:space="0"/>
              <w:right w:val="single" w:color="auto" w:sz="4" w:space="0"/>
            </w:tcBorders>
            <w:shd w:val="clear" w:color="auto" w:fill="auto"/>
            <w:noWrap/>
            <w:vAlign w:val="center"/>
          </w:tcPr>
          <w:p w14:paraId="64FB1F3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16" w:type="dxa"/>
            <w:tcBorders>
              <w:top w:val="nil"/>
              <w:left w:val="nil"/>
              <w:bottom w:val="single" w:color="auto" w:sz="4" w:space="0"/>
              <w:right w:val="single" w:color="auto" w:sz="4" w:space="0"/>
            </w:tcBorders>
            <w:shd w:val="clear" w:color="auto" w:fill="auto"/>
            <w:noWrap/>
            <w:vAlign w:val="center"/>
          </w:tcPr>
          <w:p w14:paraId="1FF2812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97" w:type="dxa"/>
            <w:tcBorders>
              <w:top w:val="nil"/>
              <w:left w:val="nil"/>
              <w:bottom w:val="single" w:color="auto" w:sz="4" w:space="0"/>
              <w:right w:val="single" w:color="auto" w:sz="4" w:space="0"/>
            </w:tcBorders>
            <w:shd w:val="clear" w:color="auto" w:fill="auto"/>
            <w:noWrap/>
            <w:vAlign w:val="center"/>
          </w:tcPr>
          <w:p w14:paraId="7617E1D7">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39" w:type="dxa"/>
            <w:tcBorders>
              <w:top w:val="nil"/>
              <w:left w:val="nil"/>
              <w:bottom w:val="single" w:color="auto" w:sz="4" w:space="0"/>
              <w:right w:val="single" w:color="auto" w:sz="4" w:space="0"/>
            </w:tcBorders>
            <w:shd w:val="clear" w:color="auto" w:fill="auto"/>
            <w:noWrap/>
            <w:vAlign w:val="center"/>
          </w:tcPr>
          <w:p w14:paraId="7B6AC49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846" w:type="dxa"/>
            <w:tcBorders>
              <w:top w:val="nil"/>
              <w:left w:val="nil"/>
              <w:bottom w:val="single" w:color="auto" w:sz="4" w:space="0"/>
              <w:right w:val="single" w:color="auto" w:sz="4" w:space="0"/>
            </w:tcBorders>
            <w:shd w:val="clear" w:color="auto" w:fill="auto"/>
            <w:noWrap/>
            <w:vAlign w:val="center"/>
          </w:tcPr>
          <w:p w14:paraId="78140FEE">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6" w:type="dxa"/>
            <w:tcBorders>
              <w:top w:val="nil"/>
              <w:left w:val="nil"/>
              <w:bottom w:val="single" w:color="auto" w:sz="4" w:space="0"/>
              <w:right w:val="single" w:color="auto" w:sz="4" w:space="0"/>
            </w:tcBorders>
            <w:shd w:val="clear" w:color="auto" w:fill="auto"/>
            <w:noWrap/>
            <w:vAlign w:val="center"/>
          </w:tcPr>
          <w:p w14:paraId="4A7F975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tcBorders>
              <w:top w:val="nil"/>
              <w:left w:val="nil"/>
              <w:bottom w:val="single" w:color="auto" w:sz="4" w:space="0"/>
              <w:right w:val="single" w:color="auto" w:sz="4" w:space="0"/>
            </w:tcBorders>
            <w:shd w:val="clear" w:color="auto" w:fill="auto"/>
            <w:noWrap/>
            <w:vAlign w:val="center"/>
          </w:tcPr>
          <w:p w14:paraId="7DEBDF61">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537652DF">
        <w:tblPrEx>
          <w:tblCellMar>
            <w:top w:w="0" w:type="dxa"/>
            <w:left w:w="108" w:type="dxa"/>
            <w:bottom w:w="0" w:type="dxa"/>
            <w:right w:w="108" w:type="dxa"/>
          </w:tblCellMar>
        </w:tblPrEx>
        <w:trPr>
          <w:trHeight w:val="284"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0F66EE23">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116" w:type="dxa"/>
            <w:tcBorders>
              <w:top w:val="nil"/>
              <w:left w:val="nil"/>
              <w:bottom w:val="single" w:color="auto" w:sz="4" w:space="0"/>
              <w:right w:val="single" w:color="auto" w:sz="4" w:space="0"/>
            </w:tcBorders>
            <w:shd w:val="clear" w:color="auto" w:fill="auto"/>
            <w:noWrap/>
            <w:vAlign w:val="center"/>
          </w:tcPr>
          <w:p w14:paraId="5FE9B2F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1348.44 </w:t>
            </w:r>
          </w:p>
        </w:tc>
        <w:tc>
          <w:tcPr>
            <w:tcW w:w="1116" w:type="dxa"/>
            <w:tcBorders>
              <w:top w:val="nil"/>
              <w:left w:val="nil"/>
              <w:bottom w:val="single" w:color="auto" w:sz="4" w:space="0"/>
              <w:right w:val="single" w:color="auto" w:sz="4" w:space="0"/>
            </w:tcBorders>
            <w:shd w:val="clear" w:color="auto" w:fill="auto"/>
            <w:noWrap/>
            <w:vAlign w:val="center"/>
          </w:tcPr>
          <w:p w14:paraId="2E3CD56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1074.67 </w:t>
            </w:r>
          </w:p>
        </w:tc>
        <w:tc>
          <w:tcPr>
            <w:tcW w:w="1197" w:type="dxa"/>
            <w:tcBorders>
              <w:top w:val="nil"/>
              <w:left w:val="nil"/>
              <w:bottom w:val="single" w:color="auto" w:sz="4" w:space="0"/>
              <w:right w:val="single" w:color="auto" w:sz="4" w:space="0"/>
            </w:tcBorders>
            <w:shd w:val="clear" w:color="auto" w:fill="auto"/>
            <w:noWrap/>
            <w:vAlign w:val="center"/>
          </w:tcPr>
          <w:p w14:paraId="74158DF3">
            <w:pPr>
              <w:widowControl/>
              <w:jc w:val="center"/>
              <w:rPr>
                <w:rFonts w:ascii="宋体" w:hAnsi="宋体" w:cs="宋体"/>
                <w:color w:val="000000"/>
                <w:kern w:val="0"/>
                <w:sz w:val="18"/>
                <w:szCs w:val="18"/>
              </w:rPr>
            </w:pPr>
            <w:r>
              <w:rPr>
                <w:rFonts w:hint="eastAsia" w:ascii="宋体" w:hAnsi="宋体" w:cs="宋体"/>
                <w:color w:val="000000"/>
                <w:kern w:val="0"/>
                <w:sz w:val="18"/>
                <w:szCs w:val="18"/>
              </w:rPr>
              <w:t>79.70%</w:t>
            </w:r>
          </w:p>
        </w:tc>
        <w:tc>
          <w:tcPr>
            <w:tcW w:w="939" w:type="dxa"/>
            <w:tcBorders>
              <w:top w:val="nil"/>
              <w:left w:val="nil"/>
              <w:bottom w:val="single" w:color="auto" w:sz="4" w:space="0"/>
              <w:right w:val="single" w:color="auto" w:sz="4" w:space="0"/>
            </w:tcBorders>
            <w:shd w:val="clear" w:color="auto" w:fill="auto"/>
            <w:noWrap/>
            <w:vAlign w:val="center"/>
          </w:tcPr>
          <w:p w14:paraId="71E4ED3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18.98 </w:t>
            </w:r>
          </w:p>
        </w:tc>
        <w:tc>
          <w:tcPr>
            <w:tcW w:w="846" w:type="dxa"/>
            <w:tcBorders>
              <w:top w:val="nil"/>
              <w:left w:val="nil"/>
              <w:bottom w:val="single" w:color="auto" w:sz="4" w:space="0"/>
              <w:right w:val="single" w:color="auto" w:sz="4" w:space="0"/>
            </w:tcBorders>
            <w:shd w:val="clear" w:color="auto" w:fill="auto"/>
            <w:noWrap/>
            <w:vAlign w:val="center"/>
          </w:tcPr>
          <w:p w14:paraId="3555ABC4">
            <w:pPr>
              <w:widowControl/>
              <w:jc w:val="center"/>
              <w:rPr>
                <w:rFonts w:ascii="宋体" w:hAnsi="宋体" w:cs="宋体"/>
                <w:color w:val="000000"/>
                <w:kern w:val="0"/>
                <w:sz w:val="18"/>
                <w:szCs w:val="18"/>
              </w:rPr>
            </w:pPr>
            <w:r>
              <w:rPr>
                <w:rFonts w:hint="eastAsia" w:ascii="宋体" w:hAnsi="宋体" w:cs="宋体"/>
                <w:color w:val="000000"/>
                <w:kern w:val="0"/>
                <w:sz w:val="18"/>
                <w:szCs w:val="18"/>
              </w:rPr>
              <w:t>1.41%</w:t>
            </w:r>
          </w:p>
        </w:tc>
        <w:tc>
          <w:tcPr>
            <w:tcW w:w="1026" w:type="dxa"/>
            <w:tcBorders>
              <w:top w:val="nil"/>
              <w:left w:val="nil"/>
              <w:bottom w:val="single" w:color="auto" w:sz="4" w:space="0"/>
              <w:right w:val="single" w:color="auto" w:sz="4" w:space="0"/>
            </w:tcBorders>
            <w:shd w:val="clear" w:color="auto" w:fill="auto"/>
            <w:noWrap/>
            <w:vAlign w:val="center"/>
          </w:tcPr>
          <w:p w14:paraId="7A00B99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254.79 </w:t>
            </w:r>
          </w:p>
        </w:tc>
        <w:tc>
          <w:tcPr>
            <w:tcW w:w="936" w:type="dxa"/>
            <w:tcBorders>
              <w:top w:val="nil"/>
              <w:left w:val="nil"/>
              <w:bottom w:val="single" w:color="auto" w:sz="4" w:space="0"/>
              <w:right w:val="single" w:color="auto" w:sz="4" w:space="0"/>
            </w:tcBorders>
            <w:shd w:val="clear" w:color="auto" w:fill="auto"/>
            <w:noWrap/>
            <w:vAlign w:val="center"/>
          </w:tcPr>
          <w:p w14:paraId="25C14E87">
            <w:pPr>
              <w:widowControl/>
              <w:jc w:val="center"/>
              <w:rPr>
                <w:rFonts w:ascii="宋体" w:hAnsi="宋体" w:cs="宋体"/>
                <w:color w:val="000000"/>
                <w:kern w:val="0"/>
                <w:sz w:val="18"/>
                <w:szCs w:val="18"/>
              </w:rPr>
            </w:pPr>
            <w:r>
              <w:rPr>
                <w:rFonts w:hint="eastAsia" w:ascii="宋体" w:hAnsi="宋体" w:cs="宋体"/>
                <w:color w:val="000000"/>
                <w:kern w:val="0"/>
                <w:sz w:val="18"/>
                <w:szCs w:val="18"/>
              </w:rPr>
              <w:t>18.90%</w:t>
            </w:r>
          </w:p>
        </w:tc>
      </w:tr>
    </w:tbl>
    <w:p w14:paraId="4EF31A13">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（二）坝区耕地</w:t>
      </w:r>
    </w:p>
    <w:p w14:paraId="3FB818C1">
      <w:pPr>
        <w:pStyle w:val="78"/>
        <w:spacing w:line="360" w:lineRule="auto"/>
        <w:ind w:firstLine="560"/>
        <w:rPr>
          <w:rFonts w:ascii="仿宋_GB2312" w:hAnsi="宋体" w:eastAsia="仿宋_GB2312"/>
          <w:sz w:val="28"/>
          <w:szCs w:val="28"/>
        </w:rPr>
      </w:pPr>
      <w:r>
        <w:rPr>
          <w:rFonts w:hint="eastAsia" w:ascii="仿宋_GB2312" w:hAnsi="宋体" w:eastAsia="仿宋_GB2312"/>
          <w:sz w:val="28"/>
          <w:szCs w:val="28"/>
        </w:rPr>
        <w:t>东川区坝区耕地面积1348.44公顷，占全区耕地总面积的4.16%，主要分布在铜都街道。从坝区耕地地类构成来看，水田1074.67公顷，占坝区耕地总面积的79.72%；水浇地18.98公顷，占坝区耕地总面积的1.41%；旱地54.43公顷，占坝区耕地总面积的18.87%。</w:t>
      </w:r>
    </w:p>
    <w:p w14:paraId="3CE96741">
      <w:pPr>
        <w:jc w:val="center"/>
        <w:outlineLvl w:val="4"/>
        <w:rPr>
          <w:rFonts w:ascii="宋体" w:hAnsi="宋体"/>
          <w:b/>
          <w:sz w:val="24"/>
        </w:rPr>
      </w:pPr>
      <w:r>
        <w:rPr>
          <w:rFonts w:hint="eastAsia" w:ascii="宋体" w:hAnsi="宋体"/>
          <w:b/>
          <w:sz w:val="24"/>
        </w:rPr>
        <w:t>表2-6  东川区坝区耕地地类构成情况表</w:t>
      </w:r>
    </w:p>
    <w:p w14:paraId="61949C79">
      <w:pPr>
        <w:ind w:firstLine="420"/>
        <w:jc w:val="right"/>
        <w:rPr>
          <w:rFonts w:ascii="宋体" w:hAnsi="宋体"/>
          <w:color w:val="000000"/>
          <w:kern w:val="0"/>
          <w:sz w:val="18"/>
          <w:szCs w:val="18"/>
        </w:rPr>
      </w:pPr>
      <w:r>
        <w:rPr>
          <w:rFonts w:hint="eastAsia" w:ascii="宋体" w:hAnsi="宋体"/>
          <w:color w:val="000000"/>
          <w:kern w:val="0"/>
          <w:sz w:val="18"/>
          <w:szCs w:val="18"/>
        </w:rPr>
        <w:t>单位：公顷</w:t>
      </w:r>
    </w:p>
    <w:tbl>
      <w:tblPr>
        <w:tblStyle w:val="27"/>
        <w:tblW w:w="9277" w:type="dxa"/>
        <w:jc w:val="center"/>
        <w:tblLayout w:type="autofit"/>
        <w:tblCellMar>
          <w:top w:w="0" w:type="dxa"/>
          <w:left w:w="108" w:type="dxa"/>
          <w:bottom w:w="0" w:type="dxa"/>
          <w:right w:w="108" w:type="dxa"/>
        </w:tblCellMar>
      </w:tblPr>
      <w:tblGrid>
        <w:gridCol w:w="1116"/>
        <w:gridCol w:w="1276"/>
        <w:gridCol w:w="1276"/>
        <w:gridCol w:w="1056"/>
        <w:gridCol w:w="1056"/>
        <w:gridCol w:w="1275"/>
        <w:gridCol w:w="1166"/>
        <w:gridCol w:w="1056"/>
      </w:tblGrid>
      <w:tr w14:paraId="1E0C1FCD">
        <w:tblPrEx>
          <w:tblCellMar>
            <w:top w:w="0" w:type="dxa"/>
            <w:left w:w="108" w:type="dxa"/>
            <w:bottom w:w="0" w:type="dxa"/>
            <w:right w:w="108" w:type="dxa"/>
          </w:tblCellMar>
        </w:tblPrEx>
        <w:trPr>
          <w:trHeight w:val="284" w:hRule="atLeast"/>
          <w:jc w:val="center"/>
        </w:trPr>
        <w:tc>
          <w:tcPr>
            <w:tcW w:w="1116"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78A4098B">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行政区域</w:t>
            </w:r>
          </w:p>
        </w:tc>
        <w:tc>
          <w:tcPr>
            <w:tcW w:w="1276"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09A2DA1D">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耕地</w:t>
            </w:r>
          </w:p>
        </w:tc>
        <w:tc>
          <w:tcPr>
            <w:tcW w:w="6885" w:type="dxa"/>
            <w:gridSpan w:val="6"/>
            <w:tcBorders>
              <w:top w:val="single" w:color="auto" w:sz="4" w:space="0"/>
              <w:left w:val="nil"/>
              <w:bottom w:val="single" w:color="auto" w:sz="4" w:space="0"/>
              <w:right w:val="single" w:color="000000" w:sz="4" w:space="0"/>
            </w:tcBorders>
            <w:shd w:val="clear" w:color="auto" w:fill="auto"/>
            <w:noWrap/>
            <w:vAlign w:val="center"/>
          </w:tcPr>
          <w:p w14:paraId="2519F6F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其中</w:t>
            </w:r>
          </w:p>
        </w:tc>
      </w:tr>
      <w:tr w14:paraId="35558F34">
        <w:tblPrEx>
          <w:tblCellMar>
            <w:top w:w="0" w:type="dxa"/>
            <w:left w:w="108" w:type="dxa"/>
            <w:bottom w:w="0" w:type="dxa"/>
            <w:right w:w="108" w:type="dxa"/>
          </w:tblCellMar>
        </w:tblPrEx>
        <w:trPr>
          <w:trHeight w:val="284" w:hRule="atLeast"/>
          <w:jc w:val="center"/>
        </w:trPr>
        <w:tc>
          <w:tcPr>
            <w:tcW w:w="1116" w:type="dxa"/>
            <w:vMerge w:val="continue"/>
            <w:tcBorders>
              <w:top w:val="single" w:color="auto" w:sz="4" w:space="0"/>
              <w:left w:val="single" w:color="auto" w:sz="4" w:space="0"/>
              <w:bottom w:val="single" w:color="000000" w:sz="4" w:space="0"/>
              <w:right w:val="single" w:color="auto" w:sz="4" w:space="0"/>
            </w:tcBorders>
            <w:vAlign w:val="center"/>
          </w:tcPr>
          <w:p w14:paraId="5AC931BB">
            <w:pPr>
              <w:widowControl/>
              <w:jc w:val="center"/>
              <w:rPr>
                <w:rFonts w:ascii="宋体" w:hAnsi="宋体" w:cs="宋体"/>
                <w:b/>
                <w:color w:val="000000"/>
                <w:kern w:val="0"/>
                <w:sz w:val="18"/>
                <w:szCs w:val="18"/>
              </w:rPr>
            </w:pPr>
          </w:p>
        </w:tc>
        <w:tc>
          <w:tcPr>
            <w:tcW w:w="1276" w:type="dxa"/>
            <w:vMerge w:val="continue"/>
            <w:tcBorders>
              <w:top w:val="single" w:color="auto" w:sz="4" w:space="0"/>
              <w:left w:val="single" w:color="auto" w:sz="4" w:space="0"/>
              <w:bottom w:val="single" w:color="000000" w:sz="4" w:space="0"/>
              <w:right w:val="single" w:color="auto" w:sz="4" w:space="0"/>
            </w:tcBorders>
            <w:vAlign w:val="center"/>
          </w:tcPr>
          <w:p w14:paraId="0EC96EE1">
            <w:pPr>
              <w:widowControl/>
              <w:jc w:val="center"/>
              <w:rPr>
                <w:rFonts w:ascii="宋体" w:hAnsi="宋体" w:cs="宋体"/>
                <w:b/>
                <w:color w:val="000000"/>
                <w:kern w:val="0"/>
                <w:sz w:val="18"/>
                <w:szCs w:val="18"/>
              </w:rPr>
            </w:pPr>
          </w:p>
        </w:tc>
        <w:tc>
          <w:tcPr>
            <w:tcW w:w="1276" w:type="dxa"/>
            <w:tcBorders>
              <w:top w:val="nil"/>
              <w:left w:val="nil"/>
              <w:bottom w:val="single" w:color="auto" w:sz="4" w:space="0"/>
              <w:right w:val="single" w:color="auto" w:sz="4" w:space="0"/>
            </w:tcBorders>
            <w:shd w:val="clear" w:color="auto" w:fill="auto"/>
            <w:noWrap/>
            <w:vAlign w:val="center"/>
          </w:tcPr>
          <w:p w14:paraId="250F1775">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水田</w:t>
            </w:r>
          </w:p>
        </w:tc>
        <w:tc>
          <w:tcPr>
            <w:tcW w:w="1056" w:type="dxa"/>
            <w:tcBorders>
              <w:top w:val="nil"/>
              <w:left w:val="nil"/>
              <w:bottom w:val="single" w:color="auto" w:sz="4" w:space="0"/>
              <w:right w:val="single" w:color="auto" w:sz="4" w:space="0"/>
            </w:tcBorders>
            <w:shd w:val="clear" w:color="auto" w:fill="auto"/>
            <w:noWrap/>
            <w:vAlign w:val="center"/>
          </w:tcPr>
          <w:p w14:paraId="0621C8D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c>
          <w:tcPr>
            <w:tcW w:w="1056" w:type="dxa"/>
            <w:tcBorders>
              <w:top w:val="nil"/>
              <w:left w:val="nil"/>
              <w:bottom w:val="single" w:color="auto" w:sz="4" w:space="0"/>
              <w:right w:val="single" w:color="auto" w:sz="4" w:space="0"/>
            </w:tcBorders>
            <w:shd w:val="clear" w:color="auto" w:fill="auto"/>
            <w:noWrap/>
            <w:vAlign w:val="center"/>
          </w:tcPr>
          <w:p w14:paraId="6BD3520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水浇地</w:t>
            </w:r>
          </w:p>
        </w:tc>
        <w:tc>
          <w:tcPr>
            <w:tcW w:w="1275" w:type="dxa"/>
            <w:tcBorders>
              <w:top w:val="nil"/>
              <w:left w:val="nil"/>
              <w:bottom w:val="single" w:color="auto" w:sz="4" w:space="0"/>
              <w:right w:val="single" w:color="auto" w:sz="4" w:space="0"/>
            </w:tcBorders>
            <w:shd w:val="clear" w:color="auto" w:fill="auto"/>
            <w:noWrap/>
            <w:vAlign w:val="center"/>
          </w:tcPr>
          <w:p w14:paraId="601BB33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c>
          <w:tcPr>
            <w:tcW w:w="1166" w:type="dxa"/>
            <w:tcBorders>
              <w:top w:val="nil"/>
              <w:left w:val="nil"/>
              <w:bottom w:val="single" w:color="auto" w:sz="4" w:space="0"/>
              <w:right w:val="single" w:color="auto" w:sz="4" w:space="0"/>
            </w:tcBorders>
            <w:shd w:val="clear" w:color="auto" w:fill="auto"/>
            <w:noWrap/>
            <w:vAlign w:val="center"/>
          </w:tcPr>
          <w:p w14:paraId="6873861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旱地</w:t>
            </w:r>
          </w:p>
        </w:tc>
        <w:tc>
          <w:tcPr>
            <w:tcW w:w="1056" w:type="dxa"/>
            <w:tcBorders>
              <w:top w:val="nil"/>
              <w:left w:val="nil"/>
              <w:bottom w:val="single" w:color="auto" w:sz="4" w:space="0"/>
              <w:right w:val="single" w:color="auto" w:sz="4" w:space="0"/>
            </w:tcBorders>
            <w:shd w:val="clear" w:color="auto" w:fill="auto"/>
            <w:noWrap/>
            <w:vAlign w:val="center"/>
          </w:tcPr>
          <w:p w14:paraId="5A6A2D6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r>
      <w:tr w14:paraId="49CB6E59">
        <w:tblPrEx>
          <w:tblCellMar>
            <w:top w:w="0" w:type="dxa"/>
            <w:left w:w="108" w:type="dxa"/>
            <w:bottom w:w="0" w:type="dxa"/>
            <w:right w:w="108" w:type="dxa"/>
          </w:tblCellMar>
        </w:tblPrEx>
        <w:trPr>
          <w:trHeight w:val="284" w:hRule="atLeast"/>
          <w:jc w:val="center"/>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6609E6B7">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276" w:type="dxa"/>
            <w:tcBorders>
              <w:top w:val="nil"/>
              <w:left w:val="nil"/>
              <w:bottom w:val="single" w:color="auto" w:sz="4" w:space="0"/>
              <w:right w:val="single" w:color="auto" w:sz="4" w:space="0"/>
            </w:tcBorders>
            <w:shd w:val="clear" w:color="auto" w:fill="auto"/>
            <w:noWrap/>
            <w:vAlign w:val="center"/>
          </w:tcPr>
          <w:p w14:paraId="797FA90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120.34 </w:t>
            </w:r>
          </w:p>
        </w:tc>
        <w:tc>
          <w:tcPr>
            <w:tcW w:w="1276" w:type="dxa"/>
            <w:tcBorders>
              <w:top w:val="nil"/>
              <w:left w:val="nil"/>
              <w:bottom w:val="single" w:color="auto" w:sz="4" w:space="0"/>
              <w:right w:val="single" w:color="auto" w:sz="4" w:space="0"/>
            </w:tcBorders>
            <w:shd w:val="clear" w:color="auto" w:fill="auto"/>
            <w:noWrap/>
            <w:vAlign w:val="center"/>
          </w:tcPr>
          <w:p w14:paraId="5497EE1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104.27 </w:t>
            </w:r>
          </w:p>
        </w:tc>
        <w:tc>
          <w:tcPr>
            <w:tcW w:w="1056" w:type="dxa"/>
            <w:tcBorders>
              <w:top w:val="nil"/>
              <w:left w:val="nil"/>
              <w:bottom w:val="single" w:color="auto" w:sz="4" w:space="0"/>
              <w:right w:val="single" w:color="auto" w:sz="4" w:space="0"/>
            </w:tcBorders>
            <w:shd w:val="clear" w:color="auto" w:fill="auto"/>
            <w:noWrap/>
            <w:vAlign w:val="center"/>
          </w:tcPr>
          <w:p w14:paraId="67D5AD46">
            <w:pPr>
              <w:widowControl/>
              <w:jc w:val="center"/>
              <w:rPr>
                <w:rFonts w:ascii="宋体" w:hAnsi="宋体" w:cs="宋体"/>
                <w:color w:val="000000"/>
                <w:kern w:val="0"/>
                <w:sz w:val="18"/>
                <w:szCs w:val="18"/>
              </w:rPr>
            </w:pPr>
            <w:r>
              <w:rPr>
                <w:rFonts w:hint="eastAsia" w:ascii="宋体" w:hAnsi="宋体" w:cs="宋体"/>
                <w:color w:val="000000"/>
                <w:kern w:val="0"/>
                <w:sz w:val="18"/>
                <w:szCs w:val="18"/>
              </w:rPr>
              <w:t>7.73%</w:t>
            </w:r>
          </w:p>
        </w:tc>
        <w:tc>
          <w:tcPr>
            <w:tcW w:w="1056" w:type="dxa"/>
            <w:tcBorders>
              <w:top w:val="nil"/>
              <w:left w:val="nil"/>
              <w:bottom w:val="single" w:color="auto" w:sz="4" w:space="0"/>
              <w:right w:val="single" w:color="auto" w:sz="4" w:space="0"/>
            </w:tcBorders>
            <w:shd w:val="clear" w:color="auto" w:fill="auto"/>
            <w:noWrap/>
            <w:vAlign w:val="center"/>
          </w:tcPr>
          <w:p w14:paraId="0FF4A0C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5" w:type="dxa"/>
            <w:tcBorders>
              <w:top w:val="nil"/>
              <w:left w:val="nil"/>
              <w:bottom w:val="single" w:color="auto" w:sz="4" w:space="0"/>
              <w:right w:val="single" w:color="auto" w:sz="4" w:space="0"/>
            </w:tcBorders>
            <w:shd w:val="clear" w:color="auto" w:fill="auto"/>
            <w:noWrap/>
            <w:vAlign w:val="center"/>
          </w:tcPr>
          <w:p w14:paraId="181D0ADB">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6" w:type="dxa"/>
            <w:tcBorders>
              <w:top w:val="nil"/>
              <w:left w:val="nil"/>
              <w:bottom w:val="single" w:color="auto" w:sz="4" w:space="0"/>
              <w:right w:val="single" w:color="auto" w:sz="4" w:space="0"/>
            </w:tcBorders>
            <w:shd w:val="clear" w:color="auto" w:fill="auto"/>
            <w:noWrap/>
            <w:vAlign w:val="center"/>
          </w:tcPr>
          <w:p w14:paraId="3579AB5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16.07 </w:t>
            </w:r>
          </w:p>
        </w:tc>
        <w:tc>
          <w:tcPr>
            <w:tcW w:w="1056" w:type="dxa"/>
            <w:tcBorders>
              <w:top w:val="nil"/>
              <w:left w:val="nil"/>
              <w:bottom w:val="single" w:color="auto" w:sz="4" w:space="0"/>
              <w:right w:val="single" w:color="auto" w:sz="4" w:space="0"/>
            </w:tcBorders>
            <w:shd w:val="clear" w:color="auto" w:fill="auto"/>
            <w:noWrap/>
            <w:vAlign w:val="center"/>
          </w:tcPr>
          <w:p w14:paraId="6380293A">
            <w:pPr>
              <w:widowControl/>
              <w:jc w:val="center"/>
              <w:rPr>
                <w:rFonts w:ascii="宋体" w:hAnsi="宋体" w:cs="宋体"/>
                <w:color w:val="000000"/>
                <w:kern w:val="0"/>
                <w:sz w:val="18"/>
                <w:szCs w:val="18"/>
              </w:rPr>
            </w:pPr>
            <w:r>
              <w:rPr>
                <w:rFonts w:hint="eastAsia" w:ascii="宋体" w:hAnsi="宋体" w:cs="宋体"/>
                <w:color w:val="000000"/>
                <w:kern w:val="0"/>
                <w:sz w:val="18"/>
                <w:szCs w:val="18"/>
              </w:rPr>
              <w:t>1.19%</w:t>
            </w:r>
          </w:p>
        </w:tc>
      </w:tr>
      <w:tr w14:paraId="38BAFD7A">
        <w:tblPrEx>
          <w:tblCellMar>
            <w:top w:w="0" w:type="dxa"/>
            <w:left w:w="108" w:type="dxa"/>
            <w:bottom w:w="0" w:type="dxa"/>
            <w:right w:w="108" w:type="dxa"/>
          </w:tblCellMar>
        </w:tblPrEx>
        <w:trPr>
          <w:trHeight w:val="284" w:hRule="atLeast"/>
          <w:jc w:val="center"/>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21051E09">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276" w:type="dxa"/>
            <w:tcBorders>
              <w:top w:val="nil"/>
              <w:left w:val="nil"/>
              <w:bottom w:val="single" w:color="auto" w:sz="4" w:space="0"/>
              <w:right w:val="single" w:color="auto" w:sz="4" w:space="0"/>
            </w:tcBorders>
            <w:shd w:val="clear" w:color="auto" w:fill="auto"/>
            <w:noWrap/>
            <w:vAlign w:val="center"/>
          </w:tcPr>
          <w:p w14:paraId="76C1773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6" w:type="dxa"/>
            <w:tcBorders>
              <w:top w:val="nil"/>
              <w:left w:val="nil"/>
              <w:bottom w:val="single" w:color="auto" w:sz="4" w:space="0"/>
              <w:right w:val="single" w:color="auto" w:sz="4" w:space="0"/>
            </w:tcBorders>
            <w:shd w:val="clear" w:color="auto" w:fill="auto"/>
            <w:noWrap/>
            <w:vAlign w:val="center"/>
          </w:tcPr>
          <w:p w14:paraId="2BD0525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56" w:type="dxa"/>
            <w:tcBorders>
              <w:top w:val="nil"/>
              <w:left w:val="nil"/>
              <w:bottom w:val="single" w:color="auto" w:sz="4" w:space="0"/>
              <w:right w:val="single" w:color="auto" w:sz="4" w:space="0"/>
            </w:tcBorders>
            <w:shd w:val="clear" w:color="auto" w:fill="auto"/>
            <w:noWrap/>
            <w:vAlign w:val="center"/>
          </w:tcPr>
          <w:p w14:paraId="0092F35B">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56" w:type="dxa"/>
            <w:tcBorders>
              <w:top w:val="nil"/>
              <w:left w:val="nil"/>
              <w:bottom w:val="single" w:color="auto" w:sz="4" w:space="0"/>
              <w:right w:val="single" w:color="auto" w:sz="4" w:space="0"/>
            </w:tcBorders>
            <w:shd w:val="clear" w:color="auto" w:fill="auto"/>
            <w:noWrap/>
            <w:vAlign w:val="center"/>
          </w:tcPr>
          <w:p w14:paraId="64A278A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5" w:type="dxa"/>
            <w:tcBorders>
              <w:top w:val="nil"/>
              <w:left w:val="nil"/>
              <w:bottom w:val="single" w:color="auto" w:sz="4" w:space="0"/>
              <w:right w:val="single" w:color="auto" w:sz="4" w:space="0"/>
            </w:tcBorders>
            <w:shd w:val="clear" w:color="auto" w:fill="auto"/>
            <w:noWrap/>
            <w:vAlign w:val="center"/>
          </w:tcPr>
          <w:p w14:paraId="361EECAE">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6" w:type="dxa"/>
            <w:tcBorders>
              <w:top w:val="nil"/>
              <w:left w:val="nil"/>
              <w:bottom w:val="single" w:color="auto" w:sz="4" w:space="0"/>
              <w:right w:val="single" w:color="auto" w:sz="4" w:space="0"/>
            </w:tcBorders>
            <w:shd w:val="clear" w:color="auto" w:fill="auto"/>
            <w:noWrap/>
            <w:vAlign w:val="center"/>
          </w:tcPr>
          <w:p w14:paraId="1CE7EBD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56" w:type="dxa"/>
            <w:tcBorders>
              <w:top w:val="nil"/>
              <w:left w:val="nil"/>
              <w:bottom w:val="single" w:color="auto" w:sz="4" w:space="0"/>
              <w:right w:val="single" w:color="auto" w:sz="4" w:space="0"/>
            </w:tcBorders>
            <w:shd w:val="clear" w:color="auto" w:fill="auto"/>
            <w:noWrap/>
            <w:vAlign w:val="center"/>
          </w:tcPr>
          <w:p w14:paraId="7B94B929">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231058A7">
        <w:tblPrEx>
          <w:tblCellMar>
            <w:top w:w="0" w:type="dxa"/>
            <w:left w:w="108" w:type="dxa"/>
            <w:bottom w:w="0" w:type="dxa"/>
            <w:right w:w="108" w:type="dxa"/>
          </w:tblCellMar>
        </w:tblPrEx>
        <w:trPr>
          <w:trHeight w:val="284" w:hRule="atLeast"/>
          <w:jc w:val="center"/>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53563B30">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276" w:type="dxa"/>
            <w:tcBorders>
              <w:top w:val="nil"/>
              <w:left w:val="nil"/>
              <w:bottom w:val="single" w:color="auto" w:sz="4" w:space="0"/>
              <w:right w:val="single" w:color="auto" w:sz="4" w:space="0"/>
            </w:tcBorders>
            <w:shd w:val="clear" w:color="auto" w:fill="auto"/>
            <w:noWrap/>
            <w:vAlign w:val="center"/>
          </w:tcPr>
          <w:p w14:paraId="1112C50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6" w:type="dxa"/>
            <w:tcBorders>
              <w:top w:val="nil"/>
              <w:left w:val="nil"/>
              <w:bottom w:val="single" w:color="auto" w:sz="4" w:space="0"/>
              <w:right w:val="single" w:color="auto" w:sz="4" w:space="0"/>
            </w:tcBorders>
            <w:shd w:val="clear" w:color="auto" w:fill="auto"/>
            <w:noWrap/>
            <w:vAlign w:val="center"/>
          </w:tcPr>
          <w:p w14:paraId="1BB9CBC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56" w:type="dxa"/>
            <w:tcBorders>
              <w:top w:val="nil"/>
              <w:left w:val="nil"/>
              <w:bottom w:val="single" w:color="auto" w:sz="4" w:space="0"/>
              <w:right w:val="single" w:color="auto" w:sz="4" w:space="0"/>
            </w:tcBorders>
            <w:shd w:val="clear" w:color="auto" w:fill="auto"/>
            <w:noWrap/>
            <w:vAlign w:val="center"/>
          </w:tcPr>
          <w:p w14:paraId="07E209FF">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56" w:type="dxa"/>
            <w:tcBorders>
              <w:top w:val="nil"/>
              <w:left w:val="nil"/>
              <w:bottom w:val="single" w:color="auto" w:sz="4" w:space="0"/>
              <w:right w:val="single" w:color="auto" w:sz="4" w:space="0"/>
            </w:tcBorders>
            <w:shd w:val="clear" w:color="auto" w:fill="auto"/>
            <w:noWrap/>
            <w:vAlign w:val="center"/>
          </w:tcPr>
          <w:p w14:paraId="1FEDAD7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5" w:type="dxa"/>
            <w:tcBorders>
              <w:top w:val="nil"/>
              <w:left w:val="nil"/>
              <w:bottom w:val="single" w:color="auto" w:sz="4" w:space="0"/>
              <w:right w:val="single" w:color="auto" w:sz="4" w:space="0"/>
            </w:tcBorders>
            <w:shd w:val="clear" w:color="auto" w:fill="auto"/>
            <w:noWrap/>
            <w:vAlign w:val="center"/>
          </w:tcPr>
          <w:p w14:paraId="24D8D305">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6" w:type="dxa"/>
            <w:tcBorders>
              <w:top w:val="nil"/>
              <w:left w:val="nil"/>
              <w:bottom w:val="single" w:color="auto" w:sz="4" w:space="0"/>
              <w:right w:val="single" w:color="auto" w:sz="4" w:space="0"/>
            </w:tcBorders>
            <w:shd w:val="clear" w:color="auto" w:fill="auto"/>
            <w:noWrap/>
            <w:vAlign w:val="center"/>
          </w:tcPr>
          <w:p w14:paraId="52A3744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56" w:type="dxa"/>
            <w:tcBorders>
              <w:top w:val="nil"/>
              <w:left w:val="nil"/>
              <w:bottom w:val="single" w:color="auto" w:sz="4" w:space="0"/>
              <w:right w:val="single" w:color="auto" w:sz="4" w:space="0"/>
            </w:tcBorders>
            <w:shd w:val="clear" w:color="auto" w:fill="auto"/>
            <w:noWrap/>
            <w:vAlign w:val="center"/>
          </w:tcPr>
          <w:p w14:paraId="02051D85">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1539EC8A">
        <w:tblPrEx>
          <w:tblCellMar>
            <w:top w:w="0" w:type="dxa"/>
            <w:left w:w="108" w:type="dxa"/>
            <w:bottom w:w="0" w:type="dxa"/>
            <w:right w:w="108" w:type="dxa"/>
          </w:tblCellMar>
        </w:tblPrEx>
        <w:trPr>
          <w:trHeight w:val="284" w:hRule="atLeast"/>
          <w:jc w:val="center"/>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524CCF06">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276" w:type="dxa"/>
            <w:tcBorders>
              <w:top w:val="nil"/>
              <w:left w:val="nil"/>
              <w:bottom w:val="single" w:color="auto" w:sz="4" w:space="0"/>
              <w:right w:val="single" w:color="auto" w:sz="4" w:space="0"/>
            </w:tcBorders>
            <w:shd w:val="clear" w:color="auto" w:fill="auto"/>
            <w:noWrap/>
            <w:vAlign w:val="center"/>
          </w:tcPr>
          <w:p w14:paraId="6F367B9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232.13 </w:t>
            </w:r>
          </w:p>
        </w:tc>
        <w:tc>
          <w:tcPr>
            <w:tcW w:w="1276" w:type="dxa"/>
            <w:tcBorders>
              <w:top w:val="nil"/>
              <w:left w:val="nil"/>
              <w:bottom w:val="single" w:color="auto" w:sz="4" w:space="0"/>
              <w:right w:val="single" w:color="auto" w:sz="4" w:space="0"/>
            </w:tcBorders>
            <w:shd w:val="clear" w:color="auto" w:fill="auto"/>
            <w:noWrap/>
            <w:vAlign w:val="center"/>
          </w:tcPr>
          <w:p w14:paraId="5BF84B9C">
            <w:pPr>
              <w:widowControl/>
              <w:jc w:val="center"/>
              <w:rPr>
                <w:rFonts w:ascii="宋体" w:hAnsi="宋体" w:cs="宋体"/>
                <w:color w:val="000000"/>
                <w:kern w:val="0"/>
                <w:sz w:val="18"/>
                <w:szCs w:val="18"/>
              </w:rPr>
            </w:pPr>
            <w:r>
              <w:rPr>
                <w:rFonts w:hint="eastAsia" w:ascii="宋体" w:hAnsi="宋体" w:cs="宋体"/>
                <w:color w:val="000000"/>
                <w:kern w:val="0"/>
                <w:sz w:val="18"/>
                <w:szCs w:val="18"/>
              </w:rPr>
              <w:t>212.69</w:t>
            </w:r>
          </w:p>
        </w:tc>
        <w:tc>
          <w:tcPr>
            <w:tcW w:w="1056" w:type="dxa"/>
            <w:tcBorders>
              <w:top w:val="nil"/>
              <w:left w:val="nil"/>
              <w:bottom w:val="single" w:color="auto" w:sz="4" w:space="0"/>
              <w:right w:val="single" w:color="auto" w:sz="4" w:space="0"/>
            </w:tcBorders>
            <w:shd w:val="clear" w:color="auto" w:fill="auto"/>
            <w:noWrap/>
            <w:vAlign w:val="center"/>
          </w:tcPr>
          <w:p w14:paraId="21852E6F">
            <w:pPr>
              <w:widowControl/>
              <w:jc w:val="center"/>
              <w:rPr>
                <w:rFonts w:ascii="宋体" w:hAnsi="宋体" w:cs="宋体"/>
                <w:color w:val="000000"/>
                <w:kern w:val="0"/>
                <w:sz w:val="18"/>
                <w:szCs w:val="18"/>
              </w:rPr>
            </w:pPr>
            <w:r>
              <w:rPr>
                <w:rFonts w:hint="eastAsia" w:ascii="宋体" w:hAnsi="宋体" w:cs="宋体"/>
                <w:color w:val="000000"/>
                <w:kern w:val="0"/>
                <w:sz w:val="18"/>
                <w:szCs w:val="18"/>
              </w:rPr>
              <w:t>15.78%</w:t>
            </w:r>
          </w:p>
        </w:tc>
        <w:tc>
          <w:tcPr>
            <w:tcW w:w="1056" w:type="dxa"/>
            <w:tcBorders>
              <w:top w:val="nil"/>
              <w:left w:val="nil"/>
              <w:bottom w:val="single" w:color="auto" w:sz="4" w:space="0"/>
              <w:right w:val="single" w:color="auto" w:sz="4" w:space="0"/>
            </w:tcBorders>
            <w:shd w:val="clear" w:color="auto" w:fill="auto"/>
            <w:noWrap/>
            <w:vAlign w:val="center"/>
          </w:tcPr>
          <w:p w14:paraId="509970F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5" w:type="dxa"/>
            <w:tcBorders>
              <w:top w:val="nil"/>
              <w:left w:val="nil"/>
              <w:bottom w:val="single" w:color="auto" w:sz="4" w:space="0"/>
              <w:right w:val="single" w:color="auto" w:sz="4" w:space="0"/>
            </w:tcBorders>
            <w:shd w:val="clear" w:color="auto" w:fill="auto"/>
            <w:noWrap/>
            <w:vAlign w:val="center"/>
          </w:tcPr>
          <w:p w14:paraId="7C622612">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6" w:type="dxa"/>
            <w:tcBorders>
              <w:top w:val="nil"/>
              <w:left w:val="nil"/>
              <w:bottom w:val="single" w:color="auto" w:sz="4" w:space="0"/>
              <w:right w:val="single" w:color="auto" w:sz="4" w:space="0"/>
            </w:tcBorders>
            <w:shd w:val="clear" w:color="auto" w:fill="auto"/>
            <w:noWrap/>
            <w:vAlign w:val="center"/>
          </w:tcPr>
          <w:p w14:paraId="531C8F78">
            <w:pPr>
              <w:widowControl/>
              <w:jc w:val="center"/>
              <w:rPr>
                <w:rFonts w:ascii="宋体" w:hAnsi="宋体" w:cs="宋体"/>
                <w:color w:val="000000"/>
                <w:kern w:val="0"/>
                <w:sz w:val="18"/>
                <w:szCs w:val="18"/>
              </w:rPr>
            </w:pPr>
            <w:r>
              <w:rPr>
                <w:rFonts w:hint="eastAsia" w:ascii="宋体" w:hAnsi="宋体" w:cs="宋体"/>
                <w:color w:val="000000"/>
                <w:kern w:val="0"/>
                <w:sz w:val="18"/>
                <w:szCs w:val="18"/>
              </w:rPr>
              <w:t>19.44</w:t>
            </w:r>
          </w:p>
        </w:tc>
        <w:tc>
          <w:tcPr>
            <w:tcW w:w="1056" w:type="dxa"/>
            <w:tcBorders>
              <w:top w:val="nil"/>
              <w:left w:val="nil"/>
              <w:bottom w:val="single" w:color="auto" w:sz="4" w:space="0"/>
              <w:right w:val="single" w:color="auto" w:sz="4" w:space="0"/>
            </w:tcBorders>
            <w:shd w:val="clear" w:color="auto" w:fill="auto"/>
            <w:noWrap/>
            <w:vAlign w:val="center"/>
          </w:tcPr>
          <w:p w14:paraId="1AB165DA">
            <w:pPr>
              <w:widowControl/>
              <w:jc w:val="center"/>
              <w:rPr>
                <w:rFonts w:ascii="宋体" w:hAnsi="宋体" w:cs="宋体"/>
                <w:color w:val="000000"/>
                <w:kern w:val="0"/>
                <w:sz w:val="18"/>
                <w:szCs w:val="18"/>
              </w:rPr>
            </w:pPr>
            <w:r>
              <w:rPr>
                <w:rFonts w:hint="eastAsia" w:ascii="宋体" w:hAnsi="宋体" w:cs="宋体"/>
                <w:color w:val="000000"/>
                <w:kern w:val="0"/>
                <w:sz w:val="18"/>
                <w:szCs w:val="18"/>
              </w:rPr>
              <w:t>1.44%</w:t>
            </w:r>
          </w:p>
        </w:tc>
      </w:tr>
      <w:tr w14:paraId="353DB45C">
        <w:tblPrEx>
          <w:tblCellMar>
            <w:top w:w="0" w:type="dxa"/>
            <w:left w:w="108" w:type="dxa"/>
            <w:bottom w:w="0" w:type="dxa"/>
            <w:right w:w="108" w:type="dxa"/>
          </w:tblCellMar>
        </w:tblPrEx>
        <w:trPr>
          <w:trHeight w:val="284" w:hRule="atLeast"/>
          <w:jc w:val="center"/>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58427293">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276" w:type="dxa"/>
            <w:tcBorders>
              <w:top w:val="nil"/>
              <w:left w:val="nil"/>
              <w:bottom w:val="single" w:color="auto" w:sz="4" w:space="0"/>
              <w:right w:val="single" w:color="auto" w:sz="4" w:space="0"/>
            </w:tcBorders>
            <w:shd w:val="clear" w:color="auto" w:fill="auto"/>
            <w:noWrap/>
            <w:vAlign w:val="center"/>
          </w:tcPr>
          <w:p w14:paraId="667ED90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671.20 </w:t>
            </w:r>
          </w:p>
        </w:tc>
        <w:tc>
          <w:tcPr>
            <w:tcW w:w="1276" w:type="dxa"/>
            <w:tcBorders>
              <w:top w:val="nil"/>
              <w:left w:val="nil"/>
              <w:bottom w:val="single" w:color="auto" w:sz="4" w:space="0"/>
              <w:right w:val="single" w:color="auto" w:sz="4" w:space="0"/>
            </w:tcBorders>
            <w:shd w:val="clear" w:color="auto" w:fill="auto"/>
            <w:noWrap/>
            <w:vAlign w:val="center"/>
          </w:tcPr>
          <w:p w14:paraId="70EBA67C">
            <w:pPr>
              <w:widowControl/>
              <w:jc w:val="center"/>
              <w:rPr>
                <w:rFonts w:ascii="宋体" w:hAnsi="宋体" w:cs="宋体"/>
                <w:color w:val="000000"/>
                <w:kern w:val="0"/>
                <w:sz w:val="18"/>
                <w:szCs w:val="18"/>
              </w:rPr>
            </w:pPr>
            <w:r>
              <w:rPr>
                <w:rFonts w:hint="eastAsia" w:ascii="宋体" w:hAnsi="宋体" w:cs="宋体"/>
                <w:color w:val="000000"/>
                <w:kern w:val="0"/>
                <w:sz w:val="18"/>
                <w:szCs w:val="18"/>
              </w:rPr>
              <w:t>492.98</w:t>
            </w:r>
          </w:p>
        </w:tc>
        <w:tc>
          <w:tcPr>
            <w:tcW w:w="1056" w:type="dxa"/>
            <w:tcBorders>
              <w:top w:val="nil"/>
              <w:left w:val="nil"/>
              <w:bottom w:val="single" w:color="auto" w:sz="4" w:space="0"/>
              <w:right w:val="single" w:color="auto" w:sz="4" w:space="0"/>
            </w:tcBorders>
            <w:shd w:val="clear" w:color="auto" w:fill="auto"/>
            <w:noWrap/>
            <w:vAlign w:val="center"/>
          </w:tcPr>
          <w:p w14:paraId="6E66DAB3">
            <w:pPr>
              <w:widowControl/>
              <w:jc w:val="center"/>
              <w:rPr>
                <w:rFonts w:ascii="宋体" w:hAnsi="宋体" w:cs="宋体"/>
                <w:color w:val="000000"/>
                <w:kern w:val="0"/>
                <w:sz w:val="18"/>
                <w:szCs w:val="18"/>
              </w:rPr>
            </w:pPr>
            <w:r>
              <w:rPr>
                <w:rFonts w:hint="eastAsia" w:ascii="宋体" w:hAnsi="宋体" w:cs="宋体"/>
                <w:color w:val="000000"/>
                <w:kern w:val="0"/>
                <w:sz w:val="18"/>
                <w:szCs w:val="18"/>
              </w:rPr>
              <w:t>36.57%</w:t>
            </w:r>
          </w:p>
        </w:tc>
        <w:tc>
          <w:tcPr>
            <w:tcW w:w="1056" w:type="dxa"/>
            <w:tcBorders>
              <w:top w:val="nil"/>
              <w:left w:val="nil"/>
              <w:bottom w:val="single" w:color="auto" w:sz="4" w:space="0"/>
              <w:right w:val="single" w:color="auto" w:sz="4" w:space="0"/>
            </w:tcBorders>
            <w:shd w:val="clear" w:color="auto" w:fill="auto"/>
            <w:noWrap/>
            <w:vAlign w:val="center"/>
          </w:tcPr>
          <w:p w14:paraId="05F04CA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5" w:type="dxa"/>
            <w:tcBorders>
              <w:top w:val="nil"/>
              <w:left w:val="nil"/>
              <w:bottom w:val="single" w:color="auto" w:sz="4" w:space="0"/>
              <w:right w:val="single" w:color="auto" w:sz="4" w:space="0"/>
            </w:tcBorders>
            <w:shd w:val="clear" w:color="auto" w:fill="auto"/>
            <w:noWrap/>
            <w:vAlign w:val="center"/>
          </w:tcPr>
          <w:p w14:paraId="07DF2E4B">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6" w:type="dxa"/>
            <w:tcBorders>
              <w:top w:val="nil"/>
              <w:left w:val="nil"/>
              <w:bottom w:val="single" w:color="auto" w:sz="4" w:space="0"/>
              <w:right w:val="single" w:color="auto" w:sz="4" w:space="0"/>
            </w:tcBorders>
            <w:shd w:val="clear" w:color="auto" w:fill="auto"/>
            <w:noWrap/>
            <w:vAlign w:val="center"/>
          </w:tcPr>
          <w:p w14:paraId="5BC2DEBD">
            <w:pPr>
              <w:widowControl/>
              <w:jc w:val="center"/>
              <w:rPr>
                <w:rFonts w:ascii="宋体" w:hAnsi="宋体" w:cs="宋体"/>
                <w:color w:val="000000"/>
                <w:kern w:val="0"/>
                <w:sz w:val="18"/>
                <w:szCs w:val="18"/>
              </w:rPr>
            </w:pPr>
            <w:r>
              <w:rPr>
                <w:rFonts w:hint="eastAsia" w:ascii="宋体" w:hAnsi="宋体" w:cs="宋体"/>
                <w:color w:val="000000"/>
                <w:kern w:val="0"/>
                <w:sz w:val="18"/>
                <w:szCs w:val="18"/>
              </w:rPr>
              <w:t>178.22</w:t>
            </w:r>
          </w:p>
        </w:tc>
        <w:tc>
          <w:tcPr>
            <w:tcW w:w="1056" w:type="dxa"/>
            <w:tcBorders>
              <w:top w:val="nil"/>
              <w:left w:val="nil"/>
              <w:bottom w:val="single" w:color="auto" w:sz="4" w:space="0"/>
              <w:right w:val="single" w:color="auto" w:sz="4" w:space="0"/>
            </w:tcBorders>
            <w:shd w:val="clear" w:color="auto" w:fill="auto"/>
            <w:noWrap/>
            <w:vAlign w:val="center"/>
          </w:tcPr>
          <w:p w14:paraId="39400A96">
            <w:pPr>
              <w:widowControl/>
              <w:jc w:val="center"/>
              <w:rPr>
                <w:rFonts w:ascii="宋体" w:hAnsi="宋体" w:cs="宋体"/>
                <w:color w:val="000000"/>
                <w:kern w:val="0"/>
                <w:sz w:val="18"/>
                <w:szCs w:val="18"/>
              </w:rPr>
            </w:pPr>
            <w:r>
              <w:rPr>
                <w:rFonts w:hint="eastAsia" w:ascii="宋体" w:hAnsi="宋体" w:cs="宋体"/>
                <w:color w:val="000000"/>
                <w:kern w:val="0"/>
                <w:sz w:val="18"/>
                <w:szCs w:val="18"/>
              </w:rPr>
              <w:t>13.22%</w:t>
            </w:r>
          </w:p>
        </w:tc>
      </w:tr>
      <w:tr w14:paraId="40393DBB">
        <w:tblPrEx>
          <w:tblCellMar>
            <w:top w:w="0" w:type="dxa"/>
            <w:left w:w="108" w:type="dxa"/>
            <w:bottom w:w="0" w:type="dxa"/>
            <w:right w:w="108" w:type="dxa"/>
          </w:tblCellMar>
        </w:tblPrEx>
        <w:trPr>
          <w:trHeight w:val="284" w:hRule="atLeast"/>
          <w:jc w:val="center"/>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3F2926AF">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276" w:type="dxa"/>
            <w:tcBorders>
              <w:top w:val="nil"/>
              <w:left w:val="nil"/>
              <w:bottom w:val="single" w:color="auto" w:sz="4" w:space="0"/>
              <w:right w:val="single" w:color="auto" w:sz="4" w:space="0"/>
            </w:tcBorders>
            <w:shd w:val="clear" w:color="auto" w:fill="auto"/>
            <w:noWrap/>
            <w:vAlign w:val="center"/>
          </w:tcPr>
          <w:p w14:paraId="3F06972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272.44 </w:t>
            </w:r>
          </w:p>
        </w:tc>
        <w:tc>
          <w:tcPr>
            <w:tcW w:w="1276" w:type="dxa"/>
            <w:tcBorders>
              <w:top w:val="nil"/>
              <w:left w:val="nil"/>
              <w:bottom w:val="single" w:color="auto" w:sz="4" w:space="0"/>
              <w:right w:val="single" w:color="auto" w:sz="4" w:space="0"/>
            </w:tcBorders>
            <w:shd w:val="clear" w:color="auto" w:fill="auto"/>
            <w:noWrap/>
            <w:vAlign w:val="center"/>
          </w:tcPr>
          <w:p w14:paraId="16BFA6FB">
            <w:pPr>
              <w:widowControl/>
              <w:jc w:val="center"/>
              <w:rPr>
                <w:rFonts w:ascii="宋体" w:hAnsi="宋体" w:cs="宋体"/>
                <w:color w:val="000000"/>
                <w:kern w:val="0"/>
                <w:sz w:val="18"/>
                <w:szCs w:val="18"/>
              </w:rPr>
            </w:pPr>
            <w:r>
              <w:rPr>
                <w:rFonts w:hint="eastAsia" w:ascii="宋体" w:hAnsi="宋体" w:cs="宋体"/>
                <w:color w:val="000000"/>
                <w:kern w:val="0"/>
                <w:sz w:val="18"/>
                <w:szCs w:val="18"/>
              </w:rPr>
              <w:t>225.53</w:t>
            </w:r>
          </w:p>
        </w:tc>
        <w:tc>
          <w:tcPr>
            <w:tcW w:w="1056" w:type="dxa"/>
            <w:tcBorders>
              <w:top w:val="nil"/>
              <w:left w:val="nil"/>
              <w:bottom w:val="single" w:color="auto" w:sz="4" w:space="0"/>
              <w:right w:val="single" w:color="auto" w:sz="4" w:space="0"/>
            </w:tcBorders>
            <w:shd w:val="clear" w:color="auto" w:fill="auto"/>
            <w:noWrap/>
            <w:vAlign w:val="center"/>
          </w:tcPr>
          <w:p w14:paraId="1830835F">
            <w:pPr>
              <w:widowControl/>
              <w:jc w:val="center"/>
              <w:rPr>
                <w:rFonts w:ascii="宋体" w:hAnsi="宋体" w:cs="宋体"/>
                <w:color w:val="000000"/>
                <w:kern w:val="0"/>
                <w:sz w:val="18"/>
                <w:szCs w:val="18"/>
              </w:rPr>
            </w:pPr>
            <w:r>
              <w:rPr>
                <w:rFonts w:hint="eastAsia" w:ascii="宋体" w:hAnsi="宋体" w:cs="宋体"/>
                <w:color w:val="000000"/>
                <w:kern w:val="0"/>
                <w:sz w:val="18"/>
                <w:szCs w:val="18"/>
              </w:rPr>
              <w:t>16.73%</w:t>
            </w:r>
          </w:p>
        </w:tc>
        <w:tc>
          <w:tcPr>
            <w:tcW w:w="1056" w:type="dxa"/>
            <w:tcBorders>
              <w:top w:val="nil"/>
              <w:left w:val="nil"/>
              <w:bottom w:val="single" w:color="auto" w:sz="4" w:space="0"/>
              <w:right w:val="single" w:color="auto" w:sz="4" w:space="0"/>
            </w:tcBorders>
            <w:shd w:val="clear" w:color="auto" w:fill="auto"/>
            <w:noWrap/>
            <w:vAlign w:val="center"/>
          </w:tcPr>
          <w:p w14:paraId="0554C88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18.98 </w:t>
            </w:r>
          </w:p>
        </w:tc>
        <w:tc>
          <w:tcPr>
            <w:tcW w:w="1275" w:type="dxa"/>
            <w:tcBorders>
              <w:top w:val="nil"/>
              <w:left w:val="nil"/>
              <w:bottom w:val="single" w:color="auto" w:sz="4" w:space="0"/>
              <w:right w:val="single" w:color="auto" w:sz="4" w:space="0"/>
            </w:tcBorders>
            <w:shd w:val="clear" w:color="auto" w:fill="auto"/>
            <w:noWrap/>
            <w:vAlign w:val="center"/>
          </w:tcPr>
          <w:p w14:paraId="0B1A0F95">
            <w:pPr>
              <w:widowControl/>
              <w:jc w:val="center"/>
              <w:rPr>
                <w:rFonts w:ascii="宋体" w:hAnsi="宋体" w:cs="宋体"/>
                <w:color w:val="000000"/>
                <w:kern w:val="0"/>
                <w:sz w:val="18"/>
                <w:szCs w:val="18"/>
              </w:rPr>
            </w:pPr>
            <w:r>
              <w:rPr>
                <w:rFonts w:hint="eastAsia" w:ascii="宋体" w:hAnsi="宋体" w:cs="宋体"/>
                <w:color w:val="000000"/>
                <w:kern w:val="0"/>
                <w:sz w:val="18"/>
                <w:szCs w:val="18"/>
              </w:rPr>
              <w:t>1.41%</w:t>
            </w:r>
          </w:p>
        </w:tc>
        <w:tc>
          <w:tcPr>
            <w:tcW w:w="1166" w:type="dxa"/>
            <w:tcBorders>
              <w:top w:val="nil"/>
              <w:left w:val="nil"/>
              <w:bottom w:val="single" w:color="auto" w:sz="4" w:space="0"/>
              <w:right w:val="single" w:color="auto" w:sz="4" w:space="0"/>
            </w:tcBorders>
            <w:shd w:val="clear" w:color="auto" w:fill="auto"/>
            <w:noWrap/>
            <w:vAlign w:val="center"/>
          </w:tcPr>
          <w:p w14:paraId="39D27033">
            <w:pPr>
              <w:widowControl/>
              <w:jc w:val="center"/>
              <w:rPr>
                <w:rFonts w:ascii="宋体" w:hAnsi="宋体" w:cs="宋体"/>
                <w:color w:val="000000"/>
                <w:kern w:val="0"/>
                <w:sz w:val="18"/>
                <w:szCs w:val="18"/>
              </w:rPr>
            </w:pPr>
            <w:r>
              <w:rPr>
                <w:rFonts w:hint="eastAsia" w:ascii="宋体" w:hAnsi="宋体" w:cs="宋体"/>
                <w:color w:val="000000"/>
                <w:kern w:val="0"/>
                <w:sz w:val="18"/>
                <w:szCs w:val="18"/>
              </w:rPr>
              <w:t>27.93</w:t>
            </w:r>
          </w:p>
        </w:tc>
        <w:tc>
          <w:tcPr>
            <w:tcW w:w="1056" w:type="dxa"/>
            <w:tcBorders>
              <w:top w:val="nil"/>
              <w:left w:val="nil"/>
              <w:bottom w:val="single" w:color="auto" w:sz="4" w:space="0"/>
              <w:right w:val="single" w:color="auto" w:sz="4" w:space="0"/>
            </w:tcBorders>
            <w:shd w:val="clear" w:color="auto" w:fill="auto"/>
            <w:noWrap/>
            <w:vAlign w:val="center"/>
          </w:tcPr>
          <w:p w14:paraId="55BDE752">
            <w:pPr>
              <w:widowControl/>
              <w:jc w:val="center"/>
              <w:rPr>
                <w:rFonts w:ascii="宋体" w:hAnsi="宋体" w:cs="宋体"/>
                <w:color w:val="000000"/>
                <w:kern w:val="0"/>
                <w:sz w:val="18"/>
                <w:szCs w:val="18"/>
              </w:rPr>
            </w:pPr>
            <w:r>
              <w:rPr>
                <w:rFonts w:hint="eastAsia" w:ascii="宋体" w:hAnsi="宋体" w:cs="宋体"/>
                <w:color w:val="000000"/>
                <w:kern w:val="0"/>
                <w:sz w:val="18"/>
                <w:szCs w:val="18"/>
              </w:rPr>
              <w:t>2.07%</w:t>
            </w:r>
          </w:p>
        </w:tc>
      </w:tr>
      <w:tr w14:paraId="22ABA271">
        <w:tblPrEx>
          <w:tblCellMar>
            <w:top w:w="0" w:type="dxa"/>
            <w:left w:w="108" w:type="dxa"/>
            <w:bottom w:w="0" w:type="dxa"/>
            <w:right w:w="108" w:type="dxa"/>
          </w:tblCellMar>
        </w:tblPrEx>
        <w:trPr>
          <w:trHeight w:val="284" w:hRule="atLeast"/>
          <w:jc w:val="center"/>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2DF59DF9">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276" w:type="dxa"/>
            <w:tcBorders>
              <w:top w:val="nil"/>
              <w:left w:val="nil"/>
              <w:bottom w:val="single" w:color="auto" w:sz="4" w:space="0"/>
              <w:right w:val="single" w:color="auto" w:sz="4" w:space="0"/>
            </w:tcBorders>
            <w:shd w:val="clear" w:color="auto" w:fill="auto"/>
            <w:noWrap/>
            <w:vAlign w:val="center"/>
          </w:tcPr>
          <w:p w14:paraId="0D2C621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51.97 </w:t>
            </w:r>
          </w:p>
        </w:tc>
        <w:tc>
          <w:tcPr>
            <w:tcW w:w="1276" w:type="dxa"/>
            <w:tcBorders>
              <w:top w:val="nil"/>
              <w:left w:val="nil"/>
              <w:bottom w:val="single" w:color="auto" w:sz="4" w:space="0"/>
              <w:right w:val="single" w:color="auto" w:sz="4" w:space="0"/>
            </w:tcBorders>
            <w:shd w:val="clear" w:color="auto" w:fill="auto"/>
            <w:noWrap/>
            <w:vAlign w:val="center"/>
          </w:tcPr>
          <w:p w14:paraId="3393FBDC">
            <w:pPr>
              <w:widowControl/>
              <w:jc w:val="center"/>
              <w:rPr>
                <w:rFonts w:ascii="宋体" w:hAnsi="宋体" w:cs="宋体"/>
                <w:color w:val="000000"/>
                <w:kern w:val="0"/>
                <w:sz w:val="18"/>
                <w:szCs w:val="18"/>
              </w:rPr>
            </w:pPr>
            <w:r>
              <w:rPr>
                <w:rFonts w:hint="eastAsia" w:ascii="宋体" w:hAnsi="宋体" w:cs="宋体"/>
                <w:color w:val="000000"/>
                <w:kern w:val="0"/>
                <w:sz w:val="18"/>
                <w:szCs w:val="18"/>
              </w:rPr>
              <w:t>39.2</w:t>
            </w:r>
          </w:p>
        </w:tc>
        <w:tc>
          <w:tcPr>
            <w:tcW w:w="1056" w:type="dxa"/>
            <w:tcBorders>
              <w:top w:val="nil"/>
              <w:left w:val="nil"/>
              <w:bottom w:val="single" w:color="auto" w:sz="4" w:space="0"/>
              <w:right w:val="single" w:color="auto" w:sz="4" w:space="0"/>
            </w:tcBorders>
            <w:shd w:val="clear" w:color="auto" w:fill="auto"/>
            <w:noWrap/>
            <w:vAlign w:val="center"/>
          </w:tcPr>
          <w:p w14:paraId="20202041">
            <w:pPr>
              <w:widowControl/>
              <w:jc w:val="center"/>
              <w:rPr>
                <w:rFonts w:ascii="宋体" w:hAnsi="宋体" w:cs="宋体"/>
                <w:color w:val="000000"/>
                <w:kern w:val="0"/>
                <w:sz w:val="18"/>
                <w:szCs w:val="18"/>
              </w:rPr>
            </w:pPr>
            <w:r>
              <w:rPr>
                <w:rFonts w:hint="eastAsia" w:ascii="宋体" w:hAnsi="宋体" w:cs="宋体"/>
                <w:color w:val="000000"/>
                <w:kern w:val="0"/>
                <w:sz w:val="18"/>
                <w:szCs w:val="18"/>
              </w:rPr>
              <w:t>2.91%</w:t>
            </w:r>
          </w:p>
        </w:tc>
        <w:tc>
          <w:tcPr>
            <w:tcW w:w="1056" w:type="dxa"/>
            <w:tcBorders>
              <w:top w:val="nil"/>
              <w:left w:val="nil"/>
              <w:bottom w:val="single" w:color="auto" w:sz="4" w:space="0"/>
              <w:right w:val="single" w:color="auto" w:sz="4" w:space="0"/>
            </w:tcBorders>
            <w:shd w:val="clear" w:color="auto" w:fill="auto"/>
            <w:noWrap/>
            <w:vAlign w:val="center"/>
          </w:tcPr>
          <w:p w14:paraId="548CB11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5" w:type="dxa"/>
            <w:tcBorders>
              <w:top w:val="nil"/>
              <w:left w:val="nil"/>
              <w:bottom w:val="single" w:color="auto" w:sz="4" w:space="0"/>
              <w:right w:val="single" w:color="auto" w:sz="4" w:space="0"/>
            </w:tcBorders>
            <w:shd w:val="clear" w:color="auto" w:fill="auto"/>
            <w:noWrap/>
            <w:vAlign w:val="center"/>
          </w:tcPr>
          <w:p w14:paraId="3FF13672">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6" w:type="dxa"/>
            <w:tcBorders>
              <w:top w:val="nil"/>
              <w:left w:val="nil"/>
              <w:bottom w:val="single" w:color="auto" w:sz="4" w:space="0"/>
              <w:right w:val="single" w:color="auto" w:sz="4" w:space="0"/>
            </w:tcBorders>
            <w:shd w:val="clear" w:color="auto" w:fill="auto"/>
            <w:noWrap/>
            <w:vAlign w:val="center"/>
          </w:tcPr>
          <w:p w14:paraId="5EF98A48">
            <w:pPr>
              <w:widowControl/>
              <w:jc w:val="center"/>
              <w:rPr>
                <w:rFonts w:ascii="宋体" w:hAnsi="宋体" w:cs="宋体"/>
                <w:color w:val="000000"/>
                <w:kern w:val="0"/>
                <w:sz w:val="18"/>
                <w:szCs w:val="18"/>
              </w:rPr>
            </w:pPr>
            <w:r>
              <w:rPr>
                <w:rFonts w:hint="eastAsia" w:ascii="宋体" w:hAnsi="宋体" w:cs="宋体"/>
                <w:color w:val="000000"/>
                <w:kern w:val="0"/>
                <w:sz w:val="18"/>
                <w:szCs w:val="18"/>
              </w:rPr>
              <w:t>12.77</w:t>
            </w:r>
          </w:p>
        </w:tc>
        <w:tc>
          <w:tcPr>
            <w:tcW w:w="1056" w:type="dxa"/>
            <w:tcBorders>
              <w:top w:val="nil"/>
              <w:left w:val="nil"/>
              <w:bottom w:val="single" w:color="auto" w:sz="4" w:space="0"/>
              <w:right w:val="single" w:color="auto" w:sz="4" w:space="0"/>
            </w:tcBorders>
            <w:shd w:val="clear" w:color="auto" w:fill="auto"/>
            <w:noWrap/>
            <w:vAlign w:val="center"/>
          </w:tcPr>
          <w:p w14:paraId="09375E6C">
            <w:pPr>
              <w:widowControl/>
              <w:jc w:val="center"/>
              <w:rPr>
                <w:rFonts w:ascii="宋体" w:hAnsi="宋体" w:cs="宋体"/>
                <w:color w:val="000000"/>
                <w:kern w:val="0"/>
                <w:sz w:val="18"/>
                <w:szCs w:val="18"/>
              </w:rPr>
            </w:pPr>
            <w:r>
              <w:rPr>
                <w:rFonts w:hint="eastAsia" w:ascii="宋体" w:hAnsi="宋体" w:cs="宋体"/>
                <w:color w:val="000000"/>
                <w:kern w:val="0"/>
                <w:sz w:val="18"/>
                <w:szCs w:val="18"/>
              </w:rPr>
              <w:t>0.95%</w:t>
            </w:r>
          </w:p>
        </w:tc>
      </w:tr>
      <w:tr w14:paraId="1F00E6CC">
        <w:tblPrEx>
          <w:tblCellMar>
            <w:top w:w="0" w:type="dxa"/>
            <w:left w:w="108" w:type="dxa"/>
            <w:bottom w:w="0" w:type="dxa"/>
            <w:right w:w="108" w:type="dxa"/>
          </w:tblCellMar>
        </w:tblPrEx>
        <w:trPr>
          <w:trHeight w:val="284" w:hRule="atLeast"/>
          <w:jc w:val="center"/>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28AFA407">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276" w:type="dxa"/>
            <w:tcBorders>
              <w:top w:val="nil"/>
              <w:left w:val="nil"/>
              <w:bottom w:val="single" w:color="auto" w:sz="4" w:space="0"/>
              <w:right w:val="single" w:color="auto" w:sz="4" w:space="0"/>
            </w:tcBorders>
            <w:shd w:val="clear" w:color="auto" w:fill="auto"/>
            <w:noWrap/>
            <w:vAlign w:val="center"/>
          </w:tcPr>
          <w:p w14:paraId="500DB06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6" w:type="dxa"/>
            <w:tcBorders>
              <w:top w:val="nil"/>
              <w:left w:val="nil"/>
              <w:bottom w:val="single" w:color="auto" w:sz="4" w:space="0"/>
              <w:right w:val="single" w:color="auto" w:sz="4" w:space="0"/>
            </w:tcBorders>
            <w:shd w:val="clear" w:color="auto" w:fill="auto"/>
            <w:noWrap/>
            <w:vAlign w:val="center"/>
          </w:tcPr>
          <w:p w14:paraId="597C0E9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56" w:type="dxa"/>
            <w:tcBorders>
              <w:top w:val="nil"/>
              <w:left w:val="nil"/>
              <w:bottom w:val="single" w:color="auto" w:sz="4" w:space="0"/>
              <w:right w:val="single" w:color="auto" w:sz="4" w:space="0"/>
            </w:tcBorders>
            <w:shd w:val="clear" w:color="auto" w:fill="auto"/>
            <w:noWrap/>
            <w:vAlign w:val="center"/>
          </w:tcPr>
          <w:p w14:paraId="543EA097">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56" w:type="dxa"/>
            <w:tcBorders>
              <w:top w:val="nil"/>
              <w:left w:val="nil"/>
              <w:bottom w:val="single" w:color="auto" w:sz="4" w:space="0"/>
              <w:right w:val="single" w:color="auto" w:sz="4" w:space="0"/>
            </w:tcBorders>
            <w:shd w:val="clear" w:color="auto" w:fill="auto"/>
            <w:noWrap/>
            <w:vAlign w:val="center"/>
          </w:tcPr>
          <w:p w14:paraId="29D2CDB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5" w:type="dxa"/>
            <w:tcBorders>
              <w:top w:val="nil"/>
              <w:left w:val="nil"/>
              <w:bottom w:val="single" w:color="auto" w:sz="4" w:space="0"/>
              <w:right w:val="single" w:color="auto" w:sz="4" w:space="0"/>
            </w:tcBorders>
            <w:shd w:val="clear" w:color="auto" w:fill="auto"/>
            <w:noWrap/>
            <w:vAlign w:val="center"/>
          </w:tcPr>
          <w:p w14:paraId="22BFF84C">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6" w:type="dxa"/>
            <w:tcBorders>
              <w:top w:val="nil"/>
              <w:left w:val="nil"/>
              <w:bottom w:val="single" w:color="auto" w:sz="4" w:space="0"/>
              <w:right w:val="single" w:color="auto" w:sz="4" w:space="0"/>
            </w:tcBorders>
            <w:shd w:val="clear" w:color="auto" w:fill="auto"/>
            <w:noWrap/>
            <w:vAlign w:val="center"/>
          </w:tcPr>
          <w:p w14:paraId="6602E74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56" w:type="dxa"/>
            <w:tcBorders>
              <w:top w:val="nil"/>
              <w:left w:val="nil"/>
              <w:bottom w:val="single" w:color="auto" w:sz="4" w:space="0"/>
              <w:right w:val="single" w:color="auto" w:sz="4" w:space="0"/>
            </w:tcBorders>
            <w:shd w:val="clear" w:color="auto" w:fill="auto"/>
            <w:noWrap/>
            <w:vAlign w:val="center"/>
          </w:tcPr>
          <w:p w14:paraId="57C80497">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200A22BA">
        <w:tblPrEx>
          <w:tblCellMar>
            <w:top w:w="0" w:type="dxa"/>
            <w:left w:w="108" w:type="dxa"/>
            <w:bottom w:w="0" w:type="dxa"/>
            <w:right w:w="108" w:type="dxa"/>
          </w:tblCellMar>
        </w:tblPrEx>
        <w:trPr>
          <w:trHeight w:val="284" w:hRule="atLeast"/>
          <w:jc w:val="center"/>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1394E672">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276" w:type="dxa"/>
            <w:tcBorders>
              <w:top w:val="nil"/>
              <w:left w:val="nil"/>
              <w:bottom w:val="single" w:color="auto" w:sz="4" w:space="0"/>
              <w:right w:val="single" w:color="auto" w:sz="4" w:space="0"/>
            </w:tcBorders>
            <w:shd w:val="clear" w:color="auto" w:fill="auto"/>
            <w:noWrap/>
            <w:vAlign w:val="center"/>
          </w:tcPr>
          <w:p w14:paraId="63EC2AC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1348.44 </w:t>
            </w:r>
          </w:p>
        </w:tc>
        <w:tc>
          <w:tcPr>
            <w:tcW w:w="1276" w:type="dxa"/>
            <w:tcBorders>
              <w:top w:val="nil"/>
              <w:left w:val="nil"/>
              <w:bottom w:val="single" w:color="auto" w:sz="4" w:space="0"/>
              <w:right w:val="single" w:color="auto" w:sz="4" w:space="0"/>
            </w:tcBorders>
            <w:shd w:val="clear" w:color="auto" w:fill="auto"/>
            <w:noWrap/>
            <w:vAlign w:val="center"/>
          </w:tcPr>
          <w:p w14:paraId="645E781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1074.67 </w:t>
            </w:r>
          </w:p>
        </w:tc>
        <w:tc>
          <w:tcPr>
            <w:tcW w:w="1056" w:type="dxa"/>
            <w:tcBorders>
              <w:top w:val="nil"/>
              <w:left w:val="nil"/>
              <w:bottom w:val="single" w:color="auto" w:sz="4" w:space="0"/>
              <w:right w:val="single" w:color="auto" w:sz="4" w:space="0"/>
            </w:tcBorders>
            <w:shd w:val="clear" w:color="auto" w:fill="auto"/>
            <w:noWrap/>
            <w:vAlign w:val="center"/>
          </w:tcPr>
          <w:p w14:paraId="232C98FA">
            <w:pPr>
              <w:widowControl/>
              <w:jc w:val="center"/>
              <w:rPr>
                <w:rFonts w:ascii="宋体" w:hAnsi="宋体" w:cs="宋体"/>
                <w:color w:val="000000"/>
                <w:kern w:val="0"/>
                <w:sz w:val="18"/>
                <w:szCs w:val="18"/>
              </w:rPr>
            </w:pPr>
            <w:r>
              <w:rPr>
                <w:rFonts w:hint="eastAsia" w:ascii="宋体" w:hAnsi="宋体" w:cs="宋体"/>
                <w:color w:val="000000"/>
                <w:kern w:val="0"/>
                <w:sz w:val="18"/>
                <w:szCs w:val="18"/>
              </w:rPr>
              <w:t>79.72%</w:t>
            </w:r>
          </w:p>
        </w:tc>
        <w:tc>
          <w:tcPr>
            <w:tcW w:w="1056" w:type="dxa"/>
            <w:tcBorders>
              <w:top w:val="nil"/>
              <w:left w:val="nil"/>
              <w:bottom w:val="single" w:color="auto" w:sz="4" w:space="0"/>
              <w:right w:val="single" w:color="auto" w:sz="4" w:space="0"/>
            </w:tcBorders>
            <w:shd w:val="clear" w:color="auto" w:fill="auto"/>
            <w:noWrap/>
            <w:vAlign w:val="center"/>
          </w:tcPr>
          <w:p w14:paraId="494F8AE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18.98 </w:t>
            </w:r>
          </w:p>
        </w:tc>
        <w:tc>
          <w:tcPr>
            <w:tcW w:w="1275" w:type="dxa"/>
            <w:tcBorders>
              <w:top w:val="nil"/>
              <w:left w:val="nil"/>
              <w:bottom w:val="single" w:color="auto" w:sz="4" w:space="0"/>
              <w:right w:val="single" w:color="auto" w:sz="4" w:space="0"/>
            </w:tcBorders>
            <w:shd w:val="clear" w:color="auto" w:fill="auto"/>
            <w:noWrap/>
            <w:vAlign w:val="center"/>
          </w:tcPr>
          <w:p w14:paraId="05B507EF">
            <w:pPr>
              <w:widowControl/>
              <w:jc w:val="center"/>
              <w:rPr>
                <w:rFonts w:ascii="宋体" w:hAnsi="宋体" w:cs="宋体"/>
                <w:color w:val="000000"/>
                <w:kern w:val="0"/>
                <w:sz w:val="18"/>
                <w:szCs w:val="18"/>
              </w:rPr>
            </w:pPr>
            <w:r>
              <w:rPr>
                <w:rFonts w:hint="eastAsia" w:ascii="宋体" w:hAnsi="宋体" w:cs="宋体"/>
                <w:color w:val="000000"/>
                <w:kern w:val="0"/>
                <w:sz w:val="18"/>
                <w:szCs w:val="18"/>
              </w:rPr>
              <w:t>1.41%</w:t>
            </w:r>
          </w:p>
        </w:tc>
        <w:tc>
          <w:tcPr>
            <w:tcW w:w="1166" w:type="dxa"/>
            <w:tcBorders>
              <w:top w:val="nil"/>
              <w:left w:val="nil"/>
              <w:bottom w:val="single" w:color="auto" w:sz="4" w:space="0"/>
              <w:right w:val="single" w:color="auto" w:sz="4" w:space="0"/>
            </w:tcBorders>
            <w:shd w:val="clear" w:color="auto" w:fill="auto"/>
            <w:noWrap/>
            <w:vAlign w:val="center"/>
          </w:tcPr>
          <w:p w14:paraId="726D369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254.43 </w:t>
            </w:r>
          </w:p>
        </w:tc>
        <w:tc>
          <w:tcPr>
            <w:tcW w:w="1056" w:type="dxa"/>
            <w:tcBorders>
              <w:top w:val="nil"/>
              <w:left w:val="nil"/>
              <w:bottom w:val="single" w:color="auto" w:sz="4" w:space="0"/>
              <w:right w:val="single" w:color="auto" w:sz="4" w:space="0"/>
            </w:tcBorders>
            <w:shd w:val="clear" w:color="auto" w:fill="auto"/>
            <w:noWrap/>
            <w:vAlign w:val="center"/>
          </w:tcPr>
          <w:p w14:paraId="4813BBE6">
            <w:pPr>
              <w:widowControl/>
              <w:jc w:val="center"/>
              <w:rPr>
                <w:rFonts w:ascii="宋体" w:hAnsi="宋体" w:cs="宋体"/>
                <w:color w:val="000000"/>
                <w:kern w:val="0"/>
                <w:sz w:val="18"/>
                <w:szCs w:val="18"/>
              </w:rPr>
            </w:pPr>
            <w:r>
              <w:rPr>
                <w:rFonts w:hint="eastAsia" w:ascii="宋体" w:hAnsi="宋体" w:cs="宋体"/>
                <w:color w:val="000000"/>
                <w:kern w:val="0"/>
                <w:sz w:val="18"/>
                <w:szCs w:val="18"/>
              </w:rPr>
              <w:t>18.87%</w:t>
            </w:r>
          </w:p>
        </w:tc>
      </w:tr>
    </w:tbl>
    <w:p w14:paraId="48942EEB">
      <w:pPr>
        <w:pStyle w:val="78"/>
        <w:ind w:firstLine="560"/>
        <w:rPr>
          <w:rFonts w:ascii="仿宋_GB2312" w:hAnsi="宋体" w:eastAsia="仿宋_GB2312"/>
          <w:sz w:val="28"/>
          <w:szCs w:val="28"/>
        </w:rPr>
      </w:pPr>
      <w:r>
        <w:rPr>
          <w:rFonts w:hint="eastAsia" w:ascii="仿宋_GB2312" w:hAnsi="宋体" w:eastAsia="仿宋_GB2312"/>
          <w:sz w:val="28"/>
          <w:szCs w:val="28"/>
        </w:rPr>
        <w:t>从坝区坡度等级来看，坡度0-2°坝区耕地918.58公顷，占坝区耕地总量的68.12%；坡度2°～6°坝区耕地306.74公顷，占坝区耕地总量的22.75 %；坡度6°～15°坝区耕地108.86公顷，占坝区耕地总量的8.07%；坡度15°～25°坝区耕地8.48公顷，占坝区耕地总量的0.63%；坡度25°以上坝区耕地5.78公顷，占坝区耕地总量的0.43%。</w:t>
      </w:r>
    </w:p>
    <w:p w14:paraId="1E39680A">
      <w:pPr>
        <w:jc w:val="center"/>
        <w:outlineLvl w:val="4"/>
        <w:rPr>
          <w:rFonts w:ascii="宋体" w:hAnsi="宋体"/>
          <w:b/>
          <w:sz w:val="24"/>
        </w:rPr>
      </w:pPr>
      <w:r>
        <w:rPr>
          <w:rFonts w:hint="eastAsia" w:ascii="宋体" w:hAnsi="宋体"/>
          <w:b/>
          <w:sz w:val="24"/>
        </w:rPr>
        <w:t>表2-7  东川区坝区耕地坡度分级情况表</w:t>
      </w:r>
    </w:p>
    <w:p w14:paraId="49B59C9C">
      <w:pPr>
        <w:wordWrap w:val="0"/>
        <w:ind w:firstLine="420"/>
        <w:jc w:val="right"/>
        <w:rPr>
          <w:rFonts w:ascii="宋体" w:hAnsi="宋体"/>
          <w:color w:val="000000"/>
          <w:kern w:val="0"/>
          <w:sz w:val="18"/>
          <w:szCs w:val="18"/>
        </w:rPr>
      </w:pPr>
      <w:r>
        <w:rPr>
          <w:rFonts w:hint="eastAsia" w:ascii="宋体" w:hAnsi="宋体"/>
          <w:color w:val="000000"/>
          <w:kern w:val="0"/>
          <w:sz w:val="18"/>
          <w:szCs w:val="18"/>
        </w:rPr>
        <w:t>单位：公顷</w:t>
      </w:r>
    </w:p>
    <w:tbl>
      <w:tblPr>
        <w:tblStyle w:val="27"/>
        <w:tblW w:w="9543" w:type="dxa"/>
        <w:tblInd w:w="96" w:type="dxa"/>
        <w:tblLayout w:type="autofit"/>
        <w:tblCellMar>
          <w:top w:w="0" w:type="dxa"/>
          <w:left w:w="108" w:type="dxa"/>
          <w:bottom w:w="0" w:type="dxa"/>
          <w:right w:w="108" w:type="dxa"/>
        </w:tblCellMar>
      </w:tblPr>
      <w:tblGrid>
        <w:gridCol w:w="1660"/>
        <w:gridCol w:w="1187"/>
        <w:gridCol w:w="1276"/>
        <w:gridCol w:w="1343"/>
        <w:gridCol w:w="1301"/>
        <w:gridCol w:w="1391"/>
        <w:gridCol w:w="1385"/>
      </w:tblGrid>
      <w:tr w14:paraId="663560BA">
        <w:tblPrEx>
          <w:tblCellMar>
            <w:top w:w="0" w:type="dxa"/>
            <w:left w:w="108" w:type="dxa"/>
            <w:bottom w:w="0" w:type="dxa"/>
            <w:right w:w="108" w:type="dxa"/>
          </w:tblCellMar>
        </w:tblPrEx>
        <w:trPr>
          <w:trHeight w:val="312" w:hRule="atLeast"/>
        </w:trPr>
        <w:tc>
          <w:tcPr>
            <w:tcW w:w="16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F9266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行政区名称</w:t>
            </w:r>
          </w:p>
        </w:tc>
        <w:tc>
          <w:tcPr>
            <w:tcW w:w="1187" w:type="dxa"/>
            <w:tcBorders>
              <w:top w:val="single" w:color="auto" w:sz="4" w:space="0"/>
              <w:left w:val="nil"/>
              <w:bottom w:val="single" w:color="auto" w:sz="4" w:space="0"/>
              <w:right w:val="single" w:color="auto" w:sz="4" w:space="0"/>
            </w:tcBorders>
            <w:shd w:val="clear" w:color="auto" w:fill="auto"/>
            <w:noWrap/>
            <w:vAlign w:val="center"/>
          </w:tcPr>
          <w:p w14:paraId="1EDA72B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3ABB750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2°～6°</w:t>
            </w:r>
          </w:p>
        </w:tc>
        <w:tc>
          <w:tcPr>
            <w:tcW w:w="1343" w:type="dxa"/>
            <w:tcBorders>
              <w:top w:val="single" w:color="auto" w:sz="4" w:space="0"/>
              <w:left w:val="nil"/>
              <w:bottom w:val="single" w:color="auto" w:sz="4" w:space="0"/>
              <w:right w:val="single" w:color="auto" w:sz="4" w:space="0"/>
            </w:tcBorders>
            <w:shd w:val="clear" w:color="auto" w:fill="auto"/>
            <w:noWrap/>
            <w:vAlign w:val="center"/>
          </w:tcPr>
          <w:p w14:paraId="7F034E6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6°～15°</w:t>
            </w:r>
          </w:p>
        </w:tc>
        <w:tc>
          <w:tcPr>
            <w:tcW w:w="1301" w:type="dxa"/>
            <w:tcBorders>
              <w:top w:val="single" w:color="auto" w:sz="4" w:space="0"/>
              <w:left w:val="nil"/>
              <w:bottom w:val="single" w:color="auto" w:sz="4" w:space="0"/>
              <w:right w:val="single" w:color="auto" w:sz="4" w:space="0"/>
            </w:tcBorders>
            <w:shd w:val="clear" w:color="auto" w:fill="auto"/>
            <w:noWrap/>
            <w:vAlign w:val="center"/>
          </w:tcPr>
          <w:p w14:paraId="70EF08D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15°～25°</w:t>
            </w:r>
          </w:p>
        </w:tc>
        <w:tc>
          <w:tcPr>
            <w:tcW w:w="1391" w:type="dxa"/>
            <w:tcBorders>
              <w:top w:val="single" w:color="auto" w:sz="4" w:space="0"/>
              <w:left w:val="nil"/>
              <w:bottom w:val="single" w:color="auto" w:sz="4" w:space="0"/>
              <w:right w:val="single" w:color="auto" w:sz="4" w:space="0"/>
            </w:tcBorders>
            <w:shd w:val="clear" w:color="auto" w:fill="auto"/>
            <w:noWrap/>
            <w:vAlign w:val="center"/>
          </w:tcPr>
          <w:p w14:paraId="008ACE6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＞25°</w:t>
            </w:r>
          </w:p>
        </w:tc>
        <w:tc>
          <w:tcPr>
            <w:tcW w:w="1385" w:type="dxa"/>
            <w:tcBorders>
              <w:top w:val="single" w:color="auto" w:sz="4" w:space="0"/>
              <w:left w:val="nil"/>
              <w:bottom w:val="single" w:color="auto" w:sz="4" w:space="0"/>
              <w:right w:val="single" w:color="auto" w:sz="4" w:space="0"/>
            </w:tcBorders>
            <w:shd w:val="clear" w:color="auto" w:fill="auto"/>
            <w:noWrap/>
            <w:vAlign w:val="center"/>
          </w:tcPr>
          <w:p w14:paraId="0F693D2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总计</w:t>
            </w:r>
          </w:p>
        </w:tc>
      </w:tr>
      <w:tr w14:paraId="242D1730">
        <w:tblPrEx>
          <w:tblCellMar>
            <w:top w:w="0" w:type="dxa"/>
            <w:left w:w="108" w:type="dxa"/>
            <w:bottom w:w="0" w:type="dxa"/>
            <w:right w:w="108" w:type="dxa"/>
          </w:tblCellMar>
        </w:tblPrEx>
        <w:trPr>
          <w:trHeight w:val="312" w:hRule="atLeast"/>
        </w:trPr>
        <w:tc>
          <w:tcPr>
            <w:tcW w:w="1660" w:type="dxa"/>
            <w:tcBorders>
              <w:top w:val="nil"/>
              <w:left w:val="single" w:color="auto" w:sz="4" w:space="0"/>
              <w:bottom w:val="single" w:color="auto" w:sz="4" w:space="0"/>
              <w:right w:val="single" w:color="auto" w:sz="4" w:space="0"/>
            </w:tcBorders>
            <w:shd w:val="clear" w:color="auto" w:fill="auto"/>
            <w:noWrap/>
            <w:vAlign w:val="center"/>
          </w:tcPr>
          <w:p w14:paraId="37522FDC">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187" w:type="dxa"/>
            <w:tcBorders>
              <w:top w:val="nil"/>
              <w:left w:val="nil"/>
              <w:bottom w:val="single" w:color="auto" w:sz="4" w:space="0"/>
              <w:right w:val="single" w:color="auto" w:sz="4" w:space="0"/>
            </w:tcBorders>
            <w:shd w:val="clear" w:color="auto" w:fill="auto"/>
            <w:noWrap/>
            <w:vAlign w:val="center"/>
          </w:tcPr>
          <w:p w14:paraId="719F9E7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55.14 </w:t>
            </w:r>
          </w:p>
        </w:tc>
        <w:tc>
          <w:tcPr>
            <w:tcW w:w="1276" w:type="dxa"/>
            <w:tcBorders>
              <w:top w:val="nil"/>
              <w:left w:val="nil"/>
              <w:bottom w:val="single" w:color="auto" w:sz="4" w:space="0"/>
              <w:right w:val="single" w:color="auto" w:sz="4" w:space="0"/>
            </w:tcBorders>
            <w:shd w:val="clear" w:color="auto" w:fill="auto"/>
            <w:noWrap/>
            <w:vAlign w:val="center"/>
          </w:tcPr>
          <w:p w14:paraId="2501858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41.57 </w:t>
            </w:r>
          </w:p>
        </w:tc>
        <w:tc>
          <w:tcPr>
            <w:tcW w:w="1343" w:type="dxa"/>
            <w:tcBorders>
              <w:top w:val="nil"/>
              <w:left w:val="nil"/>
              <w:bottom w:val="single" w:color="auto" w:sz="4" w:space="0"/>
              <w:right w:val="single" w:color="auto" w:sz="4" w:space="0"/>
            </w:tcBorders>
            <w:shd w:val="clear" w:color="auto" w:fill="auto"/>
            <w:noWrap/>
            <w:vAlign w:val="center"/>
          </w:tcPr>
          <w:p w14:paraId="218E36A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21.96 </w:t>
            </w:r>
          </w:p>
        </w:tc>
        <w:tc>
          <w:tcPr>
            <w:tcW w:w="1301" w:type="dxa"/>
            <w:tcBorders>
              <w:top w:val="nil"/>
              <w:left w:val="nil"/>
              <w:bottom w:val="single" w:color="auto" w:sz="4" w:space="0"/>
              <w:right w:val="single" w:color="auto" w:sz="4" w:space="0"/>
            </w:tcBorders>
            <w:shd w:val="clear" w:color="auto" w:fill="auto"/>
            <w:noWrap/>
            <w:vAlign w:val="center"/>
          </w:tcPr>
          <w:p w14:paraId="5897265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0.74 </w:t>
            </w:r>
          </w:p>
        </w:tc>
        <w:tc>
          <w:tcPr>
            <w:tcW w:w="1391" w:type="dxa"/>
            <w:tcBorders>
              <w:top w:val="nil"/>
              <w:left w:val="nil"/>
              <w:bottom w:val="single" w:color="auto" w:sz="4" w:space="0"/>
              <w:right w:val="single" w:color="auto" w:sz="4" w:space="0"/>
            </w:tcBorders>
            <w:shd w:val="clear" w:color="auto" w:fill="auto"/>
            <w:noWrap/>
            <w:vAlign w:val="center"/>
          </w:tcPr>
          <w:p w14:paraId="27599B9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0.93 </w:t>
            </w:r>
          </w:p>
        </w:tc>
        <w:tc>
          <w:tcPr>
            <w:tcW w:w="1385" w:type="dxa"/>
            <w:tcBorders>
              <w:top w:val="nil"/>
              <w:left w:val="nil"/>
              <w:bottom w:val="single" w:color="auto" w:sz="4" w:space="0"/>
              <w:right w:val="single" w:color="auto" w:sz="4" w:space="0"/>
            </w:tcBorders>
            <w:shd w:val="clear" w:color="auto" w:fill="auto"/>
            <w:noWrap/>
            <w:vAlign w:val="center"/>
          </w:tcPr>
          <w:p w14:paraId="4EBC3C5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120.34 </w:t>
            </w:r>
          </w:p>
        </w:tc>
      </w:tr>
      <w:tr w14:paraId="1D8DD589">
        <w:tblPrEx>
          <w:tblCellMar>
            <w:top w:w="0" w:type="dxa"/>
            <w:left w:w="108" w:type="dxa"/>
            <w:bottom w:w="0" w:type="dxa"/>
            <w:right w:w="108" w:type="dxa"/>
          </w:tblCellMar>
        </w:tblPrEx>
        <w:trPr>
          <w:trHeight w:val="312" w:hRule="atLeast"/>
        </w:trPr>
        <w:tc>
          <w:tcPr>
            <w:tcW w:w="1660" w:type="dxa"/>
            <w:tcBorders>
              <w:top w:val="nil"/>
              <w:left w:val="single" w:color="auto" w:sz="4" w:space="0"/>
              <w:bottom w:val="single" w:color="auto" w:sz="4" w:space="0"/>
              <w:right w:val="single" w:color="auto" w:sz="4" w:space="0"/>
            </w:tcBorders>
            <w:shd w:val="clear" w:color="auto" w:fill="auto"/>
            <w:noWrap/>
            <w:vAlign w:val="center"/>
          </w:tcPr>
          <w:p w14:paraId="299E730E">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187" w:type="dxa"/>
            <w:tcBorders>
              <w:top w:val="nil"/>
              <w:left w:val="nil"/>
              <w:bottom w:val="single" w:color="auto" w:sz="4" w:space="0"/>
              <w:right w:val="single" w:color="auto" w:sz="4" w:space="0"/>
            </w:tcBorders>
            <w:shd w:val="clear" w:color="auto" w:fill="auto"/>
            <w:noWrap/>
            <w:vAlign w:val="center"/>
          </w:tcPr>
          <w:p w14:paraId="465F2CB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6" w:type="dxa"/>
            <w:tcBorders>
              <w:top w:val="nil"/>
              <w:left w:val="nil"/>
              <w:bottom w:val="single" w:color="auto" w:sz="4" w:space="0"/>
              <w:right w:val="single" w:color="auto" w:sz="4" w:space="0"/>
            </w:tcBorders>
            <w:shd w:val="clear" w:color="auto" w:fill="auto"/>
            <w:noWrap/>
            <w:vAlign w:val="center"/>
          </w:tcPr>
          <w:p w14:paraId="3648B92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43" w:type="dxa"/>
            <w:tcBorders>
              <w:top w:val="nil"/>
              <w:left w:val="nil"/>
              <w:bottom w:val="single" w:color="auto" w:sz="4" w:space="0"/>
              <w:right w:val="single" w:color="auto" w:sz="4" w:space="0"/>
            </w:tcBorders>
            <w:shd w:val="clear" w:color="auto" w:fill="auto"/>
            <w:noWrap/>
            <w:vAlign w:val="center"/>
          </w:tcPr>
          <w:p w14:paraId="4966BF3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01" w:type="dxa"/>
            <w:tcBorders>
              <w:top w:val="nil"/>
              <w:left w:val="nil"/>
              <w:bottom w:val="single" w:color="auto" w:sz="4" w:space="0"/>
              <w:right w:val="single" w:color="auto" w:sz="4" w:space="0"/>
            </w:tcBorders>
            <w:shd w:val="clear" w:color="auto" w:fill="auto"/>
            <w:noWrap/>
            <w:vAlign w:val="center"/>
          </w:tcPr>
          <w:p w14:paraId="34DFFDF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91" w:type="dxa"/>
            <w:tcBorders>
              <w:top w:val="nil"/>
              <w:left w:val="nil"/>
              <w:bottom w:val="single" w:color="auto" w:sz="4" w:space="0"/>
              <w:right w:val="single" w:color="auto" w:sz="4" w:space="0"/>
            </w:tcBorders>
            <w:shd w:val="clear" w:color="auto" w:fill="auto"/>
            <w:noWrap/>
            <w:vAlign w:val="center"/>
          </w:tcPr>
          <w:p w14:paraId="6F94717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85" w:type="dxa"/>
            <w:tcBorders>
              <w:top w:val="nil"/>
              <w:left w:val="nil"/>
              <w:bottom w:val="single" w:color="auto" w:sz="4" w:space="0"/>
              <w:right w:val="single" w:color="auto" w:sz="4" w:space="0"/>
            </w:tcBorders>
            <w:shd w:val="clear" w:color="auto" w:fill="auto"/>
            <w:noWrap/>
            <w:vAlign w:val="center"/>
          </w:tcPr>
          <w:p w14:paraId="5A76F5F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r>
      <w:tr w14:paraId="54C4B551">
        <w:tblPrEx>
          <w:tblCellMar>
            <w:top w:w="0" w:type="dxa"/>
            <w:left w:w="108" w:type="dxa"/>
            <w:bottom w:w="0" w:type="dxa"/>
            <w:right w:w="108" w:type="dxa"/>
          </w:tblCellMar>
        </w:tblPrEx>
        <w:trPr>
          <w:trHeight w:val="312" w:hRule="atLeast"/>
        </w:trPr>
        <w:tc>
          <w:tcPr>
            <w:tcW w:w="1660" w:type="dxa"/>
            <w:tcBorders>
              <w:top w:val="nil"/>
              <w:left w:val="single" w:color="auto" w:sz="4" w:space="0"/>
              <w:bottom w:val="single" w:color="auto" w:sz="4" w:space="0"/>
              <w:right w:val="single" w:color="auto" w:sz="4" w:space="0"/>
            </w:tcBorders>
            <w:shd w:val="clear" w:color="auto" w:fill="auto"/>
            <w:noWrap/>
            <w:vAlign w:val="center"/>
          </w:tcPr>
          <w:p w14:paraId="1C4B6559">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187" w:type="dxa"/>
            <w:tcBorders>
              <w:top w:val="nil"/>
              <w:left w:val="nil"/>
              <w:bottom w:val="single" w:color="auto" w:sz="4" w:space="0"/>
              <w:right w:val="single" w:color="auto" w:sz="4" w:space="0"/>
            </w:tcBorders>
            <w:shd w:val="clear" w:color="auto" w:fill="auto"/>
            <w:noWrap/>
            <w:vAlign w:val="center"/>
          </w:tcPr>
          <w:p w14:paraId="3428EA1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6" w:type="dxa"/>
            <w:tcBorders>
              <w:top w:val="nil"/>
              <w:left w:val="nil"/>
              <w:bottom w:val="single" w:color="auto" w:sz="4" w:space="0"/>
              <w:right w:val="single" w:color="auto" w:sz="4" w:space="0"/>
            </w:tcBorders>
            <w:shd w:val="clear" w:color="auto" w:fill="auto"/>
            <w:noWrap/>
            <w:vAlign w:val="center"/>
          </w:tcPr>
          <w:p w14:paraId="1859417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43" w:type="dxa"/>
            <w:tcBorders>
              <w:top w:val="nil"/>
              <w:left w:val="nil"/>
              <w:bottom w:val="single" w:color="auto" w:sz="4" w:space="0"/>
              <w:right w:val="single" w:color="auto" w:sz="4" w:space="0"/>
            </w:tcBorders>
            <w:shd w:val="clear" w:color="auto" w:fill="auto"/>
            <w:noWrap/>
            <w:vAlign w:val="center"/>
          </w:tcPr>
          <w:p w14:paraId="18C853F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01" w:type="dxa"/>
            <w:tcBorders>
              <w:top w:val="nil"/>
              <w:left w:val="nil"/>
              <w:bottom w:val="single" w:color="auto" w:sz="4" w:space="0"/>
              <w:right w:val="single" w:color="auto" w:sz="4" w:space="0"/>
            </w:tcBorders>
            <w:shd w:val="clear" w:color="auto" w:fill="auto"/>
            <w:noWrap/>
            <w:vAlign w:val="center"/>
          </w:tcPr>
          <w:p w14:paraId="0CCEE90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91" w:type="dxa"/>
            <w:tcBorders>
              <w:top w:val="nil"/>
              <w:left w:val="nil"/>
              <w:bottom w:val="single" w:color="auto" w:sz="4" w:space="0"/>
              <w:right w:val="single" w:color="auto" w:sz="4" w:space="0"/>
            </w:tcBorders>
            <w:shd w:val="clear" w:color="auto" w:fill="auto"/>
            <w:noWrap/>
            <w:vAlign w:val="center"/>
          </w:tcPr>
          <w:p w14:paraId="349AD51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85" w:type="dxa"/>
            <w:tcBorders>
              <w:top w:val="nil"/>
              <w:left w:val="nil"/>
              <w:bottom w:val="single" w:color="auto" w:sz="4" w:space="0"/>
              <w:right w:val="single" w:color="auto" w:sz="4" w:space="0"/>
            </w:tcBorders>
            <w:shd w:val="clear" w:color="auto" w:fill="auto"/>
            <w:noWrap/>
            <w:vAlign w:val="center"/>
          </w:tcPr>
          <w:p w14:paraId="5EE53D3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r>
      <w:tr w14:paraId="5C07172D">
        <w:tblPrEx>
          <w:tblCellMar>
            <w:top w:w="0" w:type="dxa"/>
            <w:left w:w="108" w:type="dxa"/>
            <w:bottom w:w="0" w:type="dxa"/>
            <w:right w:w="108" w:type="dxa"/>
          </w:tblCellMar>
        </w:tblPrEx>
        <w:trPr>
          <w:trHeight w:val="312" w:hRule="atLeast"/>
        </w:trPr>
        <w:tc>
          <w:tcPr>
            <w:tcW w:w="1660" w:type="dxa"/>
            <w:tcBorders>
              <w:top w:val="nil"/>
              <w:left w:val="single" w:color="auto" w:sz="4" w:space="0"/>
              <w:bottom w:val="single" w:color="auto" w:sz="4" w:space="0"/>
              <w:right w:val="single" w:color="auto" w:sz="4" w:space="0"/>
            </w:tcBorders>
            <w:shd w:val="clear" w:color="auto" w:fill="auto"/>
            <w:noWrap/>
            <w:vAlign w:val="center"/>
          </w:tcPr>
          <w:p w14:paraId="2DE41159">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187" w:type="dxa"/>
            <w:tcBorders>
              <w:top w:val="nil"/>
              <w:left w:val="nil"/>
              <w:bottom w:val="single" w:color="auto" w:sz="4" w:space="0"/>
              <w:right w:val="single" w:color="auto" w:sz="4" w:space="0"/>
            </w:tcBorders>
            <w:shd w:val="clear" w:color="auto" w:fill="auto"/>
            <w:noWrap/>
            <w:vAlign w:val="center"/>
          </w:tcPr>
          <w:p w14:paraId="588B28B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216.40 </w:t>
            </w:r>
          </w:p>
        </w:tc>
        <w:tc>
          <w:tcPr>
            <w:tcW w:w="1276" w:type="dxa"/>
            <w:tcBorders>
              <w:top w:val="nil"/>
              <w:left w:val="nil"/>
              <w:bottom w:val="single" w:color="auto" w:sz="4" w:space="0"/>
              <w:right w:val="single" w:color="auto" w:sz="4" w:space="0"/>
            </w:tcBorders>
            <w:shd w:val="clear" w:color="auto" w:fill="auto"/>
            <w:noWrap/>
            <w:vAlign w:val="center"/>
          </w:tcPr>
          <w:p w14:paraId="5321C24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6.74 </w:t>
            </w:r>
          </w:p>
        </w:tc>
        <w:tc>
          <w:tcPr>
            <w:tcW w:w="1343" w:type="dxa"/>
            <w:tcBorders>
              <w:top w:val="nil"/>
              <w:left w:val="nil"/>
              <w:bottom w:val="single" w:color="auto" w:sz="4" w:space="0"/>
              <w:right w:val="single" w:color="auto" w:sz="4" w:space="0"/>
            </w:tcBorders>
            <w:shd w:val="clear" w:color="auto" w:fill="auto"/>
            <w:noWrap/>
            <w:vAlign w:val="center"/>
          </w:tcPr>
          <w:p w14:paraId="76AEE5D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7.61 </w:t>
            </w:r>
          </w:p>
        </w:tc>
        <w:tc>
          <w:tcPr>
            <w:tcW w:w="1301" w:type="dxa"/>
            <w:tcBorders>
              <w:top w:val="nil"/>
              <w:left w:val="nil"/>
              <w:bottom w:val="single" w:color="auto" w:sz="4" w:space="0"/>
              <w:right w:val="single" w:color="auto" w:sz="4" w:space="0"/>
            </w:tcBorders>
            <w:shd w:val="clear" w:color="auto" w:fill="auto"/>
            <w:noWrap/>
            <w:vAlign w:val="center"/>
          </w:tcPr>
          <w:p w14:paraId="462A6AF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0.16 </w:t>
            </w:r>
          </w:p>
        </w:tc>
        <w:tc>
          <w:tcPr>
            <w:tcW w:w="1391" w:type="dxa"/>
            <w:tcBorders>
              <w:top w:val="nil"/>
              <w:left w:val="nil"/>
              <w:bottom w:val="single" w:color="auto" w:sz="4" w:space="0"/>
              <w:right w:val="single" w:color="auto" w:sz="4" w:space="0"/>
            </w:tcBorders>
            <w:shd w:val="clear" w:color="auto" w:fill="auto"/>
            <w:noWrap/>
            <w:vAlign w:val="center"/>
          </w:tcPr>
          <w:p w14:paraId="3D6B3DB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1.22 </w:t>
            </w:r>
          </w:p>
        </w:tc>
        <w:tc>
          <w:tcPr>
            <w:tcW w:w="1385" w:type="dxa"/>
            <w:tcBorders>
              <w:top w:val="nil"/>
              <w:left w:val="nil"/>
              <w:bottom w:val="single" w:color="auto" w:sz="4" w:space="0"/>
              <w:right w:val="single" w:color="auto" w:sz="4" w:space="0"/>
            </w:tcBorders>
            <w:shd w:val="clear" w:color="auto" w:fill="auto"/>
            <w:noWrap/>
            <w:vAlign w:val="center"/>
          </w:tcPr>
          <w:p w14:paraId="646D971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232.13 </w:t>
            </w:r>
          </w:p>
        </w:tc>
      </w:tr>
      <w:tr w14:paraId="51DD1909">
        <w:tblPrEx>
          <w:tblCellMar>
            <w:top w:w="0" w:type="dxa"/>
            <w:left w:w="108" w:type="dxa"/>
            <w:bottom w:w="0" w:type="dxa"/>
            <w:right w:w="108" w:type="dxa"/>
          </w:tblCellMar>
        </w:tblPrEx>
        <w:trPr>
          <w:trHeight w:val="312" w:hRule="atLeast"/>
        </w:trPr>
        <w:tc>
          <w:tcPr>
            <w:tcW w:w="1660" w:type="dxa"/>
            <w:tcBorders>
              <w:top w:val="nil"/>
              <w:left w:val="single" w:color="auto" w:sz="4" w:space="0"/>
              <w:bottom w:val="single" w:color="auto" w:sz="4" w:space="0"/>
              <w:right w:val="single" w:color="auto" w:sz="4" w:space="0"/>
            </w:tcBorders>
            <w:shd w:val="clear" w:color="auto" w:fill="auto"/>
            <w:noWrap/>
            <w:vAlign w:val="center"/>
          </w:tcPr>
          <w:p w14:paraId="21F3CF6A">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187" w:type="dxa"/>
            <w:tcBorders>
              <w:top w:val="nil"/>
              <w:left w:val="nil"/>
              <w:bottom w:val="single" w:color="auto" w:sz="4" w:space="0"/>
              <w:right w:val="single" w:color="auto" w:sz="4" w:space="0"/>
            </w:tcBorders>
            <w:shd w:val="clear" w:color="auto" w:fill="auto"/>
            <w:noWrap/>
            <w:vAlign w:val="center"/>
          </w:tcPr>
          <w:p w14:paraId="42582F2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405.56 </w:t>
            </w:r>
          </w:p>
        </w:tc>
        <w:tc>
          <w:tcPr>
            <w:tcW w:w="1276" w:type="dxa"/>
            <w:tcBorders>
              <w:top w:val="nil"/>
              <w:left w:val="nil"/>
              <w:bottom w:val="single" w:color="auto" w:sz="4" w:space="0"/>
              <w:right w:val="single" w:color="auto" w:sz="4" w:space="0"/>
            </w:tcBorders>
            <w:shd w:val="clear" w:color="auto" w:fill="auto"/>
            <w:noWrap/>
            <w:vAlign w:val="center"/>
          </w:tcPr>
          <w:p w14:paraId="50199B9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200.81 </w:t>
            </w:r>
          </w:p>
        </w:tc>
        <w:tc>
          <w:tcPr>
            <w:tcW w:w="1343" w:type="dxa"/>
            <w:tcBorders>
              <w:top w:val="nil"/>
              <w:left w:val="nil"/>
              <w:bottom w:val="single" w:color="auto" w:sz="4" w:space="0"/>
              <w:right w:val="single" w:color="auto" w:sz="4" w:space="0"/>
            </w:tcBorders>
            <w:shd w:val="clear" w:color="auto" w:fill="auto"/>
            <w:noWrap/>
            <w:vAlign w:val="center"/>
          </w:tcPr>
          <w:p w14:paraId="585416B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55.32 </w:t>
            </w:r>
          </w:p>
        </w:tc>
        <w:tc>
          <w:tcPr>
            <w:tcW w:w="1301" w:type="dxa"/>
            <w:tcBorders>
              <w:top w:val="nil"/>
              <w:left w:val="nil"/>
              <w:bottom w:val="single" w:color="auto" w:sz="4" w:space="0"/>
              <w:right w:val="single" w:color="auto" w:sz="4" w:space="0"/>
            </w:tcBorders>
            <w:shd w:val="clear" w:color="auto" w:fill="auto"/>
            <w:noWrap/>
            <w:vAlign w:val="center"/>
          </w:tcPr>
          <w:p w14:paraId="3659754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6.48 </w:t>
            </w:r>
          </w:p>
        </w:tc>
        <w:tc>
          <w:tcPr>
            <w:tcW w:w="1391" w:type="dxa"/>
            <w:tcBorders>
              <w:top w:val="nil"/>
              <w:left w:val="nil"/>
              <w:bottom w:val="single" w:color="auto" w:sz="4" w:space="0"/>
              <w:right w:val="single" w:color="auto" w:sz="4" w:space="0"/>
            </w:tcBorders>
            <w:shd w:val="clear" w:color="auto" w:fill="auto"/>
            <w:noWrap/>
            <w:vAlign w:val="center"/>
          </w:tcPr>
          <w:p w14:paraId="4322946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3.39 </w:t>
            </w:r>
          </w:p>
        </w:tc>
        <w:tc>
          <w:tcPr>
            <w:tcW w:w="1385" w:type="dxa"/>
            <w:tcBorders>
              <w:top w:val="nil"/>
              <w:left w:val="nil"/>
              <w:bottom w:val="single" w:color="auto" w:sz="4" w:space="0"/>
              <w:right w:val="single" w:color="auto" w:sz="4" w:space="0"/>
            </w:tcBorders>
            <w:shd w:val="clear" w:color="auto" w:fill="auto"/>
            <w:noWrap/>
            <w:vAlign w:val="center"/>
          </w:tcPr>
          <w:p w14:paraId="480838D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671.56 </w:t>
            </w:r>
          </w:p>
        </w:tc>
      </w:tr>
      <w:tr w14:paraId="3572CD5C">
        <w:tblPrEx>
          <w:tblCellMar>
            <w:top w:w="0" w:type="dxa"/>
            <w:left w:w="108" w:type="dxa"/>
            <w:bottom w:w="0" w:type="dxa"/>
            <w:right w:w="108" w:type="dxa"/>
          </w:tblCellMar>
        </w:tblPrEx>
        <w:trPr>
          <w:trHeight w:val="312" w:hRule="atLeast"/>
        </w:trPr>
        <w:tc>
          <w:tcPr>
            <w:tcW w:w="1660" w:type="dxa"/>
            <w:tcBorders>
              <w:top w:val="nil"/>
              <w:left w:val="single" w:color="auto" w:sz="4" w:space="0"/>
              <w:bottom w:val="single" w:color="auto" w:sz="4" w:space="0"/>
              <w:right w:val="single" w:color="auto" w:sz="4" w:space="0"/>
            </w:tcBorders>
            <w:shd w:val="clear" w:color="auto" w:fill="auto"/>
            <w:noWrap/>
            <w:vAlign w:val="center"/>
          </w:tcPr>
          <w:p w14:paraId="04EEC9A4">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187" w:type="dxa"/>
            <w:tcBorders>
              <w:top w:val="nil"/>
              <w:left w:val="nil"/>
              <w:bottom w:val="single" w:color="auto" w:sz="4" w:space="0"/>
              <w:right w:val="single" w:color="auto" w:sz="4" w:space="0"/>
            </w:tcBorders>
            <w:shd w:val="clear" w:color="auto" w:fill="auto"/>
            <w:noWrap/>
            <w:vAlign w:val="center"/>
          </w:tcPr>
          <w:p w14:paraId="30FF6BD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228.03 </w:t>
            </w:r>
          </w:p>
        </w:tc>
        <w:tc>
          <w:tcPr>
            <w:tcW w:w="1276" w:type="dxa"/>
            <w:tcBorders>
              <w:top w:val="nil"/>
              <w:left w:val="nil"/>
              <w:bottom w:val="single" w:color="auto" w:sz="4" w:space="0"/>
              <w:right w:val="single" w:color="auto" w:sz="4" w:space="0"/>
            </w:tcBorders>
            <w:shd w:val="clear" w:color="auto" w:fill="auto"/>
            <w:noWrap/>
            <w:vAlign w:val="center"/>
          </w:tcPr>
          <w:p w14:paraId="560229B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29.76 </w:t>
            </w:r>
          </w:p>
        </w:tc>
        <w:tc>
          <w:tcPr>
            <w:tcW w:w="1343" w:type="dxa"/>
            <w:tcBorders>
              <w:top w:val="nil"/>
              <w:left w:val="nil"/>
              <w:bottom w:val="single" w:color="auto" w:sz="4" w:space="0"/>
              <w:right w:val="single" w:color="auto" w:sz="4" w:space="0"/>
            </w:tcBorders>
            <w:shd w:val="clear" w:color="auto" w:fill="auto"/>
            <w:noWrap/>
            <w:vAlign w:val="center"/>
          </w:tcPr>
          <w:p w14:paraId="0B296BC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13.54 </w:t>
            </w:r>
          </w:p>
        </w:tc>
        <w:tc>
          <w:tcPr>
            <w:tcW w:w="1301" w:type="dxa"/>
            <w:tcBorders>
              <w:top w:val="nil"/>
              <w:left w:val="nil"/>
              <w:bottom w:val="single" w:color="auto" w:sz="4" w:space="0"/>
              <w:right w:val="single" w:color="auto" w:sz="4" w:space="0"/>
            </w:tcBorders>
            <w:shd w:val="clear" w:color="auto" w:fill="auto"/>
            <w:noWrap/>
            <w:vAlign w:val="center"/>
          </w:tcPr>
          <w:p w14:paraId="58110CA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0.88 </w:t>
            </w:r>
          </w:p>
        </w:tc>
        <w:tc>
          <w:tcPr>
            <w:tcW w:w="1391" w:type="dxa"/>
            <w:tcBorders>
              <w:top w:val="nil"/>
              <w:left w:val="nil"/>
              <w:bottom w:val="single" w:color="auto" w:sz="4" w:space="0"/>
              <w:right w:val="single" w:color="auto" w:sz="4" w:space="0"/>
            </w:tcBorders>
            <w:shd w:val="clear" w:color="auto" w:fill="auto"/>
            <w:noWrap/>
            <w:vAlign w:val="center"/>
          </w:tcPr>
          <w:p w14:paraId="44B13B9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0.23 </w:t>
            </w:r>
          </w:p>
        </w:tc>
        <w:tc>
          <w:tcPr>
            <w:tcW w:w="1385" w:type="dxa"/>
            <w:tcBorders>
              <w:top w:val="nil"/>
              <w:left w:val="nil"/>
              <w:bottom w:val="single" w:color="auto" w:sz="4" w:space="0"/>
              <w:right w:val="single" w:color="auto" w:sz="4" w:space="0"/>
            </w:tcBorders>
            <w:shd w:val="clear" w:color="auto" w:fill="auto"/>
            <w:noWrap/>
            <w:vAlign w:val="center"/>
          </w:tcPr>
          <w:p w14:paraId="249EA21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272.44 </w:t>
            </w:r>
          </w:p>
        </w:tc>
      </w:tr>
      <w:tr w14:paraId="190A4ADD">
        <w:tblPrEx>
          <w:tblCellMar>
            <w:top w:w="0" w:type="dxa"/>
            <w:left w:w="108" w:type="dxa"/>
            <w:bottom w:w="0" w:type="dxa"/>
            <w:right w:w="108" w:type="dxa"/>
          </w:tblCellMar>
        </w:tblPrEx>
        <w:trPr>
          <w:trHeight w:val="312" w:hRule="atLeast"/>
        </w:trPr>
        <w:tc>
          <w:tcPr>
            <w:tcW w:w="1660" w:type="dxa"/>
            <w:tcBorders>
              <w:top w:val="nil"/>
              <w:left w:val="single" w:color="auto" w:sz="4" w:space="0"/>
              <w:bottom w:val="single" w:color="auto" w:sz="4" w:space="0"/>
              <w:right w:val="single" w:color="auto" w:sz="4" w:space="0"/>
            </w:tcBorders>
            <w:shd w:val="clear" w:color="auto" w:fill="auto"/>
            <w:noWrap/>
            <w:vAlign w:val="center"/>
          </w:tcPr>
          <w:p w14:paraId="3F301F8C">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187" w:type="dxa"/>
            <w:tcBorders>
              <w:top w:val="nil"/>
              <w:left w:val="nil"/>
              <w:bottom w:val="single" w:color="auto" w:sz="4" w:space="0"/>
              <w:right w:val="single" w:color="auto" w:sz="4" w:space="0"/>
            </w:tcBorders>
            <w:shd w:val="clear" w:color="auto" w:fill="auto"/>
            <w:noWrap/>
            <w:vAlign w:val="center"/>
          </w:tcPr>
          <w:p w14:paraId="3940734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13.45 </w:t>
            </w:r>
          </w:p>
        </w:tc>
        <w:tc>
          <w:tcPr>
            <w:tcW w:w="1276" w:type="dxa"/>
            <w:tcBorders>
              <w:top w:val="nil"/>
              <w:left w:val="nil"/>
              <w:bottom w:val="single" w:color="auto" w:sz="4" w:space="0"/>
              <w:right w:val="single" w:color="auto" w:sz="4" w:space="0"/>
            </w:tcBorders>
            <w:shd w:val="clear" w:color="auto" w:fill="auto"/>
            <w:noWrap/>
            <w:vAlign w:val="center"/>
          </w:tcPr>
          <w:p w14:paraId="0F170F2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27.86 </w:t>
            </w:r>
          </w:p>
        </w:tc>
        <w:tc>
          <w:tcPr>
            <w:tcW w:w="1343" w:type="dxa"/>
            <w:tcBorders>
              <w:top w:val="nil"/>
              <w:left w:val="nil"/>
              <w:bottom w:val="single" w:color="auto" w:sz="4" w:space="0"/>
              <w:right w:val="single" w:color="auto" w:sz="4" w:space="0"/>
            </w:tcBorders>
            <w:shd w:val="clear" w:color="auto" w:fill="auto"/>
            <w:noWrap/>
            <w:vAlign w:val="center"/>
          </w:tcPr>
          <w:p w14:paraId="3580081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10.43 </w:t>
            </w:r>
          </w:p>
        </w:tc>
        <w:tc>
          <w:tcPr>
            <w:tcW w:w="1301" w:type="dxa"/>
            <w:tcBorders>
              <w:top w:val="nil"/>
              <w:left w:val="nil"/>
              <w:bottom w:val="single" w:color="auto" w:sz="4" w:space="0"/>
              <w:right w:val="single" w:color="auto" w:sz="4" w:space="0"/>
            </w:tcBorders>
            <w:shd w:val="clear" w:color="auto" w:fill="auto"/>
            <w:noWrap/>
            <w:vAlign w:val="center"/>
          </w:tcPr>
          <w:p w14:paraId="190D0D0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0.22 </w:t>
            </w:r>
          </w:p>
        </w:tc>
        <w:tc>
          <w:tcPr>
            <w:tcW w:w="1391" w:type="dxa"/>
            <w:tcBorders>
              <w:top w:val="nil"/>
              <w:left w:val="nil"/>
              <w:bottom w:val="single" w:color="auto" w:sz="4" w:space="0"/>
              <w:right w:val="single" w:color="auto" w:sz="4" w:space="0"/>
            </w:tcBorders>
            <w:shd w:val="clear" w:color="auto" w:fill="auto"/>
            <w:noWrap/>
            <w:vAlign w:val="center"/>
          </w:tcPr>
          <w:p w14:paraId="68BA3AC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0.01 </w:t>
            </w:r>
          </w:p>
        </w:tc>
        <w:tc>
          <w:tcPr>
            <w:tcW w:w="1385" w:type="dxa"/>
            <w:tcBorders>
              <w:top w:val="nil"/>
              <w:left w:val="nil"/>
              <w:bottom w:val="single" w:color="auto" w:sz="4" w:space="0"/>
              <w:right w:val="single" w:color="auto" w:sz="4" w:space="0"/>
            </w:tcBorders>
            <w:shd w:val="clear" w:color="auto" w:fill="auto"/>
            <w:noWrap/>
            <w:vAlign w:val="center"/>
          </w:tcPr>
          <w:p w14:paraId="3D88136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51.97 </w:t>
            </w:r>
          </w:p>
        </w:tc>
      </w:tr>
      <w:tr w14:paraId="5E9F0EFB">
        <w:tblPrEx>
          <w:tblCellMar>
            <w:top w:w="0" w:type="dxa"/>
            <w:left w:w="108" w:type="dxa"/>
            <w:bottom w:w="0" w:type="dxa"/>
            <w:right w:w="108" w:type="dxa"/>
          </w:tblCellMar>
        </w:tblPrEx>
        <w:trPr>
          <w:trHeight w:val="312" w:hRule="atLeast"/>
        </w:trPr>
        <w:tc>
          <w:tcPr>
            <w:tcW w:w="1660" w:type="dxa"/>
            <w:tcBorders>
              <w:top w:val="nil"/>
              <w:left w:val="single" w:color="auto" w:sz="4" w:space="0"/>
              <w:bottom w:val="single" w:color="auto" w:sz="4" w:space="0"/>
              <w:right w:val="single" w:color="auto" w:sz="4" w:space="0"/>
            </w:tcBorders>
            <w:shd w:val="clear" w:color="auto" w:fill="auto"/>
            <w:noWrap/>
            <w:vAlign w:val="center"/>
          </w:tcPr>
          <w:p w14:paraId="48C79079">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187" w:type="dxa"/>
            <w:tcBorders>
              <w:top w:val="nil"/>
              <w:left w:val="nil"/>
              <w:bottom w:val="single" w:color="auto" w:sz="4" w:space="0"/>
              <w:right w:val="single" w:color="auto" w:sz="4" w:space="0"/>
            </w:tcBorders>
            <w:shd w:val="clear" w:color="auto" w:fill="auto"/>
            <w:noWrap/>
            <w:vAlign w:val="center"/>
          </w:tcPr>
          <w:p w14:paraId="6EACDD9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6" w:type="dxa"/>
            <w:tcBorders>
              <w:top w:val="nil"/>
              <w:left w:val="nil"/>
              <w:bottom w:val="single" w:color="auto" w:sz="4" w:space="0"/>
              <w:right w:val="single" w:color="auto" w:sz="4" w:space="0"/>
            </w:tcBorders>
            <w:shd w:val="clear" w:color="auto" w:fill="auto"/>
            <w:noWrap/>
            <w:vAlign w:val="center"/>
          </w:tcPr>
          <w:p w14:paraId="6CFAE1B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43" w:type="dxa"/>
            <w:tcBorders>
              <w:top w:val="nil"/>
              <w:left w:val="nil"/>
              <w:bottom w:val="single" w:color="auto" w:sz="4" w:space="0"/>
              <w:right w:val="single" w:color="auto" w:sz="4" w:space="0"/>
            </w:tcBorders>
            <w:shd w:val="clear" w:color="auto" w:fill="auto"/>
            <w:noWrap/>
            <w:vAlign w:val="center"/>
          </w:tcPr>
          <w:p w14:paraId="2C65E73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01" w:type="dxa"/>
            <w:tcBorders>
              <w:top w:val="nil"/>
              <w:left w:val="nil"/>
              <w:bottom w:val="single" w:color="auto" w:sz="4" w:space="0"/>
              <w:right w:val="single" w:color="auto" w:sz="4" w:space="0"/>
            </w:tcBorders>
            <w:shd w:val="clear" w:color="auto" w:fill="auto"/>
            <w:noWrap/>
            <w:vAlign w:val="center"/>
          </w:tcPr>
          <w:p w14:paraId="440A320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91" w:type="dxa"/>
            <w:tcBorders>
              <w:top w:val="nil"/>
              <w:left w:val="nil"/>
              <w:bottom w:val="single" w:color="auto" w:sz="4" w:space="0"/>
              <w:right w:val="single" w:color="auto" w:sz="4" w:space="0"/>
            </w:tcBorders>
            <w:shd w:val="clear" w:color="auto" w:fill="auto"/>
            <w:noWrap/>
            <w:vAlign w:val="center"/>
          </w:tcPr>
          <w:p w14:paraId="4F368AF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85" w:type="dxa"/>
            <w:tcBorders>
              <w:top w:val="nil"/>
              <w:left w:val="nil"/>
              <w:bottom w:val="single" w:color="auto" w:sz="4" w:space="0"/>
              <w:right w:val="single" w:color="auto" w:sz="4" w:space="0"/>
            </w:tcBorders>
            <w:shd w:val="clear" w:color="auto" w:fill="auto"/>
            <w:noWrap/>
            <w:vAlign w:val="center"/>
          </w:tcPr>
          <w:p w14:paraId="02413B6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r>
      <w:tr w14:paraId="38B8EE28">
        <w:tblPrEx>
          <w:tblCellMar>
            <w:top w:w="0" w:type="dxa"/>
            <w:left w:w="108" w:type="dxa"/>
            <w:bottom w:w="0" w:type="dxa"/>
            <w:right w:w="108" w:type="dxa"/>
          </w:tblCellMar>
        </w:tblPrEx>
        <w:trPr>
          <w:trHeight w:val="312" w:hRule="atLeast"/>
        </w:trPr>
        <w:tc>
          <w:tcPr>
            <w:tcW w:w="1660" w:type="dxa"/>
            <w:tcBorders>
              <w:top w:val="nil"/>
              <w:left w:val="single" w:color="auto" w:sz="4" w:space="0"/>
              <w:bottom w:val="single" w:color="auto" w:sz="4" w:space="0"/>
              <w:right w:val="single" w:color="auto" w:sz="4" w:space="0"/>
            </w:tcBorders>
            <w:shd w:val="clear" w:color="auto" w:fill="auto"/>
            <w:noWrap/>
            <w:vAlign w:val="center"/>
          </w:tcPr>
          <w:p w14:paraId="372E836B">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187" w:type="dxa"/>
            <w:tcBorders>
              <w:top w:val="nil"/>
              <w:left w:val="nil"/>
              <w:bottom w:val="single" w:color="auto" w:sz="4" w:space="0"/>
              <w:right w:val="single" w:color="auto" w:sz="4" w:space="0"/>
            </w:tcBorders>
            <w:shd w:val="clear" w:color="auto" w:fill="auto"/>
            <w:noWrap/>
            <w:vAlign w:val="center"/>
          </w:tcPr>
          <w:p w14:paraId="286C22F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918.58 </w:t>
            </w:r>
          </w:p>
        </w:tc>
        <w:tc>
          <w:tcPr>
            <w:tcW w:w="1276" w:type="dxa"/>
            <w:tcBorders>
              <w:top w:val="nil"/>
              <w:left w:val="nil"/>
              <w:bottom w:val="single" w:color="auto" w:sz="4" w:space="0"/>
              <w:right w:val="single" w:color="auto" w:sz="4" w:space="0"/>
            </w:tcBorders>
            <w:shd w:val="clear" w:color="auto" w:fill="auto"/>
            <w:noWrap/>
            <w:vAlign w:val="center"/>
          </w:tcPr>
          <w:p w14:paraId="2F96851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306.74 </w:t>
            </w:r>
          </w:p>
        </w:tc>
        <w:tc>
          <w:tcPr>
            <w:tcW w:w="1343" w:type="dxa"/>
            <w:tcBorders>
              <w:top w:val="nil"/>
              <w:left w:val="nil"/>
              <w:bottom w:val="single" w:color="auto" w:sz="4" w:space="0"/>
              <w:right w:val="single" w:color="auto" w:sz="4" w:space="0"/>
            </w:tcBorders>
            <w:shd w:val="clear" w:color="auto" w:fill="auto"/>
            <w:noWrap/>
            <w:vAlign w:val="center"/>
          </w:tcPr>
          <w:p w14:paraId="16526F6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108.86 </w:t>
            </w:r>
          </w:p>
        </w:tc>
        <w:tc>
          <w:tcPr>
            <w:tcW w:w="1301" w:type="dxa"/>
            <w:tcBorders>
              <w:top w:val="nil"/>
              <w:left w:val="nil"/>
              <w:bottom w:val="single" w:color="auto" w:sz="4" w:space="0"/>
              <w:right w:val="single" w:color="auto" w:sz="4" w:space="0"/>
            </w:tcBorders>
            <w:shd w:val="clear" w:color="auto" w:fill="auto"/>
            <w:noWrap/>
            <w:vAlign w:val="center"/>
          </w:tcPr>
          <w:p w14:paraId="147F581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8.48 </w:t>
            </w:r>
          </w:p>
        </w:tc>
        <w:tc>
          <w:tcPr>
            <w:tcW w:w="1391" w:type="dxa"/>
            <w:tcBorders>
              <w:top w:val="nil"/>
              <w:left w:val="nil"/>
              <w:bottom w:val="single" w:color="auto" w:sz="4" w:space="0"/>
              <w:right w:val="single" w:color="auto" w:sz="4" w:space="0"/>
            </w:tcBorders>
            <w:shd w:val="clear" w:color="auto" w:fill="auto"/>
            <w:noWrap/>
            <w:vAlign w:val="center"/>
          </w:tcPr>
          <w:p w14:paraId="2EA0059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5.78 </w:t>
            </w:r>
          </w:p>
        </w:tc>
        <w:tc>
          <w:tcPr>
            <w:tcW w:w="1385" w:type="dxa"/>
            <w:tcBorders>
              <w:top w:val="nil"/>
              <w:left w:val="nil"/>
              <w:bottom w:val="single" w:color="auto" w:sz="4" w:space="0"/>
              <w:right w:val="single" w:color="auto" w:sz="4" w:space="0"/>
            </w:tcBorders>
            <w:shd w:val="clear" w:color="auto" w:fill="auto"/>
            <w:noWrap/>
            <w:vAlign w:val="center"/>
          </w:tcPr>
          <w:p w14:paraId="4AA8023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1348.44 </w:t>
            </w:r>
          </w:p>
        </w:tc>
      </w:tr>
      <w:tr w14:paraId="158645F1">
        <w:tblPrEx>
          <w:tblCellMar>
            <w:top w:w="0" w:type="dxa"/>
            <w:left w:w="108" w:type="dxa"/>
            <w:bottom w:w="0" w:type="dxa"/>
            <w:right w:w="108" w:type="dxa"/>
          </w:tblCellMar>
        </w:tblPrEx>
        <w:trPr>
          <w:trHeight w:val="312" w:hRule="atLeast"/>
        </w:trPr>
        <w:tc>
          <w:tcPr>
            <w:tcW w:w="1660" w:type="dxa"/>
            <w:tcBorders>
              <w:top w:val="nil"/>
              <w:left w:val="single" w:color="auto" w:sz="4" w:space="0"/>
              <w:bottom w:val="single" w:color="auto" w:sz="4" w:space="0"/>
              <w:right w:val="single" w:color="auto" w:sz="4" w:space="0"/>
            </w:tcBorders>
            <w:shd w:val="clear" w:color="auto" w:fill="auto"/>
            <w:noWrap/>
            <w:vAlign w:val="center"/>
          </w:tcPr>
          <w:p w14:paraId="43679DEC">
            <w:pPr>
              <w:widowControl/>
              <w:jc w:val="center"/>
              <w:rPr>
                <w:rFonts w:ascii="宋体" w:hAnsi="宋体" w:cs="宋体"/>
                <w:color w:val="000000"/>
                <w:kern w:val="0"/>
                <w:sz w:val="18"/>
                <w:szCs w:val="18"/>
              </w:rPr>
            </w:pPr>
            <w:r>
              <w:rPr>
                <w:rFonts w:hint="eastAsia" w:ascii="宋体" w:hAnsi="宋体" w:cs="宋体"/>
                <w:color w:val="000000"/>
                <w:kern w:val="0"/>
                <w:sz w:val="18"/>
                <w:szCs w:val="18"/>
              </w:rPr>
              <w:t>比例</w:t>
            </w:r>
          </w:p>
        </w:tc>
        <w:tc>
          <w:tcPr>
            <w:tcW w:w="1187" w:type="dxa"/>
            <w:tcBorders>
              <w:top w:val="nil"/>
              <w:left w:val="nil"/>
              <w:bottom w:val="single" w:color="auto" w:sz="4" w:space="0"/>
              <w:right w:val="single" w:color="auto" w:sz="4" w:space="0"/>
            </w:tcBorders>
            <w:shd w:val="clear" w:color="auto" w:fill="auto"/>
            <w:noWrap/>
            <w:vAlign w:val="center"/>
          </w:tcPr>
          <w:p w14:paraId="2E29772A">
            <w:pPr>
              <w:widowControl/>
              <w:jc w:val="center"/>
              <w:rPr>
                <w:rFonts w:ascii="宋体" w:hAnsi="宋体" w:cs="宋体"/>
                <w:color w:val="000000"/>
                <w:kern w:val="0"/>
                <w:sz w:val="18"/>
                <w:szCs w:val="18"/>
              </w:rPr>
            </w:pPr>
            <w:r>
              <w:rPr>
                <w:rFonts w:hint="eastAsia" w:ascii="宋体" w:hAnsi="宋体" w:cs="宋体"/>
                <w:color w:val="000000"/>
                <w:kern w:val="0"/>
                <w:sz w:val="18"/>
                <w:szCs w:val="18"/>
              </w:rPr>
              <w:t>68.12%</w:t>
            </w:r>
          </w:p>
        </w:tc>
        <w:tc>
          <w:tcPr>
            <w:tcW w:w="1276" w:type="dxa"/>
            <w:tcBorders>
              <w:top w:val="nil"/>
              <w:left w:val="nil"/>
              <w:bottom w:val="single" w:color="auto" w:sz="4" w:space="0"/>
              <w:right w:val="single" w:color="auto" w:sz="4" w:space="0"/>
            </w:tcBorders>
            <w:shd w:val="clear" w:color="auto" w:fill="auto"/>
            <w:noWrap/>
            <w:vAlign w:val="center"/>
          </w:tcPr>
          <w:p w14:paraId="53BAA703">
            <w:pPr>
              <w:widowControl/>
              <w:jc w:val="center"/>
              <w:rPr>
                <w:rFonts w:ascii="宋体" w:hAnsi="宋体" w:cs="宋体"/>
                <w:color w:val="000000"/>
                <w:kern w:val="0"/>
                <w:sz w:val="18"/>
                <w:szCs w:val="18"/>
              </w:rPr>
            </w:pPr>
            <w:r>
              <w:rPr>
                <w:rFonts w:hint="eastAsia" w:ascii="宋体" w:hAnsi="宋体" w:cs="宋体"/>
                <w:color w:val="000000"/>
                <w:kern w:val="0"/>
                <w:sz w:val="18"/>
                <w:szCs w:val="18"/>
              </w:rPr>
              <w:t>22.75%</w:t>
            </w:r>
          </w:p>
        </w:tc>
        <w:tc>
          <w:tcPr>
            <w:tcW w:w="1343" w:type="dxa"/>
            <w:tcBorders>
              <w:top w:val="nil"/>
              <w:left w:val="nil"/>
              <w:bottom w:val="single" w:color="auto" w:sz="4" w:space="0"/>
              <w:right w:val="single" w:color="auto" w:sz="4" w:space="0"/>
            </w:tcBorders>
            <w:shd w:val="clear" w:color="auto" w:fill="auto"/>
            <w:noWrap/>
            <w:vAlign w:val="center"/>
          </w:tcPr>
          <w:p w14:paraId="5FDBD47C">
            <w:pPr>
              <w:widowControl/>
              <w:jc w:val="center"/>
              <w:rPr>
                <w:rFonts w:ascii="宋体" w:hAnsi="宋体" w:cs="宋体"/>
                <w:color w:val="000000"/>
                <w:kern w:val="0"/>
                <w:sz w:val="18"/>
                <w:szCs w:val="18"/>
              </w:rPr>
            </w:pPr>
            <w:r>
              <w:rPr>
                <w:rFonts w:hint="eastAsia" w:ascii="宋体" w:hAnsi="宋体" w:cs="宋体"/>
                <w:color w:val="000000"/>
                <w:kern w:val="0"/>
                <w:sz w:val="18"/>
                <w:szCs w:val="18"/>
              </w:rPr>
              <w:t>8.07%</w:t>
            </w:r>
          </w:p>
        </w:tc>
        <w:tc>
          <w:tcPr>
            <w:tcW w:w="1301" w:type="dxa"/>
            <w:tcBorders>
              <w:top w:val="nil"/>
              <w:left w:val="nil"/>
              <w:bottom w:val="single" w:color="auto" w:sz="4" w:space="0"/>
              <w:right w:val="single" w:color="auto" w:sz="4" w:space="0"/>
            </w:tcBorders>
            <w:shd w:val="clear" w:color="auto" w:fill="auto"/>
            <w:noWrap/>
            <w:vAlign w:val="center"/>
          </w:tcPr>
          <w:p w14:paraId="2AAE9CCE">
            <w:pPr>
              <w:widowControl/>
              <w:jc w:val="center"/>
              <w:rPr>
                <w:rFonts w:ascii="宋体" w:hAnsi="宋体" w:cs="宋体"/>
                <w:color w:val="000000"/>
                <w:kern w:val="0"/>
                <w:sz w:val="18"/>
                <w:szCs w:val="18"/>
              </w:rPr>
            </w:pPr>
            <w:r>
              <w:rPr>
                <w:rFonts w:hint="eastAsia" w:ascii="宋体" w:hAnsi="宋体" w:cs="宋体"/>
                <w:color w:val="000000"/>
                <w:kern w:val="0"/>
                <w:sz w:val="18"/>
                <w:szCs w:val="18"/>
              </w:rPr>
              <w:t>0.63%</w:t>
            </w:r>
          </w:p>
        </w:tc>
        <w:tc>
          <w:tcPr>
            <w:tcW w:w="1391" w:type="dxa"/>
            <w:tcBorders>
              <w:top w:val="nil"/>
              <w:left w:val="nil"/>
              <w:bottom w:val="single" w:color="auto" w:sz="4" w:space="0"/>
              <w:right w:val="single" w:color="auto" w:sz="4" w:space="0"/>
            </w:tcBorders>
            <w:shd w:val="clear" w:color="auto" w:fill="auto"/>
            <w:noWrap/>
            <w:vAlign w:val="center"/>
          </w:tcPr>
          <w:p w14:paraId="02B7BE40">
            <w:pPr>
              <w:widowControl/>
              <w:jc w:val="center"/>
              <w:rPr>
                <w:rFonts w:ascii="宋体" w:hAnsi="宋体" w:cs="宋体"/>
                <w:color w:val="000000"/>
                <w:kern w:val="0"/>
                <w:sz w:val="18"/>
                <w:szCs w:val="18"/>
              </w:rPr>
            </w:pPr>
            <w:r>
              <w:rPr>
                <w:rFonts w:hint="eastAsia" w:ascii="宋体" w:hAnsi="宋体" w:cs="宋体"/>
                <w:color w:val="000000"/>
                <w:kern w:val="0"/>
                <w:sz w:val="18"/>
                <w:szCs w:val="18"/>
              </w:rPr>
              <w:t>0.43%</w:t>
            </w:r>
          </w:p>
        </w:tc>
        <w:tc>
          <w:tcPr>
            <w:tcW w:w="1385" w:type="dxa"/>
            <w:tcBorders>
              <w:top w:val="nil"/>
              <w:left w:val="nil"/>
              <w:bottom w:val="single" w:color="auto" w:sz="4" w:space="0"/>
              <w:right w:val="single" w:color="auto" w:sz="4" w:space="0"/>
            </w:tcBorders>
            <w:shd w:val="clear" w:color="auto" w:fill="auto"/>
            <w:noWrap/>
            <w:vAlign w:val="center"/>
          </w:tcPr>
          <w:p w14:paraId="5CA01D46">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r>
    </w:tbl>
    <w:p w14:paraId="08ACE392">
      <w:pPr>
        <w:pStyle w:val="78"/>
        <w:ind w:firstLine="560"/>
        <w:rPr>
          <w:rFonts w:ascii="仿宋_GB2312" w:hAnsi="宋体" w:eastAsia="仿宋_GB2312"/>
          <w:sz w:val="28"/>
          <w:szCs w:val="28"/>
        </w:rPr>
      </w:pPr>
      <w:r>
        <w:rPr>
          <w:rFonts w:hint="eastAsia" w:ascii="仿宋_GB2312" w:hAnsi="宋体" w:eastAsia="仿宋_GB2312"/>
          <w:sz w:val="28"/>
          <w:szCs w:val="28"/>
        </w:rPr>
        <w:t>从坝区耕地质量等别来看，6等耕地469.44公顷，占坝区耕地总面积的34.81%；7等耕地18.14公顷，占坝区耕地总面积的1.35%；8等耕地334.97公顷，占坝区耕地总面积的24.84%；9等耕地85.17公顷，占坝区耕地总面积的6.32%；10等耕地265.67公顷，占坝区耕地总面积的19.7 %；11等耕地143.07公顷，占坝区耕地总面积的10.61%；12等耕地18.29公顷，占坝区耕地总面积的1.36%；13等耕地13.69公顷，占坝区耕地总面积的1.02%。</w:t>
      </w:r>
    </w:p>
    <w:p w14:paraId="049522A4">
      <w:pPr>
        <w:jc w:val="center"/>
        <w:outlineLvl w:val="4"/>
        <w:rPr>
          <w:rFonts w:ascii="宋体" w:hAnsi="宋体"/>
          <w:b/>
          <w:sz w:val="24"/>
        </w:rPr>
      </w:pPr>
      <w:r>
        <w:rPr>
          <w:rFonts w:hint="eastAsia" w:ascii="宋体" w:hAnsi="宋体"/>
          <w:b/>
          <w:sz w:val="24"/>
        </w:rPr>
        <w:t>表2-8  东川区坝区耕地利用等情况表</w:t>
      </w:r>
    </w:p>
    <w:p w14:paraId="1EE386D5">
      <w:pPr>
        <w:wordWrap w:val="0"/>
        <w:ind w:firstLine="420"/>
        <w:jc w:val="right"/>
        <w:rPr>
          <w:rFonts w:ascii="宋体" w:hAnsi="宋体"/>
          <w:color w:val="000000"/>
          <w:kern w:val="0"/>
          <w:sz w:val="18"/>
          <w:szCs w:val="18"/>
        </w:rPr>
      </w:pPr>
      <w:r>
        <w:rPr>
          <w:rFonts w:hint="eastAsia" w:ascii="宋体" w:hAnsi="宋体"/>
          <w:color w:val="000000"/>
          <w:kern w:val="0"/>
          <w:sz w:val="18"/>
          <w:szCs w:val="18"/>
        </w:rPr>
        <w:t>单位：公顷</w:t>
      </w:r>
    </w:p>
    <w:tbl>
      <w:tblPr>
        <w:tblStyle w:val="27"/>
        <w:tblW w:w="10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1026"/>
        <w:gridCol w:w="936"/>
        <w:gridCol w:w="1026"/>
        <w:gridCol w:w="936"/>
        <w:gridCol w:w="1026"/>
        <w:gridCol w:w="1026"/>
        <w:gridCol w:w="936"/>
        <w:gridCol w:w="936"/>
        <w:gridCol w:w="1116"/>
      </w:tblGrid>
      <w:tr w14:paraId="6765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00" w:type="dxa"/>
            <w:shd w:val="clear" w:color="auto" w:fill="auto"/>
            <w:noWrap/>
            <w:vAlign w:val="center"/>
          </w:tcPr>
          <w:p w14:paraId="64BDAC4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行政区名称</w:t>
            </w:r>
          </w:p>
        </w:tc>
        <w:tc>
          <w:tcPr>
            <w:tcW w:w="1026" w:type="dxa"/>
            <w:shd w:val="clear" w:color="auto" w:fill="auto"/>
            <w:noWrap/>
            <w:vAlign w:val="center"/>
          </w:tcPr>
          <w:p w14:paraId="4D7C2FE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6等</w:t>
            </w:r>
          </w:p>
        </w:tc>
        <w:tc>
          <w:tcPr>
            <w:tcW w:w="936" w:type="dxa"/>
            <w:shd w:val="clear" w:color="auto" w:fill="auto"/>
            <w:noWrap/>
            <w:vAlign w:val="center"/>
          </w:tcPr>
          <w:p w14:paraId="5AEF9424">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7等</w:t>
            </w:r>
          </w:p>
        </w:tc>
        <w:tc>
          <w:tcPr>
            <w:tcW w:w="1026" w:type="dxa"/>
            <w:shd w:val="clear" w:color="auto" w:fill="auto"/>
            <w:noWrap/>
            <w:vAlign w:val="center"/>
          </w:tcPr>
          <w:p w14:paraId="0318EE34">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8等</w:t>
            </w:r>
          </w:p>
        </w:tc>
        <w:tc>
          <w:tcPr>
            <w:tcW w:w="936" w:type="dxa"/>
            <w:shd w:val="clear" w:color="auto" w:fill="auto"/>
            <w:noWrap/>
            <w:vAlign w:val="center"/>
          </w:tcPr>
          <w:p w14:paraId="64BE247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9等</w:t>
            </w:r>
          </w:p>
        </w:tc>
        <w:tc>
          <w:tcPr>
            <w:tcW w:w="1026" w:type="dxa"/>
            <w:shd w:val="clear" w:color="auto" w:fill="auto"/>
            <w:noWrap/>
            <w:vAlign w:val="center"/>
          </w:tcPr>
          <w:p w14:paraId="6D09418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10等</w:t>
            </w:r>
          </w:p>
        </w:tc>
        <w:tc>
          <w:tcPr>
            <w:tcW w:w="1026" w:type="dxa"/>
            <w:shd w:val="clear" w:color="auto" w:fill="auto"/>
            <w:noWrap/>
            <w:vAlign w:val="center"/>
          </w:tcPr>
          <w:p w14:paraId="4E7FE69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11等</w:t>
            </w:r>
          </w:p>
        </w:tc>
        <w:tc>
          <w:tcPr>
            <w:tcW w:w="936" w:type="dxa"/>
            <w:shd w:val="clear" w:color="auto" w:fill="auto"/>
            <w:noWrap/>
            <w:vAlign w:val="center"/>
          </w:tcPr>
          <w:p w14:paraId="4268740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12等</w:t>
            </w:r>
          </w:p>
        </w:tc>
        <w:tc>
          <w:tcPr>
            <w:tcW w:w="936" w:type="dxa"/>
            <w:shd w:val="clear" w:color="auto" w:fill="auto"/>
            <w:noWrap/>
            <w:vAlign w:val="center"/>
          </w:tcPr>
          <w:p w14:paraId="426ED46C">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13等</w:t>
            </w:r>
          </w:p>
        </w:tc>
        <w:tc>
          <w:tcPr>
            <w:tcW w:w="1116" w:type="dxa"/>
            <w:shd w:val="clear" w:color="auto" w:fill="auto"/>
            <w:noWrap/>
            <w:vAlign w:val="center"/>
          </w:tcPr>
          <w:p w14:paraId="390B4CA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合计</w:t>
            </w:r>
          </w:p>
        </w:tc>
      </w:tr>
      <w:tr w14:paraId="5F29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00" w:type="dxa"/>
            <w:shd w:val="clear" w:color="auto" w:fill="auto"/>
            <w:noWrap/>
            <w:vAlign w:val="center"/>
          </w:tcPr>
          <w:p w14:paraId="1C404287">
            <w:pPr>
              <w:widowControl/>
              <w:jc w:val="center"/>
              <w:rPr>
                <w:rFonts w:ascii="宋体" w:hAnsi="宋体" w:cs="宋体"/>
                <w:bCs/>
                <w:color w:val="000000"/>
                <w:kern w:val="0"/>
                <w:sz w:val="18"/>
                <w:szCs w:val="18"/>
              </w:rPr>
            </w:pPr>
            <w:r>
              <w:rPr>
                <w:rFonts w:hint="eastAsia" w:ascii="宋体" w:hAnsi="宋体" w:cs="宋体"/>
                <w:bCs/>
                <w:color w:val="000000"/>
                <w:kern w:val="0"/>
                <w:sz w:val="18"/>
                <w:szCs w:val="18"/>
              </w:rPr>
              <w:t>阿旺镇</w:t>
            </w:r>
          </w:p>
        </w:tc>
        <w:tc>
          <w:tcPr>
            <w:tcW w:w="1026" w:type="dxa"/>
            <w:shd w:val="clear" w:color="auto" w:fill="auto"/>
            <w:noWrap/>
            <w:vAlign w:val="center"/>
          </w:tcPr>
          <w:p w14:paraId="4FB1384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56.54 </w:t>
            </w:r>
          </w:p>
        </w:tc>
        <w:tc>
          <w:tcPr>
            <w:tcW w:w="936" w:type="dxa"/>
            <w:shd w:val="clear" w:color="auto" w:fill="auto"/>
            <w:noWrap/>
            <w:vAlign w:val="center"/>
          </w:tcPr>
          <w:p w14:paraId="2A9B575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5.24 </w:t>
            </w:r>
          </w:p>
        </w:tc>
        <w:tc>
          <w:tcPr>
            <w:tcW w:w="1026" w:type="dxa"/>
            <w:shd w:val="clear" w:color="auto" w:fill="auto"/>
            <w:noWrap/>
            <w:vAlign w:val="center"/>
          </w:tcPr>
          <w:p w14:paraId="081381C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50.06 </w:t>
            </w:r>
          </w:p>
        </w:tc>
        <w:tc>
          <w:tcPr>
            <w:tcW w:w="936" w:type="dxa"/>
            <w:shd w:val="clear" w:color="auto" w:fill="auto"/>
            <w:noWrap/>
            <w:vAlign w:val="center"/>
          </w:tcPr>
          <w:p w14:paraId="47EAA14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0.12 </w:t>
            </w:r>
          </w:p>
        </w:tc>
        <w:tc>
          <w:tcPr>
            <w:tcW w:w="1026" w:type="dxa"/>
            <w:shd w:val="clear" w:color="auto" w:fill="auto"/>
            <w:noWrap/>
            <w:vAlign w:val="center"/>
          </w:tcPr>
          <w:p w14:paraId="22F92F9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8.03 </w:t>
            </w:r>
          </w:p>
        </w:tc>
        <w:tc>
          <w:tcPr>
            <w:tcW w:w="1026" w:type="dxa"/>
            <w:shd w:val="clear" w:color="auto" w:fill="auto"/>
            <w:noWrap/>
            <w:vAlign w:val="center"/>
          </w:tcPr>
          <w:p w14:paraId="4675AC8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0.35 </w:t>
            </w:r>
          </w:p>
        </w:tc>
        <w:tc>
          <w:tcPr>
            <w:tcW w:w="936" w:type="dxa"/>
            <w:shd w:val="clear" w:color="auto" w:fill="auto"/>
            <w:noWrap/>
            <w:vAlign w:val="center"/>
          </w:tcPr>
          <w:p w14:paraId="6B1DA98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2D23426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16" w:type="dxa"/>
            <w:shd w:val="clear" w:color="auto" w:fill="auto"/>
            <w:noWrap/>
            <w:vAlign w:val="center"/>
          </w:tcPr>
          <w:p w14:paraId="20D7225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120.34 </w:t>
            </w:r>
          </w:p>
        </w:tc>
      </w:tr>
      <w:tr w14:paraId="49D3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00" w:type="dxa"/>
            <w:shd w:val="clear" w:color="auto" w:fill="auto"/>
            <w:noWrap/>
            <w:vAlign w:val="center"/>
          </w:tcPr>
          <w:p w14:paraId="553B27A8">
            <w:pPr>
              <w:widowControl/>
              <w:jc w:val="center"/>
              <w:rPr>
                <w:rFonts w:ascii="宋体" w:hAnsi="宋体" w:cs="宋体"/>
                <w:bCs/>
                <w:color w:val="000000"/>
                <w:kern w:val="0"/>
                <w:sz w:val="18"/>
                <w:szCs w:val="18"/>
              </w:rPr>
            </w:pPr>
            <w:r>
              <w:rPr>
                <w:rFonts w:hint="eastAsia" w:ascii="宋体" w:hAnsi="宋体" w:cs="宋体"/>
                <w:bCs/>
                <w:color w:val="000000"/>
                <w:kern w:val="0"/>
                <w:sz w:val="18"/>
                <w:szCs w:val="18"/>
              </w:rPr>
              <w:t>红土地镇</w:t>
            </w:r>
          </w:p>
        </w:tc>
        <w:tc>
          <w:tcPr>
            <w:tcW w:w="1026" w:type="dxa"/>
            <w:shd w:val="clear" w:color="auto" w:fill="auto"/>
            <w:noWrap/>
            <w:vAlign w:val="center"/>
          </w:tcPr>
          <w:p w14:paraId="0ADD7BC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620903D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26" w:type="dxa"/>
            <w:shd w:val="clear" w:color="auto" w:fill="auto"/>
            <w:noWrap/>
            <w:vAlign w:val="center"/>
          </w:tcPr>
          <w:p w14:paraId="572BA04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197D41C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26" w:type="dxa"/>
            <w:shd w:val="clear" w:color="auto" w:fill="auto"/>
            <w:noWrap/>
            <w:vAlign w:val="center"/>
          </w:tcPr>
          <w:p w14:paraId="3FBC24D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26" w:type="dxa"/>
            <w:shd w:val="clear" w:color="auto" w:fill="auto"/>
            <w:noWrap/>
            <w:vAlign w:val="center"/>
          </w:tcPr>
          <w:p w14:paraId="63B0D89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3EBA382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77160F0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16" w:type="dxa"/>
            <w:shd w:val="clear" w:color="auto" w:fill="auto"/>
            <w:noWrap/>
            <w:vAlign w:val="center"/>
          </w:tcPr>
          <w:p w14:paraId="5975DBD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r>
      <w:tr w14:paraId="4F1A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00" w:type="dxa"/>
            <w:shd w:val="clear" w:color="auto" w:fill="auto"/>
            <w:noWrap/>
            <w:vAlign w:val="center"/>
          </w:tcPr>
          <w:p w14:paraId="426F96A8">
            <w:pPr>
              <w:widowControl/>
              <w:jc w:val="center"/>
              <w:rPr>
                <w:rFonts w:ascii="宋体" w:hAnsi="宋体" w:cs="宋体"/>
                <w:bCs/>
                <w:color w:val="000000"/>
                <w:kern w:val="0"/>
                <w:sz w:val="18"/>
                <w:szCs w:val="18"/>
              </w:rPr>
            </w:pPr>
            <w:r>
              <w:rPr>
                <w:rFonts w:hint="eastAsia" w:ascii="宋体" w:hAnsi="宋体" w:cs="宋体"/>
                <w:bCs/>
                <w:color w:val="000000"/>
                <w:kern w:val="0"/>
                <w:sz w:val="18"/>
                <w:szCs w:val="18"/>
              </w:rPr>
              <w:t>舍块乡</w:t>
            </w:r>
          </w:p>
        </w:tc>
        <w:tc>
          <w:tcPr>
            <w:tcW w:w="1026" w:type="dxa"/>
            <w:shd w:val="clear" w:color="auto" w:fill="auto"/>
            <w:noWrap/>
            <w:vAlign w:val="center"/>
          </w:tcPr>
          <w:p w14:paraId="3299882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42CA435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26" w:type="dxa"/>
            <w:shd w:val="clear" w:color="auto" w:fill="auto"/>
            <w:noWrap/>
            <w:vAlign w:val="center"/>
          </w:tcPr>
          <w:p w14:paraId="4862B67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16DA878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26" w:type="dxa"/>
            <w:shd w:val="clear" w:color="auto" w:fill="auto"/>
            <w:noWrap/>
            <w:vAlign w:val="center"/>
          </w:tcPr>
          <w:p w14:paraId="34829E6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26" w:type="dxa"/>
            <w:shd w:val="clear" w:color="auto" w:fill="auto"/>
            <w:noWrap/>
            <w:vAlign w:val="center"/>
          </w:tcPr>
          <w:p w14:paraId="4B09876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6B336E5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47C8AAC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16" w:type="dxa"/>
            <w:shd w:val="clear" w:color="auto" w:fill="auto"/>
            <w:noWrap/>
            <w:vAlign w:val="center"/>
          </w:tcPr>
          <w:p w14:paraId="6A196BB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r>
      <w:tr w14:paraId="5C38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00" w:type="dxa"/>
            <w:shd w:val="clear" w:color="auto" w:fill="auto"/>
            <w:noWrap/>
            <w:vAlign w:val="center"/>
          </w:tcPr>
          <w:p w14:paraId="16E80EC3">
            <w:pPr>
              <w:widowControl/>
              <w:jc w:val="center"/>
              <w:rPr>
                <w:rFonts w:ascii="宋体" w:hAnsi="宋体" w:cs="宋体"/>
                <w:bCs/>
                <w:color w:val="000000"/>
                <w:kern w:val="0"/>
                <w:sz w:val="18"/>
                <w:szCs w:val="18"/>
              </w:rPr>
            </w:pPr>
            <w:r>
              <w:rPr>
                <w:rFonts w:hint="eastAsia" w:ascii="宋体" w:hAnsi="宋体" w:cs="宋体"/>
                <w:bCs/>
                <w:color w:val="000000"/>
                <w:kern w:val="0"/>
                <w:sz w:val="18"/>
                <w:szCs w:val="18"/>
              </w:rPr>
              <w:t>汤丹镇</w:t>
            </w:r>
          </w:p>
        </w:tc>
        <w:tc>
          <w:tcPr>
            <w:tcW w:w="1026" w:type="dxa"/>
            <w:shd w:val="clear" w:color="auto" w:fill="auto"/>
            <w:noWrap/>
            <w:vAlign w:val="center"/>
          </w:tcPr>
          <w:p w14:paraId="13A37B8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77.25 </w:t>
            </w:r>
          </w:p>
        </w:tc>
        <w:tc>
          <w:tcPr>
            <w:tcW w:w="936" w:type="dxa"/>
            <w:shd w:val="clear" w:color="auto" w:fill="auto"/>
            <w:noWrap/>
            <w:vAlign w:val="center"/>
          </w:tcPr>
          <w:p w14:paraId="549A8C8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26" w:type="dxa"/>
            <w:shd w:val="clear" w:color="auto" w:fill="auto"/>
            <w:noWrap/>
            <w:vAlign w:val="center"/>
          </w:tcPr>
          <w:p w14:paraId="09BA477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17.34 </w:t>
            </w:r>
          </w:p>
        </w:tc>
        <w:tc>
          <w:tcPr>
            <w:tcW w:w="936" w:type="dxa"/>
            <w:shd w:val="clear" w:color="auto" w:fill="auto"/>
            <w:noWrap/>
            <w:vAlign w:val="center"/>
          </w:tcPr>
          <w:p w14:paraId="2CDDF3C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48.32 </w:t>
            </w:r>
          </w:p>
        </w:tc>
        <w:tc>
          <w:tcPr>
            <w:tcW w:w="1026" w:type="dxa"/>
            <w:shd w:val="clear" w:color="auto" w:fill="auto"/>
            <w:noWrap/>
            <w:vAlign w:val="center"/>
          </w:tcPr>
          <w:p w14:paraId="7328554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79.04 </w:t>
            </w:r>
          </w:p>
        </w:tc>
        <w:tc>
          <w:tcPr>
            <w:tcW w:w="1026" w:type="dxa"/>
            <w:shd w:val="clear" w:color="auto" w:fill="auto"/>
            <w:noWrap/>
            <w:vAlign w:val="center"/>
          </w:tcPr>
          <w:p w14:paraId="27F128A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29D48AA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8.99 </w:t>
            </w:r>
          </w:p>
        </w:tc>
        <w:tc>
          <w:tcPr>
            <w:tcW w:w="936" w:type="dxa"/>
            <w:shd w:val="clear" w:color="auto" w:fill="auto"/>
            <w:noWrap/>
            <w:vAlign w:val="center"/>
          </w:tcPr>
          <w:p w14:paraId="67EE07A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1.19 </w:t>
            </w:r>
          </w:p>
        </w:tc>
        <w:tc>
          <w:tcPr>
            <w:tcW w:w="1116" w:type="dxa"/>
            <w:shd w:val="clear" w:color="auto" w:fill="auto"/>
            <w:noWrap/>
            <w:vAlign w:val="center"/>
          </w:tcPr>
          <w:p w14:paraId="4524CC7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232.13 </w:t>
            </w:r>
          </w:p>
        </w:tc>
      </w:tr>
      <w:tr w14:paraId="22B9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00" w:type="dxa"/>
            <w:shd w:val="clear" w:color="auto" w:fill="auto"/>
            <w:noWrap/>
            <w:vAlign w:val="center"/>
          </w:tcPr>
          <w:p w14:paraId="194EEC16">
            <w:pPr>
              <w:widowControl/>
              <w:jc w:val="center"/>
              <w:rPr>
                <w:rFonts w:ascii="宋体" w:hAnsi="宋体" w:cs="宋体"/>
                <w:bCs/>
                <w:color w:val="000000"/>
                <w:kern w:val="0"/>
                <w:sz w:val="18"/>
                <w:szCs w:val="18"/>
              </w:rPr>
            </w:pPr>
            <w:r>
              <w:rPr>
                <w:rFonts w:hint="eastAsia" w:ascii="宋体" w:hAnsi="宋体" w:cs="宋体"/>
                <w:bCs/>
                <w:color w:val="000000"/>
                <w:kern w:val="0"/>
                <w:sz w:val="18"/>
                <w:szCs w:val="18"/>
              </w:rPr>
              <w:t>铜都街道</w:t>
            </w:r>
          </w:p>
        </w:tc>
        <w:tc>
          <w:tcPr>
            <w:tcW w:w="1026" w:type="dxa"/>
            <w:shd w:val="clear" w:color="auto" w:fill="auto"/>
            <w:noWrap/>
            <w:vAlign w:val="center"/>
          </w:tcPr>
          <w:p w14:paraId="6D9B6DA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91.13 </w:t>
            </w:r>
          </w:p>
        </w:tc>
        <w:tc>
          <w:tcPr>
            <w:tcW w:w="936" w:type="dxa"/>
            <w:shd w:val="clear" w:color="auto" w:fill="auto"/>
            <w:noWrap/>
            <w:vAlign w:val="center"/>
          </w:tcPr>
          <w:p w14:paraId="0D50AEC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1.67 </w:t>
            </w:r>
          </w:p>
        </w:tc>
        <w:tc>
          <w:tcPr>
            <w:tcW w:w="1026" w:type="dxa"/>
            <w:shd w:val="clear" w:color="auto" w:fill="auto"/>
            <w:noWrap/>
            <w:vAlign w:val="center"/>
          </w:tcPr>
          <w:p w14:paraId="0A71867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221.64 </w:t>
            </w:r>
          </w:p>
        </w:tc>
        <w:tc>
          <w:tcPr>
            <w:tcW w:w="936" w:type="dxa"/>
            <w:shd w:val="clear" w:color="auto" w:fill="auto"/>
            <w:noWrap/>
            <w:vAlign w:val="center"/>
          </w:tcPr>
          <w:p w14:paraId="7484FDA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36.73 </w:t>
            </w:r>
          </w:p>
        </w:tc>
        <w:tc>
          <w:tcPr>
            <w:tcW w:w="1026" w:type="dxa"/>
            <w:shd w:val="clear" w:color="auto" w:fill="auto"/>
            <w:noWrap/>
            <w:vAlign w:val="center"/>
          </w:tcPr>
          <w:p w14:paraId="4F91125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164.16 </w:t>
            </w:r>
          </w:p>
        </w:tc>
        <w:tc>
          <w:tcPr>
            <w:tcW w:w="1026" w:type="dxa"/>
            <w:shd w:val="clear" w:color="auto" w:fill="auto"/>
            <w:noWrap/>
            <w:vAlign w:val="center"/>
          </w:tcPr>
          <w:p w14:paraId="160B23C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136.89 </w:t>
            </w:r>
          </w:p>
        </w:tc>
        <w:tc>
          <w:tcPr>
            <w:tcW w:w="936" w:type="dxa"/>
            <w:shd w:val="clear" w:color="auto" w:fill="auto"/>
            <w:noWrap/>
            <w:vAlign w:val="center"/>
          </w:tcPr>
          <w:p w14:paraId="1A261E7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6.87 </w:t>
            </w:r>
          </w:p>
        </w:tc>
        <w:tc>
          <w:tcPr>
            <w:tcW w:w="936" w:type="dxa"/>
            <w:shd w:val="clear" w:color="auto" w:fill="auto"/>
            <w:noWrap/>
            <w:vAlign w:val="center"/>
          </w:tcPr>
          <w:p w14:paraId="413F56D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12.47 </w:t>
            </w:r>
          </w:p>
        </w:tc>
        <w:tc>
          <w:tcPr>
            <w:tcW w:w="1116" w:type="dxa"/>
            <w:shd w:val="clear" w:color="auto" w:fill="auto"/>
            <w:noWrap/>
            <w:vAlign w:val="center"/>
          </w:tcPr>
          <w:p w14:paraId="55B13FD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671.56 </w:t>
            </w:r>
          </w:p>
        </w:tc>
      </w:tr>
      <w:tr w14:paraId="67E9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00" w:type="dxa"/>
            <w:shd w:val="clear" w:color="auto" w:fill="auto"/>
            <w:noWrap/>
            <w:vAlign w:val="center"/>
          </w:tcPr>
          <w:p w14:paraId="79E7CA7A">
            <w:pPr>
              <w:widowControl/>
              <w:jc w:val="center"/>
              <w:rPr>
                <w:rFonts w:ascii="宋体" w:hAnsi="宋体" w:cs="宋体"/>
                <w:bCs/>
                <w:color w:val="000000"/>
                <w:kern w:val="0"/>
                <w:sz w:val="18"/>
                <w:szCs w:val="18"/>
              </w:rPr>
            </w:pPr>
            <w:r>
              <w:rPr>
                <w:rFonts w:hint="eastAsia" w:ascii="宋体" w:hAnsi="宋体" w:cs="宋体"/>
                <w:bCs/>
                <w:color w:val="000000"/>
                <w:kern w:val="0"/>
                <w:sz w:val="18"/>
                <w:szCs w:val="18"/>
              </w:rPr>
              <w:t>拖布卡镇</w:t>
            </w:r>
          </w:p>
        </w:tc>
        <w:tc>
          <w:tcPr>
            <w:tcW w:w="1026" w:type="dxa"/>
            <w:shd w:val="clear" w:color="auto" w:fill="auto"/>
            <w:noWrap/>
            <w:vAlign w:val="center"/>
          </w:tcPr>
          <w:p w14:paraId="74E0D37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244.52 </w:t>
            </w:r>
          </w:p>
        </w:tc>
        <w:tc>
          <w:tcPr>
            <w:tcW w:w="936" w:type="dxa"/>
            <w:shd w:val="clear" w:color="auto" w:fill="auto"/>
            <w:noWrap/>
            <w:vAlign w:val="center"/>
          </w:tcPr>
          <w:p w14:paraId="311367D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11.23 </w:t>
            </w:r>
          </w:p>
        </w:tc>
        <w:tc>
          <w:tcPr>
            <w:tcW w:w="1026" w:type="dxa"/>
            <w:shd w:val="clear" w:color="auto" w:fill="auto"/>
            <w:noWrap/>
            <w:vAlign w:val="center"/>
          </w:tcPr>
          <w:p w14:paraId="7E567FC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15.72 </w:t>
            </w:r>
          </w:p>
        </w:tc>
        <w:tc>
          <w:tcPr>
            <w:tcW w:w="936" w:type="dxa"/>
            <w:shd w:val="clear" w:color="auto" w:fill="auto"/>
            <w:noWrap/>
            <w:vAlign w:val="center"/>
          </w:tcPr>
          <w:p w14:paraId="3F7512C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26" w:type="dxa"/>
            <w:shd w:val="clear" w:color="auto" w:fill="auto"/>
            <w:noWrap/>
            <w:vAlign w:val="center"/>
          </w:tcPr>
          <w:p w14:paraId="2F8329F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0.96 </w:t>
            </w:r>
          </w:p>
        </w:tc>
        <w:tc>
          <w:tcPr>
            <w:tcW w:w="1026" w:type="dxa"/>
            <w:shd w:val="clear" w:color="auto" w:fill="auto"/>
            <w:noWrap/>
            <w:vAlign w:val="center"/>
          </w:tcPr>
          <w:p w14:paraId="3D08372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0.01 </w:t>
            </w:r>
          </w:p>
        </w:tc>
        <w:tc>
          <w:tcPr>
            <w:tcW w:w="936" w:type="dxa"/>
            <w:shd w:val="clear" w:color="auto" w:fill="auto"/>
            <w:noWrap/>
            <w:vAlign w:val="center"/>
          </w:tcPr>
          <w:p w14:paraId="5EEB467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64AE139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16" w:type="dxa"/>
            <w:shd w:val="clear" w:color="auto" w:fill="auto"/>
            <w:noWrap/>
            <w:vAlign w:val="center"/>
          </w:tcPr>
          <w:p w14:paraId="0F2B055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272.44 </w:t>
            </w:r>
          </w:p>
        </w:tc>
      </w:tr>
      <w:tr w14:paraId="4000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00" w:type="dxa"/>
            <w:shd w:val="clear" w:color="auto" w:fill="auto"/>
            <w:noWrap/>
            <w:vAlign w:val="center"/>
          </w:tcPr>
          <w:p w14:paraId="1071BF32">
            <w:pPr>
              <w:widowControl/>
              <w:jc w:val="center"/>
              <w:rPr>
                <w:rFonts w:ascii="宋体" w:hAnsi="宋体" w:cs="宋体"/>
                <w:bCs/>
                <w:color w:val="000000"/>
                <w:kern w:val="0"/>
                <w:sz w:val="18"/>
                <w:szCs w:val="18"/>
              </w:rPr>
            </w:pPr>
            <w:r>
              <w:rPr>
                <w:rFonts w:hint="eastAsia" w:ascii="宋体" w:hAnsi="宋体" w:cs="宋体"/>
                <w:bCs/>
                <w:color w:val="000000"/>
                <w:kern w:val="0"/>
                <w:sz w:val="18"/>
                <w:szCs w:val="18"/>
              </w:rPr>
              <w:t>乌龙镇</w:t>
            </w:r>
          </w:p>
        </w:tc>
        <w:tc>
          <w:tcPr>
            <w:tcW w:w="1026" w:type="dxa"/>
            <w:shd w:val="clear" w:color="auto" w:fill="auto"/>
            <w:noWrap/>
            <w:vAlign w:val="center"/>
          </w:tcPr>
          <w:p w14:paraId="7AAE619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099CA80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26" w:type="dxa"/>
            <w:shd w:val="clear" w:color="auto" w:fill="auto"/>
            <w:noWrap/>
            <w:vAlign w:val="center"/>
          </w:tcPr>
          <w:p w14:paraId="191F084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30.21 </w:t>
            </w:r>
          </w:p>
        </w:tc>
        <w:tc>
          <w:tcPr>
            <w:tcW w:w="936" w:type="dxa"/>
            <w:shd w:val="clear" w:color="auto" w:fill="auto"/>
            <w:noWrap/>
            <w:vAlign w:val="center"/>
          </w:tcPr>
          <w:p w14:paraId="2F2B65E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26" w:type="dxa"/>
            <w:shd w:val="clear" w:color="auto" w:fill="auto"/>
            <w:noWrap/>
            <w:vAlign w:val="center"/>
          </w:tcPr>
          <w:p w14:paraId="3E084BF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13.48 </w:t>
            </w:r>
          </w:p>
        </w:tc>
        <w:tc>
          <w:tcPr>
            <w:tcW w:w="1026" w:type="dxa"/>
            <w:shd w:val="clear" w:color="auto" w:fill="auto"/>
            <w:noWrap/>
            <w:vAlign w:val="center"/>
          </w:tcPr>
          <w:p w14:paraId="24F3D39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5.82 </w:t>
            </w:r>
          </w:p>
        </w:tc>
        <w:tc>
          <w:tcPr>
            <w:tcW w:w="936" w:type="dxa"/>
            <w:shd w:val="clear" w:color="auto" w:fill="auto"/>
            <w:noWrap/>
            <w:vAlign w:val="center"/>
          </w:tcPr>
          <w:p w14:paraId="5569E18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2.43 </w:t>
            </w:r>
          </w:p>
        </w:tc>
        <w:tc>
          <w:tcPr>
            <w:tcW w:w="936" w:type="dxa"/>
            <w:shd w:val="clear" w:color="auto" w:fill="auto"/>
            <w:noWrap/>
            <w:vAlign w:val="center"/>
          </w:tcPr>
          <w:p w14:paraId="43417A3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0.03 </w:t>
            </w:r>
          </w:p>
        </w:tc>
        <w:tc>
          <w:tcPr>
            <w:tcW w:w="1116" w:type="dxa"/>
            <w:shd w:val="clear" w:color="auto" w:fill="auto"/>
            <w:noWrap/>
            <w:vAlign w:val="center"/>
          </w:tcPr>
          <w:p w14:paraId="078C1F9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51.97 </w:t>
            </w:r>
          </w:p>
        </w:tc>
      </w:tr>
      <w:tr w14:paraId="41D4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00" w:type="dxa"/>
            <w:shd w:val="clear" w:color="auto" w:fill="auto"/>
            <w:noWrap/>
            <w:vAlign w:val="center"/>
          </w:tcPr>
          <w:p w14:paraId="2F7973F2">
            <w:pPr>
              <w:widowControl/>
              <w:jc w:val="center"/>
              <w:rPr>
                <w:rFonts w:ascii="宋体" w:hAnsi="宋体" w:cs="宋体"/>
                <w:bCs/>
                <w:color w:val="000000"/>
                <w:kern w:val="0"/>
                <w:sz w:val="18"/>
                <w:szCs w:val="18"/>
              </w:rPr>
            </w:pPr>
            <w:r>
              <w:rPr>
                <w:rFonts w:hint="eastAsia" w:ascii="宋体" w:hAnsi="宋体" w:cs="宋体"/>
                <w:bCs/>
                <w:color w:val="000000"/>
                <w:kern w:val="0"/>
                <w:sz w:val="18"/>
                <w:szCs w:val="18"/>
              </w:rPr>
              <w:t>因民镇</w:t>
            </w:r>
          </w:p>
        </w:tc>
        <w:tc>
          <w:tcPr>
            <w:tcW w:w="1026" w:type="dxa"/>
            <w:shd w:val="clear" w:color="auto" w:fill="auto"/>
            <w:noWrap/>
            <w:vAlign w:val="center"/>
          </w:tcPr>
          <w:p w14:paraId="451697D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2BA7822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26" w:type="dxa"/>
            <w:shd w:val="clear" w:color="auto" w:fill="auto"/>
            <w:noWrap/>
            <w:vAlign w:val="center"/>
          </w:tcPr>
          <w:p w14:paraId="2E9223B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6360656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26" w:type="dxa"/>
            <w:shd w:val="clear" w:color="auto" w:fill="auto"/>
            <w:noWrap/>
            <w:vAlign w:val="center"/>
          </w:tcPr>
          <w:p w14:paraId="6953058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26" w:type="dxa"/>
            <w:shd w:val="clear" w:color="auto" w:fill="auto"/>
            <w:noWrap/>
            <w:vAlign w:val="center"/>
          </w:tcPr>
          <w:p w14:paraId="7B7F779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39B7D7C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36" w:type="dxa"/>
            <w:shd w:val="clear" w:color="auto" w:fill="auto"/>
            <w:noWrap/>
            <w:vAlign w:val="center"/>
          </w:tcPr>
          <w:p w14:paraId="64B80D2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16" w:type="dxa"/>
            <w:shd w:val="clear" w:color="auto" w:fill="auto"/>
            <w:noWrap/>
            <w:vAlign w:val="center"/>
          </w:tcPr>
          <w:p w14:paraId="5BDC4B4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r>
      <w:tr w14:paraId="36DC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00" w:type="dxa"/>
            <w:shd w:val="clear" w:color="auto" w:fill="auto"/>
            <w:noWrap/>
            <w:vAlign w:val="center"/>
          </w:tcPr>
          <w:p w14:paraId="7549AAF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行政区名称</w:t>
            </w:r>
          </w:p>
        </w:tc>
        <w:tc>
          <w:tcPr>
            <w:tcW w:w="1026" w:type="dxa"/>
            <w:shd w:val="clear" w:color="auto" w:fill="auto"/>
            <w:noWrap/>
            <w:vAlign w:val="center"/>
          </w:tcPr>
          <w:p w14:paraId="002E46F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6等</w:t>
            </w:r>
          </w:p>
        </w:tc>
        <w:tc>
          <w:tcPr>
            <w:tcW w:w="936" w:type="dxa"/>
            <w:shd w:val="clear" w:color="auto" w:fill="auto"/>
            <w:noWrap/>
            <w:vAlign w:val="center"/>
          </w:tcPr>
          <w:p w14:paraId="3B66D5C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7等</w:t>
            </w:r>
          </w:p>
        </w:tc>
        <w:tc>
          <w:tcPr>
            <w:tcW w:w="1026" w:type="dxa"/>
            <w:shd w:val="clear" w:color="auto" w:fill="auto"/>
            <w:noWrap/>
            <w:vAlign w:val="center"/>
          </w:tcPr>
          <w:p w14:paraId="63AFD5F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8等</w:t>
            </w:r>
          </w:p>
        </w:tc>
        <w:tc>
          <w:tcPr>
            <w:tcW w:w="936" w:type="dxa"/>
            <w:shd w:val="clear" w:color="auto" w:fill="auto"/>
            <w:noWrap/>
            <w:vAlign w:val="center"/>
          </w:tcPr>
          <w:p w14:paraId="45BCC87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9等</w:t>
            </w:r>
          </w:p>
        </w:tc>
        <w:tc>
          <w:tcPr>
            <w:tcW w:w="1026" w:type="dxa"/>
            <w:shd w:val="clear" w:color="auto" w:fill="auto"/>
            <w:noWrap/>
            <w:vAlign w:val="center"/>
          </w:tcPr>
          <w:p w14:paraId="4BB6A8F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10等</w:t>
            </w:r>
          </w:p>
        </w:tc>
        <w:tc>
          <w:tcPr>
            <w:tcW w:w="1026" w:type="dxa"/>
            <w:shd w:val="clear" w:color="auto" w:fill="auto"/>
            <w:noWrap/>
            <w:vAlign w:val="center"/>
          </w:tcPr>
          <w:p w14:paraId="1597755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11等</w:t>
            </w:r>
          </w:p>
        </w:tc>
        <w:tc>
          <w:tcPr>
            <w:tcW w:w="936" w:type="dxa"/>
            <w:shd w:val="clear" w:color="auto" w:fill="auto"/>
            <w:noWrap/>
            <w:vAlign w:val="center"/>
          </w:tcPr>
          <w:p w14:paraId="2DFBB14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12等</w:t>
            </w:r>
          </w:p>
        </w:tc>
        <w:tc>
          <w:tcPr>
            <w:tcW w:w="936" w:type="dxa"/>
            <w:shd w:val="clear" w:color="auto" w:fill="auto"/>
            <w:noWrap/>
            <w:vAlign w:val="center"/>
          </w:tcPr>
          <w:p w14:paraId="653AD31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13等</w:t>
            </w:r>
          </w:p>
        </w:tc>
        <w:tc>
          <w:tcPr>
            <w:tcW w:w="1116" w:type="dxa"/>
            <w:shd w:val="clear" w:color="auto" w:fill="auto"/>
            <w:noWrap/>
            <w:vAlign w:val="center"/>
          </w:tcPr>
          <w:p w14:paraId="4AA3C75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合计</w:t>
            </w:r>
          </w:p>
        </w:tc>
      </w:tr>
      <w:tr w14:paraId="7A32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00" w:type="dxa"/>
            <w:shd w:val="clear" w:color="auto" w:fill="auto"/>
            <w:noWrap/>
            <w:vAlign w:val="center"/>
          </w:tcPr>
          <w:p w14:paraId="7E9B3C79">
            <w:pPr>
              <w:widowControl/>
              <w:jc w:val="center"/>
              <w:rPr>
                <w:rFonts w:ascii="宋体" w:hAnsi="宋体" w:cs="宋体"/>
                <w:bCs/>
                <w:color w:val="000000"/>
                <w:kern w:val="0"/>
                <w:sz w:val="18"/>
                <w:szCs w:val="18"/>
              </w:rPr>
            </w:pPr>
            <w:r>
              <w:rPr>
                <w:rFonts w:hint="eastAsia" w:ascii="宋体" w:hAnsi="宋体" w:cs="宋体"/>
                <w:bCs/>
                <w:color w:val="000000"/>
                <w:kern w:val="0"/>
                <w:sz w:val="18"/>
                <w:szCs w:val="18"/>
              </w:rPr>
              <w:t>东川区</w:t>
            </w:r>
          </w:p>
        </w:tc>
        <w:tc>
          <w:tcPr>
            <w:tcW w:w="1026" w:type="dxa"/>
            <w:shd w:val="clear" w:color="auto" w:fill="auto"/>
            <w:noWrap/>
            <w:vAlign w:val="center"/>
          </w:tcPr>
          <w:p w14:paraId="13EC8D2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469.44 </w:t>
            </w:r>
          </w:p>
        </w:tc>
        <w:tc>
          <w:tcPr>
            <w:tcW w:w="936" w:type="dxa"/>
            <w:shd w:val="clear" w:color="auto" w:fill="auto"/>
            <w:noWrap/>
            <w:vAlign w:val="center"/>
          </w:tcPr>
          <w:p w14:paraId="42B4CC5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18.14 </w:t>
            </w:r>
          </w:p>
        </w:tc>
        <w:tc>
          <w:tcPr>
            <w:tcW w:w="1026" w:type="dxa"/>
            <w:shd w:val="clear" w:color="auto" w:fill="auto"/>
            <w:noWrap/>
            <w:vAlign w:val="center"/>
          </w:tcPr>
          <w:p w14:paraId="231701A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334.97 </w:t>
            </w:r>
          </w:p>
        </w:tc>
        <w:tc>
          <w:tcPr>
            <w:tcW w:w="936" w:type="dxa"/>
            <w:shd w:val="clear" w:color="auto" w:fill="auto"/>
            <w:noWrap/>
            <w:vAlign w:val="center"/>
          </w:tcPr>
          <w:p w14:paraId="12F312C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85.17 </w:t>
            </w:r>
          </w:p>
        </w:tc>
        <w:tc>
          <w:tcPr>
            <w:tcW w:w="1026" w:type="dxa"/>
            <w:shd w:val="clear" w:color="auto" w:fill="auto"/>
            <w:noWrap/>
            <w:vAlign w:val="center"/>
          </w:tcPr>
          <w:p w14:paraId="6519FB1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265.67 </w:t>
            </w:r>
          </w:p>
        </w:tc>
        <w:tc>
          <w:tcPr>
            <w:tcW w:w="1026" w:type="dxa"/>
            <w:shd w:val="clear" w:color="auto" w:fill="auto"/>
            <w:noWrap/>
            <w:vAlign w:val="center"/>
          </w:tcPr>
          <w:p w14:paraId="3E751E8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143.07 </w:t>
            </w:r>
          </w:p>
        </w:tc>
        <w:tc>
          <w:tcPr>
            <w:tcW w:w="936" w:type="dxa"/>
            <w:shd w:val="clear" w:color="auto" w:fill="auto"/>
            <w:noWrap/>
            <w:vAlign w:val="center"/>
          </w:tcPr>
          <w:p w14:paraId="47D740B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18.29 </w:t>
            </w:r>
          </w:p>
        </w:tc>
        <w:tc>
          <w:tcPr>
            <w:tcW w:w="936" w:type="dxa"/>
            <w:shd w:val="clear" w:color="auto" w:fill="auto"/>
            <w:noWrap/>
            <w:vAlign w:val="center"/>
          </w:tcPr>
          <w:p w14:paraId="3151B62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13.69 </w:t>
            </w:r>
          </w:p>
        </w:tc>
        <w:tc>
          <w:tcPr>
            <w:tcW w:w="1116" w:type="dxa"/>
            <w:shd w:val="clear" w:color="auto" w:fill="auto"/>
            <w:noWrap/>
            <w:vAlign w:val="center"/>
          </w:tcPr>
          <w:p w14:paraId="799316D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1348.44 </w:t>
            </w:r>
          </w:p>
        </w:tc>
      </w:tr>
      <w:tr w14:paraId="0BC8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00" w:type="dxa"/>
            <w:shd w:val="clear" w:color="auto" w:fill="auto"/>
            <w:noWrap/>
            <w:vAlign w:val="center"/>
          </w:tcPr>
          <w:p w14:paraId="49B6D448">
            <w:pPr>
              <w:widowControl/>
              <w:jc w:val="center"/>
              <w:rPr>
                <w:rFonts w:ascii="宋体" w:hAnsi="宋体" w:cs="宋体"/>
                <w:bCs/>
                <w:color w:val="000000"/>
                <w:kern w:val="0"/>
                <w:sz w:val="18"/>
                <w:szCs w:val="18"/>
              </w:rPr>
            </w:pPr>
            <w:r>
              <w:rPr>
                <w:rFonts w:hint="eastAsia" w:ascii="宋体" w:hAnsi="宋体" w:cs="宋体"/>
                <w:bCs/>
                <w:color w:val="000000"/>
                <w:kern w:val="0"/>
                <w:sz w:val="18"/>
                <w:szCs w:val="18"/>
              </w:rPr>
              <w:t>比例</w:t>
            </w:r>
          </w:p>
        </w:tc>
        <w:tc>
          <w:tcPr>
            <w:tcW w:w="1026" w:type="dxa"/>
            <w:shd w:val="clear" w:color="auto" w:fill="auto"/>
            <w:noWrap/>
            <w:vAlign w:val="center"/>
          </w:tcPr>
          <w:p w14:paraId="4DBEB247">
            <w:pPr>
              <w:widowControl/>
              <w:jc w:val="center"/>
              <w:rPr>
                <w:rFonts w:ascii="宋体" w:hAnsi="宋体" w:cs="宋体"/>
                <w:color w:val="000000"/>
                <w:kern w:val="0"/>
                <w:sz w:val="18"/>
                <w:szCs w:val="18"/>
              </w:rPr>
            </w:pPr>
            <w:r>
              <w:rPr>
                <w:rFonts w:hint="eastAsia" w:ascii="宋体" w:hAnsi="宋体" w:cs="宋体"/>
                <w:color w:val="000000"/>
                <w:kern w:val="0"/>
                <w:sz w:val="18"/>
                <w:szCs w:val="18"/>
              </w:rPr>
              <w:t>34.81%</w:t>
            </w:r>
          </w:p>
        </w:tc>
        <w:tc>
          <w:tcPr>
            <w:tcW w:w="936" w:type="dxa"/>
            <w:shd w:val="clear" w:color="auto" w:fill="auto"/>
            <w:noWrap/>
            <w:vAlign w:val="center"/>
          </w:tcPr>
          <w:p w14:paraId="4D868162">
            <w:pPr>
              <w:widowControl/>
              <w:jc w:val="center"/>
              <w:rPr>
                <w:rFonts w:ascii="宋体" w:hAnsi="宋体" w:cs="宋体"/>
                <w:color w:val="000000"/>
                <w:kern w:val="0"/>
                <w:sz w:val="18"/>
                <w:szCs w:val="18"/>
              </w:rPr>
            </w:pPr>
            <w:r>
              <w:rPr>
                <w:rFonts w:hint="eastAsia" w:ascii="宋体" w:hAnsi="宋体" w:cs="宋体"/>
                <w:color w:val="000000"/>
                <w:kern w:val="0"/>
                <w:sz w:val="18"/>
                <w:szCs w:val="18"/>
              </w:rPr>
              <w:t>1.35%</w:t>
            </w:r>
          </w:p>
        </w:tc>
        <w:tc>
          <w:tcPr>
            <w:tcW w:w="1026" w:type="dxa"/>
            <w:shd w:val="clear" w:color="auto" w:fill="auto"/>
            <w:noWrap/>
            <w:vAlign w:val="center"/>
          </w:tcPr>
          <w:p w14:paraId="7D659E8A">
            <w:pPr>
              <w:widowControl/>
              <w:jc w:val="center"/>
              <w:rPr>
                <w:rFonts w:ascii="宋体" w:hAnsi="宋体" w:cs="宋体"/>
                <w:color w:val="000000"/>
                <w:kern w:val="0"/>
                <w:sz w:val="18"/>
                <w:szCs w:val="18"/>
              </w:rPr>
            </w:pPr>
            <w:r>
              <w:rPr>
                <w:rFonts w:hint="eastAsia" w:ascii="宋体" w:hAnsi="宋体" w:cs="宋体"/>
                <w:color w:val="000000"/>
                <w:kern w:val="0"/>
                <w:sz w:val="18"/>
                <w:szCs w:val="18"/>
              </w:rPr>
              <w:t>24.84%</w:t>
            </w:r>
          </w:p>
        </w:tc>
        <w:tc>
          <w:tcPr>
            <w:tcW w:w="936" w:type="dxa"/>
            <w:shd w:val="clear" w:color="auto" w:fill="auto"/>
            <w:noWrap/>
            <w:vAlign w:val="center"/>
          </w:tcPr>
          <w:p w14:paraId="1D39EC87">
            <w:pPr>
              <w:widowControl/>
              <w:jc w:val="center"/>
              <w:rPr>
                <w:rFonts w:ascii="宋体" w:hAnsi="宋体" w:cs="宋体"/>
                <w:color w:val="000000"/>
                <w:kern w:val="0"/>
                <w:sz w:val="18"/>
                <w:szCs w:val="18"/>
              </w:rPr>
            </w:pPr>
            <w:r>
              <w:rPr>
                <w:rFonts w:hint="eastAsia" w:ascii="宋体" w:hAnsi="宋体" w:cs="宋体"/>
                <w:color w:val="000000"/>
                <w:kern w:val="0"/>
                <w:sz w:val="18"/>
                <w:szCs w:val="18"/>
              </w:rPr>
              <w:t>6.32%</w:t>
            </w:r>
          </w:p>
        </w:tc>
        <w:tc>
          <w:tcPr>
            <w:tcW w:w="1026" w:type="dxa"/>
            <w:shd w:val="clear" w:color="auto" w:fill="auto"/>
            <w:noWrap/>
            <w:vAlign w:val="center"/>
          </w:tcPr>
          <w:p w14:paraId="0B9AA944">
            <w:pPr>
              <w:widowControl/>
              <w:jc w:val="center"/>
              <w:rPr>
                <w:rFonts w:ascii="宋体" w:hAnsi="宋体" w:cs="宋体"/>
                <w:color w:val="000000"/>
                <w:kern w:val="0"/>
                <w:sz w:val="18"/>
                <w:szCs w:val="18"/>
              </w:rPr>
            </w:pPr>
            <w:r>
              <w:rPr>
                <w:rFonts w:hint="eastAsia" w:ascii="宋体" w:hAnsi="宋体" w:cs="宋体"/>
                <w:color w:val="000000"/>
                <w:kern w:val="0"/>
                <w:sz w:val="18"/>
                <w:szCs w:val="18"/>
              </w:rPr>
              <w:t>19.70%</w:t>
            </w:r>
          </w:p>
        </w:tc>
        <w:tc>
          <w:tcPr>
            <w:tcW w:w="1026" w:type="dxa"/>
            <w:shd w:val="clear" w:color="auto" w:fill="auto"/>
            <w:noWrap/>
            <w:vAlign w:val="center"/>
          </w:tcPr>
          <w:p w14:paraId="0D0CC81A">
            <w:pPr>
              <w:widowControl/>
              <w:jc w:val="center"/>
              <w:rPr>
                <w:rFonts w:ascii="宋体" w:hAnsi="宋体" w:cs="宋体"/>
                <w:color w:val="000000"/>
                <w:kern w:val="0"/>
                <w:sz w:val="18"/>
                <w:szCs w:val="18"/>
              </w:rPr>
            </w:pPr>
            <w:r>
              <w:rPr>
                <w:rFonts w:hint="eastAsia" w:ascii="宋体" w:hAnsi="宋体" w:cs="宋体"/>
                <w:color w:val="000000"/>
                <w:kern w:val="0"/>
                <w:sz w:val="18"/>
                <w:szCs w:val="18"/>
              </w:rPr>
              <w:t>10.61%</w:t>
            </w:r>
          </w:p>
        </w:tc>
        <w:tc>
          <w:tcPr>
            <w:tcW w:w="936" w:type="dxa"/>
            <w:shd w:val="clear" w:color="auto" w:fill="auto"/>
            <w:noWrap/>
            <w:vAlign w:val="center"/>
          </w:tcPr>
          <w:p w14:paraId="74C54B02">
            <w:pPr>
              <w:widowControl/>
              <w:jc w:val="center"/>
              <w:rPr>
                <w:rFonts w:ascii="宋体" w:hAnsi="宋体" w:cs="宋体"/>
                <w:color w:val="000000"/>
                <w:kern w:val="0"/>
                <w:sz w:val="18"/>
                <w:szCs w:val="18"/>
              </w:rPr>
            </w:pPr>
            <w:r>
              <w:rPr>
                <w:rFonts w:hint="eastAsia" w:ascii="宋体" w:hAnsi="宋体" w:cs="宋体"/>
                <w:color w:val="000000"/>
                <w:kern w:val="0"/>
                <w:sz w:val="18"/>
                <w:szCs w:val="18"/>
              </w:rPr>
              <w:t>1.36%</w:t>
            </w:r>
          </w:p>
        </w:tc>
        <w:tc>
          <w:tcPr>
            <w:tcW w:w="936" w:type="dxa"/>
            <w:shd w:val="clear" w:color="auto" w:fill="auto"/>
            <w:noWrap/>
            <w:vAlign w:val="center"/>
          </w:tcPr>
          <w:p w14:paraId="7C2E9566">
            <w:pPr>
              <w:widowControl/>
              <w:jc w:val="center"/>
              <w:rPr>
                <w:rFonts w:ascii="宋体" w:hAnsi="宋体" w:cs="宋体"/>
                <w:color w:val="000000"/>
                <w:kern w:val="0"/>
                <w:sz w:val="18"/>
                <w:szCs w:val="18"/>
              </w:rPr>
            </w:pPr>
            <w:r>
              <w:rPr>
                <w:rFonts w:hint="eastAsia" w:ascii="宋体" w:hAnsi="宋体" w:cs="宋体"/>
                <w:color w:val="000000"/>
                <w:kern w:val="0"/>
                <w:sz w:val="18"/>
                <w:szCs w:val="18"/>
              </w:rPr>
              <w:t>1.02%</w:t>
            </w:r>
          </w:p>
        </w:tc>
        <w:tc>
          <w:tcPr>
            <w:tcW w:w="1116" w:type="dxa"/>
            <w:shd w:val="clear" w:color="auto" w:fill="auto"/>
            <w:noWrap/>
            <w:vAlign w:val="center"/>
          </w:tcPr>
          <w:p w14:paraId="10643DB3">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r>
    </w:tbl>
    <w:p w14:paraId="6B9EBC1B">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二、基本农田保护现状</w:t>
      </w:r>
    </w:p>
    <w:p w14:paraId="3E092500">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（一）全区基本农田保护现状</w:t>
      </w:r>
    </w:p>
    <w:p w14:paraId="16A1CB7B">
      <w:pPr>
        <w:pStyle w:val="78"/>
        <w:ind w:firstLine="560"/>
        <w:rPr>
          <w:rFonts w:ascii="仿宋_GB2312" w:hAnsi="宋体" w:eastAsia="仿宋_GB2312"/>
          <w:sz w:val="28"/>
          <w:szCs w:val="28"/>
        </w:rPr>
      </w:pPr>
      <w:r>
        <w:rPr>
          <w:rFonts w:hint="eastAsia" w:ascii="仿宋_GB2312" w:hAnsi="宋体" w:eastAsia="仿宋_GB2312"/>
          <w:sz w:val="28"/>
          <w:szCs w:val="28"/>
        </w:rPr>
        <w:t>根据东川区</w:t>
      </w:r>
      <w:r>
        <w:rPr>
          <w:rFonts w:ascii="仿宋_GB2312" w:hAnsi="宋体" w:eastAsia="仿宋_GB2312"/>
          <w:sz w:val="28"/>
          <w:szCs w:val="28"/>
        </w:rPr>
        <w:t xml:space="preserve"> 2014 </w:t>
      </w:r>
      <w:r>
        <w:rPr>
          <w:rFonts w:hint="eastAsia" w:ascii="仿宋_GB2312" w:hAnsi="宋体" w:eastAsia="仿宋_GB2312"/>
          <w:sz w:val="28"/>
          <w:szCs w:val="28"/>
        </w:rPr>
        <w:t>年度土地利用变更调查基本农田上图数据成果，东川区已有基本农田</w:t>
      </w:r>
      <w:r>
        <w:rPr>
          <w:rFonts w:ascii="仿宋_GB2312" w:hAnsi="宋体" w:eastAsia="仿宋_GB2312"/>
          <w:sz w:val="28"/>
          <w:szCs w:val="28"/>
        </w:rPr>
        <w:t xml:space="preserve">1927.52 </w:t>
      </w:r>
      <w:r>
        <w:rPr>
          <w:rFonts w:hint="eastAsia" w:ascii="仿宋_GB2312" w:hAnsi="宋体" w:eastAsia="仿宋_GB2312"/>
          <w:sz w:val="28"/>
          <w:szCs w:val="28"/>
        </w:rPr>
        <w:t>公顷，主要分布于双龙街道和松华街道内，面积共计</w:t>
      </w:r>
      <w:r>
        <w:rPr>
          <w:rFonts w:ascii="仿宋_GB2312" w:hAnsi="宋体" w:eastAsia="仿宋_GB2312"/>
          <w:sz w:val="28"/>
          <w:szCs w:val="28"/>
        </w:rPr>
        <w:t xml:space="preserve">1829.55 </w:t>
      </w:r>
      <w:r>
        <w:rPr>
          <w:rFonts w:hint="eastAsia" w:ascii="仿宋_GB2312" w:hAnsi="宋体" w:eastAsia="仿宋_GB2312"/>
          <w:sz w:val="28"/>
          <w:szCs w:val="28"/>
        </w:rPr>
        <w:t>公顷，占全区现状基本农田总面积的</w:t>
      </w:r>
      <w:r>
        <w:rPr>
          <w:rFonts w:ascii="仿宋_GB2312" w:hAnsi="宋体" w:eastAsia="仿宋_GB2312"/>
          <w:sz w:val="28"/>
          <w:szCs w:val="28"/>
        </w:rPr>
        <w:t>94.92%</w:t>
      </w:r>
      <w:r>
        <w:rPr>
          <w:rFonts w:hint="eastAsia" w:ascii="仿宋_GB2312" w:hAnsi="宋体" w:eastAsia="仿宋_GB2312"/>
          <w:sz w:val="28"/>
          <w:szCs w:val="28"/>
        </w:rPr>
        <w:t>。</w:t>
      </w:r>
    </w:p>
    <w:p w14:paraId="3CD637BA">
      <w:pPr>
        <w:pStyle w:val="78"/>
        <w:ind w:firstLine="560"/>
        <w:rPr>
          <w:rFonts w:ascii="仿宋_GB2312" w:hAnsi="宋体" w:eastAsia="仿宋_GB2312"/>
          <w:sz w:val="28"/>
          <w:szCs w:val="28"/>
        </w:rPr>
      </w:pPr>
      <w:r>
        <w:rPr>
          <w:rFonts w:hint="eastAsia" w:ascii="仿宋_GB2312" w:hAnsi="宋体" w:eastAsia="仿宋_GB2312"/>
          <w:sz w:val="28"/>
          <w:szCs w:val="28"/>
        </w:rPr>
        <w:t>从基本农田地类构成来看，东川区2014年现状基本农田中旱地面积最大，为23980.00公顷，占现状基本农田总面积的91.50%，主要分布在铜都街道、阿旺镇和红土地镇；其次是水田2180.54公顷，占现状基本农田总面积的8.3%，主要分布在铜都街道、乌龙镇和汤丹镇；水浇地面积最小为55.30公顷，占现状基本农田总面积的0.20%，主要分布在铜都街道和拖布卡镇。</w:t>
      </w:r>
    </w:p>
    <w:p w14:paraId="44A0A8BA">
      <w:pPr>
        <w:jc w:val="center"/>
        <w:outlineLvl w:val="4"/>
        <w:rPr>
          <w:rFonts w:ascii="宋体" w:hAnsi="宋体"/>
          <w:b/>
          <w:sz w:val="24"/>
        </w:rPr>
      </w:pPr>
      <w:r>
        <w:rPr>
          <w:rFonts w:hint="eastAsia" w:ascii="宋体" w:hAnsi="宋体"/>
          <w:b/>
          <w:sz w:val="24"/>
        </w:rPr>
        <w:t>表2-9  东川区现状基本农田地类构成情况表</w:t>
      </w:r>
    </w:p>
    <w:p w14:paraId="67D298FA">
      <w:pPr>
        <w:ind w:firstLine="420"/>
        <w:jc w:val="right"/>
        <w:rPr>
          <w:rFonts w:ascii="宋体" w:hAnsi="宋体"/>
          <w:color w:val="000000"/>
          <w:kern w:val="0"/>
          <w:sz w:val="18"/>
          <w:szCs w:val="18"/>
        </w:rPr>
      </w:pPr>
      <w:r>
        <w:rPr>
          <w:rFonts w:hint="eastAsia" w:ascii="宋体" w:hAnsi="宋体"/>
          <w:color w:val="000000"/>
          <w:kern w:val="0"/>
          <w:sz w:val="18"/>
          <w:szCs w:val="18"/>
        </w:rPr>
        <w:t>单位：公顷</w:t>
      </w:r>
    </w:p>
    <w:tbl>
      <w:tblPr>
        <w:tblStyle w:val="27"/>
        <w:tblW w:w="7101" w:type="dxa"/>
        <w:jc w:val="center"/>
        <w:tblLayout w:type="autofit"/>
        <w:tblCellMar>
          <w:top w:w="0" w:type="dxa"/>
          <w:left w:w="108" w:type="dxa"/>
          <w:bottom w:w="0" w:type="dxa"/>
          <w:right w:w="108" w:type="dxa"/>
        </w:tblCellMar>
      </w:tblPr>
      <w:tblGrid>
        <w:gridCol w:w="1785"/>
        <w:gridCol w:w="1288"/>
        <w:gridCol w:w="1134"/>
        <w:gridCol w:w="1417"/>
        <w:gridCol w:w="1477"/>
      </w:tblGrid>
      <w:tr w14:paraId="18AF12B3">
        <w:tblPrEx>
          <w:tblCellMar>
            <w:top w:w="0" w:type="dxa"/>
            <w:left w:w="108" w:type="dxa"/>
            <w:bottom w:w="0" w:type="dxa"/>
            <w:right w:w="108" w:type="dxa"/>
          </w:tblCellMar>
        </w:tblPrEx>
        <w:trPr>
          <w:trHeight w:val="300" w:hRule="atLeast"/>
          <w:jc w:val="center"/>
        </w:trPr>
        <w:tc>
          <w:tcPr>
            <w:tcW w:w="178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21BC25A2">
            <w:pPr>
              <w:widowControl/>
              <w:jc w:val="center"/>
              <w:rPr>
                <w:rFonts w:ascii="宋体" w:hAnsi="宋体" w:cs="宋体"/>
                <w:b/>
                <w:kern w:val="0"/>
                <w:sz w:val="18"/>
                <w:szCs w:val="18"/>
              </w:rPr>
            </w:pPr>
            <w:r>
              <w:rPr>
                <w:rFonts w:hint="eastAsia" w:ascii="宋体" w:hAnsi="宋体" w:cs="宋体"/>
                <w:b/>
                <w:kern w:val="0"/>
                <w:sz w:val="18"/>
                <w:szCs w:val="18"/>
              </w:rPr>
              <w:t>行政区划</w:t>
            </w:r>
          </w:p>
        </w:tc>
        <w:tc>
          <w:tcPr>
            <w:tcW w:w="1288"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6B3FCCF2">
            <w:pPr>
              <w:widowControl/>
              <w:jc w:val="center"/>
              <w:rPr>
                <w:rFonts w:ascii="宋体" w:hAnsi="宋体" w:cs="宋体"/>
                <w:b/>
                <w:kern w:val="0"/>
                <w:sz w:val="18"/>
                <w:szCs w:val="18"/>
              </w:rPr>
            </w:pPr>
            <w:r>
              <w:rPr>
                <w:rFonts w:hint="eastAsia" w:ascii="宋体" w:hAnsi="宋体" w:cs="宋体"/>
                <w:b/>
                <w:kern w:val="0"/>
                <w:sz w:val="18"/>
                <w:szCs w:val="18"/>
              </w:rPr>
              <w:t>合计</w:t>
            </w:r>
          </w:p>
        </w:tc>
        <w:tc>
          <w:tcPr>
            <w:tcW w:w="4028" w:type="dxa"/>
            <w:gridSpan w:val="3"/>
            <w:tcBorders>
              <w:top w:val="single" w:color="auto" w:sz="8" w:space="0"/>
              <w:left w:val="nil"/>
              <w:bottom w:val="single" w:color="auto" w:sz="8" w:space="0"/>
              <w:right w:val="single" w:color="000000" w:sz="8" w:space="0"/>
            </w:tcBorders>
            <w:shd w:val="clear" w:color="auto" w:fill="auto"/>
            <w:vAlign w:val="center"/>
          </w:tcPr>
          <w:p w14:paraId="25A6A7EB">
            <w:pPr>
              <w:widowControl/>
              <w:jc w:val="center"/>
              <w:rPr>
                <w:rFonts w:ascii="宋体" w:hAnsi="宋体" w:cs="宋体"/>
                <w:b/>
                <w:kern w:val="0"/>
                <w:sz w:val="18"/>
                <w:szCs w:val="18"/>
              </w:rPr>
            </w:pPr>
            <w:r>
              <w:rPr>
                <w:rFonts w:hint="eastAsia" w:ascii="宋体" w:hAnsi="宋体" w:cs="宋体"/>
                <w:b/>
                <w:kern w:val="0"/>
                <w:sz w:val="18"/>
                <w:szCs w:val="18"/>
              </w:rPr>
              <w:t>地类构成</w:t>
            </w:r>
          </w:p>
        </w:tc>
      </w:tr>
      <w:tr w14:paraId="7E793ADD">
        <w:tblPrEx>
          <w:tblCellMar>
            <w:top w:w="0" w:type="dxa"/>
            <w:left w:w="108" w:type="dxa"/>
            <w:bottom w:w="0" w:type="dxa"/>
            <w:right w:w="108" w:type="dxa"/>
          </w:tblCellMar>
        </w:tblPrEx>
        <w:trPr>
          <w:trHeight w:val="300" w:hRule="atLeast"/>
          <w:jc w:val="center"/>
        </w:trPr>
        <w:tc>
          <w:tcPr>
            <w:tcW w:w="1785" w:type="dxa"/>
            <w:vMerge w:val="continue"/>
            <w:tcBorders>
              <w:top w:val="single" w:color="auto" w:sz="8" w:space="0"/>
              <w:left w:val="single" w:color="auto" w:sz="8" w:space="0"/>
              <w:bottom w:val="single" w:color="000000" w:sz="8" w:space="0"/>
              <w:right w:val="single" w:color="auto" w:sz="8" w:space="0"/>
            </w:tcBorders>
            <w:vAlign w:val="center"/>
          </w:tcPr>
          <w:p w14:paraId="5DC96B2A">
            <w:pPr>
              <w:widowControl/>
              <w:jc w:val="center"/>
              <w:rPr>
                <w:rFonts w:ascii="宋体" w:hAnsi="宋体" w:cs="宋体"/>
                <w:b/>
                <w:kern w:val="0"/>
                <w:sz w:val="18"/>
                <w:szCs w:val="18"/>
              </w:rPr>
            </w:pPr>
          </w:p>
        </w:tc>
        <w:tc>
          <w:tcPr>
            <w:tcW w:w="1288" w:type="dxa"/>
            <w:vMerge w:val="continue"/>
            <w:tcBorders>
              <w:top w:val="single" w:color="auto" w:sz="8" w:space="0"/>
              <w:left w:val="single" w:color="auto" w:sz="8" w:space="0"/>
              <w:bottom w:val="single" w:color="000000" w:sz="8" w:space="0"/>
              <w:right w:val="single" w:color="auto" w:sz="8" w:space="0"/>
            </w:tcBorders>
            <w:vAlign w:val="center"/>
          </w:tcPr>
          <w:p w14:paraId="289B7600">
            <w:pPr>
              <w:widowControl/>
              <w:jc w:val="center"/>
              <w:rPr>
                <w:rFonts w:ascii="宋体" w:hAnsi="宋体" w:cs="宋体"/>
                <w:b/>
                <w:kern w:val="0"/>
                <w:sz w:val="18"/>
                <w:szCs w:val="18"/>
              </w:rPr>
            </w:pPr>
          </w:p>
        </w:tc>
        <w:tc>
          <w:tcPr>
            <w:tcW w:w="1134" w:type="dxa"/>
            <w:tcBorders>
              <w:top w:val="nil"/>
              <w:left w:val="nil"/>
              <w:bottom w:val="single" w:color="auto" w:sz="8" w:space="0"/>
              <w:right w:val="single" w:color="auto" w:sz="8" w:space="0"/>
            </w:tcBorders>
            <w:shd w:val="clear" w:color="auto" w:fill="auto"/>
            <w:vAlign w:val="center"/>
          </w:tcPr>
          <w:p w14:paraId="02D5810D">
            <w:pPr>
              <w:widowControl/>
              <w:jc w:val="center"/>
              <w:rPr>
                <w:rFonts w:ascii="宋体" w:hAnsi="宋体" w:cs="宋体"/>
                <w:b/>
                <w:kern w:val="0"/>
                <w:sz w:val="18"/>
                <w:szCs w:val="18"/>
              </w:rPr>
            </w:pPr>
            <w:r>
              <w:rPr>
                <w:rFonts w:hint="eastAsia" w:ascii="宋体" w:hAnsi="宋体" w:cs="宋体"/>
                <w:b/>
                <w:kern w:val="0"/>
                <w:sz w:val="18"/>
                <w:szCs w:val="18"/>
              </w:rPr>
              <w:t>水田</w:t>
            </w:r>
          </w:p>
        </w:tc>
        <w:tc>
          <w:tcPr>
            <w:tcW w:w="1417" w:type="dxa"/>
            <w:tcBorders>
              <w:top w:val="nil"/>
              <w:left w:val="nil"/>
              <w:bottom w:val="single" w:color="auto" w:sz="8" w:space="0"/>
              <w:right w:val="single" w:color="auto" w:sz="8" w:space="0"/>
            </w:tcBorders>
            <w:shd w:val="clear" w:color="auto" w:fill="auto"/>
            <w:vAlign w:val="center"/>
          </w:tcPr>
          <w:p w14:paraId="5ACA3844">
            <w:pPr>
              <w:widowControl/>
              <w:jc w:val="center"/>
              <w:rPr>
                <w:rFonts w:ascii="宋体" w:hAnsi="宋体" w:cs="宋体"/>
                <w:b/>
                <w:kern w:val="0"/>
                <w:sz w:val="18"/>
                <w:szCs w:val="18"/>
              </w:rPr>
            </w:pPr>
            <w:r>
              <w:rPr>
                <w:rFonts w:hint="eastAsia" w:ascii="宋体" w:hAnsi="宋体" w:cs="宋体"/>
                <w:b/>
                <w:kern w:val="0"/>
                <w:sz w:val="18"/>
                <w:szCs w:val="18"/>
              </w:rPr>
              <w:t>水浇地</w:t>
            </w:r>
          </w:p>
        </w:tc>
        <w:tc>
          <w:tcPr>
            <w:tcW w:w="1477" w:type="dxa"/>
            <w:tcBorders>
              <w:top w:val="nil"/>
              <w:left w:val="nil"/>
              <w:bottom w:val="single" w:color="auto" w:sz="8" w:space="0"/>
              <w:right w:val="single" w:color="auto" w:sz="8" w:space="0"/>
            </w:tcBorders>
            <w:shd w:val="clear" w:color="auto" w:fill="auto"/>
            <w:vAlign w:val="center"/>
          </w:tcPr>
          <w:p w14:paraId="45BA234D">
            <w:pPr>
              <w:widowControl/>
              <w:jc w:val="center"/>
              <w:rPr>
                <w:rFonts w:ascii="宋体" w:hAnsi="宋体" w:cs="宋体"/>
                <w:b/>
                <w:kern w:val="0"/>
                <w:sz w:val="18"/>
                <w:szCs w:val="18"/>
              </w:rPr>
            </w:pPr>
            <w:r>
              <w:rPr>
                <w:rFonts w:hint="eastAsia" w:ascii="宋体" w:hAnsi="宋体" w:cs="宋体"/>
                <w:b/>
                <w:kern w:val="0"/>
                <w:sz w:val="18"/>
                <w:szCs w:val="18"/>
              </w:rPr>
              <w:t>旱地</w:t>
            </w:r>
          </w:p>
        </w:tc>
      </w:tr>
      <w:tr w14:paraId="622B601A">
        <w:tblPrEx>
          <w:tblCellMar>
            <w:top w:w="0" w:type="dxa"/>
            <w:left w:w="108" w:type="dxa"/>
            <w:bottom w:w="0" w:type="dxa"/>
            <w:right w:w="108" w:type="dxa"/>
          </w:tblCellMar>
        </w:tblPrEx>
        <w:trPr>
          <w:trHeight w:val="300" w:hRule="atLeast"/>
          <w:jc w:val="center"/>
        </w:trPr>
        <w:tc>
          <w:tcPr>
            <w:tcW w:w="1785" w:type="dxa"/>
            <w:tcBorders>
              <w:top w:val="nil"/>
              <w:left w:val="single" w:color="auto" w:sz="8" w:space="0"/>
              <w:bottom w:val="single" w:color="auto" w:sz="8" w:space="0"/>
              <w:right w:val="single" w:color="auto" w:sz="8" w:space="0"/>
            </w:tcBorders>
            <w:shd w:val="clear" w:color="auto" w:fill="auto"/>
            <w:vAlign w:val="center"/>
          </w:tcPr>
          <w:p w14:paraId="27BDADAF">
            <w:pPr>
              <w:widowControl/>
              <w:jc w:val="center"/>
              <w:rPr>
                <w:rFonts w:ascii="宋体" w:hAnsi="宋体" w:cs="宋体"/>
                <w:kern w:val="0"/>
                <w:sz w:val="18"/>
                <w:szCs w:val="18"/>
              </w:rPr>
            </w:pPr>
            <w:r>
              <w:rPr>
                <w:rFonts w:hint="eastAsia" w:ascii="宋体" w:hAnsi="宋体" w:cs="宋体"/>
                <w:kern w:val="0"/>
                <w:sz w:val="18"/>
                <w:szCs w:val="18"/>
              </w:rPr>
              <w:t>铜都街道</w:t>
            </w:r>
          </w:p>
        </w:tc>
        <w:tc>
          <w:tcPr>
            <w:tcW w:w="1288" w:type="dxa"/>
            <w:tcBorders>
              <w:top w:val="nil"/>
              <w:left w:val="nil"/>
              <w:bottom w:val="single" w:color="auto" w:sz="8" w:space="0"/>
              <w:right w:val="single" w:color="auto" w:sz="8" w:space="0"/>
            </w:tcBorders>
            <w:shd w:val="clear" w:color="auto" w:fill="auto"/>
            <w:vAlign w:val="center"/>
          </w:tcPr>
          <w:p w14:paraId="5CC97702">
            <w:pPr>
              <w:widowControl/>
              <w:jc w:val="center"/>
              <w:rPr>
                <w:rFonts w:ascii="宋体" w:hAnsi="宋体" w:cs="宋体"/>
                <w:kern w:val="0"/>
                <w:sz w:val="18"/>
                <w:szCs w:val="18"/>
              </w:rPr>
            </w:pPr>
            <w:r>
              <w:rPr>
                <w:rFonts w:hint="eastAsia" w:ascii="宋体" w:hAnsi="宋体" w:cs="宋体"/>
                <w:kern w:val="0"/>
                <w:sz w:val="18"/>
                <w:szCs w:val="18"/>
              </w:rPr>
              <w:t xml:space="preserve">5251.20 </w:t>
            </w:r>
          </w:p>
        </w:tc>
        <w:tc>
          <w:tcPr>
            <w:tcW w:w="1134" w:type="dxa"/>
            <w:tcBorders>
              <w:top w:val="nil"/>
              <w:left w:val="nil"/>
              <w:bottom w:val="single" w:color="auto" w:sz="8" w:space="0"/>
              <w:right w:val="single" w:color="auto" w:sz="8" w:space="0"/>
            </w:tcBorders>
            <w:shd w:val="clear" w:color="auto" w:fill="auto"/>
            <w:vAlign w:val="center"/>
          </w:tcPr>
          <w:p w14:paraId="2AF170AA">
            <w:pPr>
              <w:widowControl/>
              <w:jc w:val="center"/>
              <w:rPr>
                <w:rFonts w:ascii="宋体" w:hAnsi="宋体" w:cs="宋体"/>
                <w:kern w:val="0"/>
                <w:sz w:val="18"/>
                <w:szCs w:val="18"/>
              </w:rPr>
            </w:pPr>
            <w:r>
              <w:rPr>
                <w:rFonts w:hint="eastAsia" w:ascii="宋体" w:hAnsi="宋体" w:cs="宋体"/>
                <w:kern w:val="0"/>
                <w:sz w:val="18"/>
                <w:szCs w:val="18"/>
              </w:rPr>
              <w:t xml:space="preserve">793.07 </w:t>
            </w:r>
          </w:p>
        </w:tc>
        <w:tc>
          <w:tcPr>
            <w:tcW w:w="1417" w:type="dxa"/>
            <w:tcBorders>
              <w:top w:val="nil"/>
              <w:left w:val="nil"/>
              <w:bottom w:val="single" w:color="auto" w:sz="8" w:space="0"/>
              <w:right w:val="single" w:color="auto" w:sz="8" w:space="0"/>
            </w:tcBorders>
            <w:shd w:val="clear" w:color="auto" w:fill="auto"/>
            <w:vAlign w:val="center"/>
          </w:tcPr>
          <w:p w14:paraId="32A3AC3F">
            <w:pPr>
              <w:widowControl/>
              <w:jc w:val="center"/>
              <w:rPr>
                <w:rFonts w:ascii="宋体" w:hAnsi="宋体" w:cs="宋体"/>
                <w:kern w:val="0"/>
                <w:sz w:val="18"/>
                <w:szCs w:val="18"/>
              </w:rPr>
            </w:pPr>
            <w:r>
              <w:rPr>
                <w:rFonts w:hint="eastAsia" w:ascii="宋体" w:hAnsi="宋体" w:cs="宋体"/>
                <w:kern w:val="0"/>
                <w:sz w:val="18"/>
                <w:szCs w:val="18"/>
              </w:rPr>
              <w:t xml:space="preserve">36.15 </w:t>
            </w:r>
          </w:p>
        </w:tc>
        <w:tc>
          <w:tcPr>
            <w:tcW w:w="1477" w:type="dxa"/>
            <w:tcBorders>
              <w:top w:val="nil"/>
              <w:left w:val="nil"/>
              <w:bottom w:val="single" w:color="auto" w:sz="8" w:space="0"/>
              <w:right w:val="single" w:color="auto" w:sz="8" w:space="0"/>
            </w:tcBorders>
            <w:shd w:val="clear" w:color="auto" w:fill="auto"/>
            <w:vAlign w:val="center"/>
          </w:tcPr>
          <w:p w14:paraId="3A4C10AF">
            <w:pPr>
              <w:widowControl/>
              <w:jc w:val="center"/>
              <w:rPr>
                <w:rFonts w:ascii="宋体" w:hAnsi="宋体" w:cs="宋体"/>
                <w:kern w:val="0"/>
                <w:sz w:val="18"/>
                <w:szCs w:val="18"/>
              </w:rPr>
            </w:pPr>
            <w:r>
              <w:rPr>
                <w:rFonts w:hint="eastAsia" w:ascii="宋体" w:hAnsi="宋体" w:cs="宋体"/>
                <w:kern w:val="0"/>
                <w:sz w:val="18"/>
                <w:szCs w:val="18"/>
              </w:rPr>
              <w:t xml:space="preserve">4421.97 </w:t>
            </w:r>
          </w:p>
        </w:tc>
      </w:tr>
      <w:tr w14:paraId="6EDF6EFA">
        <w:tblPrEx>
          <w:tblCellMar>
            <w:top w:w="0" w:type="dxa"/>
            <w:left w:w="108" w:type="dxa"/>
            <w:bottom w:w="0" w:type="dxa"/>
            <w:right w:w="108" w:type="dxa"/>
          </w:tblCellMar>
        </w:tblPrEx>
        <w:trPr>
          <w:trHeight w:val="300" w:hRule="atLeast"/>
          <w:jc w:val="center"/>
        </w:trPr>
        <w:tc>
          <w:tcPr>
            <w:tcW w:w="1785" w:type="dxa"/>
            <w:tcBorders>
              <w:top w:val="nil"/>
              <w:left w:val="single" w:color="auto" w:sz="8" w:space="0"/>
              <w:bottom w:val="single" w:color="auto" w:sz="8" w:space="0"/>
              <w:right w:val="single" w:color="auto" w:sz="8" w:space="0"/>
            </w:tcBorders>
            <w:shd w:val="clear" w:color="auto" w:fill="auto"/>
            <w:vAlign w:val="center"/>
          </w:tcPr>
          <w:p w14:paraId="64E14465">
            <w:pPr>
              <w:widowControl/>
              <w:jc w:val="center"/>
              <w:rPr>
                <w:rFonts w:ascii="宋体" w:hAnsi="宋体" w:cs="宋体"/>
                <w:kern w:val="0"/>
                <w:sz w:val="18"/>
                <w:szCs w:val="18"/>
              </w:rPr>
            </w:pPr>
            <w:r>
              <w:rPr>
                <w:rFonts w:hint="eastAsia" w:ascii="宋体" w:hAnsi="宋体" w:cs="宋体"/>
                <w:kern w:val="0"/>
                <w:sz w:val="18"/>
                <w:szCs w:val="18"/>
              </w:rPr>
              <w:t>阿旺镇</w:t>
            </w:r>
          </w:p>
        </w:tc>
        <w:tc>
          <w:tcPr>
            <w:tcW w:w="1288" w:type="dxa"/>
            <w:tcBorders>
              <w:top w:val="nil"/>
              <w:left w:val="nil"/>
              <w:bottom w:val="single" w:color="auto" w:sz="8" w:space="0"/>
              <w:right w:val="single" w:color="auto" w:sz="8" w:space="0"/>
            </w:tcBorders>
            <w:shd w:val="clear" w:color="auto" w:fill="auto"/>
            <w:vAlign w:val="center"/>
          </w:tcPr>
          <w:p w14:paraId="441BE304">
            <w:pPr>
              <w:widowControl/>
              <w:jc w:val="center"/>
              <w:rPr>
                <w:rFonts w:ascii="宋体" w:hAnsi="宋体" w:cs="宋体"/>
                <w:kern w:val="0"/>
                <w:sz w:val="18"/>
                <w:szCs w:val="18"/>
              </w:rPr>
            </w:pPr>
            <w:r>
              <w:rPr>
                <w:rFonts w:hint="eastAsia" w:ascii="宋体" w:hAnsi="宋体" w:cs="宋体"/>
                <w:kern w:val="0"/>
                <w:sz w:val="18"/>
                <w:szCs w:val="18"/>
              </w:rPr>
              <w:t xml:space="preserve">5209.86 </w:t>
            </w:r>
          </w:p>
        </w:tc>
        <w:tc>
          <w:tcPr>
            <w:tcW w:w="1134" w:type="dxa"/>
            <w:tcBorders>
              <w:top w:val="nil"/>
              <w:left w:val="nil"/>
              <w:bottom w:val="single" w:color="auto" w:sz="8" w:space="0"/>
              <w:right w:val="single" w:color="auto" w:sz="8" w:space="0"/>
            </w:tcBorders>
            <w:shd w:val="clear" w:color="auto" w:fill="auto"/>
            <w:vAlign w:val="center"/>
          </w:tcPr>
          <w:p w14:paraId="77D8221B">
            <w:pPr>
              <w:widowControl/>
              <w:jc w:val="center"/>
              <w:rPr>
                <w:rFonts w:ascii="宋体" w:hAnsi="宋体" w:cs="宋体"/>
                <w:kern w:val="0"/>
                <w:sz w:val="18"/>
                <w:szCs w:val="18"/>
              </w:rPr>
            </w:pPr>
            <w:r>
              <w:rPr>
                <w:rFonts w:hint="eastAsia" w:ascii="宋体" w:hAnsi="宋体" w:cs="宋体"/>
                <w:kern w:val="0"/>
                <w:sz w:val="18"/>
                <w:szCs w:val="18"/>
              </w:rPr>
              <w:t xml:space="preserve">263.62 </w:t>
            </w:r>
          </w:p>
        </w:tc>
        <w:tc>
          <w:tcPr>
            <w:tcW w:w="1417" w:type="dxa"/>
            <w:tcBorders>
              <w:top w:val="nil"/>
              <w:left w:val="nil"/>
              <w:bottom w:val="single" w:color="auto" w:sz="8" w:space="0"/>
              <w:right w:val="single" w:color="auto" w:sz="8" w:space="0"/>
            </w:tcBorders>
            <w:shd w:val="clear" w:color="auto" w:fill="auto"/>
            <w:vAlign w:val="center"/>
          </w:tcPr>
          <w:p w14:paraId="16AFD7F3">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77" w:type="dxa"/>
            <w:tcBorders>
              <w:top w:val="nil"/>
              <w:left w:val="nil"/>
              <w:bottom w:val="single" w:color="auto" w:sz="8" w:space="0"/>
              <w:right w:val="single" w:color="auto" w:sz="8" w:space="0"/>
            </w:tcBorders>
            <w:shd w:val="clear" w:color="auto" w:fill="auto"/>
            <w:vAlign w:val="center"/>
          </w:tcPr>
          <w:p w14:paraId="08607584">
            <w:pPr>
              <w:widowControl/>
              <w:jc w:val="center"/>
              <w:rPr>
                <w:rFonts w:ascii="宋体" w:hAnsi="宋体" w:cs="宋体"/>
                <w:kern w:val="0"/>
                <w:sz w:val="18"/>
                <w:szCs w:val="18"/>
              </w:rPr>
            </w:pPr>
            <w:r>
              <w:rPr>
                <w:rFonts w:hint="eastAsia" w:ascii="宋体" w:hAnsi="宋体" w:cs="宋体"/>
                <w:kern w:val="0"/>
                <w:sz w:val="18"/>
                <w:szCs w:val="18"/>
              </w:rPr>
              <w:t xml:space="preserve">4946.24 </w:t>
            </w:r>
          </w:p>
        </w:tc>
      </w:tr>
      <w:tr w14:paraId="03ABD3F1">
        <w:tblPrEx>
          <w:tblCellMar>
            <w:top w:w="0" w:type="dxa"/>
            <w:left w:w="108" w:type="dxa"/>
            <w:bottom w:w="0" w:type="dxa"/>
            <w:right w:w="108" w:type="dxa"/>
          </w:tblCellMar>
        </w:tblPrEx>
        <w:trPr>
          <w:trHeight w:val="300" w:hRule="atLeast"/>
          <w:jc w:val="center"/>
        </w:trPr>
        <w:tc>
          <w:tcPr>
            <w:tcW w:w="1785" w:type="dxa"/>
            <w:tcBorders>
              <w:top w:val="nil"/>
              <w:left w:val="single" w:color="auto" w:sz="8" w:space="0"/>
              <w:bottom w:val="single" w:color="auto" w:sz="8" w:space="0"/>
              <w:right w:val="single" w:color="auto" w:sz="8" w:space="0"/>
            </w:tcBorders>
            <w:shd w:val="clear" w:color="auto" w:fill="auto"/>
            <w:vAlign w:val="center"/>
          </w:tcPr>
          <w:p w14:paraId="43291083">
            <w:pPr>
              <w:widowControl/>
              <w:jc w:val="center"/>
              <w:rPr>
                <w:rFonts w:ascii="宋体" w:hAnsi="宋体" w:cs="宋体"/>
                <w:kern w:val="0"/>
                <w:sz w:val="18"/>
                <w:szCs w:val="18"/>
              </w:rPr>
            </w:pPr>
            <w:r>
              <w:rPr>
                <w:rFonts w:hint="eastAsia" w:ascii="宋体" w:hAnsi="宋体" w:cs="宋体"/>
                <w:kern w:val="0"/>
                <w:sz w:val="18"/>
                <w:szCs w:val="18"/>
              </w:rPr>
              <w:t>乌龙镇</w:t>
            </w:r>
          </w:p>
        </w:tc>
        <w:tc>
          <w:tcPr>
            <w:tcW w:w="1288" w:type="dxa"/>
            <w:tcBorders>
              <w:top w:val="nil"/>
              <w:left w:val="nil"/>
              <w:bottom w:val="single" w:color="auto" w:sz="8" w:space="0"/>
              <w:right w:val="single" w:color="auto" w:sz="8" w:space="0"/>
            </w:tcBorders>
            <w:shd w:val="clear" w:color="auto" w:fill="auto"/>
            <w:vAlign w:val="center"/>
          </w:tcPr>
          <w:p w14:paraId="063F1C18">
            <w:pPr>
              <w:widowControl/>
              <w:jc w:val="center"/>
              <w:rPr>
                <w:rFonts w:ascii="宋体" w:hAnsi="宋体" w:cs="宋体"/>
                <w:kern w:val="0"/>
                <w:sz w:val="18"/>
                <w:szCs w:val="18"/>
              </w:rPr>
            </w:pPr>
            <w:r>
              <w:rPr>
                <w:rFonts w:hint="eastAsia" w:ascii="宋体" w:hAnsi="宋体" w:cs="宋体"/>
                <w:kern w:val="0"/>
                <w:sz w:val="18"/>
                <w:szCs w:val="18"/>
              </w:rPr>
              <w:t xml:space="preserve">2906.78 </w:t>
            </w:r>
          </w:p>
        </w:tc>
        <w:tc>
          <w:tcPr>
            <w:tcW w:w="1134" w:type="dxa"/>
            <w:tcBorders>
              <w:top w:val="nil"/>
              <w:left w:val="nil"/>
              <w:bottom w:val="single" w:color="auto" w:sz="8" w:space="0"/>
              <w:right w:val="single" w:color="auto" w:sz="8" w:space="0"/>
            </w:tcBorders>
            <w:shd w:val="clear" w:color="auto" w:fill="auto"/>
            <w:vAlign w:val="center"/>
          </w:tcPr>
          <w:p w14:paraId="2315A7F8">
            <w:pPr>
              <w:widowControl/>
              <w:jc w:val="center"/>
              <w:rPr>
                <w:rFonts w:ascii="宋体" w:hAnsi="宋体" w:cs="宋体"/>
                <w:kern w:val="0"/>
                <w:sz w:val="18"/>
                <w:szCs w:val="18"/>
              </w:rPr>
            </w:pPr>
            <w:r>
              <w:rPr>
                <w:rFonts w:hint="eastAsia" w:ascii="宋体" w:hAnsi="宋体" w:cs="宋体"/>
                <w:kern w:val="0"/>
                <w:sz w:val="18"/>
                <w:szCs w:val="18"/>
              </w:rPr>
              <w:t xml:space="preserve">312.34 </w:t>
            </w:r>
          </w:p>
        </w:tc>
        <w:tc>
          <w:tcPr>
            <w:tcW w:w="1417" w:type="dxa"/>
            <w:tcBorders>
              <w:top w:val="nil"/>
              <w:left w:val="nil"/>
              <w:bottom w:val="single" w:color="auto" w:sz="8" w:space="0"/>
              <w:right w:val="single" w:color="auto" w:sz="8" w:space="0"/>
            </w:tcBorders>
            <w:shd w:val="clear" w:color="auto" w:fill="auto"/>
            <w:vAlign w:val="center"/>
          </w:tcPr>
          <w:p w14:paraId="26BAF11B">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77" w:type="dxa"/>
            <w:tcBorders>
              <w:top w:val="nil"/>
              <w:left w:val="nil"/>
              <w:bottom w:val="single" w:color="auto" w:sz="8" w:space="0"/>
              <w:right w:val="single" w:color="auto" w:sz="8" w:space="0"/>
            </w:tcBorders>
            <w:shd w:val="clear" w:color="auto" w:fill="auto"/>
            <w:vAlign w:val="center"/>
          </w:tcPr>
          <w:p w14:paraId="3FE7AC5D">
            <w:pPr>
              <w:widowControl/>
              <w:jc w:val="center"/>
              <w:rPr>
                <w:rFonts w:ascii="宋体" w:hAnsi="宋体" w:cs="宋体"/>
                <w:kern w:val="0"/>
                <w:sz w:val="18"/>
                <w:szCs w:val="18"/>
              </w:rPr>
            </w:pPr>
            <w:r>
              <w:rPr>
                <w:rFonts w:hint="eastAsia" w:ascii="宋体" w:hAnsi="宋体" w:cs="宋体"/>
                <w:kern w:val="0"/>
                <w:sz w:val="18"/>
                <w:szCs w:val="18"/>
              </w:rPr>
              <w:t xml:space="preserve">2594.44 </w:t>
            </w:r>
          </w:p>
        </w:tc>
      </w:tr>
      <w:tr w14:paraId="15DAC184">
        <w:tblPrEx>
          <w:tblCellMar>
            <w:top w:w="0" w:type="dxa"/>
            <w:left w:w="108" w:type="dxa"/>
            <w:bottom w:w="0" w:type="dxa"/>
            <w:right w:w="108" w:type="dxa"/>
          </w:tblCellMar>
        </w:tblPrEx>
        <w:trPr>
          <w:trHeight w:val="300" w:hRule="atLeast"/>
          <w:jc w:val="center"/>
        </w:trPr>
        <w:tc>
          <w:tcPr>
            <w:tcW w:w="1785" w:type="dxa"/>
            <w:tcBorders>
              <w:top w:val="nil"/>
              <w:left w:val="single" w:color="auto" w:sz="8" w:space="0"/>
              <w:bottom w:val="single" w:color="auto" w:sz="8" w:space="0"/>
              <w:right w:val="single" w:color="auto" w:sz="8" w:space="0"/>
            </w:tcBorders>
            <w:shd w:val="clear" w:color="auto" w:fill="auto"/>
            <w:vAlign w:val="center"/>
          </w:tcPr>
          <w:p w14:paraId="4A3B623D">
            <w:pPr>
              <w:widowControl/>
              <w:jc w:val="center"/>
              <w:rPr>
                <w:rFonts w:ascii="宋体" w:hAnsi="宋体" w:cs="宋体"/>
                <w:kern w:val="0"/>
                <w:sz w:val="18"/>
                <w:szCs w:val="18"/>
              </w:rPr>
            </w:pPr>
            <w:r>
              <w:rPr>
                <w:rFonts w:hint="eastAsia" w:ascii="宋体" w:hAnsi="宋体" w:cs="宋体"/>
                <w:kern w:val="0"/>
                <w:sz w:val="18"/>
                <w:szCs w:val="18"/>
              </w:rPr>
              <w:t>拖布卡镇</w:t>
            </w:r>
          </w:p>
        </w:tc>
        <w:tc>
          <w:tcPr>
            <w:tcW w:w="1288" w:type="dxa"/>
            <w:tcBorders>
              <w:top w:val="nil"/>
              <w:left w:val="nil"/>
              <w:bottom w:val="single" w:color="auto" w:sz="8" w:space="0"/>
              <w:right w:val="single" w:color="auto" w:sz="8" w:space="0"/>
            </w:tcBorders>
            <w:shd w:val="clear" w:color="auto" w:fill="auto"/>
            <w:vAlign w:val="center"/>
          </w:tcPr>
          <w:p w14:paraId="643DE09B">
            <w:pPr>
              <w:widowControl/>
              <w:jc w:val="center"/>
              <w:rPr>
                <w:rFonts w:ascii="宋体" w:hAnsi="宋体" w:cs="宋体"/>
                <w:kern w:val="0"/>
                <w:sz w:val="18"/>
                <w:szCs w:val="18"/>
              </w:rPr>
            </w:pPr>
            <w:r>
              <w:rPr>
                <w:rFonts w:hint="eastAsia" w:ascii="宋体" w:hAnsi="宋体" w:cs="宋体"/>
                <w:kern w:val="0"/>
                <w:sz w:val="18"/>
                <w:szCs w:val="18"/>
              </w:rPr>
              <w:t xml:space="preserve">2891.46 </w:t>
            </w:r>
          </w:p>
        </w:tc>
        <w:tc>
          <w:tcPr>
            <w:tcW w:w="1134" w:type="dxa"/>
            <w:tcBorders>
              <w:top w:val="nil"/>
              <w:left w:val="nil"/>
              <w:bottom w:val="single" w:color="auto" w:sz="8" w:space="0"/>
              <w:right w:val="single" w:color="auto" w:sz="8" w:space="0"/>
            </w:tcBorders>
            <w:shd w:val="clear" w:color="auto" w:fill="auto"/>
            <w:vAlign w:val="center"/>
          </w:tcPr>
          <w:p w14:paraId="5AAC33FE">
            <w:pPr>
              <w:widowControl/>
              <w:jc w:val="center"/>
              <w:rPr>
                <w:rFonts w:ascii="宋体" w:hAnsi="宋体" w:cs="宋体"/>
                <w:kern w:val="0"/>
                <w:sz w:val="18"/>
                <w:szCs w:val="18"/>
              </w:rPr>
            </w:pPr>
            <w:r>
              <w:rPr>
                <w:rFonts w:hint="eastAsia" w:ascii="宋体" w:hAnsi="宋体" w:cs="宋体"/>
                <w:kern w:val="0"/>
                <w:sz w:val="18"/>
                <w:szCs w:val="18"/>
              </w:rPr>
              <w:t xml:space="preserve">231.80 </w:t>
            </w:r>
          </w:p>
        </w:tc>
        <w:tc>
          <w:tcPr>
            <w:tcW w:w="1417" w:type="dxa"/>
            <w:tcBorders>
              <w:top w:val="nil"/>
              <w:left w:val="nil"/>
              <w:bottom w:val="single" w:color="auto" w:sz="8" w:space="0"/>
              <w:right w:val="single" w:color="auto" w:sz="8" w:space="0"/>
            </w:tcBorders>
            <w:shd w:val="clear" w:color="auto" w:fill="auto"/>
            <w:vAlign w:val="center"/>
          </w:tcPr>
          <w:p w14:paraId="393ED73D">
            <w:pPr>
              <w:widowControl/>
              <w:jc w:val="center"/>
              <w:rPr>
                <w:rFonts w:ascii="宋体" w:hAnsi="宋体" w:cs="宋体"/>
                <w:kern w:val="0"/>
                <w:sz w:val="18"/>
                <w:szCs w:val="18"/>
              </w:rPr>
            </w:pPr>
            <w:r>
              <w:rPr>
                <w:rFonts w:hint="eastAsia" w:ascii="宋体" w:hAnsi="宋体" w:cs="宋体"/>
                <w:kern w:val="0"/>
                <w:sz w:val="18"/>
                <w:szCs w:val="18"/>
              </w:rPr>
              <w:t xml:space="preserve">19.15 </w:t>
            </w:r>
          </w:p>
        </w:tc>
        <w:tc>
          <w:tcPr>
            <w:tcW w:w="1477" w:type="dxa"/>
            <w:tcBorders>
              <w:top w:val="nil"/>
              <w:left w:val="nil"/>
              <w:bottom w:val="single" w:color="auto" w:sz="8" w:space="0"/>
              <w:right w:val="single" w:color="auto" w:sz="8" w:space="0"/>
            </w:tcBorders>
            <w:shd w:val="clear" w:color="auto" w:fill="auto"/>
            <w:vAlign w:val="center"/>
          </w:tcPr>
          <w:p w14:paraId="5D814FCF">
            <w:pPr>
              <w:widowControl/>
              <w:jc w:val="center"/>
              <w:rPr>
                <w:rFonts w:ascii="宋体" w:hAnsi="宋体" w:cs="宋体"/>
                <w:kern w:val="0"/>
                <w:sz w:val="18"/>
                <w:szCs w:val="18"/>
              </w:rPr>
            </w:pPr>
            <w:r>
              <w:rPr>
                <w:rFonts w:hint="eastAsia" w:ascii="宋体" w:hAnsi="宋体" w:cs="宋体"/>
                <w:kern w:val="0"/>
                <w:sz w:val="18"/>
                <w:szCs w:val="18"/>
              </w:rPr>
              <w:t xml:space="preserve">2640.51 </w:t>
            </w:r>
          </w:p>
        </w:tc>
      </w:tr>
      <w:tr w14:paraId="5E5B6056">
        <w:tblPrEx>
          <w:tblCellMar>
            <w:top w:w="0" w:type="dxa"/>
            <w:left w:w="108" w:type="dxa"/>
            <w:bottom w:w="0" w:type="dxa"/>
            <w:right w:w="108" w:type="dxa"/>
          </w:tblCellMar>
        </w:tblPrEx>
        <w:trPr>
          <w:trHeight w:val="300" w:hRule="atLeast"/>
          <w:jc w:val="center"/>
        </w:trPr>
        <w:tc>
          <w:tcPr>
            <w:tcW w:w="1785" w:type="dxa"/>
            <w:tcBorders>
              <w:top w:val="nil"/>
              <w:left w:val="single" w:color="auto" w:sz="8" w:space="0"/>
              <w:bottom w:val="single" w:color="auto" w:sz="8" w:space="0"/>
              <w:right w:val="single" w:color="auto" w:sz="8" w:space="0"/>
            </w:tcBorders>
            <w:shd w:val="clear" w:color="auto" w:fill="auto"/>
            <w:vAlign w:val="center"/>
          </w:tcPr>
          <w:p w14:paraId="4ACF9271">
            <w:pPr>
              <w:widowControl/>
              <w:jc w:val="center"/>
              <w:rPr>
                <w:rFonts w:ascii="宋体" w:hAnsi="宋体" w:cs="宋体"/>
                <w:kern w:val="0"/>
                <w:sz w:val="18"/>
                <w:szCs w:val="18"/>
              </w:rPr>
            </w:pPr>
            <w:r>
              <w:rPr>
                <w:rFonts w:hint="eastAsia" w:ascii="宋体" w:hAnsi="宋体" w:cs="宋体"/>
                <w:kern w:val="0"/>
                <w:sz w:val="18"/>
                <w:szCs w:val="18"/>
              </w:rPr>
              <w:t>汤丹镇</w:t>
            </w:r>
          </w:p>
        </w:tc>
        <w:tc>
          <w:tcPr>
            <w:tcW w:w="1288" w:type="dxa"/>
            <w:tcBorders>
              <w:top w:val="nil"/>
              <w:left w:val="nil"/>
              <w:bottom w:val="single" w:color="auto" w:sz="8" w:space="0"/>
              <w:right w:val="single" w:color="auto" w:sz="8" w:space="0"/>
            </w:tcBorders>
            <w:shd w:val="clear" w:color="auto" w:fill="auto"/>
            <w:vAlign w:val="center"/>
          </w:tcPr>
          <w:p w14:paraId="6F2C315C">
            <w:pPr>
              <w:widowControl/>
              <w:jc w:val="center"/>
              <w:rPr>
                <w:rFonts w:ascii="宋体" w:hAnsi="宋体" w:cs="宋体"/>
                <w:kern w:val="0"/>
                <w:sz w:val="18"/>
                <w:szCs w:val="18"/>
              </w:rPr>
            </w:pPr>
            <w:r>
              <w:rPr>
                <w:rFonts w:hint="eastAsia" w:ascii="宋体" w:hAnsi="宋体" w:cs="宋体"/>
                <w:kern w:val="0"/>
                <w:sz w:val="18"/>
                <w:szCs w:val="18"/>
              </w:rPr>
              <w:t xml:space="preserve">3379.72 </w:t>
            </w:r>
          </w:p>
        </w:tc>
        <w:tc>
          <w:tcPr>
            <w:tcW w:w="1134" w:type="dxa"/>
            <w:tcBorders>
              <w:top w:val="nil"/>
              <w:left w:val="nil"/>
              <w:bottom w:val="single" w:color="auto" w:sz="8" w:space="0"/>
              <w:right w:val="single" w:color="auto" w:sz="8" w:space="0"/>
            </w:tcBorders>
            <w:shd w:val="clear" w:color="auto" w:fill="auto"/>
            <w:vAlign w:val="center"/>
          </w:tcPr>
          <w:p w14:paraId="7FDF12FB">
            <w:pPr>
              <w:widowControl/>
              <w:jc w:val="center"/>
              <w:rPr>
                <w:rFonts w:ascii="宋体" w:hAnsi="宋体" w:cs="宋体"/>
                <w:kern w:val="0"/>
                <w:sz w:val="18"/>
                <w:szCs w:val="18"/>
              </w:rPr>
            </w:pPr>
            <w:r>
              <w:rPr>
                <w:rFonts w:hint="eastAsia" w:ascii="宋体" w:hAnsi="宋体" w:cs="宋体"/>
                <w:kern w:val="0"/>
                <w:sz w:val="18"/>
                <w:szCs w:val="18"/>
              </w:rPr>
              <w:t xml:space="preserve">406.09 </w:t>
            </w:r>
          </w:p>
        </w:tc>
        <w:tc>
          <w:tcPr>
            <w:tcW w:w="1417" w:type="dxa"/>
            <w:tcBorders>
              <w:top w:val="nil"/>
              <w:left w:val="nil"/>
              <w:bottom w:val="single" w:color="auto" w:sz="8" w:space="0"/>
              <w:right w:val="single" w:color="auto" w:sz="8" w:space="0"/>
            </w:tcBorders>
            <w:shd w:val="clear" w:color="auto" w:fill="auto"/>
            <w:vAlign w:val="center"/>
          </w:tcPr>
          <w:p w14:paraId="0AABB988">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77" w:type="dxa"/>
            <w:tcBorders>
              <w:top w:val="nil"/>
              <w:left w:val="nil"/>
              <w:bottom w:val="single" w:color="auto" w:sz="8" w:space="0"/>
              <w:right w:val="single" w:color="auto" w:sz="8" w:space="0"/>
            </w:tcBorders>
            <w:shd w:val="clear" w:color="auto" w:fill="auto"/>
            <w:vAlign w:val="center"/>
          </w:tcPr>
          <w:p w14:paraId="59EFC28A">
            <w:pPr>
              <w:widowControl/>
              <w:jc w:val="center"/>
              <w:rPr>
                <w:rFonts w:ascii="宋体" w:hAnsi="宋体" w:cs="宋体"/>
                <w:kern w:val="0"/>
                <w:sz w:val="18"/>
                <w:szCs w:val="18"/>
              </w:rPr>
            </w:pPr>
            <w:r>
              <w:rPr>
                <w:rFonts w:hint="eastAsia" w:ascii="宋体" w:hAnsi="宋体" w:cs="宋体"/>
                <w:kern w:val="0"/>
                <w:sz w:val="18"/>
                <w:szCs w:val="18"/>
              </w:rPr>
              <w:t xml:space="preserve">2973.63 </w:t>
            </w:r>
          </w:p>
        </w:tc>
      </w:tr>
      <w:tr w14:paraId="303B9646">
        <w:tblPrEx>
          <w:tblCellMar>
            <w:top w:w="0" w:type="dxa"/>
            <w:left w:w="108" w:type="dxa"/>
            <w:bottom w:w="0" w:type="dxa"/>
            <w:right w:w="108" w:type="dxa"/>
          </w:tblCellMar>
        </w:tblPrEx>
        <w:trPr>
          <w:trHeight w:val="300" w:hRule="atLeast"/>
          <w:jc w:val="center"/>
        </w:trPr>
        <w:tc>
          <w:tcPr>
            <w:tcW w:w="1785" w:type="dxa"/>
            <w:tcBorders>
              <w:top w:val="nil"/>
              <w:left w:val="single" w:color="auto" w:sz="8" w:space="0"/>
              <w:bottom w:val="single" w:color="auto" w:sz="8" w:space="0"/>
              <w:right w:val="single" w:color="auto" w:sz="8" w:space="0"/>
            </w:tcBorders>
            <w:shd w:val="clear" w:color="auto" w:fill="auto"/>
            <w:vAlign w:val="center"/>
          </w:tcPr>
          <w:p w14:paraId="79C3611C">
            <w:pPr>
              <w:widowControl/>
              <w:jc w:val="center"/>
              <w:rPr>
                <w:rFonts w:ascii="宋体" w:hAnsi="宋体" w:cs="宋体"/>
                <w:kern w:val="0"/>
                <w:sz w:val="18"/>
                <w:szCs w:val="18"/>
              </w:rPr>
            </w:pPr>
            <w:r>
              <w:rPr>
                <w:rFonts w:hint="eastAsia" w:ascii="宋体" w:hAnsi="宋体" w:cs="宋体"/>
                <w:kern w:val="0"/>
                <w:sz w:val="18"/>
                <w:szCs w:val="18"/>
              </w:rPr>
              <w:t>因民镇</w:t>
            </w:r>
          </w:p>
        </w:tc>
        <w:tc>
          <w:tcPr>
            <w:tcW w:w="1288" w:type="dxa"/>
            <w:tcBorders>
              <w:top w:val="nil"/>
              <w:left w:val="nil"/>
              <w:bottom w:val="single" w:color="auto" w:sz="8" w:space="0"/>
              <w:right w:val="single" w:color="auto" w:sz="8" w:space="0"/>
            </w:tcBorders>
            <w:shd w:val="clear" w:color="auto" w:fill="auto"/>
            <w:vAlign w:val="center"/>
          </w:tcPr>
          <w:p w14:paraId="7511199E">
            <w:pPr>
              <w:widowControl/>
              <w:jc w:val="center"/>
              <w:rPr>
                <w:rFonts w:ascii="宋体" w:hAnsi="宋体" w:cs="宋体"/>
                <w:kern w:val="0"/>
                <w:sz w:val="18"/>
                <w:szCs w:val="18"/>
              </w:rPr>
            </w:pPr>
            <w:r>
              <w:rPr>
                <w:rFonts w:hint="eastAsia" w:ascii="宋体" w:hAnsi="宋体" w:cs="宋体"/>
                <w:kern w:val="0"/>
                <w:sz w:val="18"/>
                <w:szCs w:val="18"/>
              </w:rPr>
              <w:t xml:space="preserve">709.88 </w:t>
            </w:r>
          </w:p>
        </w:tc>
        <w:tc>
          <w:tcPr>
            <w:tcW w:w="1134" w:type="dxa"/>
            <w:tcBorders>
              <w:top w:val="nil"/>
              <w:left w:val="nil"/>
              <w:bottom w:val="single" w:color="auto" w:sz="8" w:space="0"/>
              <w:right w:val="single" w:color="auto" w:sz="8" w:space="0"/>
            </w:tcBorders>
            <w:shd w:val="clear" w:color="auto" w:fill="auto"/>
            <w:vAlign w:val="center"/>
          </w:tcPr>
          <w:p w14:paraId="4D9DF429">
            <w:pPr>
              <w:widowControl/>
              <w:jc w:val="center"/>
              <w:rPr>
                <w:rFonts w:ascii="宋体" w:hAnsi="宋体" w:cs="宋体"/>
                <w:kern w:val="0"/>
                <w:sz w:val="18"/>
                <w:szCs w:val="18"/>
              </w:rPr>
            </w:pPr>
            <w:r>
              <w:rPr>
                <w:rFonts w:hint="eastAsia" w:ascii="宋体" w:hAnsi="宋体" w:cs="宋体"/>
                <w:kern w:val="0"/>
                <w:sz w:val="18"/>
                <w:szCs w:val="18"/>
              </w:rPr>
              <w:t xml:space="preserve">14.04 </w:t>
            </w:r>
          </w:p>
        </w:tc>
        <w:tc>
          <w:tcPr>
            <w:tcW w:w="1417" w:type="dxa"/>
            <w:tcBorders>
              <w:top w:val="nil"/>
              <w:left w:val="nil"/>
              <w:bottom w:val="single" w:color="auto" w:sz="8" w:space="0"/>
              <w:right w:val="single" w:color="auto" w:sz="8" w:space="0"/>
            </w:tcBorders>
            <w:shd w:val="clear" w:color="auto" w:fill="auto"/>
            <w:vAlign w:val="center"/>
          </w:tcPr>
          <w:p w14:paraId="6FDD398B">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77" w:type="dxa"/>
            <w:tcBorders>
              <w:top w:val="nil"/>
              <w:left w:val="nil"/>
              <w:bottom w:val="single" w:color="auto" w:sz="8" w:space="0"/>
              <w:right w:val="single" w:color="auto" w:sz="8" w:space="0"/>
            </w:tcBorders>
            <w:shd w:val="clear" w:color="auto" w:fill="auto"/>
            <w:vAlign w:val="center"/>
          </w:tcPr>
          <w:p w14:paraId="5B9795FC">
            <w:pPr>
              <w:widowControl/>
              <w:jc w:val="center"/>
              <w:rPr>
                <w:rFonts w:ascii="宋体" w:hAnsi="宋体" w:cs="宋体"/>
                <w:kern w:val="0"/>
                <w:sz w:val="18"/>
                <w:szCs w:val="18"/>
              </w:rPr>
            </w:pPr>
            <w:r>
              <w:rPr>
                <w:rFonts w:hint="eastAsia" w:ascii="宋体" w:hAnsi="宋体" w:cs="宋体"/>
                <w:kern w:val="0"/>
                <w:sz w:val="18"/>
                <w:szCs w:val="18"/>
              </w:rPr>
              <w:t xml:space="preserve">695.84 </w:t>
            </w:r>
          </w:p>
        </w:tc>
      </w:tr>
      <w:tr w14:paraId="2D229DA9">
        <w:tblPrEx>
          <w:tblCellMar>
            <w:top w:w="0" w:type="dxa"/>
            <w:left w:w="108" w:type="dxa"/>
            <w:bottom w:w="0" w:type="dxa"/>
            <w:right w:w="108" w:type="dxa"/>
          </w:tblCellMar>
        </w:tblPrEx>
        <w:trPr>
          <w:trHeight w:val="300" w:hRule="atLeast"/>
          <w:jc w:val="center"/>
        </w:trPr>
        <w:tc>
          <w:tcPr>
            <w:tcW w:w="1785" w:type="dxa"/>
            <w:tcBorders>
              <w:top w:val="nil"/>
              <w:left w:val="single" w:color="auto" w:sz="8" w:space="0"/>
              <w:bottom w:val="single" w:color="auto" w:sz="8" w:space="0"/>
              <w:right w:val="single" w:color="auto" w:sz="8" w:space="0"/>
            </w:tcBorders>
            <w:shd w:val="clear" w:color="auto" w:fill="auto"/>
            <w:vAlign w:val="center"/>
          </w:tcPr>
          <w:p w14:paraId="174780FC">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1288" w:type="dxa"/>
            <w:tcBorders>
              <w:top w:val="nil"/>
              <w:left w:val="nil"/>
              <w:bottom w:val="single" w:color="auto" w:sz="8" w:space="0"/>
              <w:right w:val="single" w:color="auto" w:sz="8" w:space="0"/>
            </w:tcBorders>
            <w:shd w:val="clear" w:color="auto" w:fill="auto"/>
            <w:vAlign w:val="center"/>
          </w:tcPr>
          <w:p w14:paraId="7F531D70">
            <w:pPr>
              <w:widowControl/>
              <w:jc w:val="center"/>
              <w:rPr>
                <w:rFonts w:ascii="宋体" w:hAnsi="宋体" w:cs="宋体"/>
                <w:kern w:val="0"/>
                <w:sz w:val="18"/>
                <w:szCs w:val="18"/>
              </w:rPr>
            </w:pPr>
            <w:r>
              <w:rPr>
                <w:rFonts w:hint="eastAsia" w:ascii="宋体" w:hAnsi="宋体" w:cs="宋体"/>
                <w:kern w:val="0"/>
                <w:sz w:val="18"/>
                <w:szCs w:val="18"/>
              </w:rPr>
              <w:t xml:space="preserve">5154.29 </w:t>
            </w:r>
          </w:p>
        </w:tc>
        <w:tc>
          <w:tcPr>
            <w:tcW w:w="1134" w:type="dxa"/>
            <w:tcBorders>
              <w:top w:val="nil"/>
              <w:left w:val="nil"/>
              <w:bottom w:val="single" w:color="auto" w:sz="8" w:space="0"/>
              <w:right w:val="single" w:color="auto" w:sz="8" w:space="0"/>
            </w:tcBorders>
            <w:shd w:val="clear" w:color="auto" w:fill="auto"/>
            <w:vAlign w:val="center"/>
          </w:tcPr>
          <w:p w14:paraId="23C14B31">
            <w:pPr>
              <w:widowControl/>
              <w:jc w:val="center"/>
              <w:rPr>
                <w:rFonts w:ascii="宋体" w:hAnsi="宋体" w:cs="宋体"/>
                <w:kern w:val="0"/>
                <w:sz w:val="18"/>
                <w:szCs w:val="18"/>
              </w:rPr>
            </w:pPr>
            <w:r>
              <w:rPr>
                <w:rFonts w:hint="eastAsia" w:ascii="宋体" w:hAnsi="宋体" w:cs="宋体"/>
                <w:kern w:val="0"/>
                <w:sz w:val="18"/>
                <w:szCs w:val="18"/>
              </w:rPr>
              <w:t xml:space="preserve">122.85 </w:t>
            </w:r>
          </w:p>
        </w:tc>
        <w:tc>
          <w:tcPr>
            <w:tcW w:w="1417" w:type="dxa"/>
            <w:tcBorders>
              <w:top w:val="nil"/>
              <w:left w:val="nil"/>
              <w:bottom w:val="single" w:color="auto" w:sz="8" w:space="0"/>
              <w:right w:val="single" w:color="auto" w:sz="8" w:space="0"/>
            </w:tcBorders>
            <w:shd w:val="clear" w:color="auto" w:fill="auto"/>
            <w:vAlign w:val="center"/>
          </w:tcPr>
          <w:p w14:paraId="3D1363C7">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77" w:type="dxa"/>
            <w:tcBorders>
              <w:top w:val="nil"/>
              <w:left w:val="nil"/>
              <w:bottom w:val="single" w:color="auto" w:sz="8" w:space="0"/>
              <w:right w:val="single" w:color="auto" w:sz="8" w:space="0"/>
            </w:tcBorders>
            <w:shd w:val="clear" w:color="auto" w:fill="auto"/>
            <w:vAlign w:val="center"/>
          </w:tcPr>
          <w:p w14:paraId="6491CDBC">
            <w:pPr>
              <w:widowControl/>
              <w:jc w:val="center"/>
              <w:rPr>
                <w:rFonts w:ascii="宋体" w:hAnsi="宋体" w:cs="宋体"/>
                <w:kern w:val="0"/>
                <w:sz w:val="18"/>
                <w:szCs w:val="18"/>
              </w:rPr>
            </w:pPr>
            <w:r>
              <w:rPr>
                <w:rFonts w:hint="eastAsia" w:ascii="宋体" w:hAnsi="宋体" w:cs="宋体"/>
                <w:kern w:val="0"/>
                <w:sz w:val="18"/>
                <w:szCs w:val="18"/>
              </w:rPr>
              <w:t xml:space="preserve">5031.44 </w:t>
            </w:r>
          </w:p>
        </w:tc>
      </w:tr>
      <w:tr w14:paraId="31058092">
        <w:tblPrEx>
          <w:tblCellMar>
            <w:top w:w="0" w:type="dxa"/>
            <w:left w:w="108" w:type="dxa"/>
            <w:bottom w:w="0" w:type="dxa"/>
            <w:right w:w="108" w:type="dxa"/>
          </w:tblCellMar>
        </w:tblPrEx>
        <w:trPr>
          <w:trHeight w:val="300" w:hRule="atLeast"/>
          <w:jc w:val="center"/>
        </w:trPr>
        <w:tc>
          <w:tcPr>
            <w:tcW w:w="1785" w:type="dxa"/>
            <w:tcBorders>
              <w:top w:val="nil"/>
              <w:left w:val="single" w:color="auto" w:sz="8" w:space="0"/>
              <w:bottom w:val="single" w:color="auto" w:sz="8" w:space="0"/>
              <w:right w:val="single" w:color="auto" w:sz="8" w:space="0"/>
            </w:tcBorders>
            <w:shd w:val="clear" w:color="auto" w:fill="auto"/>
            <w:vAlign w:val="center"/>
          </w:tcPr>
          <w:p w14:paraId="2E3AC689">
            <w:pPr>
              <w:widowControl/>
              <w:jc w:val="center"/>
              <w:rPr>
                <w:rFonts w:ascii="宋体" w:hAnsi="宋体" w:cs="宋体"/>
                <w:kern w:val="0"/>
                <w:sz w:val="18"/>
                <w:szCs w:val="18"/>
              </w:rPr>
            </w:pPr>
            <w:r>
              <w:rPr>
                <w:rFonts w:hint="eastAsia" w:ascii="宋体" w:hAnsi="宋体" w:cs="宋体"/>
                <w:kern w:val="0"/>
                <w:sz w:val="18"/>
                <w:szCs w:val="18"/>
              </w:rPr>
              <w:t>舍块乡</w:t>
            </w:r>
          </w:p>
        </w:tc>
        <w:tc>
          <w:tcPr>
            <w:tcW w:w="1288" w:type="dxa"/>
            <w:tcBorders>
              <w:top w:val="nil"/>
              <w:left w:val="nil"/>
              <w:bottom w:val="single" w:color="auto" w:sz="8" w:space="0"/>
              <w:right w:val="single" w:color="auto" w:sz="8" w:space="0"/>
            </w:tcBorders>
            <w:shd w:val="clear" w:color="auto" w:fill="auto"/>
            <w:vAlign w:val="center"/>
          </w:tcPr>
          <w:p w14:paraId="127A5D50">
            <w:pPr>
              <w:widowControl/>
              <w:jc w:val="center"/>
              <w:rPr>
                <w:rFonts w:ascii="宋体" w:hAnsi="宋体" w:cs="宋体"/>
                <w:kern w:val="0"/>
                <w:sz w:val="18"/>
                <w:szCs w:val="18"/>
              </w:rPr>
            </w:pPr>
            <w:r>
              <w:rPr>
                <w:rFonts w:hint="eastAsia" w:ascii="宋体" w:hAnsi="宋体" w:cs="宋体"/>
                <w:kern w:val="0"/>
                <w:sz w:val="18"/>
                <w:szCs w:val="18"/>
              </w:rPr>
              <w:t xml:space="preserve">712.65 </w:t>
            </w:r>
          </w:p>
        </w:tc>
        <w:tc>
          <w:tcPr>
            <w:tcW w:w="1134" w:type="dxa"/>
            <w:tcBorders>
              <w:top w:val="nil"/>
              <w:left w:val="nil"/>
              <w:bottom w:val="single" w:color="auto" w:sz="8" w:space="0"/>
              <w:right w:val="single" w:color="auto" w:sz="8" w:space="0"/>
            </w:tcBorders>
            <w:shd w:val="clear" w:color="auto" w:fill="auto"/>
            <w:vAlign w:val="center"/>
          </w:tcPr>
          <w:p w14:paraId="63B02A5A">
            <w:pPr>
              <w:widowControl/>
              <w:jc w:val="center"/>
              <w:rPr>
                <w:rFonts w:ascii="宋体" w:hAnsi="宋体" w:cs="宋体"/>
                <w:kern w:val="0"/>
                <w:sz w:val="18"/>
                <w:szCs w:val="18"/>
              </w:rPr>
            </w:pPr>
            <w:r>
              <w:rPr>
                <w:rFonts w:hint="eastAsia" w:ascii="宋体" w:hAnsi="宋体" w:cs="宋体"/>
                <w:kern w:val="0"/>
                <w:sz w:val="18"/>
                <w:szCs w:val="18"/>
              </w:rPr>
              <w:t xml:space="preserve">36.73 </w:t>
            </w:r>
          </w:p>
        </w:tc>
        <w:tc>
          <w:tcPr>
            <w:tcW w:w="1417" w:type="dxa"/>
            <w:tcBorders>
              <w:top w:val="nil"/>
              <w:left w:val="nil"/>
              <w:bottom w:val="single" w:color="auto" w:sz="8" w:space="0"/>
              <w:right w:val="single" w:color="auto" w:sz="8" w:space="0"/>
            </w:tcBorders>
            <w:shd w:val="clear" w:color="auto" w:fill="auto"/>
            <w:vAlign w:val="center"/>
          </w:tcPr>
          <w:p w14:paraId="2A3CF7AB">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77" w:type="dxa"/>
            <w:tcBorders>
              <w:top w:val="nil"/>
              <w:left w:val="nil"/>
              <w:bottom w:val="single" w:color="auto" w:sz="8" w:space="0"/>
              <w:right w:val="single" w:color="auto" w:sz="8" w:space="0"/>
            </w:tcBorders>
            <w:shd w:val="clear" w:color="auto" w:fill="auto"/>
            <w:vAlign w:val="center"/>
          </w:tcPr>
          <w:p w14:paraId="56F8452F">
            <w:pPr>
              <w:widowControl/>
              <w:jc w:val="center"/>
              <w:rPr>
                <w:rFonts w:ascii="宋体" w:hAnsi="宋体" w:cs="宋体"/>
                <w:kern w:val="0"/>
                <w:sz w:val="18"/>
                <w:szCs w:val="18"/>
              </w:rPr>
            </w:pPr>
            <w:r>
              <w:rPr>
                <w:rFonts w:hint="eastAsia" w:ascii="宋体" w:hAnsi="宋体" w:cs="宋体"/>
                <w:kern w:val="0"/>
                <w:sz w:val="18"/>
                <w:szCs w:val="18"/>
              </w:rPr>
              <w:t xml:space="preserve">675.92 </w:t>
            </w:r>
          </w:p>
        </w:tc>
      </w:tr>
      <w:tr w14:paraId="4B79B05D">
        <w:tblPrEx>
          <w:tblCellMar>
            <w:top w:w="0" w:type="dxa"/>
            <w:left w:w="108" w:type="dxa"/>
            <w:bottom w:w="0" w:type="dxa"/>
            <w:right w:w="108" w:type="dxa"/>
          </w:tblCellMar>
        </w:tblPrEx>
        <w:trPr>
          <w:trHeight w:val="300" w:hRule="atLeast"/>
          <w:jc w:val="center"/>
        </w:trPr>
        <w:tc>
          <w:tcPr>
            <w:tcW w:w="1785" w:type="dxa"/>
            <w:tcBorders>
              <w:top w:val="nil"/>
              <w:left w:val="single" w:color="auto" w:sz="8" w:space="0"/>
              <w:bottom w:val="single" w:color="auto" w:sz="8" w:space="0"/>
              <w:right w:val="single" w:color="auto" w:sz="8" w:space="0"/>
            </w:tcBorders>
            <w:shd w:val="clear" w:color="auto" w:fill="auto"/>
            <w:vAlign w:val="center"/>
          </w:tcPr>
          <w:p w14:paraId="514496A3">
            <w:pPr>
              <w:widowControl/>
              <w:jc w:val="center"/>
              <w:rPr>
                <w:rFonts w:ascii="宋体" w:hAnsi="宋体" w:cs="宋体"/>
                <w:kern w:val="0"/>
                <w:sz w:val="18"/>
                <w:szCs w:val="18"/>
              </w:rPr>
            </w:pPr>
            <w:r>
              <w:rPr>
                <w:rFonts w:hint="eastAsia" w:ascii="宋体" w:hAnsi="宋体" w:cs="宋体"/>
                <w:kern w:val="0"/>
                <w:sz w:val="18"/>
                <w:szCs w:val="18"/>
              </w:rPr>
              <w:t>东川区</w:t>
            </w:r>
          </w:p>
        </w:tc>
        <w:tc>
          <w:tcPr>
            <w:tcW w:w="1288" w:type="dxa"/>
            <w:tcBorders>
              <w:top w:val="nil"/>
              <w:left w:val="nil"/>
              <w:bottom w:val="single" w:color="auto" w:sz="8" w:space="0"/>
              <w:right w:val="single" w:color="auto" w:sz="8" w:space="0"/>
            </w:tcBorders>
            <w:shd w:val="clear" w:color="auto" w:fill="auto"/>
            <w:vAlign w:val="center"/>
          </w:tcPr>
          <w:p w14:paraId="04FEA959">
            <w:pPr>
              <w:widowControl/>
              <w:jc w:val="center"/>
              <w:rPr>
                <w:rFonts w:ascii="宋体" w:hAnsi="宋体" w:cs="宋体"/>
                <w:kern w:val="0"/>
                <w:sz w:val="18"/>
                <w:szCs w:val="18"/>
              </w:rPr>
            </w:pPr>
            <w:r>
              <w:rPr>
                <w:rFonts w:hint="eastAsia" w:ascii="宋体" w:hAnsi="宋体" w:cs="宋体"/>
                <w:kern w:val="0"/>
                <w:sz w:val="18"/>
                <w:szCs w:val="18"/>
              </w:rPr>
              <w:t xml:space="preserve">26215.84 </w:t>
            </w:r>
          </w:p>
        </w:tc>
        <w:tc>
          <w:tcPr>
            <w:tcW w:w="1134" w:type="dxa"/>
            <w:tcBorders>
              <w:top w:val="nil"/>
              <w:left w:val="nil"/>
              <w:bottom w:val="single" w:color="auto" w:sz="8" w:space="0"/>
              <w:right w:val="single" w:color="auto" w:sz="8" w:space="0"/>
            </w:tcBorders>
            <w:shd w:val="clear" w:color="auto" w:fill="auto"/>
            <w:vAlign w:val="center"/>
          </w:tcPr>
          <w:p w14:paraId="0C4617FA">
            <w:pPr>
              <w:widowControl/>
              <w:jc w:val="center"/>
              <w:rPr>
                <w:rFonts w:ascii="宋体" w:hAnsi="宋体" w:cs="宋体"/>
                <w:kern w:val="0"/>
                <w:sz w:val="18"/>
                <w:szCs w:val="18"/>
              </w:rPr>
            </w:pPr>
            <w:r>
              <w:rPr>
                <w:rFonts w:hint="eastAsia" w:ascii="宋体" w:hAnsi="宋体" w:cs="宋体"/>
                <w:kern w:val="0"/>
                <w:sz w:val="18"/>
                <w:szCs w:val="18"/>
              </w:rPr>
              <w:t xml:space="preserve">2180.54 </w:t>
            </w:r>
          </w:p>
        </w:tc>
        <w:tc>
          <w:tcPr>
            <w:tcW w:w="1417" w:type="dxa"/>
            <w:tcBorders>
              <w:top w:val="nil"/>
              <w:left w:val="nil"/>
              <w:bottom w:val="single" w:color="auto" w:sz="8" w:space="0"/>
              <w:right w:val="single" w:color="auto" w:sz="8" w:space="0"/>
            </w:tcBorders>
            <w:shd w:val="clear" w:color="auto" w:fill="auto"/>
            <w:vAlign w:val="center"/>
          </w:tcPr>
          <w:p w14:paraId="15D431B8">
            <w:pPr>
              <w:widowControl/>
              <w:jc w:val="center"/>
              <w:rPr>
                <w:rFonts w:ascii="宋体" w:hAnsi="宋体" w:cs="宋体"/>
                <w:kern w:val="0"/>
                <w:sz w:val="18"/>
                <w:szCs w:val="18"/>
              </w:rPr>
            </w:pPr>
            <w:r>
              <w:rPr>
                <w:rFonts w:hint="eastAsia" w:ascii="宋体" w:hAnsi="宋体" w:cs="宋体"/>
                <w:kern w:val="0"/>
                <w:sz w:val="18"/>
                <w:szCs w:val="18"/>
              </w:rPr>
              <w:t xml:space="preserve">55.30 </w:t>
            </w:r>
          </w:p>
        </w:tc>
        <w:tc>
          <w:tcPr>
            <w:tcW w:w="1477" w:type="dxa"/>
            <w:tcBorders>
              <w:top w:val="nil"/>
              <w:left w:val="nil"/>
              <w:bottom w:val="single" w:color="auto" w:sz="8" w:space="0"/>
              <w:right w:val="single" w:color="auto" w:sz="8" w:space="0"/>
            </w:tcBorders>
            <w:shd w:val="clear" w:color="auto" w:fill="auto"/>
            <w:vAlign w:val="center"/>
          </w:tcPr>
          <w:p w14:paraId="53A62E14">
            <w:pPr>
              <w:widowControl/>
              <w:jc w:val="center"/>
              <w:rPr>
                <w:rFonts w:ascii="宋体" w:hAnsi="宋体" w:cs="宋体"/>
                <w:kern w:val="0"/>
                <w:sz w:val="18"/>
                <w:szCs w:val="18"/>
              </w:rPr>
            </w:pPr>
            <w:r>
              <w:rPr>
                <w:rFonts w:hint="eastAsia" w:ascii="宋体" w:hAnsi="宋体" w:cs="宋体"/>
                <w:kern w:val="0"/>
                <w:sz w:val="18"/>
                <w:szCs w:val="18"/>
              </w:rPr>
              <w:t xml:space="preserve">23980.00 </w:t>
            </w:r>
          </w:p>
        </w:tc>
      </w:tr>
      <w:tr w14:paraId="516CDE8D">
        <w:tblPrEx>
          <w:tblCellMar>
            <w:top w:w="0" w:type="dxa"/>
            <w:left w:w="108" w:type="dxa"/>
            <w:bottom w:w="0" w:type="dxa"/>
            <w:right w:w="108" w:type="dxa"/>
          </w:tblCellMar>
        </w:tblPrEx>
        <w:trPr>
          <w:trHeight w:val="300" w:hRule="atLeast"/>
          <w:jc w:val="center"/>
        </w:trPr>
        <w:tc>
          <w:tcPr>
            <w:tcW w:w="1785" w:type="dxa"/>
            <w:tcBorders>
              <w:top w:val="nil"/>
              <w:left w:val="single" w:color="auto" w:sz="8" w:space="0"/>
              <w:bottom w:val="single" w:color="auto" w:sz="8" w:space="0"/>
              <w:right w:val="single" w:color="auto" w:sz="8" w:space="0"/>
            </w:tcBorders>
            <w:shd w:val="clear" w:color="auto" w:fill="auto"/>
            <w:vAlign w:val="center"/>
          </w:tcPr>
          <w:p w14:paraId="15D1C98A">
            <w:pPr>
              <w:widowControl/>
              <w:jc w:val="center"/>
              <w:rPr>
                <w:rFonts w:ascii="宋体" w:hAnsi="宋体" w:cs="宋体"/>
                <w:kern w:val="0"/>
                <w:sz w:val="18"/>
                <w:szCs w:val="18"/>
              </w:rPr>
            </w:pPr>
            <w:r>
              <w:rPr>
                <w:rFonts w:hint="eastAsia" w:ascii="宋体" w:hAnsi="宋体" w:cs="宋体"/>
                <w:kern w:val="0"/>
                <w:sz w:val="18"/>
                <w:szCs w:val="18"/>
              </w:rPr>
              <w:t>比例</w:t>
            </w:r>
          </w:p>
        </w:tc>
        <w:tc>
          <w:tcPr>
            <w:tcW w:w="1288" w:type="dxa"/>
            <w:tcBorders>
              <w:top w:val="nil"/>
              <w:left w:val="nil"/>
              <w:bottom w:val="single" w:color="auto" w:sz="8" w:space="0"/>
              <w:right w:val="single" w:color="auto" w:sz="8" w:space="0"/>
            </w:tcBorders>
            <w:shd w:val="clear" w:color="auto" w:fill="auto"/>
            <w:vAlign w:val="center"/>
          </w:tcPr>
          <w:p w14:paraId="369BF9AF">
            <w:pPr>
              <w:widowControl/>
              <w:jc w:val="center"/>
              <w:rPr>
                <w:rFonts w:ascii="宋体" w:hAnsi="宋体" w:cs="宋体"/>
                <w:kern w:val="0"/>
                <w:sz w:val="18"/>
                <w:szCs w:val="18"/>
              </w:rPr>
            </w:pPr>
            <w:r>
              <w:rPr>
                <w:rFonts w:hint="eastAsia" w:ascii="宋体" w:hAnsi="宋体" w:cs="宋体"/>
                <w:kern w:val="0"/>
                <w:sz w:val="18"/>
                <w:szCs w:val="18"/>
              </w:rPr>
              <w:t>100.00%</w:t>
            </w:r>
          </w:p>
        </w:tc>
        <w:tc>
          <w:tcPr>
            <w:tcW w:w="1134" w:type="dxa"/>
            <w:tcBorders>
              <w:top w:val="nil"/>
              <w:left w:val="nil"/>
              <w:bottom w:val="single" w:color="auto" w:sz="8" w:space="0"/>
              <w:right w:val="single" w:color="auto" w:sz="8" w:space="0"/>
            </w:tcBorders>
            <w:shd w:val="clear" w:color="auto" w:fill="auto"/>
            <w:vAlign w:val="center"/>
          </w:tcPr>
          <w:p w14:paraId="76C29CF6">
            <w:pPr>
              <w:widowControl/>
              <w:jc w:val="center"/>
              <w:rPr>
                <w:rFonts w:ascii="宋体" w:hAnsi="宋体" w:cs="宋体"/>
                <w:kern w:val="0"/>
                <w:sz w:val="18"/>
                <w:szCs w:val="18"/>
              </w:rPr>
            </w:pPr>
            <w:r>
              <w:rPr>
                <w:rFonts w:hint="eastAsia" w:ascii="宋体" w:hAnsi="宋体" w:cs="宋体"/>
                <w:kern w:val="0"/>
                <w:sz w:val="18"/>
                <w:szCs w:val="18"/>
              </w:rPr>
              <w:t>8.30%</w:t>
            </w:r>
          </w:p>
        </w:tc>
        <w:tc>
          <w:tcPr>
            <w:tcW w:w="1417" w:type="dxa"/>
            <w:tcBorders>
              <w:top w:val="nil"/>
              <w:left w:val="nil"/>
              <w:bottom w:val="single" w:color="auto" w:sz="8" w:space="0"/>
              <w:right w:val="single" w:color="auto" w:sz="8" w:space="0"/>
            </w:tcBorders>
            <w:shd w:val="clear" w:color="auto" w:fill="auto"/>
            <w:vAlign w:val="center"/>
          </w:tcPr>
          <w:p w14:paraId="206613D1">
            <w:pPr>
              <w:widowControl/>
              <w:jc w:val="center"/>
              <w:rPr>
                <w:rFonts w:ascii="宋体" w:hAnsi="宋体" w:cs="宋体"/>
                <w:kern w:val="0"/>
                <w:sz w:val="18"/>
                <w:szCs w:val="18"/>
              </w:rPr>
            </w:pPr>
            <w:r>
              <w:rPr>
                <w:rFonts w:hint="eastAsia" w:ascii="宋体" w:hAnsi="宋体" w:cs="宋体"/>
                <w:kern w:val="0"/>
                <w:sz w:val="18"/>
                <w:szCs w:val="18"/>
              </w:rPr>
              <w:t>0.20%</w:t>
            </w:r>
          </w:p>
        </w:tc>
        <w:tc>
          <w:tcPr>
            <w:tcW w:w="1477" w:type="dxa"/>
            <w:tcBorders>
              <w:top w:val="nil"/>
              <w:left w:val="nil"/>
              <w:bottom w:val="single" w:color="auto" w:sz="8" w:space="0"/>
              <w:right w:val="single" w:color="auto" w:sz="8" w:space="0"/>
            </w:tcBorders>
            <w:shd w:val="clear" w:color="auto" w:fill="auto"/>
            <w:vAlign w:val="center"/>
          </w:tcPr>
          <w:p w14:paraId="400193CC">
            <w:pPr>
              <w:widowControl/>
              <w:jc w:val="center"/>
              <w:rPr>
                <w:rFonts w:ascii="宋体" w:hAnsi="宋体" w:cs="宋体"/>
                <w:kern w:val="0"/>
                <w:sz w:val="18"/>
                <w:szCs w:val="18"/>
              </w:rPr>
            </w:pPr>
            <w:r>
              <w:rPr>
                <w:rFonts w:hint="eastAsia" w:ascii="宋体" w:hAnsi="宋体" w:cs="宋体"/>
                <w:kern w:val="0"/>
                <w:sz w:val="18"/>
                <w:szCs w:val="18"/>
              </w:rPr>
              <w:t>91.50%</w:t>
            </w:r>
          </w:p>
        </w:tc>
      </w:tr>
    </w:tbl>
    <w:p w14:paraId="07CCF1A9">
      <w:pPr>
        <w:pStyle w:val="78"/>
        <w:ind w:firstLine="560"/>
        <w:rPr>
          <w:rFonts w:ascii="仿宋_GB2312" w:hAnsi="宋体" w:eastAsia="仿宋_GB2312"/>
          <w:sz w:val="28"/>
          <w:szCs w:val="28"/>
        </w:rPr>
      </w:pPr>
      <w:r>
        <w:rPr>
          <w:rFonts w:hint="eastAsia" w:ascii="仿宋_GB2312" w:hAnsi="宋体" w:eastAsia="仿宋_GB2312"/>
          <w:sz w:val="28"/>
          <w:szCs w:val="28"/>
        </w:rPr>
        <w:t>从基本农田的坡度等级来看，坡度0-2°耕地1048.52公顷，占基本农田总面积的4%；坡度2°～6°耕地855.29公顷，占基本农田总面积的3.30%；坡度6°～15°耕地8256.72公顷，占基本农田总面积31.50%；坡度15°～25°耕地8118.29公顷，占基本农田总面积的31%；坡度25°以上耕地7937.01公顷，占基本农田总面积的30.30%。</w:t>
      </w:r>
    </w:p>
    <w:p w14:paraId="6FC03309">
      <w:pPr>
        <w:jc w:val="center"/>
        <w:outlineLvl w:val="4"/>
        <w:rPr>
          <w:rFonts w:ascii="宋体" w:hAnsi="宋体"/>
          <w:b/>
        </w:rPr>
      </w:pPr>
      <w:r>
        <w:rPr>
          <w:rFonts w:hint="eastAsia" w:ascii="宋体" w:hAnsi="宋体"/>
          <w:b/>
          <w:sz w:val="24"/>
        </w:rPr>
        <w:t>表2-10  东川区现状基本农田坡度分级情况表</w:t>
      </w:r>
    </w:p>
    <w:p w14:paraId="5969F4C2">
      <w:pPr>
        <w:wordWrap w:val="0"/>
        <w:ind w:firstLine="420"/>
        <w:jc w:val="right"/>
        <w:rPr>
          <w:rFonts w:ascii="宋体" w:hAnsi="宋体"/>
          <w:color w:val="000000"/>
          <w:kern w:val="0"/>
          <w:sz w:val="18"/>
          <w:szCs w:val="18"/>
        </w:rPr>
      </w:pPr>
      <w:r>
        <w:rPr>
          <w:rFonts w:hint="eastAsia" w:ascii="宋体" w:hAnsi="宋体"/>
          <w:color w:val="000000"/>
          <w:kern w:val="0"/>
          <w:sz w:val="18"/>
          <w:szCs w:val="18"/>
        </w:rPr>
        <w:t>单位：公顷</w:t>
      </w:r>
    </w:p>
    <w:tbl>
      <w:tblPr>
        <w:tblStyle w:val="27"/>
        <w:tblW w:w="9640" w:type="dxa"/>
        <w:tblInd w:w="-176" w:type="dxa"/>
        <w:tblLayout w:type="autofit"/>
        <w:tblCellMar>
          <w:top w:w="0" w:type="dxa"/>
          <w:left w:w="108" w:type="dxa"/>
          <w:bottom w:w="0" w:type="dxa"/>
          <w:right w:w="108" w:type="dxa"/>
        </w:tblCellMar>
      </w:tblPr>
      <w:tblGrid>
        <w:gridCol w:w="1232"/>
        <w:gridCol w:w="1481"/>
        <w:gridCol w:w="1115"/>
        <w:gridCol w:w="1276"/>
        <w:gridCol w:w="1276"/>
        <w:gridCol w:w="1701"/>
        <w:gridCol w:w="1559"/>
      </w:tblGrid>
      <w:tr w14:paraId="28D0EAA4">
        <w:tblPrEx>
          <w:tblCellMar>
            <w:top w:w="0" w:type="dxa"/>
            <w:left w:w="108" w:type="dxa"/>
            <w:bottom w:w="0" w:type="dxa"/>
            <w:right w:w="108" w:type="dxa"/>
          </w:tblCellMar>
        </w:tblPrEx>
        <w:trPr>
          <w:trHeight w:val="300" w:hRule="atLeast"/>
        </w:trPr>
        <w:tc>
          <w:tcPr>
            <w:tcW w:w="123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4FF65BE5">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行政辖区</w:t>
            </w:r>
          </w:p>
        </w:tc>
        <w:tc>
          <w:tcPr>
            <w:tcW w:w="148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2F6535A5">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基本农田面积</w:t>
            </w:r>
          </w:p>
        </w:tc>
        <w:tc>
          <w:tcPr>
            <w:tcW w:w="6927" w:type="dxa"/>
            <w:gridSpan w:val="5"/>
            <w:tcBorders>
              <w:top w:val="single" w:color="auto" w:sz="8" w:space="0"/>
              <w:left w:val="nil"/>
              <w:bottom w:val="single" w:color="auto" w:sz="8" w:space="0"/>
              <w:right w:val="single" w:color="000000" w:sz="8" w:space="0"/>
            </w:tcBorders>
            <w:shd w:val="clear" w:color="auto" w:fill="auto"/>
            <w:vAlign w:val="center"/>
          </w:tcPr>
          <w:p w14:paraId="5FD2C83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耕地坡度构成</w:t>
            </w:r>
          </w:p>
        </w:tc>
      </w:tr>
      <w:tr w14:paraId="39B38DE4">
        <w:tblPrEx>
          <w:tblCellMar>
            <w:top w:w="0" w:type="dxa"/>
            <w:left w:w="108" w:type="dxa"/>
            <w:bottom w:w="0" w:type="dxa"/>
            <w:right w:w="108" w:type="dxa"/>
          </w:tblCellMar>
        </w:tblPrEx>
        <w:trPr>
          <w:trHeight w:val="300" w:hRule="atLeast"/>
        </w:trPr>
        <w:tc>
          <w:tcPr>
            <w:tcW w:w="1232" w:type="dxa"/>
            <w:vMerge w:val="continue"/>
            <w:tcBorders>
              <w:top w:val="single" w:color="auto" w:sz="8" w:space="0"/>
              <w:left w:val="single" w:color="auto" w:sz="8" w:space="0"/>
              <w:bottom w:val="single" w:color="000000" w:sz="8" w:space="0"/>
              <w:right w:val="single" w:color="auto" w:sz="8" w:space="0"/>
            </w:tcBorders>
            <w:vAlign w:val="center"/>
          </w:tcPr>
          <w:p w14:paraId="570483C8">
            <w:pPr>
              <w:widowControl/>
              <w:jc w:val="center"/>
              <w:rPr>
                <w:rFonts w:ascii="宋体" w:hAnsi="宋体" w:cs="宋体"/>
                <w:b/>
                <w:color w:val="000000"/>
                <w:kern w:val="0"/>
                <w:sz w:val="18"/>
                <w:szCs w:val="18"/>
              </w:rPr>
            </w:pPr>
          </w:p>
        </w:tc>
        <w:tc>
          <w:tcPr>
            <w:tcW w:w="1481" w:type="dxa"/>
            <w:vMerge w:val="continue"/>
            <w:tcBorders>
              <w:top w:val="single" w:color="auto" w:sz="8" w:space="0"/>
              <w:left w:val="single" w:color="auto" w:sz="8" w:space="0"/>
              <w:bottom w:val="single" w:color="000000" w:sz="8" w:space="0"/>
              <w:right w:val="single" w:color="auto" w:sz="8" w:space="0"/>
            </w:tcBorders>
            <w:vAlign w:val="center"/>
          </w:tcPr>
          <w:p w14:paraId="56ECC8A5">
            <w:pPr>
              <w:widowControl/>
              <w:jc w:val="center"/>
              <w:rPr>
                <w:rFonts w:ascii="宋体" w:hAnsi="宋体" w:cs="宋体"/>
                <w:b/>
                <w:color w:val="000000"/>
                <w:kern w:val="0"/>
                <w:sz w:val="18"/>
                <w:szCs w:val="18"/>
              </w:rPr>
            </w:pPr>
          </w:p>
        </w:tc>
        <w:tc>
          <w:tcPr>
            <w:tcW w:w="1115" w:type="dxa"/>
            <w:tcBorders>
              <w:top w:val="nil"/>
              <w:left w:val="nil"/>
              <w:bottom w:val="single" w:color="auto" w:sz="8" w:space="0"/>
              <w:right w:val="single" w:color="auto" w:sz="8" w:space="0"/>
            </w:tcBorders>
            <w:shd w:val="clear" w:color="auto" w:fill="auto"/>
            <w:vAlign w:val="center"/>
          </w:tcPr>
          <w:p w14:paraId="0B22F4E4">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0～2°</w:t>
            </w:r>
          </w:p>
        </w:tc>
        <w:tc>
          <w:tcPr>
            <w:tcW w:w="1276" w:type="dxa"/>
            <w:tcBorders>
              <w:top w:val="nil"/>
              <w:left w:val="nil"/>
              <w:bottom w:val="single" w:color="auto" w:sz="8" w:space="0"/>
              <w:right w:val="single" w:color="auto" w:sz="8" w:space="0"/>
            </w:tcBorders>
            <w:shd w:val="clear" w:color="auto" w:fill="auto"/>
            <w:vAlign w:val="center"/>
          </w:tcPr>
          <w:p w14:paraId="6E21509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2～6°</w:t>
            </w:r>
          </w:p>
        </w:tc>
        <w:tc>
          <w:tcPr>
            <w:tcW w:w="1276" w:type="dxa"/>
            <w:tcBorders>
              <w:top w:val="nil"/>
              <w:left w:val="nil"/>
              <w:bottom w:val="single" w:color="auto" w:sz="8" w:space="0"/>
              <w:right w:val="single" w:color="auto" w:sz="8" w:space="0"/>
            </w:tcBorders>
            <w:shd w:val="clear" w:color="auto" w:fill="auto"/>
            <w:vAlign w:val="center"/>
          </w:tcPr>
          <w:p w14:paraId="5D935F4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6～15°</w:t>
            </w:r>
          </w:p>
        </w:tc>
        <w:tc>
          <w:tcPr>
            <w:tcW w:w="1701" w:type="dxa"/>
            <w:tcBorders>
              <w:top w:val="nil"/>
              <w:left w:val="nil"/>
              <w:bottom w:val="single" w:color="auto" w:sz="8" w:space="0"/>
              <w:right w:val="single" w:color="auto" w:sz="8" w:space="0"/>
            </w:tcBorders>
            <w:shd w:val="clear" w:color="auto" w:fill="auto"/>
            <w:vAlign w:val="center"/>
          </w:tcPr>
          <w:p w14:paraId="09BAA9A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15～25°</w:t>
            </w:r>
          </w:p>
        </w:tc>
        <w:tc>
          <w:tcPr>
            <w:tcW w:w="1559" w:type="dxa"/>
            <w:tcBorders>
              <w:top w:val="nil"/>
              <w:left w:val="nil"/>
              <w:bottom w:val="single" w:color="auto" w:sz="8" w:space="0"/>
              <w:right w:val="single" w:color="auto" w:sz="8" w:space="0"/>
            </w:tcBorders>
            <w:shd w:val="clear" w:color="auto" w:fill="auto"/>
            <w:vAlign w:val="center"/>
          </w:tcPr>
          <w:p w14:paraId="3EFC528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25°以上</w:t>
            </w:r>
          </w:p>
        </w:tc>
      </w:tr>
      <w:tr w14:paraId="66FA0D43">
        <w:tblPrEx>
          <w:tblCellMar>
            <w:top w:w="0" w:type="dxa"/>
            <w:left w:w="108" w:type="dxa"/>
            <w:bottom w:w="0" w:type="dxa"/>
            <w:right w:w="108" w:type="dxa"/>
          </w:tblCellMar>
        </w:tblPrEx>
        <w:trPr>
          <w:trHeight w:val="300" w:hRule="atLeast"/>
        </w:trPr>
        <w:tc>
          <w:tcPr>
            <w:tcW w:w="1232" w:type="dxa"/>
            <w:tcBorders>
              <w:top w:val="nil"/>
              <w:left w:val="single" w:color="auto" w:sz="8" w:space="0"/>
              <w:bottom w:val="single" w:color="auto" w:sz="8" w:space="0"/>
              <w:right w:val="single" w:color="auto" w:sz="8" w:space="0"/>
            </w:tcBorders>
            <w:shd w:val="clear" w:color="auto" w:fill="auto"/>
            <w:vAlign w:val="center"/>
          </w:tcPr>
          <w:p w14:paraId="426396D6">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481" w:type="dxa"/>
            <w:tcBorders>
              <w:top w:val="nil"/>
              <w:left w:val="nil"/>
              <w:bottom w:val="single" w:color="auto" w:sz="8" w:space="0"/>
              <w:right w:val="single" w:color="auto" w:sz="8" w:space="0"/>
            </w:tcBorders>
            <w:shd w:val="clear" w:color="auto" w:fill="auto"/>
            <w:vAlign w:val="center"/>
          </w:tcPr>
          <w:p w14:paraId="22BFB25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5251.20 </w:t>
            </w:r>
          </w:p>
        </w:tc>
        <w:tc>
          <w:tcPr>
            <w:tcW w:w="1115" w:type="dxa"/>
            <w:tcBorders>
              <w:top w:val="nil"/>
              <w:left w:val="nil"/>
              <w:bottom w:val="single" w:color="auto" w:sz="8" w:space="0"/>
              <w:right w:val="single" w:color="auto" w:sz="8" w:space="0"/>
            </w:tcBorders>
            <w:shd w:val="clear" w:color="auto" w:fill="auto"/>
            <w:vAlign w:val="center"/>
          </w:tcPr>
          <w:p w14:paraId="7865E41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585.31 </w:t>
            </w:r>
          </w:p>
        </w:tc>
        <w:tc>
          <w:tcPr>
            <w:tcW w:w="1276" w:type="dxa"/>
            <w:tcBorders>
              <w:top w:val="nil"/>
              <w:left w:val="nil"/>
              <w:bottom w:val="single" w:color="auto" w:sz="8" w:space="0"/>
              <w:right w:val="single" w:color="auto" w:sz="8" w:space="0"/>
            </w:tcBorders>
            <w:shd w:val="clear" w:color="auto" w:fill="auto"/>
            <w:vAlign w:val="center"/>
          </w:tcPr>
          <w:p w14:paraId="077167E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421.02 </w:t>
            </w:r>
          </w:p>
        </w:tc>
        <w:tc>
          <w:tcPr>
            <w:tcW w:w="1276" w:type="dxa"/>
            <w:tcBorders>
              <w:top w:val="nil"/>
              <w:left w:val="nil"/>
              <w:bottom w:val="single" w:color="auto" w:sz="8" w:space="0"/>
              <w:right w:val="single" w:color="auto" w:sz="8" w:space="0"/>
            </w:tcBorders>
            <w:shd w:val="clear" w:color="auto" w:fill="auto"/>
            <w:vAlign w:val="center"/>
          </w:tcPr>
          <w:p w14:paraId="3E6DF98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1673.49 </w:t>
            </w:r>
          </w:p>
        </w:tc>
        <w:tc>
          <w:tcPr>
            <w:tcW w:w="1701" w:type="dxa"/>
            <w:tcBorders>
              <w:top w:val="nil"/>
              <w:left w:val="nil"/>
              <w:bottom w:val="single" w:color="auto" w:sz="8" w:space="0"/>
              <w:right w:val="single" w:color="auto" w:sz="8" w:space="0"/>
            </w:tcBorders>
            <w:shd w:val="clear" w:color="auto" w:fill="auto"/>
            <w:vAlign w:val="center"/>
          </w:tcPr>
          <w:p w14:paraId="6E6093F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1481.54 </w:t>
            </w:r>
          </w:p>
        </w:tc>
        <w:tc>
          <w:tcPr>
            <w:tcW w:w="1559" w:type="dxa"/>
            <w:tcBorders>
              <w:top w:val="nil"/>
              <w:left w:val="nil"/>
              <w:bottom w:val="single" w:color="auto" w:sz="8" w:space="0"/>
              <w:right w:val="single" w:color="auto" w:sz="8" w:space="0"/>
            </w:tcBorders>
            <w:shd w:val="clear" w:color="auto" w:fill="auto"/>
            <w:vAlign w:val="center"/>
          </w:tcPr>
          <w:p w14:paraId="5D22BAC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1089.84 </w:t>
            </w:r>
          </w:p>
        </w:tc>
      </w:tr>
      <w:tr w14:paraId="15EC7068">
        <w:tblPrEx>
          <w:tblCellMar>
            <w:top w:w="0" w:type="dxa"/>
            <w:left w:w="108" w:type="dxa"/>
            <w:bottom w:w="0" w:type="dxa"/>
            <w:right w:w="108" w:type="dxa"/>
          </w:tblCellMar>
        </w:tblPrEx>
        <w:trPr>
          <w:trHeight w:val="300" w:hRule="atLeast"/>
        </w:trPr>
        <w:tc>
          <w:tcPr>
            <w:tcW w:w="1232" w:type="dxa"/>
            <w:tcBorders>
              <w:top w:val="nil"/>
              <w:left w:val="single" w:color="auto" w:sz="8" w:space="0"/>
              <w:bottom w:val="single" w:color="auto" w:sz="8" w:space="0"/>
              <w:right w:val="single" w:color="auto" w:sz="8" w:space="0"/>
            </w:tcBorders>
            <w:shd w:val="clear" w:color="auto" w:fill="auto"/>
            <w:vAlign w:val="center"/>
          </w:tcPr>
          <w:p w14:paraId="3CE14E05">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481" w:type="dxa"/>
            <w:tcBorders>
              <w:top w:val="nil"/>
              <w:left w:val="nil"/>
              <w:bottom w:val="single" w:color="auto" w:sz="8" w:space="0"/>
              <w:right w:val="single" w:color="auto" w:sz="8" w:space="0"/>
            </w:tcBorders>
            <w:shd w:val="clear" w:color="auto" w:fill="auto"/>
            <w:vAlign w:val="center"/>
          </w:tcPr>
          <w:p w14:paraId="612EA4B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5209.86 </w:t>
            </w:r>
          </w:p>
        </w:tc>
        <w:tc>
          <w:tcPr>
            <w:tcW w:w="1115" w:type="dxa"/>
            <w:tcBorders>
              <w:top w:val="nil"/>
              <w:left w:val="nil"/>
              <w:bottom w:val="single" w:color="auto" w:sz="8" w:space="0"/>
              <w:right w:val="single" w:color="auto" w:sz="8" w:space="0"/>
            </w:tcBorders>
            <w:shd w:val="clear" w:color="auto" w:fill="auto"/>
            <w:vAlign w:val="center"/>
          </w:tcPr>
          <w:p w14:paraId="21E0DAB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69.43 </w:t>
            </w:r>
          </w:p>
        </w:tc>
        <w:tc>
          <w:tcPr>
            <w:tcW w:w="1276" w:type="dxa"/>
            <w:tcBorders>
              <w:top w:val="nil"/>
              <w:left w:val="nil"/>
              <w:bottom w:val="single" w:color="auto" w:sz="8" w:space="0"/>
              <w:right w:val="single" w:color="auto" w:sz="8" w:space="0"/>
            </w:tcBorders>
            <w:shd w:val="clear" w:color="auto" w:fill="auto"/>
            <w:vAlign w:val="center"/>
          </w:tcPr>
          <w:p w14:paraId="5210F6F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157.75 </w:t>
            </w:r>
          </w:p>
        </w:tc>
        <w:tc>
          <w:tcPr>
            <w:tcW w:w="1276" w:type="dxa"/>
            <w:tcBorders>
              <w:top w:val="nil"/>
              <w:left w:val="nil"/>
              <w:bottom w:val="single" w:color="auto" w:sz="8" w:space="0"/>
              <w:right w:val="single" w:color="auto" w:sz="8" w:space="0"/>
            </w:tcBorders>
            <w:shd w:val="clear" w:color="auto" w:fill="auto"/>
            <w:vAlign w:val="center"/>
          </w:tcPr>
          <w:p w14:paraId="6EAE52D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1637.94 </w:t>
            </w:r>
          </w:p>
        </w:tc>
        <w:tc>
          <w:tcPr>
            <w:tcW w:w="1701" w:type="dxa"/>
            <w:tcBorders>
              <w:top w:val="nil"/>
              <w:left w:val="nil"/>
              <w:bottom w:val="single" w:color="auto" w:sz="8" w:space="0"/>
              <w:right w:val="single" w:color="auto" w:sz="8" w:space="0"/>
            </w:tcBorders>
            <w:shd w:val="clear" w:color="auto" w:fill="auto"/>
            <w:vAlign w:val="center"/>
          </w:tcPr>
          <w:p w14:paraId="27F3D68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1668.50 </w:t>
            </w:r>
          </w:p>
        </w:tc>
        <w:tc>
          <w:tcPr>
            <w:tcW w:w="1559" w:type="dxa"/>
            <w:tcBorders>
              <w:top w:val="nil"/>
              <w:left w:val="nil"/>
              <w:bottom w:val="single" w:color="auto" w:sz="8" w:space="0"/>
              <w:right w:val="single" w:color="auto" w:sz="8" w:space="0"/>
            </w:tcBorders>
            <w:shd w:val="clear" w:color="auto" w:fill="auto"/>
            <w:vAlign w:val="center"/>
          </w:tcPr>
          <w:p w14:paraId="4BC5C00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1676.24 </w:t>
            </w:r>
          </w:p>
        </w:tc>
      </w:tr>
      <w:tr w14:paraId="53DBB8E4">
        <w:tblPrEx>
          <w:tblCellMar>
            <w:top w:w="0" w:type="dxa"/>
            <w:left w:w="108" w:type="dxa"/>
            <w:bottom w:w="0" w:type="dxa"/>
            <w:right w:w="108" w:type="dxa"/>
          </w:tblCellMar>
        </w:tblPrEx>
        <w:trPr>
          <w:trHeight w:val="300" w:hRule="atLeast"/>
        </w:trPr>
        <w:tc>
          <w:tcPr>
            <w:tcW w:w="1232" w:type="dxa"/>
            <w:tcBorders>
              <w:top w:val="nil"/>
              <w:left w:val="single" w:color="auto" w:sz="8" w:space="0"/>
              <w:bottom w:val="single" w:color="auto" w:sz="8" w:space="0"/>
              <w:right w:val="single" w:color="auto" w:sz="8" w:space="0"/>
            </w:tcBorders>
            <w:shd w:val="clear" w:color="auto" w:fill="auto"/>
            <w:vAlign w:val="center"/>
          </w:tcPr>
          <w:p w14:paraId="29EAABD3">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481" w:type="dxa"/>
            <w:tcBorders>
              <w:top w:val="nil"/>
              <w:left w:val="nil"/>
              <w:bottom w:val="single" w:color="auto" w:sz="8" w:space="0"/>
              <w:right w:val="single" w:color="auto" w:sz="8" w:space="0"/>
            </w:tcBorders>
            <w:shd w:val="clear" w:color="auto" w:fill="auto"/>
            <w:vAlign w:val="center"/>
          </w:tcPr>
          <w:p w14:paraId="79A0FAB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2906.78 </w:t>
            </w:r>
          </w:p>
        </w:tc>
        <w:tc>
          <w:tcPr>
            <w:tcW w:w="1115" w:type="dxa"/>
            <w:tcBorders>
              <w:top w:val="nil"/>
              <w:left w:val="nil"/>
              <w:bottom w:val="single" w:color="auto" w:sz="8" w:space="0"/>
              <w:right w:val="single" w:color="auto" w:sz="8" w:space="0"/>
            </w:tcBorders>
            <w:shd w:val="clear" w:color="auto" w:fill="auto"/>
            <w:vAlign w:val="center"/>
          </w:tcPr>
          <w:p w14:paraId="51FD7C6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15.94 </w:t>
            </w:r>
          </w:p>
        </w:tc>
        <w:tc>
          <w:tcPr>
            <w:tcW w:w="1276" w:type="dxa"/>
            <w:tcBorders>
              <w:top w:val="nil"/>
              <w:left w:val="nil"/>
              <w:bottom w:val="single" w:color="auto" w:sz="8" w:space="0"/>
              <w:right w:val="single" w:color="auto" w:sz="8" w:space="0"/>
            </w:tcBorders>
            <w:shd w:val="clear" w:color="auto" w:fill="auto"/>
            <w:vAlign w:val="center"/>
          </w:tcPr>
          <w:p w14:paraId="4543899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157.83 </w:t>
            </w:r>
          </w:p>
        </w:tc>
        <w:tc>
          <w:tcPr>
            <w:tcW w:w="1276" w:type="dxa"/>
            <w:tcBorders>
              <w:top w:val="nil"/>
              <w:left w:val="nil"/>
              <w:bottom w:val="single" w:color="auto" w:sz="8" w:space="0"/>
              <w:right w:val="single" w:color="auto" w:sz="8" w:space="0"/>
            </w:tcBorders>
            <w:shd w:val="clear" w:color="auto" w:fill="auto"/>
            <w:vAlign w:val="center"/>
          </w:tcPr>
          <w:p w14:paraId="107C8E2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1261.01 </w:t>
            </w:r>
          </w:p>
        </w:tc>
        <w:tc>
          <w:tcPr>
            <w:tcW w:w="1701" w:type="dxa"/>
            <w:tcBorders>
              <w:top w:val="nil"/>
              <w:left w:val="nil"/>
              <w:bottom w:val="single" w:color="auto" w:sz="8" w:space="0"/>
              <w:right w:val="single" w:color="auto" w:sz="8" w:space="0"/>
            </w:tcBorders>
            <w:shd w:val="clear" w:color="auto" w:fill="auto"/>
            <w:vAlign w:val="center"/>
          </w:tcPr>
          <w:p w14:paraId="03FFB1C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829.78 </w:t>
            </w:r>
          </w:p>
        </w:tc>
        <w:tc>
          <w:tcPr>
            <w:tcW w:w="1559" w:type="dxa"/>
            <w:tcBorders>
              <w:top w:val="nil"/>
              <w:left w:val="nil"/>
              <w:bottom w:val="single" w:color="auto" w:sz="8" w:space="0"/>
              <w:right w:val="single" w:color="auto" w:sz="8" w:space="0"/>
            </w:tcBorders>
            <w:shd w:val="clear" w:color="auto" w:fill="auto"/>
            <w:vAlign w:val="center"/>
          </w:tcPr>
          <w:p w14:paraId="758A81F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642.21 </w:t>
            </w:r>
          </w:p>
        </w:tc>
      </w:tr>
      <w:tr w14:paraId="39E9B305">
        <w:tblPrEx>
          <w:tblCellMar>
            <w:top w:w="0" w:type="dxa"/>
            <w:left w:w="108" w:type="dxa"/>
            <w:bottom w:w="0" w:type="dxa"/>
            <w:right w:w="108" w:type="dxa"/>
          </w:tblCellMar>
        </w:tblPrEx>
        <w:trPr>
          <w:trHeight w:val="300" w:hRule="atLeast"/>
        </w:trPr>
        <w:tc>
          <w:tcPr>
            <w:tcW w:w="1232" w:type="dxa"/>
            <w:tcBorders>
              <w:top w:val="nil"/>
              <w:left w:val="single" w:color="auto" w:sz="8" w:space="0"/>
              <w:bottom w:val="single" w:color="auto" w:sz="8" w:space="0"/>
              <w:right w:val="single" w:color="auto" w:sz="8" w:space="0"/>
            </w:tcBorders>
            <w:shd w:val="clear" w:color="auto" w:fill="auto"/>
            <w:vAlign w:val="center"/>
          </w:tcPr>
          <w:p w14:paraId="43446479">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481" w:type="dxa"/>
            <w:tcBorders>
              <w:top w:val="nil"/>
              <w:left w:val="nil"/>
              <w:bottom w:val="single" w:color="auto" w:sz="8" w:space="0"/>
              <w:right w:val="single" w:color="auto" w:sz="8" w:space="0"/>
            </w:tcBorders>
            <w:shd w:val="clear" w:color="auto" w:fill="auto"/>
            <w:vAlign w:val="center"/>
          </w:tcPr>
          <w:p w14:paraId="78469D3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3379.72 </w:t>
            </w:r>
          </w:p>
        </w:tc>
        <w:tc>
          <w:tcPr>
            <w:tcW w:w="1115" w:type="dxa"/>
            <w:tcBorders>
              <w:top w:val="nil"/>
              <w:left w:val="nil"/>
              <w:bottom w:val="single" w:color="auto" w:sz="8" w:space="0"/>
              <w:right w:val="single" w:color="auto" w:sz="8" w:space="0"/>
            </w:tcBorders>
            <w:shd w:val="clear" w:color="auto" w:fill="auto"/>
            <w:vAlign w:val="center"/>
          </w:tcPr>
          <w:p w14:paraId="70ACAEF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216.16 </w:t>
            </w:r>
          </w:p>
        </w:tc>
        <w:tc>
          <w:tcPr>
            <w:tcW w:w="1276" w:type="dxa"/>
            <w:tcBorders>
              <w:top w:val="nil"/>
              <w:left w:val="nil"/>
              <w:bottom w:val="single" w:color="auto" w:sz="8" w:space="0"/>
              <w:right w:val="single" w:color="auto" w:sz="8" w:space="0"/>
            </w:tcBorders>
            <w:shd w:val="clear" w:color="auto" w:fill="auto"/>
            <w:vAlign w:val="center"/>
          </w:tcPr>
          <w:p w14:paraId="277265A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20.91 </w:t>
            </w:r>
          </w:p>
        </w:tc>
        <w:tc>
          <w:tcPr>
            <w:tcW w:w="1276" w:type="dxa"/>
            <w:tcBorders>
              <w:top w:val="nil"/>
              <w:left w:val="nil"/>
              <w:bottom w:val="single" w:color="auto" w:sz="8" w:space="0"/>
              <w:right w:val="single" w:color="auto" w:sz="8" w:space="0"/>
            </w:tcBorders>
            <w:shd w:val="clear" w:color="auto" w:fill="auto"/>
            <w:vAlign w:val="center"/>
          </w:tcPr>
          <w:p w14:paraId="4C2F175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579.68 </w:t>
            </w:r>
          </w:p>
        </w:tc>
        <w:tc>
          <w:tcPr>
            <w:tcW w:w="1701" w:type="dxa"/>
            <w:tcBorders>
              <w:top w:val="nil"/>
              <w:left w:val="nil"/>
              <w:bottom w:val="single" w:color="auto" w:sz="8" w:space="0"/>
              <w:right w:val="single" w:color="auto" w:sz="8" w:space="0"/>
            </w:tcBorders>
            <w:shd w:val="clear" w:color="auto" w:fill="auto"/>
            <w:vAlign w:val="center"/>
          </w:tcPr>
          <w:p w14:paraId="4709847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1159.30 </w:t>
            </w:r>
          </w:p>
        </w:tc>
        <w:tc>
          <w:tcPr>
            <w:tcW w:w="1559" w:type="dxa"/>
            <w:tcBorders>
              <w:top w:val="nil"/>
              <w:left w:val="nil"/>
              <w:bottom w:val="single" w:color="auto" w:sz="8" w:space="0"/>
              <w:right w:val="single" w:color="auto" w:sz="8" w:space="0"/>
            </w:tcBorders>
            <w:shd w:val="clear" w:color="auto" w:fill="auto"/>
            <w:vAlign w:val="center"/>
          </w:tcPr>
          <w:p w14:paraId="663C045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1403.67 </w:t>
            </w:r>
          </w:p>
        </w:tc>
      </w:tr>
      <w:tr w14:paraId="5394722E">
        <w:tblPrEx>
          <w:tblCellMar>
            <w:top w:w="0" w:type="dxa"/>
            <w:left w:w="108" w:type="dxa"/>
            <w:bottom w:w="0" w:type="dxa"/>
            <w:right w:w="108" w:type="dxa"/>
          </w:tblCellMar>
        </w:tblPrEx>
        <w:trPr>
          <w:trHeight w:val="300" w:hRule="atLeast"/>
        </w:trPr>
        <w:tc>
          <w:tcPr>
            <w:tcW w:w="1232" w:type="dxa"/>
            <w:tcBorders>
              <w:top w:val="nil"/>
              <w:left w:val="single" w:color="auto" w:sz="8" w:space="0"/>
              <w:bottom w:val="single" w:color="auto" w:sz="8" w:space="0"/>
              <w:right w:val="single" w:color="auto" w:sz="8" w:space="0"/>
            </w:tcBorders>
            <w:shd w:val="clear" w:color="auto" w:fill="auto"/>
            <w:vAlign w:val="center"/>
          </w:tcPr>
          <w:p w14:paraId="6C01C620">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481" w:type="dxa"/>
            <w:tcBorders>
              <w:top w:val="nil"/>
              <w:left w:val="nil"/>
              <w:bottom w:val="single" w:color="auto" w:sz="8" w:space="0"/>
              <w:right w:val="single" w:color="auto" w:sz="8" w:space="0"/>
            </w:tcBorders>
            <w:shd w:val="clear" w:color="auto" w:fill="auto"/>
            <w:vAlign w:val="center"/>
          </w:tcPr>
          <w:p w14:paraId="466C8A0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2891.46 </w:t>
            </w:r>
          </w:p>
        </w:tc>
        <w:tc>
          <w:tcPr>
            <w:tcW w:w="1115" w:type="dxa"/>
            <w:tcBorders>
              <w:top w:val="nil"/>
              <w:left w:val="nil"/>
              <w:bottom w:val="single" w:color="auto" w:sz="8" w:space="0"/>
              <w:right w:val="single" w:color="auto" w:sz="8" w:space="0"/>
            </w:tcBorders>
            <w:shd w:val="clear" w:color="auto" w:fill="auto"/>
            <w:vAlign w:val="center"/>
          </w:tcPr>
          <w:p w14:paraId="4A14D80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161.34 </w:t>
            </w:r>
          </w:p>
        </w:tc>
        <w:tc>
          <w:tcPr>
            <w:tcW w:w="1276" w:type="dxa"/>
            <w:tcBorders>
              <w:top w:val="nil"/>
              <w:left w:val="nil"/>
              <w:bottom w:val="single" w:color="auto" w:sz="8" w:space="0"/>
              <w:right w:val="single" w:color="auto" w:sz="8" w:space="0"/>
            </w:tcBorders>
            <w:shd w:val="clear" w:color="auto" w:fill="auto"/>
            <w:vAlign w:val="center"/>
          </w:tcPr>
          <w:p w14:paraId="196DECA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79.38 </w:t>
            </w:r>
          </w:p>
        </w:tc>
        <w:tc>
          <w:tcPr>
            <w:tcW w:w="1276" w:type="dxa"/>
            <w:tcBorders>
              <w:top w:val="nil"/>
              <w:left w:val="nil"/>
              <w:bottom w:val="single" w:color="auto" w:sz="8" w:space="0"/>
              <w:right w:val="single" w:color="auto" w:sz="8" w:space="0"/>
            </w:tcBorders>
            <w:shd w:val="clear" w:color="auto" w:fill="auto"/>
            <w:vAlign w:val="center"/>
          </w:tcPr>
          <w:p w14:paraId="6F23ED9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1014.99 </w:t>
            </w:r>
          </w:p>
        </w:tc>
        <w:tc>
          <w:tcPr>
            <w:tcW w:w="1701" w:type="dxa"/>
            <w:tcBorders>
              <w:top w:val="nil"/>
              <w:left w:val="nil"/>
              <w:bottom w:val="single" w:color="auto" w:sz="8" w:space="0"/>
              <w:right w:val="single" w:color="auto" w:sz="8" w:space="0"/>
            </w:tcBorders>
            <w:shd w:val="clear" w:color="auto" w:fill="auto"/>
            <w:vAlign w:val="center"/>
          </w:tcPr>
          <w:p w14:paraId="421947A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712.40 </w:t>
            </w:r>
          </w:p>
        </w:tc>
        <w:tc>
          <w:tcPr>
            <w:tcW w:w="1559" w:type="dxa"/>
            <w:tcBorders>
              <w:top w:val="nil"/>
              <w:left w:val="nil"/>
              <w:bottom w:val="single" w:color="auto" w:sz="8" w:space="0"/>
              <w:right w:val="single" w:color="auto" w:sz="8" w:space="0"/>
            </w:tcBorders>
            <w:shd w:val="clear" w:color="auto" w:fill="auto"/>
            <w:vAlign w:val="center"/>
          </w:tcPr>
          <w:p w14:paraId="4461EA8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923.35 </w:t>
            </w:r>
          </w:p>
        </w:tc>
      </w:tr>
      <w:tr w14:paraId="6D4C3060">
        <w:tblPrEx>
          <w:tblCellMar>
            <w:top w:w="0" w:type="dxa"/>
            <w:left w:w="108" w:type="dxa"/>
            <w:bottom w:w="0" w:type="dxa"/>
            <w:right w:w="108" w:type="dxa"/>
          </w:tblCellMar>
        </w:tblPrEx>
        <w:trPr>
          <w:trHeight w:val="300" w:hRule="atLeast"/>
        </w:trPr>
        <w:tc>
          <w:tcPr>
            <w:tcW w:w="1232" w:type="dxa"/>
            <w:tcBorders>
              <w:top w:val="nil"/>
              <w:left w:val="single" w:color="auto" w:sz="8" w:space="0"/>
              <w:bottom w:val="single" w:color="auto" w:sz="8" w:space="0"/>
              <w:right w:val="single" w:color="auto" w:sz="8" w:space="0"/>
            </w:tcBorders>
            <w:shd w:val="clear" w:color="auto" w:fill="auto"/>
            <w:vAlign w:val="center"/>
          </w:tcPr>
          <w:p w14:paraId="230ED66A">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481" w:type="dxa"/>
            <w:tcBorders>
              <w:top w:val="nil"/>
              <w:left w:val="nil"/>
              <w:bottom w:val="single" w:color="auto" w:sz="8" w:space="0"/>
              <w:right w:val="single" w:color="auto" w:sz="8" w:space="0"/>
            </w:tcBorders>
            <w:shd w:val="clear" w:color="auto" w:fill="auto"/>
            <w:vAlign w:val="center"/>
          </w:tcPr>
          <w:p w14:paraId="27850E8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709.88 </w:t>
            </w:r>
          </w:p>
        </w:tc>
        <w:tc>
          <w:tcPr>
            <w:tcW w:w="1115" w:type="dxa"/>
            <w:tcBorders>
              <w:top w:val="nil"/>
              <w:left w:val="nil"/>
              <w:bottom w:val="single" w:color="auto" w:sz="8" w:space="0"/>
              <w:right w:val="single" w:color="auto" w:sz="8" w:space="0"/>
            </w:tcBorders>
            <w:shd w:val="clear" w:color="auto" w:fill="auto"/>
            <w:vAlign w:val="center"/>
          </w:tcPr>
          <w:p w14:paraId="5DD2D11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6" w:type="dxa"/>
            <w:tcBorders>
              <w:top w:val="nil"/>
              <w:left w:val="nil"/>
              <w:bottom w:val="single" w:color="auto" w:sz="8" w:space="0"/>
              <w:right w:val="single" w:color="auto" w:sz="8" w:space="0"/>
            </w:tcBorders>
            <w:shd w:val="clear" w:color="auto" w:fill="auto"/>
            <w:vAlign w:val="center"/>
          </w:tcPr>
          <w:p w14:paraId="21009D4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6" w:type="dxa"/>
            <w:tcBorders>
              <w:top w:val="nil"/>
              <w:left w:val="nil"/>
              <w:bottom w:val="single" w:color="auto" w:sz="8" w:space="0"/>
              <w:right w:val="single" w:color="auto" w:sz="8" w:space="0"/>
            </w:tcBorders>
            <w:shd w:val="clear" w:color="auto" w:fill="auto"/>
            <w:vAlign w:val="center"/>
          </w:tcPr>
          <w:p w14:paraId="5B5BC8D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31.55 </w:t>
            </w:r>
          </w:p>
        </w:tc>
        <w:tc>
          <w:tcPr>
            <w:tcW w:w="1701" w:type="dxa"/>
            <w:tcBorders>
              <w:top w:val="nil"/>
              <w:left w:val="nil"/>
              <w:bottom w:val="single" w:color="auto" w:sz="8" w:space="0"/>
              <w:right w:val="single" w:color="auto" w:sz="8" w:space="0"/>
            </w:tcBorders>
            <w:shd w:val="clear" w:color="auto" w:fill="auto"/>
            <w:vAlign w:val="center"/>
          </w:tcPr>
          <w:p w14:paraId="6023053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60.64 </w:t>
            </w:r>
          </w:p>
        </w:tc>
        <w:tc>
          <w:tcPr>
            <w:tcW w:w="1559" w:type="dxa"/>
            <w:tcBorders>
              <w:top w:val="nil"/>
              <w:left w:val="nil"/>
              <w:bottom w:val="single" w:color="auto" w:sz="8" w:space="0"/>
              <w:right w:val="single" w:color="auto" w:sz="8" w:space="0"/>
            </w:tcBorders>
            <w:shd w:val="clear" w:color="auto" w:fill="auto"/>
            <w:vAlign w:val="center"/>
          </w:tcPr>
          <w:p w14:paraId="4523CD6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617.69 </w:t>
            </w:r>
          </w:p>
        </w:tc>
      </w:tr>
      <w:tr w14:paraId="050F18F9">
        <w:tblPrEx>
          <w:tblCellMar>
            <w:top w:w="0" w:type="dxa"/>
            <w:left w:w="108" w:type="dxa"/>
            <w:bottom w:w="0" w:type="dxa"/>
            <w:right w:w="108" w:type="dxa"/>
          </w:tblCellMar>
        </w:tblPrEx>
        <w:trPr>
          <w:trHeight w:val="300" w:hRule="atLeast"/>
        </w:trPr>
        <w:tc>
          <w:tcPr>
            <w:tcW w:w="1232" w:type="dxa"/>
            <w:tcBorders>
              <w:top w:val="nil"/>
              <w:left w:val="single" w:color="auto" w:sz="8" w:space="0"/>
              <w:bottom w:val="single" w:color="auto" w:sz="8" w:space="0"/>
              <w:right w:val="single" w:color="auto" w:sz="8" w:space="0"/>
            </w:tcBorders>
            <w:shd w:val="clear" w:color="auto" w:fill="auto"/>
            <w:vAlign w:val="center"/>
          </w:tcPr>
          <w:p w14:paraId="493E32C7">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481" w:type="dxa"/>
            <w:tcBorders>
              <w:top w:val="nil"/>
              <w:left w:val="nil"/>
              <w:bottom w:val="single" w:color="auto" w:sz="8" w:space="0"/>
              <w:right w:val="single" w:color="auto" w:sz="8" w:space="0"/>
            </w:tcBorders>
            <w:shd w:val="clear" w:color="auto" w:fill="auto"/>
            <w:vAlign w:val="center"/>
          </w:tcPr>
          <w:p w14:paraId="133B2FE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5154.29 </w:t>
            </w:r>
          </w:p>
        </w:tc>
        <w:tc>
          <w:tcPr>
            <w:tcW w:w="1115" w:type="dxa"/>
            <w:tcBorders>
              <w:top w:val="nil"/>
              <w:left w:val="nil"/>
              <w:bottom w:val="single" w:color="auto" w:sz="8" w:space="0"/>
              <w:right w:val="single" w:color="auto" w:sz="8" w:space="0"/>
            </w:tcBorders>
            <w:shd w:val="clear" w:color="auto" w:fill="auto"/>
            <w:vAlign w:val="center"/>
          </w:tcPr>
          <w:p w14:paraId="1DA2B20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0.34 </w:t>
            </w:r>
          </w:p>
        </w:tc>
        <w:tc>
          <w:tcPr>
            <w:tcW w:w="1276" w:type="dxa"/>
            <w:tcBorders>
              <w:top w:val="nil"/>
              <w:left w:val="nil"/>
              <w:bottom w:val="single" w:color="auto" w:sz="8" w:space="0"/>
              <w:right w:val="single" w:color="auto" w:sz="8" w:space="0"/>
            </w:tcBorders>
            <w:shd w:val="clear" w:color="auto" w:fill="auto"/>
            <w:vAlign w:val="center"/>
          </w:tcPr>
          <w:p w14:paraId="453F72E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11.54 </w:t>
            </w:r>
          </w:p>
        </w:tc>
        <w:tc>
          <w:tcPr>
            <w:tcW w:w="1276" w:type="dxa"/>
            <w:tcBorders>
              <w:top w:val="nil"/>
              <w:left w:val="nil"/>
              <w:bottom w:val="single" w:color="auto" w:sz="8" w:space="0"/>
              <w:right w:val="single" w:color="auto" w:sz="8" w:space="0"/>
            </w:tcBorders>
            <w:shd w:val="clear" w:color="auto" w:fill="auto"/>
            <w:vAlign w:val="center"/>
          </w:tcPr>
          <w:p w14:paraId="02AE2C6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1954.74 </w:t>
            </w:r>
          </w:p>
        </w:tc>
        <w:tc>
          <w:tcPr>
            <w:tcW w:w="1701" w:type="dxa"/>
            <w:tcBorders>
              <w:top w:val="nil"/>
              <w:left w:val="nil"/>
              <w:bottom w:val="single" w:color="auto" w:sz="8" w:space="0"/>
              <w:right w:val="single" w:color="auto" w:sz="8" w:space="0"/>
            </w:tcBorders>
            <w:shd w:val="clear" w:color="auto" w:fill="auto"/>
            <w:vAlign w:val="center"/>
          </w:tcPr>
          <w:p w14:paraId="72A687D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2123.94 </w:t>
            </w:r>
          </w:p>
        </w:tc>
        <w:tc>
          <w:tcPr>
            <w:tcW w:w="1559" w:type="dxa"/>
            <w:tcBorders>
              <w:top w:val="nil"/>
              <w:left w:val="nil"/>
              <w:bottom w:val="single" w:color="auto" w:sz="8" w:space="0"/>
              <w:right w:val="single" w:color="auto" w:sz="8" w:space="0"/>
            </w:tcBorders>
            <w:shd w:val="clear" w:color="auto" w:fill="auto"/>
            <w:vAlign w:val="center"/>
          </w:tcPr>
          <w:p w14:paraId="27092BF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1063.73 </w:t>
            </w:r>
          </w:p>
        </w:tc>
      </w:tr>
      <w:tr w14:paraId="039B2C59">
        <w:tblPrEx>
          <w:tblCellMar>
            <w:top w:w="0" w:type="dxa"/>
            <w:left w:w="108" w:type="dxa"/>
            <w:bottom w:w="0" w:type="dxa"/>
            <w:right w:w="108" w:type="dxa"/>
          </w:tblCellMar>
        </w:tblPrEx>
        <w:trPr>
          <w:trHeight w:val="300" w:hRule="atLeast"/>
        </w:trPr>
        <w:tc>
          <w:tcPr>
            <w:tcW w:w="1232" w:type="dxa"/>
            <w:tcBorders>
              <w:top w:val="nil"/>
              <w:left w:val="single" w:color="auto" w:sz="8" w:space="0"/>
              <w:bottom w:val="single" w:color="auto" w:sz="8" w:space="0"/>
              <w:right w:val="single" w:color="auto" w:sz="8" w:space="0"/>
            </w:tcBorders>
            <w:shd w:val="clear" w:color="auto" w:fill="auto"/>
            <w:vAlign w:val="center"/>
          </w:tcPr>
          <w:p w14:paraId="76316EA4">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481" w:type="dxa"/>
            <w:tcBorders>
              <w:top w:val="nil"/>
              <w:left w:val="nil"/>
              <w:bottom w:val="single" w:color="auto" w:sz="8" w:space="0"/>
              <w:right w:val="single" w:color="auto" w:sz="8" w:space="0"/>
            </w:tcBorders>
            <w:shd w:val="clear" w:color="auto" w:fill="auto"/>
            <w:vAlign w:val="center"/>
          </w:tcPr>
          <w:p w14:paraId="66F69F7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712.65 </w:t>
            </w:r>
          </w:p>
        </w:tc>
        <w:tc>
          <w:tcPr>
            <w:tcW w:w="1115" w:type="dxa"/>
            <w:tcBorders>
              <w:top w:val="nil"/>
              <w:left w:val="nil"/>
              <w:bottom w:val="single" w:color="auto" w:sz="8" w:space="0"/>
              <w:right w:val="single" w:color="auto" w:sz="8" w:space="0"/>
            </w:tcBorders>
            <w:shd w:val="clear" w:color="auto" w:fill="auto"/>
            <w:vAlign w:val="center"/>
          </w:tcPr>
          <w:p w14:paraId="2B050C0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6" w:type="dxa"/>
            <w:tcBorders>
              <w:top w:val="nil"/>
              <w:left w:val="nil"/>
              <w:bottom w:val="single" w:color="auto" w:sz="8" w:space="0"/>
              <w:right w:val="single" w:color="auto" w:sz="8" w:space="0"/>
            </w:tcBorders>
            <w:shd w:val="clear" w:color="auto" w:fill="auto"/>
            <w:vAlign w:val="center"/>
          </w:tcPr>
          <w:p w14:paraId="75E1664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6.86 </w:t>
            </w:r>
          </w:p>
        </w:tc>
        <w:tc>
          <w:tcPr>
            <w:tcW w:w="1276" w:type="dxa"/>
            <w:tcBorders>
              <w:top w:val="nil"/>
              <w:left w:val="nil"/>
              <w:bottom w:val="single" w:color="auto" w:sz="8" w:space="0"/>
              <w:right w:val="single" w:color="auto" w:sz="8" w:space="0"/>
            </w:tcBorders>
            <w:shd w:val="clear" w:color="auto" w:fill="auto"/>
            <w:vAlign w:val="center"/>
          </w:tcPr>
          <w:p w14:paraId="0CAC2A2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103.31 </w:t>
            </w:r>
          </w:p>
        </w:tc>
        <w:tc>
          <w:tcPr>
            <w:tcW w:w="1701" w:type="dxa"/>
            <w:tcBorders>
              <w:top w:val="nil"/>
              <w:left w:val="nil"/>
              <w:bottom w:val="single" w:color="auto" w:sz="8" w:space="0"/>
              <w:right w:val="single" w:color="auto" w:sz="8" w:space="0"/>
            </w:tcBorders>
            <w:shd w:val="clear" w:color="auto" w:fill="auto"/>
            <w:vAlign w:val="center"/>
          </w:tcPr>
          <w:p w14:paraId="6014BAA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82.19 </w:t>
            </w:r>
          </w:p>
        </w:tc>
        <w:tc>
          <w:tcPr>
            <w:tcW w:w="1559" w:type="dxa"/>
            <w:tcBorders>
              <w:top w:val="nil"/>
              <w:left w:val="nil"/>
              <w:bottom w:val="single" w:color="auto" w:sz="8" w:space="0"/>
              <w:right w:val="single" w:color="auto" w:sz="8" w:space="0"/>
            </w:tcBorders>
            <w:shd w:val="clear" w:color="auto" w:fill="auto"/>
            <w:vAlign w:val="center"/>
          </w:tcPr>
          <w:p w14:paraId="6683CD0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520.29 </w:t>
            </w:r>
          </w:p>
        </w:tc>
      </w:tr>
      <w:tr w14:paraId="2D0346A3">
        <w:tblPrEx>
          <w:tblCellMar>
            <w:top w:w="0" w:type="dxa"/>
            <w:left w:w="108" w:type="dxa"/>
            <w:bottom w:w="0" w:type="dxa"/>
            <w:right w:w="108" w:type="dxa"/>
          </w:tblCellMar>
        </w:tblPrEx>
        <w:trPr>
          <w:trHeight w:val="300" w:hRule="atLeast"/>
        </w:trPr>
        <w:tc>
          <w:tcPr>
            <w:tcW w:w="1232" w:type="dxa"/>
            <w:tcBorders>
              <w:top w:val="nil"/>
              <w:left w:val="single" w:color="auto" w:sz="8" w:space="0"/>
              <w:bottom w:val="single" w:color="auto" w:sz="8" w:space="0"/>
              <w:right w:val="single" w:color="auto" w:sz="8" w:space="0"/>
            </w:tcBorders>
            <w:shd w:val="clear" w:color="auto" w:fill="auto"/>
            <w:vAlign w:val="center"/>
          </w:tcPr>
          <w:p w14:paraId="2E3F9615">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481" w:type="dxa"/>
            <w:tcBorders>
              <w:top w:val="nil"/>
              <w:left w:val="nil"/>
              <w:bottom w:val="single" w:color="auto" w:sz="8" w:space="0"/>
              <w:right w:val="single" w:color="auto" w:sz="8" w:space="0"/>
            </w:tcBorders>
            <w:shd w:val="clear" w:color="auto" w:fill="auto"/>
            <w:vAlign w:val="center"/>
          </w:tcPr>
          <w:p w14:paraId="66FC1E7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26215.84 </w:t>
            </w:r>
          </w:p>
        </w:tc>
        <w:tc>
          <w:tcPr>
            <w:tcW w:w="1115" w:type="dxa"/>
            <w:tcBorders>
              <w:top w:val="nil"/>
              <w:left w:val="nil"/>
              <w:bottom w:val="single" w:color="auto" w:sz="8" w:space="0"/>
              <w:right w:val="single" w:color="auto" w:sz="8" w:space="0"/>
            </w:tcBorders>
            <w:shd w:val="clear" w:color="auto" w:fill="auto"/>
            <w:vAlign w:val="center"/>
          </w:tcPr>
          <w:p w14:paraId="176CF54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1048.52 </w:t>
            </w:r>
          </w:p>
        </w:tc>
        <w:tc>
          <w:tcPr>
            <w:tcW w:w="1276" w:type="dxa"/>
            <w:tcBorders>
              <w:top w:val="nil"/>
              <w:left w:val="nil"/>
              <w:bottom w:val="single" w:color="auto" w:sz="8" w:space="0"/>
              <w:right w:val="single" w:color="auto" w:sz="8" w:space="0"/>
            </w:tcBorders>
            <w:shd w:val="clear" w:color="auto" w:fill="auto"/>
            <w:vAlign w:val="center"/>
          </w:tcPr>
          <w:p w14:paraId="72DD4B9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855.29 </w:t>
            </w:r>
          </w:p>
        </w:tc>
        <w:tc>
          <w:tcPr>
            <w:tcW w:w="1276" w:type="dxa"/>
            <w:tcBorders>
              <w:top w:val="nil"/>
              <w:left w:val="nil"/>
              <w:bottom w:val="single" w:color="auto" w:sz="8" w:space="0"/>
              <w:right w:val="single" w:color="auto" w:sz="8" w:space="0"/>
            </w:tcBorders>
            <w:shd w:val="clear" w:color="auto" w:fill="auto"/>
            <w:vAlign w:val="center"/>
          </w:tcPr>
          <w:p w14:paraId="500CFB7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8256.72 </w:t>
            </w:r>
          </w:p>
        </w:tc>
        <w:tc>
          <w:tcPr>
            <w:tcW w:w="1701" w:type="dxa"/>
            <w:tcBorders>
              <w:top w:val="nil"/>
              <w:left w:val="nil"/>
              <w:bottom w:val="single" w:color="auto" w:sz="8" w:space="0"/>
              <w:right w:val="single" w:color="auto" w:sz="8" w:space="0"/>
            </w:tcBorders>
            <w:shd w:val="clear" w:color="auto" w:fill="auto"/>
            <w:vAlign w:val="center"/>
          </w:tcPr>
          <w:p w14:paraId="6C296CA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8118.29 </w:t>
            </w:r>
          </w:p>
        </w:tc>
        <w:tc>
          <w:tcPr>
            <w:tcW w:w="1559" w:type="dxa"/>
            <w:tcBorders>
              <w:top w:val="nil"/>
              <w:left w:val="nil"/>
              <w:bottom w:val="single" w:color="auto" w:sz="8" w:space="0"/>
              <w:right w:val="single" w:color="auto" w:sz="8" w:space="0"/>
            </w:tcBorders>
            <w:shd w:val="clear" w:color="auto" w:fill="auto"/>
            <w:vAlign w:val="center"/>
          </w:tcPr>
          <w:p w14:paraId="6F8D08F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7937.01 </w:t>
            </w:r>
          </w:p>
        </w:tc>
      </w:tr>
      <w:tr w14:paraId="04956694">
        <w:tblPrEx>
          <w:tblCellMar>
            <w:top w:w="0" w:type="dxa"/>
            <w:left w:w="108" w:type="dxa"/>
            <w:bottom w:w="0" w:type="dxa"/>
            <w:right w:w="108" w:type="dxa"/>
          </w:tblCellMar>
        </w:tblPrEx>
        <w:trPr>
          <w:trHeight w:val="300" w:hRule="atLeast"/>
        </w:trPr>
        <w:tc>
          <w:tcPr>
            <w:tcW w:w="1232" w:type="dxa"/>
            <w:tcBorders>
              <w:top w:val="nil"/>
              <w:left w:val="single" w:color="auto" w:sz="8" w:space="0"/>
              <w:bottom w:val="single" w:color="auto" w:sz="8" w:space="0"/>
              <w:right w:val="single" w:color="auto" w:sz="8" w:space="0"/>
            </w:tcBorders>
            <w:shd w:val="clear" w:color="auto" w:fill="auto"/>
            <w:vAlign w:val="center"/>
          </w:tcPr>
          <w:p w14:paraId="2455077D">
            <w:pPr>
              <w:widowControl/>
              <w:jc w:val="center"/>
              <w:rPr>
                <w:rFonts w:ascii="宋体" w:hAnsi="宋体" w:cs="宋体"/>
                <w:color w:val="000000"/>
                <w:kern w:val="0"/>
                <w:sz w:val="18"/>
                <w:szCs w:val="18"/>
              </w:rPr>
            </w:pPr>
            <w:r>
              <w:rPr>
                <w:rFonts w:hint="eastAsia" w:ascii="宋体" w:hAnsi="宋体" w:cs="宋体"/>
                <w:color w:val="000000"/>
                <w:kern w:val="0"/>
                <w:sz w:val="18"/>
                <w:szCs w:val="18"/>
              </w:rPr>
              <w:t>比例</w:t>
            </w:r>
          </w:p>
        </w:tc>
        <w:tc>
          <w:tcPr>
            <w:tcW w:w="1481" w:type="dxa"/>
            <w:tcBorders>
              <w:top w:val="nil"/>
              <w:left w:val="nil"/>
              <w:bottom w:val="single" w:color="auto" w:sz="8" w:space="0"/>
              <w:right w:val="single" w:color="auto" w:sz="8" w:space="0"/>
            </w:tcBorders>
            <w:shd w:val="clear" w:color="auto" w:fill="auto"/>
            <w:vAlign w:val="center"/>
          </w:tcPr>
          <w:p w14:paraId="1B825FB9">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115" w:type="dxa"/>
            <w:tcBorders>
              <w:top w:val="nil"/>
              <w:left w:val="nil"/>
              <w:bottom w:val="single" w:color="auto" w:sz="8" w:space="0"/>
              <w:right w:val="single" w:color="auto" w:sz="8" w:space="0"/>
            </w:tcBorders>
            <w:shd w:val="clear" w:color="auto" w:fill="auto"/>
            <w:vAlign w:val="center"/>
          </w:tcPr>
          <w:p w14:paraId="0D400DB3">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1276" w:type="dxa"/>
            <w:tcBorders>
              <w:top w:val="nil"/>
              <w:left w:val="nil"/>
              <w:bottom w:val="single" w:color="auto" w:sz="8" w:space="0"/>
              <w:right w:val="single" w:color="auto" w:sz="8" w:space="0"/>
            </w:tcBorders>
            <w:shd w:val="clear" w:color="auto" w:fill="auto"/>
            <w:vAlign w:val="center"/>
          </w:tcPr>
          <w:p w14:paraId="7AA936FB">
            <w:pPr>
              <w:widowControl/>
              <w:jc w:val="center"/>
              <w:rPr>
                <w:rFonts w:ascii="宋体" w:hAnsi="宋体" w:cs="宋体"/>
                <w:color w:val="000000"/>
                <w:kern w:val="0"/>
                <w:sz w:val="18"/>
                <w:szCs w:val="18"/>
              </w:rPr>
            </w:pPr>
            <w:r>
              <w:rPr>
                <w:rFonts w:hint="eastAsia" w:ascii="宋体" w:hAnsi="宋体" w:cs="宋体"/>
                <w:color w:val="000000"/>
                <w:kern w:val="0"/>
                <w:sz w:val="18"/>
                <w:szCs w:val="18"/>
              </w:rPr>
              <w:t>3.30%</w:t>
            </w:r>
          </w:p>
        </w:tc>
        <w:tc>
          <w:tcPr>
            <w:tcW w:w="1276" w:type="dxa"/>
            <w:tcBorders>
              <w:top w:val="nil"/>
              <w:left w:val="nil"/>
              <w:bottom w:val="single" w:color="auto" w:sz="8" w:space="0"/>
              <w:right w:val="single" w:color="auto" w:sz="8" w:space="0"/>
            </w:tcBorders>
            <w:shd w:val="clear" w:color="auto" w:fill="auto"/>
            <w:vAlign w:val="center"/>
          </w:tcPr>
          <w:p w14:paraId="2AF8F102">
            <w:pPr>
              <w:widowControl/>
              <w:jc w:val="center"/>
              <w:rPr>
                <w:rFonts w:ascii="宋体" w:hAnsi="宋体" w:cs="宋体"/>
                <w:color w:val="000000"/>
                <w:kern w:val="0"/>
                <w:sz w:val="18"/>
                <w:szCs w:val="18"/>
              </w:rPr>
            </w:pPr>
            <w:r>
              <w:rPr>
                <w:rFonts w:hint="eastAsia" w:ascii="宋体" w:hAnsi="宋体" w:cs="宋体"/>
                <w:color w:val="000000"/>
                <w:kern w:val="0"/>
                <w:sz w:val="18"/>
                <w:szCs w:val="18"/>
              </w:rPr>
              <w:t>31.40%</w:t>
            </w:r>
          </w:p>
        </w:tc>
        <w:tc>
          <w:tcPr>
            <w:tcW w:w="1701" w:type="dxa"/>
            <w:tcBorders>
              <w:top w:val="nil"/>
              <w:left w:val="nil"/>
              <w:bottom w:val="single" w:color="auto" w:sz="8" w:space="0"/>
              <w:right w:val="single" w:color="auto" w:sz="8" w:space="0"/>
            </w:tcBorders>
            <w:shd w:val="clear" w:color="auto" w:fill="auto"/>
            <w:vAlign w:val="center"/>
          </w:tcPr>
          <w:p w14:paraId="11EB2B87">
            <w:pPr>
              <w:widowControl/>
              <w:jc w:val="center"/>
              <w:rPr>
                <w:rFonts w:ascii="宋体" w:hAnsi="宋体" w:cs="宋体"/>
                <w:color w:val="000000"/>
                <w:kern w:val="0"/>
                <w:sz w:val="18"/>
                <w:szCs w:val="18"/>
              </w:rPr>
            </w:pPr>
            <w:r>
              <w:rPr>
                <w:rFonts w:hint="eastAsia" w:ascii="宋体" w:hAnsi="宋体" w:cs="宋体"/>
                <w:color w:val="000000"/>
                <w:kern w:val="0"/>
                <w:sz w:val="18"/>
                <w:szCs w:val="18"/>
              </w:rPr>
              <w:t>31.00%</w:t>
            </w:r>
          </w:p>
        </w:tc>
        <w:tc>
          <w:tcPr>
            <w:tcW w:w="1559" w:type="dxa"/>
            <w:tcBorders>
              <w:top w:val="nil"/>
              <w:left w:val="nil"/>
              <w:bottom w:val="single" w:color="auto" w:sz="8" w:space="0"/>
              <w:right w:val="single" w:color="auto" w:sz="8" w:space="0"/>
            </w:tcBorders>
            <w:shd w:val="clear" w:color="auto" w:fill="auto"/>
            <w:vAlign w:val="center"/>
          </w:tcPr>
          <w:p w14:paraId="52C96D5D">
            <w:pPr>
              <w:widowControl/>
              <w:jc w:val="center"/>
              <w:rPr>
                <w:rFonts w:ascii="宋体" w:hAnsi="宋体" w:cs="宋体"/>
                <w:color w:val="000000"/>
                <w:kern w:val="0"/>
                <w:sz w:val="18"/>
                <w:szCs w:val="18"/>
              </w:rPr>
            </w:pPr>
            <w:r>
              <w:rPr>
                <w:rFonts w:hint="eastAsia" w:ascii="宋体" w:hAnsi="宋体" w:cs="宋体"/>
                <w:color w:val="000000"/>
                <w:kern w:val="0"/>
                <w:sz w:val="18"/>
                <w:szCs w:val="18"/>
              </w:rPr>
              <w:t>30.30%</w:t>
            </w:r>
          </w:p>
        </w:tc>
      </w:tr>
    </w:tbl>
    <w:p w14:paraId="23426F6C">
      <w:pPr>
        <w:pStyle w:val="78"/>
        <w:ind w:firstLine="560"/>
        <w:rPr>
          <w:rFonts w:ascii="仿宋_GB2312" w:hAnsi="宋体" w:eastAsia="仿宋_GB2312"/>
          <w:sz w:val="28"/>
          <w:szCs w:val="28"/>
        </w:rPr>
      </w:pPr>
      <w:r>
        <w:rPr>
          <w:rFonts w:hint="eastAsia" w:ascii="仿宋_GB2312" w:hAnsi="宋体" w:eastAsia="仿宋_GB2312"/>
          <w:sz w:val="28"/>
          <w:szCs w:val="28"/>
        </w:rPr>
        <w:t>全区现状基本农田中，质量等别为6等耕地844.03公顷，占基本农田总面积的3.20%；7等耕地面积1389.59公顷，占基本农田总面积的5.30%； 8等耕地3669.84公顷，占基本农田总面积的24.20%；9等耕地3091.54公顷，占基本农田总面积的11.80%；10等耕地4076.68公顷，占基本农田总面积的15.60%；11等耕地5823.99 公顷，占基本农田总面积的22.20%；12等耕地1834.54公顷，占基本农田总面积的7%；13等耕地2809.17公顷，占基本农田总面积的10.70%；</w:t>
      </w:r>
    </w:p>
    <w:p w14:paraId="1B5A069E">
      <w:pPr>
        <w:jc w:val="center"/>
        <w:outlineLvl w:val="4"/>
        <w:rPr>
          <w:rFonts w:ascii="宋体" w:hAnsi="宋体"/>
          <w:b/>
          <w:sz w:val="24"/>
        </w:rPr>
      </w:pPr>
      <w:r>
        <w:rPr>
          <w:rFonts w:hint="eastAsia" w:ascii="宋体" w:hAnsi="宋体"/>
          <w:b/>
          <w:sz w:val="24"/>
        </w:rPr>
        <w:t>表2-11  东川区现状基本农田利用等情况表</w:t>
      </w:r>
    </w:p>
    <w:p w14:paraId="6B46CC4C">
      <w:pPr>
        <w:wordWrap w:val="0"/>
        <w:ind w:firstLine="420"/>
        <w:jc w:val="right"/>
        <w:rPr>
          <w:rFonts w:ascii="宋体" w:hAnsi="宋体"/>
          <w:color w:val="000000"/>
          <w:kern w:val="0"/>
          <w:sz w:val="18"/>
          <w:szCs w:val="18"/>
        </w:rPr>
      </w:pPr>
      <w:r>
        <w:rPr>
          <w:rFonts w:hint="eastAsia" w:ascii="宋体" w:hAnsi="宋体"/>
          <w:color w:val="000000"/>
          <w:kern w:val="0"/>
          <w:sz w:val="18"/>
          <w:szCs w:val="18"/>
        </w:rPr>
        <w:t>单位：公顷</w:t>
      </w:r>
    </w:p>
    <w:tbl>
      <w:tblPr>
        <w:tblStyle w:val="27"/>
        <w:tblW w:w="11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160"/>
        <w:gridCol w:w="846"/>
        <w:gridCol w:w="1000"/>
        <w:gridCol w:w="1160"/>
        <w:gridCol w:w="1040"/>
        <w:gridCol w:w="1040"/>
        <w:gridCol w:w="1040"/>
        <w:gridCol w:w="1040"/>
        <w:gridCol w:w="1040"/>
        <w:gridCol w:w="1040"/>
      </w:tblGrid>
      <w:tr w14:paraId="2A2F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vMerge w:val="restart"/>
            <w:shd w:val="clear" w:color="auto" w:fill="auto"/>
            <w:vAlign w:val="center"/>
          </w:tcPr>
          <w:p w14:paraId="43B5022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行政辖区</w:t>
            </w:r>
          </w:p>
        </w:tc>
        <w:tc>
          <w:tcPr>
            <w:tcW w:w="1160" w:type="dxa"/>
            <w:vMerge w:val="restart"/>
            <w:shd w:val="clear" w:color="auto" w:fill="auto"/>
            <w:vAlign w:val="center"/>
          </w:tcPr>
          <w:p w14:paraId="44E45DD4">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基本农田</w:t>
            </w:r>
          </w:p>
          <w:p w14:paraId="7A15F0F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w:t>
            </w:r>
          </w:p>
        </w:tc>
        <w:tc>
          <w:tcPr>
            <w:tcW w:w="846" w:type="dxa"/>
            <w:vMerge w:val="restart"/>
            <w:shd w:val="clear" w:color="auto" w:fill="auto"/>
            <w:vAlign w:val="center"/>
          </w:tcPr>
          <w:p w14:paraId="10BF562D">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分布</w:t>
            </w:r>
          </w:p>
          <w:p w14:paraId="53813793">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占比</w:t>
            </w:r>
          </w:p>
        </w:tc>
        <w:tc>
          <w:tcPr>
            <w:tcW w:w="8400" w:type="dxa"/>
            <w:gridSpan w:val="8"/>
            <w:shd w:val="clear" w:color="auto" w:fill="auto"/>
            <w:vAlign w:val="center"/>
          </w:tcPr>
          <w:p w14:paraId="304DFFC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质量等级</w:t>
            </w:r>
          </w:p>
        </w:tc>
      </w:tr>
      <w:tr w14:paraId="6ED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vMerge w:val="continue"/>
            <w:vAlign w:val="center"/>
          </w:tcPr>
          <w:p w14:paraId="567F9CC9">
            <w:pPr>
              <w:widowControl/>
              <w:jc w:val="center"/>
              <w:rPr>
                <w:rFonts w:ascii="宋体" w:hAnsi="宋体" w:cs="宋体"/>
                <w:b/>
                <w:color w:val="000000"/>
                <w:kern w:val="0"/>
                <w:sz w:val="18"/>
                <w:szCs w:val="18"/>
              </w:rPr>
            </w:pPr>
          </w:p>
        </w:tc>
        <w:tc>
          <w:tcPr>
            <w:tcW w:w="1160" w:type="dxa"/>
            <w:vMerge w:val="continue"/>
            <w:vAlign w:val="center"/>
          </w:tcPr>
          <w:p w14:paraId="60A9829C">
            <w:pPr>
              <w:widowControl/>
              <w:jc w:val="center"/>
              <w:rPr>
                <w:rFonts w:ascii="宋体" w:hAnsi="宋体" w:cs="宋体"/>
                <w:b/>
                <w:color w:val="000000"/>
                <w:kern w:val="0"/>
                <w:sz w:val="18"/>
                <w:szCs w:val="18"/>
              </w:rPr>
            </w:pPr>
          </w:p>
        </w:tc>
        <w:tc>
          <w:tcPr>
            <w:tcW w:w="846" w:type="dxa"/>
            <w:vMerge w:val="continue"/>
            <w:vAlign w:val="center"/>
          </w:tcPr>
          <w:p w14:paraId="3F3C9BBD">
            <w:pPr>
              <w:widowControl/>
              <w:jc w:val="center"/>
              <w:rPr>
                <w:rFonts w:ascii="宋体" w:hAnsi="宋体" w:cs="宋体"/>
                <w:b/>
                <w:color w:val="000000"/>
                <w:kern w:val="0"/>
                <w:sz w:val="18"/>
                <w:szCs w:val="18"/>
              </w:rPr>
            </w:pPr>
          </w:p>
        </w:tc>
        <w:tc>
          <w:tcPr>
            <w:tcW w:w="1000" w:type="dxa"/>
            <w:shd w:val="clear" w:color="auto" w:fill="auto"/>
            <w:vAlign w:val="center"/>
          </w:tcPr>
          <w:p w14:paraId="46EDAD2B">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6等</w:t>
            </w:r>
          </w:p>
        </w:tc>
        <w:tc>
          <w:tcPr>
            <w:tcW w:w="1160" w:type="dxa"/>
            <w:shd w:val="clear" w:color="auto" w:fill="auto"/>
            <w:vAlign w:val="center"/>
          </w:tcPr>
          <w:p w14:paraId="42AE2F3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7等</w:t>
            </w:r>
          </w:p>
        </w:tc>
        <w:tc>
          <w:tcPr>
            <w:tcW w:w="1040" w:type="dxa"/>
            <w:shd w:val="clear" w:color="auto" w:fill="auto"/>
            <w:vAlign w:val="center"/>
          </w:tcPr>
          <w:p w14:paraId="690A769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8等</w:t>
            </w:r>
          </w:p>
        </w:tc>
        <w:tc>
          <w:tcPr>
            <w:tcW w:w="1040" w:type="dxa"/>
            <w:shd w:val="clear" w:color="auto" w:fill="auto"/>
            <w:vAlign w:val="center"/>
          </w:tcPr>
          <w:p w14:paraId="41D17EC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9等</w:t>
            </w:r>
          </w:p>
        </w:tc>
        <w:tc>
          <w:tcPr>
            <w:tcW w:w="1040" w:type="dxa"/>
            <w:shd w:val="clear" w:color="auto" w:fill="auto"/>
            <w:vAlign w:val="center"/>
          </w:tcPr>
          <w:p w14:paraId="72512B34">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10等</w:t>
            </w:r>
          </w:p>
        </w:tc>
        <w:tc>
          <w:tcPr>
            <w:tcW w:w="1040" w:type="dxa"/>
            <w:shd w:val="clear" w:color="auto" w:fill="auto"/>
            <w:vAlign w:val="center"/>
          </w:tcPr>
          <w:p w14:paraId="4646A9C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11等</w:t>
            </w:r>
          </w:p>
        </w:tc>
        <w:tc>
          <w:tcPr>
            <w:tcW w:w="1040" w:type="dxa"/>
            <w:shd w:val="clear" w:color="auto" w:fill="auto"/>
            <w:vAlign w:val="center"/>
          </w:tcPr>
          <w:p w14:paraId="25CFB412">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12等</w:t>
            </w:r>
          </w:p>
        </w:tc>
        <w:tc>
          <w:tcPr>
            <w:tcW w:w="1040" w:type="dxa"/>
            <w:shd w:val="clear" w:color="auto" w:fill="auto"/>
            <w:vAlign w:val="center"/>
          </w:tcPr>
          <w:p w14:paraId="065C6B8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13等</w:t>
            </w:r>
          </w:p>
        </w:tc>
      </w:tr>
      <w:tr w14:paraId="0F4B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064E44B3">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160" w:type="dxa"/>
            <w:shd w:val="clear" w:color="auto" w:fill="auto"/>
            <w:vAlign w:val="center"/>
          </w:tcPr>
          <w:p w14:paraId="3D759ED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5251.20 </w:t>
            </w:r>
          </w:p>
        </w:tc>
        <w:tc>
          <w:tcPr>
            <w:tcW w:w="846" w:type="dxa"/>
            <w:shd w:val="clear" w:color="auto" w:fill="auto"/>
            <w:vAlign w:val="center"/>
          </w:tcPr>
          <w:p w14:paraId="05076D54">
            <w:pPr>
              <w:widowControl/>
              <w:jc w:val="center"/>
              <w:rPr>
                <w:rFonts w:ascii="宋体" w:hAnsi="宋体" w:cs="宋体"/>
                <w:color w:val="000000"/>
                <w:kern w:val="0"/>
                <w:sz w:val="18"/>
                <w:szCs w:val="18"/>
              </w:rPr>
            </w:pPr>
            <w:r>
              <w:rPr>
                <w:rFonts w:hint="eastAsia" w:ascii="宋体" w:hAnsi="宋体" w:cs="宋体"/>
                <w:color w:val="000000"/>
                <w:kern w:val="0"/>
                <w:sz w:val="18"/>
                <w:szCs w:val="18"/>
              </w:rPr>
              <w:t>20.00%</w:t>
            </w:r>
          </w:p>
        </w:tc>
        <w:tc>
          <w:tcPr>
            <w:tcW w:w="1000" w:type="dxa"/>
            <w:shd w:val="clear" w:color="auto" w:fill="auto"/>
            <w:vAlign w:val="center"/>
          </w:tcPr>
          <w:p w14:paraId="5ECD3C7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242.29 </w:t>
            </w:r>
          </w:p>
        </w:tc>
        <w:tc>
          <w:tcPr>
            <w:tcW w:w="1160" w:type="dxa"/>
            <w:shd w:val="clear" w:color="auto" w:fill="auto"/>
            <w:vAlign w:val="center"/>
          </w:tcPr>
          <w:p w14:paraId="35EC649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135.75 </w:t>
            </w:r>
          </w:p>
        </w:tc>
        <w:tc>
          <w:tcPr>
            <w:tcW w:w="1040" w:type="dxa"/>
            <w:shd w:val="clear" w:color="auto" w:fill="auto"/>
            <w:vAlign w:val="center"/>
          </w:tcPr>
          <w:p w14:paraId="693D6EA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453.33 </w:t>
            </w:r>
          </w:p>
        </w:tc>
        <w:tc>
          <w:tcPr>
            <w:tcW w:w="1040" w:type="dxa"/>
            <w:shd w:val="clear" w:color="auto" w:fill="auto"/>
            <w:vAlign w:val="center"/>
          </w:tcPr>
          <w:p w14:paraId="732844A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980.42 </w:t>
            </w:r>
          </w:p>
        </w:tc>
        <w:tc>
          <w:tcPr>
            <w:tcW w:w="1040" w:type="dxa"/>
            <w:shd w:val="clear" w:color="auto" w:fill="auto"/>
            <w:vAlign w:val="center"/>
          </w:tcPr>
          <w:p w14:paraId="4FAF49E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1079.69 </w:t>
            </w:r>
          </w:p>
        </w:tc>
        <w:tc>
          <w:tcPr>
            <w:tcW w:w="1040" w:type="dxa"/>
            <w:shd w:val="clear" w:color="auto" w:fill="auto"/>
            <w:vAlign w:val="center"/>
          </w:tcPr>
          <w:p w14:paraId="560CE82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2228.07 </w:t>
            </w:r>
          </w:p>
        </w:tc>
        <w:tc>
          <w:tcPr>
            <w:tcW w:w="1040" w:type="dxa"/>
            <w:shd w:val="clear" w:color="auto" w:fill="auto"/>
            <w:vAlign w:val="center"/>
          </w:tcPr>
          <w:p w14:paraId="2BC5368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118.26 </w:t>
            </w:r>
          </w:p>
        </w:tc>
        <w:tc>
          <w:tcPr>
            <w:tcW w:w="1040" w:type="dxa"/>
            <w:shd w:val="clear" w:color="auto" w:fill="auto"/>
            <w:vAlign w:val="center"/>
          </w:tcPr>
          <w:p w14:paraId="2772409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13.39 </w:t>
            </w:r>
          </w:p>
        </w:tc>
      </w:tr>
      <w:tr w14:paraId="69F2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2FA82049">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160" w:type="dxa"/>
            <w:shd w:val="clear" w:color="auto" w:fill="auto"/>
            <w:vAlign w:val="center"/>
          </w:tcPr>
          <w:p w14:paraId="0154EF1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5209.86 </w:t>
            </w:r>
          </w:p>
        </w:tc>
        <w:tc>
          <w:tcPr>
            <w:tcW w:w="846" w:type="dxa"/>
            <w:shd w:val="clear" w:color="auto" w:fill="auto"/>
            <w:vAlign w:val="center"/>
          </w:tcPr>
          <w:p w14:paraId="13269055">
            <w:pPr>
              <w:widowControl/>
              <w:jc w:val="center"/>
              <w:rPr>
                <w:rFonts w:ascii="宋体" w:hAnsi="宋体" w:cs="宋体"/>
                <w:color w:val="000000"/>
                <w:kern w:val="0"/>
                <w:sz w:val="18"/>
                <w:szCs w:val="18"/>
              </w:rPr>
            </w:pPr>
            <w:r>
              <w:rPr>
                <w:rFonts w:hint="eastAsia" w:ascii="宋体" w:hAnsi="宋体" w:cs="宋体"/>
                <w:color w:val="000000"/>
                <w:kern w:val="0"/>
                <w:sz w:val="18"/>
                <w:szCs w:val="18"/>
              </w:rPr>
              <w:t>19.90%</w:t>
            </w:r>
          </w:p>
        </w:tc>
        <w:tc>
          <w:tcPr>
            <w:tcW w:w="1000" w:type="dxa"/>
            <w:shd w:val="clear" w:color="auto" w:fill="auto"/>
            <w:vAlign w:val="center"/>
          </w:tcPr>
          <w:p w14:paraId="5C0306D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138.74 </w:t>
            </w:r>
          </w:p>
        </w:tc>
        <w:tc>
          <w:tcPr>
            <w:tcW w:w="1160" w:type="dxa"/>
            <w:shd w:val="clear" w:color="auto" w:fill="auto"/>
            <w:vAlign w:val="center"/>
          </w:tcPr>
          <w:p w14:paraId="1DE2AFA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372.31 </w:t>
            </w:r>
          </w:p>
        </w:tc>
        <w:tc>
          <w:tcPr>
            <w:tcW w:w="1040" w:type="dxa"/>
            <w:shd w:val="clear" w:color="auto" w:fill="auto"/>
            <w:vAlign w:val="center"/>
          </w:tcPr>
          <w:p w14:paraId="7CEC088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758.66 </w:t>
            </w:r>
          </w:p>
        </w:tc>
        <w:tc>
          <w:tcPr>
            <w:tcW w:w="1040" w:type="dxa"/>
            <w:shd w:val="clear" w:color="auto" w:fill="auto"/>
            <w:vAlign w:val="center"/>
          </w:tcPr>
          <w:p w14:paraId="2DBC11F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786.63 </w:t>
            </w:r>
          </w:p>
        </w:tc>
        <w:tc>
          <w:tcPr>
            <w:tcW w:w="1040" w:type="dxa"/>
            <w:shd w:val="clear" w:color="auto" w:fill="auto"/>
            <w:vAlign w:val="center"/>
          </w:tcPr>
          <w:p w14:paraId="64C10BA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1824.44 </w:t>
            </w:r>
          </w:p>
        </w:tc>
        <w:tc>
          <w:tcPr>
            <w:tcW w:w="1040" w:type="dxa"/>
            <w:shd w:val="clear" w:color="auto" w:fill="auto"/>
            <w:vAlign w:val="center"/>
          </w:tcPr>
          <w:p w14:paraId="31A0082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1329.08 </w:t>
            </w:r>
          </w:p>
        </w:tc>
        <w:tc>
          <w:tcPr>
            <w:tcW w:w="1040" w:type="dxa"/>
            <w:shd w:val="clear" w:color="auto" w:fill="auto"/>
            <w:vAlign w:val="center"/>
          </w:tcPr>
          <w:p w14:paraId="43C77A8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40" w:type="dxa"/>
            <w:shd w:val="clear" w:color="auto" w:fill="auto"/>
            <w:vAlign w:val="center"/>
          </w:tcPr>
          <w:p w14:paraId="7C5D8F0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r>
      <w:tr w14:paraId="3289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47701C39">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160" w:type="dxa"/>
            <w:shd w:val="clear" w:color="auto" w:fill="auto"/>
            <w:vAlign w:val="center"/>
          </w:tcPr>
          <w:p w14:paraId="341C298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2906.78 </w:t>
            </w:r>
          </w:p>
        </w:tc>
        <w:tc>
          <w:tcPr>
            <w:tcW w:w="846" w:type="dxa"/>
            <w:shd w:val="clear" w:color="auto" w:fill="auto"/>
            <w:vAlign w:val="center"/>
          </w:tcPr>
          <w:p w14:paraId="50114519">
            <w:pPr>
              <w:widowControl/>
              <w:jc w:val="center"/>
              <w:rPr>
                <w:rFonts w:ascii="宋体" w:hAnsi="宋体" w:cs="宋体"/>
                <w:color w:val="000000"/>
                <w:kern w:val="0"/>
                <w:sz w:val="18"/>
                <w:szCs w:val="18"/>
              </w:rPr>
            </w:pPr>
            <w:r>
              <w:rPr>
                <w:rFonts w:hint="eastAsia" w:ascii="宋体" w:hAnsi="宋体" w:cs="宋体"/>
                <w:color w:val="000000"/>
                <w:kern w:val="0"/>
                <w:sz w:val="18"/>
                <w:szCs w:val="18"/>
              </w:rPr>
              <w:t>11.10%</w:t>
            </w:r>
          </w:p>
        </w:tc>
        <w:tc>
          <w:tcPr>
            <w:tcW w:w="1000" w:type="dxa"/>
            <w:shd w:val="clear" w:color="auto" w:fill="auto"/>
            <w:vAlign w:val="center"/>
          </w:tcPr>
          <w:p w14:paraId="08C4A30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78.13 </w:t>
            </w:r>
          </w:p>
        </w:tc>
        <w:tc>
          <w:tcPr>
            <w:tcW w:w="1160" w:type="dxa"/>
            <w:shd w:val="clear" w:color="auto" w:fill="auto"/>
            <w:vAlign w:val="center"/>
          </w:tcPr>
          <w:p w14:paraId="21D5D78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11.73 </w:t>
            </w:r>
          </w:p>
        </w:tc>
        <w:tc>
          <w:tcPr>
            <w:tcW w:w="1040" w:type="dxa"/>
            <w:shd w:val="clear" w:color="auto" w:fill="auto"/>
            <w:vAlign w:val="center"/>
          </w:tcPr>
          <w:p w14:paraId="4C8E38D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211.70 </w:t>
            </w:r>
          </w:p>
        </w:tc>
        <w:tc>
          <w:tcPr>
            <w:tcW w:w="1040" w:type="dxa"/>
            <w:shd w:val="clear" w:color="auto" w:fill="auto"/>
            <w:vAlign w:val="center"/>
          </w:tcPr>
          <w:p w14:paraId="5F4BCB4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583.54 </w:t>
            </w:r>
          </w:p>
        </w:tc>
        <w:tc>
          <w:tcPr>
            <w:tcW w:w="1040" w:type="dxa"/>
            <w:shd w:val="clear" w:color="auto" w:fill="auto"/>
            <w:vAlign w:val="center"/>
          </w:tcPr>
          <w:p w14:paraId="068C5C7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746.37 </w:t>
            </w:r>
          </w:p>
        </w:tc>
        <w:tc>
          <w:tcPr>
            <w:tcW w:w="1040" w:type="dxa"/>
            <w:shd w:val="clear" w:color="auto" w:fill="auto"/>
            <w:vAlign w:val="center"/>
          </w:tcPr>
          <w:p w14:paraId="0D7FF8B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960.54 </w:t>
            </w:r>
          </w:p>
        </w:tc>
        <w:tc>
          <w:tcPr>
            <w:tcW w:w="1040" w:type="dxa"/>
            <w:shd w:val="clear" w:color="auto" w:fill="auto"/>
            <w:vAlign w:val="center"/>
          </w:tcPr>
          <w:p w14:paraId="1D174F1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284.69 </w:t>
            </w:r>
          </w:p>
        </w:tc>
        <w:tc>
          <w:tcPr>
            <w:tcW w:w="1040" w:type="dxa"/>
            <w:shd w:val="clear" w:color="auto" w:fill="auto"/>
            <w:vAlign w:val="center"/>
          </w:tcPr>
          <w:p w14:paraId="096264F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30.07 </w:t>
            </w:r>
          </w:p>
        </w:tc>
      </w:tr>
      <w:tr w14:paraId="22B2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06CE8BF9">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160" w:type="dxa"/>
            <w:shd w:val="clear" w:color="auto" w:fill="auto"/>
            <w:vAlign w:val="center"/>
          </w:tcPr>
          <w:p w14:paraId="14408F5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3379.72 </w:t>
            </w:r>
          </w:p>
        </w:tc>
        <w:tc>
          <w:tcPr>
            <w:tcW w:w="846" w:type="dxa"/>
            <w:shd w:val="clear" w:color="auto" w:fill="auto"/>
            <w:vAlign w:val="center"/>
          </w:tcPr>
          <w:p w14:paraId="65CBCF27">
            <w:pPr>
              <w:widowControl/>
              <w:jc w:val="center"/>
              <w:rPr>
                <w:rFonts w:ascii="宋体" w:hAnsi="宋体" w:cs="宋体"/>
                <w:color w:val="000000"/>
                <w:kern w:val="0"/>
                <w:sz w:val="18"/>
                <w:szCs w:val="18"/>
              </w:rPr>
            </w:pPr>
            <w:r>
              <w:rPr>
                <w:rFonts w:hint="eastAsia" w:ascii="宋体" w:hAnsi="宋体" w:cs="宋体"/>
                <w:color w:val="000000"/>
                <w:kern w:val="0"/>
                <w:sz w:val="18"/>
                <w:szCs w:val="18"/>
              </w:rPr>
              <w:t>12.90%</w:t>
            </w:r>
          </w:p>
        </w:tc>
        <w:tc>
          <w:tcPr>
            <w:tcW w:w="1000" w:type="dxa"/>
            <w:shd w:val="clear" w:color="auto" w:fill="auto"/>
            <w:vAlign w:val="center"/>
          </w:tcPr>
          <w:p w14:paraId="73DFB1D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64.44 </w:t>
            </w:r>
          </w:p>
        </w:tc>
        <w:tc>
          <w:tcPr>
            <w:tcW w:w="1160" w:type="dxa"/>
            <w:shd w:val="clear" w:color="auto" w:fill="auto"/>
            <w:vAlign w:val="center"/>
          </w:tcPr>
          <w:p w14:paraId="1090EAD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40" w:type="dxa"/>
            <w:shd w:val="clear" w:color="auto" w:fill="auto"/>
            <w:vAlign w:val="center"/>
          </w:tcPr>
          <w:p w14:paraId="7FF320F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22.09 </w:t>
            </w:r>
          </w:p>
        </w:tc>
        <w:tc>
          <w:tcPr>
            <w:tcW w:w="1040" w:type="dxa"/>
            <w:shd w:val="clear" w:color="auto" w:fill="auto"/>
            <w:vAlign w:val="center"/>
          </w:tcPr>
          <w:p w14:paraId="3E82498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44.66 </w:t>
            </w:r>
          </w:p>
        </w:tc>
        <w:tc>
          <w:tcPr>
            <w:tcW w:w="1040" w:type="dxa"/>
            <w:shd w:val="clear" w:color="auto" w:fill="auto"/>
            <w:vAlign w:val="center"/>
          </w:tcPr>
          <w:p w14:paraId="0E1ACF1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100.65 </w:t>
            </w:r>
          </w:p>
        </w:tc>
        <w:tc>
          <w:tcPr>
            <w:tcW w:w="1040" w:type="dxa"/>
            <w:shd w:val="clear" w:color="auto" w:fill="auto"/>
            <w:vAlign w:val="center"/>
          </w:tcPr>
          <w:p w14:paraId="5EF79AA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7.90 </w:t>
            </w:r>
          </w:p>
        </w:tc>
        <w:tc>
          <w:tcPr>
            <w:tcW w:w="1040" w:type="dxa"/>
            <w:shd w:val="clear" w:color="auto" w:fill="auto"/>
            <w:vAlign w:val="center"/>
          </w:tcPr>
          <w:p w14:paraId="11CE290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384.21 </w:t>
            </w:r>
          </w:p>
        </w:tc>
        <w:tc>
          <w:tcPr>
            <w:tcW w:w="1040" w:type="dxa"/>
            <w:shd w:val="clear" w:color="auto" w:fill="auto"/>
            <w:vAlign w:val="center"/>
          </w:tcPr>
          <w:p w14:paraId="4750815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2755.76 </w:t>
            </w:r>
          </w:p>
        </w:tc>
      </w:tr>
      <w:tr w14:paraId="45C7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7222D368">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160" w:type="dxa"/>
            <w:shd w:val="clear" w:color="auto" w:fill="auto"/>
            <w:vAlign w:val="center"/>
          </w:tcPr>
          <w:p w14:paraId="6795599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2891.46 </w:t>
            </w:r>
          </w:p>
        </w:tc>
        <w:tc>
          <w:tcPr>
            <w:tcW w:w="846" w:type="dxa"/>
            <w:shd w:val="clear" w:color="auto" w:fill="auto"/>
            <w:vAlign w:val="center"/>
          </w:tcPr>
          <w:p w14:paraId="16D6C29A">
            <w:pPr>
              <w:widowControl/>
              <w:jc w:val="center"/>
              <w:rPr>
                <w:rFonts w:ascii="宋体" w:hAnsi="宋体" w:cs="宋体"/>
                <w:color w:val="000000"/>
                <w:kern w:val="0"/>
                <w:sz w:val="18"/>
                <w:szCs w:val="18"/>
              </w:rPr>
            </w:pPr>
            <w:r>
              <w:rPr>
                <w:rFonts w:hint="eastAsia" w:ascii="宋体" w:hAnsi="宋体" w:cs="宋体"/>
                <w:color w:val="000000"/>
                <w:kern w:val="0"/>
                <w:sz w:val="18"/>
                <w:szCs w:val="18"/>
              </w:rPr>
              <w:t>11.00%</w:t>
            </w:r>
          </w:p>
        </w:tc>
        <w:tc>
          <w:tcPr>
            <w:tcW w:w="1000" w:type="dxa"/>
            <w:shd w:val="clear" w:color="auto" w:fill="auto"/>
            <w:vAlign w:val="center"/>
          </w:tcPr>
          <w:p w14:paraId="15CEF18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208.74 </w:t>
            </w:r>
          </w:p>
        </w:tc>
        <w:tc>
          <w:tcPr>
            <w:tcW w:w="1160" w:type="dxa"/>
            <w:shd w:val="clear" w:color="auto" w:fill="auto"/>
            <w:vAlign w:val="center"/>
          </w:tcPr>
          <w:p w14:paraId="45C539E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43.41 </w:t>
            </w:r>
          </w:p>
        </w:tc>
        <w:tc>
          <w:tcPr>
            <w:tcW w:w="1040" w:type="dxa"/>
            <w:shd w:val="clear" w:color="auto" w:fill="auto"/>
            <w:vAlign w:val="center"/>
          </w:tcPr>
          <w:p w14:paraId="5023336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1230.67 </w:t>
            </w:r>
          </w:p>
        </w:tc>
        <w:tc>
          <w:tcPr>
            <w:tcW w:w="1040" w:type="dxa"/>
            <w:shd w:val="clear" w:color="auto" w:fill="auto"/>
            <w:vAlign w:val="center"/>
          </w:tcPr>
          <w:p w14:paraId="4C86794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385.39 </w:t>
            </w:r>
          </w:p>
        </w:tc>
        <w:tc>
          <w:tcPr>
            <w:tcW w:w="1040" w:type="dxa"/>
            <w:shd w:val="clear" w:color="auto" w:fill="auto"/>
            <w:vAlign w:val="center"/>
          </w:tcPr>
          <w:p w14:paraId="623C16D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177.78 </w:t>
            </w:r>
          </w:p>
        </w:tc>
        <w:tc>
          <w:tcPr>
            <w:tcW w:w="1040" w:type="dxa"/>
            <w:shd w:val="clear" w:color="auto" w:fill="auto"/>
            <w:vAlign w:val="center"/>
          </w:tcPr>
          <w:p w14:paraId="2A31004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748.34 </w:t>
            </w:r>
          </w:p>
        </w:tc>
        <w:tc>
          <w:tcPr>
            <w:tcW w:w="1040" w:type="dxa"/>
            <w:shd w:val="clear" w:color="auto" w:fill="auto"/>
            <w:vAlign w:val="center"/>
          </w:tcPr>
          <w:p w14:paraId="51E228B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97.12 </w:t>
            </w:r>
          </w:p>
        </w:tc>
        <w:tc>
          <w:tcPr>
            <w:tcW w:w="1040" w:type="dxa"/>
            <w:shd w:val="clear" w:color="auto" w:fill="auto"/>
            <w:vAlign w:val="center"/>
          </w:tcPr>
          <w:p w14:paraId="7EBFE67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r>
      <w:tr w14:paraId="2E5A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4A3D52B4">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160" w:type="dxa"/>
            <w:shd w:val="clear" w:color="auto" w:fill="auto"/>
            <w:vAlign w:val="center"/>
          </w:tcPr>
          <w:p w14:paraId="6720F32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709.88 </w:t>
            </w:r>
          </w:p>
        </w:tc>
        <w:tc>
          <w:tcPr>
            <w:tcW w:w="846" w:type="dxa"/>
            <w:shd w:val="clear" w:color="auto" w:fill="auto"/>
            <w:vAlign w:val="center"/>
          </w:tcPr>
          <w:p w14:paraId="37C7011A">
            <w:pPr>
              <w:widowControl/>
              <w:jc w:val="center"/>
              <w:rPr>
                <w:rFonts w:ascii="宋体" w:hAnsi="宋体" w:cs="宋体"/>
                <w:color w:val="000000"/>
                <w:kern w:val="0"/>
                <w:sz w:val="18"/>
                <w:szCs w:val="18"/>
              </w:rPr>
            </w:pPr>
            <w:r>
              <w:rPr>
                <w:rFonts w:hint="eastAsia" w:ascii="宋体" w:hAnsi="宋体" w:cs="宋体"/>
                <w:color w:val="000000"/>
                <w:kern w:val="0"/>
                <w:sz w:val="18"/>
                <w:szCs w:val="18"/>
              </w:rPr>
              <w:t>2.70%</w:t>
            </w:r>
          </w:p>
        </w:tc>
        <w:tc>
          <w:tcPr>
            <w:tcW w:w="1000" w:type="dxa"/>
            <w:shd w:val="clear" w:color="auto" w:fill="auto"/>
            <w:vAlign w:val="center"/>
          </w:tcPr>
          <w:p w14:paraId="60849FB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shd w:val="clear" w:color="auto" w:fill="auto"/>
            <w:vAlign w:val="center"/>
          </w:tcPr>
          <w:p w14:paraId="740CB1D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40" w:type="dxa"/>
            <w:shd w:val="clear" w:color="auto" w:fill="auto"/>
            <w:vAlign w:val="center"/>
          </w:tcPr>
          <w:p w14:paraId="744FF65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40" w:type="dxa"/>
            <w:shd w:val="clear" w:color="auto" w:fill="auto"/>
            <w:vAlign w:val="center"/>
          </w:tcPr>
          <w:p w14:paraId="6528D36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40" w:type="dxa"/>
            <w:shd w:val="clear" w:color="auto" w:fill="auto"/>
            <w:vAlign w:val="center"/>
          </w:tcPr>
          <w:p w14:paraId="1836F61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13.27 </w:t>
            </w:r>
          </w:p>
        </w:tc>
        <w:tc>
          <w:tcPr>
            <w:tcW w:w="1040" w:type="dxa"/>
            <w:shd w:val="clear" w:color="auto" w:fill="auto"/>
            <w:vAlign w:val="center"/>
          </w:tcPr>
          <w:p w14:paraId="1774760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412.33 </w:t>
            </w:r>
          </w:p>
        </w:tc>
        <w:tc>
          <w:tcPr>
            <w:tcW w:w="1040" w:type="dxa"/>
            <w:shd w:val="clear" w:color="auto" w:fill="auto"/>
            <w:vAlign w:val="center"/>
          </w:tcPr>
          <w:p w14:paraId="143D94A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284.28 </w:t>
            </w:r>
          </w:p>
        </w:tc>
        <w:tc>
          <w:tcPr>
            <w:tcW w:w="1040" w:type="dxa"/>
            <w:shd w:val="clear" w:color="auto" w:fill="auto"/>
            <w:vAlign w:val="center"/>
          </w:tcPr>
          <w:p w14:paraId="547766D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r>
      <w:tr w14:paraId="3D32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79D5C001">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160" w:type="dxa"/>
            <w:shd w:val="clear" w:color="auto" w:fill="auto"/>
            <w:vAlign w:val="center"/>
          </w:tcPr>
          <w:p w14:paraId="77EA5A7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5154.29 </w:t>
            </w:r>
          </w:p>
        </w:tc>
        <w:tc>
          <w:tcPr>
            <w:tcW w:w="846" w:type="dxa"/>
            <w:shd w:val="clear" w:color="auto" w:fill="auto"/>
            <w:vAlign w:val="center"/>
          </w:tcPr>
          <w:p w14:paraId="237398E8">
            <w:pPr>
              <w:widowControl/>
              <w:jc w:val="center"/>
              <w:rPr>
                <w:rFonts w:ascii="宋体" w:hAnsi="宋体" w:cs="宋体"/>
                <w:color w:val="000000"/>
                <w:kern w:val="0"/>
                <w:sz w:val="18"/>
                <w:szCs w:val="18"/>
              </w:rPr>
            </w:pPr>
            <w:r>
              <w:rPr>
                <w:rFonts w:hint="eastAsia" w:ascii="宋体" w:hAnsi="宋体" w:cs="宋体"/>
                <w:color w:val="000000"/>
                <w:kern w:val="0"/>
                <w:sz w:val="18"/>
                <w:szCs w:val="18"/>
              </w:rPr>
              <w:t>19.70%</w:t>
            </w:r>
          </w:p>
        </w:tc>
        <w:tc>
          <w:tcPr>
            <w:tcW w:w="1000" w:type="dxa"/>
            <w:shd w:val="clear" w:color="auto" w:fill="auto"/>
            <w:vAlign w:val="center"/>
          </w:tcPr>
          <w:p w14:paraId="2E265C0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111.69 </w:t>
            </w:r>
          </w:p>
        </w:tc>
        <w:tc>
          <w:tcPr>
            <w:tcW w:w="1160" w:type="dxa"/>
            <w:shd w:val="clear" w:color="auto" w:fill="auto"/>
            <w:vAlign w:val="center"/>
          </w:tcPr>
          <w:p w14:paraId="2FF432D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826.38 </w:t>
            </w:r>
          </w:p>
        </w:tc>
        <w:tc>
          <w:tcPr>
            <w:tcW w:w="1040" w:type="dxa"/>
            <w:shd w:val="clear" w:color="auto" w:fill="auto"/>
            <w:vAlign w:val="center"/>
          </w:tcPr>
          <w:p w14:paraId="301448D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3669.84 </w:t>
            </w:r>
          </w:p>
        </w:tc>
        <w:tc>
          <w:tcPr>
            <w:tcW w:w="1040" w:type="dxa"/>
            <w:shd w:val="clear" w:color="auto" w:fill="auto"/>
            <w:vAlign w:val="center"/>
          </w:tcPr>
          <w:p w14:paraId="6E2DEBF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310.90 </w:t>
            </w:r>
          </w:p>
        </w:tc>
        <w:tc>
          <w:tcPr>
            <w:tcW w:w="1040" w:type="dxa"/>
            <w:shd w:val="clear" w:color="auto" w:fill="auto"/>
            <w:vAlign w:val="center"/>
          </w:tcPr>
          <w:p w14:paraId="4032096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113.68 </w:t>
            </w:r>
          </w:p>
        </w:tc>
        <w:tc>
          <w:tcPr>
            <w:tcW w:w="1040" w:type="dxa"/>
            <w:shd w:val="clear" w:color="auto" w:fill="auto"/>
            <w:vAlign w:val="center"/>
          </w:tcPr>
          <w:p w14:paraId="0F7940D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121.80 </w:t>
            </w:r>
          </w:p>
        </w:tc>
        <w:tc>
          <w:tcPr>
            <w:tcW w:w="1040" w:type="dxa"/>
            <w:shd w:val="clear" w:color="auto" w:fill="auto"/>
            <w:vAlign w:val="center"/>
          </w:tcPr>
          <w:p w14:paraId="5862098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40" w:type="dxa"/>
            <w:shd w:val="clear" w:color="auto" w:fill="auto"/>
            <w:vAlign w:val="center"/>
          </w:tcPr>
          <w:p w14:paraId="0665F72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r>
      <w:tr w14:paraId="722C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2A635C44">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160" w:type="dxa"/>
            <w:shd w:val="clear" w:color="auto" w:fill="auto"/>
            <w:vAlign w:val="center"/>
          </w:tcPr>
          <w:p w14:paraId="46C75EE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712.65 </w:t>
            </w:r>
          </w:p>
        </w:tc>
        <w:tc>
          <w:tcPr>
            <w:tcW w:w="846" w:type="dxa"/>
            <w:shd w:val="clear" w:color="auto" w:fill="auto"/>
            <w:vAlign w:val="center"/>
          </w:tcPr>
          <w:p w14:paraId="6579C85F">
            <w:pPr>
              <w:widowControl/>
              <w:jc w:val="center"/>
              <w:rPr>
                <w:rFonts w:ascii="宋体" w:hAnsi="宋体" w:cs="宋体"/>
                <w:color w:val="000000"/>
                <w:kern w:val="0"/>
                <w:sz w:val="18"/>
                <w:szCs w:val="18"/>
              </w:rPr>
            </w:pPr>
            <w:r>
              <w:rPr>
                <w:rFonts w:hint="eastAsia" w:ascii="宋体" w:hAnsi="宋体" w:cs="宋体"/>
                <w:color w:val="000000"/>
                <w:kern w:val="0"/>
                <w:sz w:val="18"/>
                <w:szCs w:val="18"/>
              </w:rPr>
              <w:t>2.70%</w:t>
            </w:r>
          </w:p>
        </w:tc>
        <w:tc>
          <w:tcPr>
            <w:tcW w:w="1000" w:type="dxa"/>
            <w:shd w:val="clear" w:color="auto" w:fill="auto"/>
            <w:vAlign w:val="center"/>
          </w:tcPr>
          <w:p w14:paraId="2999C4E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shd w:val="clear" w:color="auto" w:fill="auto"/>
            <w:vAlign w:val="center"/>
          </w:tcPr>
          <w:p w14:paraId="29CD689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40" w:type="dxa"/>
            <w:shd w:val="clear" w:color="auto" w:fill="auto"/>
            <w:vAlign w:val="center"/>
          </w:tcPr>
          <w:p w14:paraId="4FED264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40" w:type="dxa"/>
            <w:shd w:val="clear" w:color="auto" w:fill="auto"/>
            <w:vAlign w:val="center"/>
          </w:tcPr>
          <w:p w14:paraId="212949D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040" w:type="dxa"/>
            <w:shd w:val="clear" w:color="auto" w:fill="auto"/>
            <w:vAlign w:val="center"/>
          </w:tcPr>
          <w:p w14:paraId="1982688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20.79 </w:t>
            </w:r>
          </w:p>
        </w:tc>
        <w:tc>
          <w:tcPr>
            <w:tcW w:w="1040" w:type="dxa"/>
            <w:shd w:val="clear" w:color="auto" w:fill="auto"/>
            <w:vAlign w:val="center"/>
          </w:tcPr>
          <w:p w14:paraId="1A3C62B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15.94 </w:t>
            </w:r>
          </w:p>
        </w:tc>
        <w:tc>
          <w:tcPr>
            <w:tcW w:w="1040" w:type="dxa"/>
            <w:shd w:val="clear" w:color="auto" w:fill="auto"/>
            <w:vAlign w:val="center"/>
          </w:tcPr>
          <w:p w14:paraId="7101B7E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665.97 </w:t>
            </w:r>
          </w:p>
        </w:tc>
        <w:tc>
          <w:tcPr>
            <w:tcW w:w="1040" w:type="dxa"/>
            <w:shd w:val="clear" w:color="auto" w:fill="auto"/>
            <w:vAlign w:val="center"/>
          </w:tcPr>
          <w:p w14:paraId="2AA4DCA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9.95 </w:t>
            </w:r>
          </w:p>
        </w:tc>
      </w:tr>
      <w:tr w14:paraId="31B3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077242DF">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160" w:type="dxa"/>
            <w:shd w:val="clear" w:color="auto" w:fill="auto"/>
            <w:vAlign w:val="center"/>
          </w:tcPr>
          <w:p w14:paraId="7109291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26215.84 </w:t>
            </w:r>
          </w:p>
        </w:tc>
        <w:tc>
          <w:tcPr>
            <w:tcW w:w="846" w:type="dxa"/>
            <w:shd w:val="clear" w:color="auto" w:fill="auto"/>
            <w:vAlign w:val="center"/>
          </w:tcPr>
          <w:p w14:paraId="035DD6D8">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000" w:type="dxa"/>
            <w:shd w:val="clear" w:color="auto" w:fill="auto"/>
            <w:vAlign w:val="center"/>
          </w:tcPr>
          <w:p w14:paraId="227A12F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844.03 </w:t>
            </w:r>
          </w:p>
        </w:tc>
        <w:tc>
          <w:tcPr>
            <w:tcW w:w="1160" w:type="dxa"/>
            <w:shd w:val="clear" w:color="auto" w:fill="auto"/>
            <w:vAlign w:val="center"/>
          </w:tcPr>
          <w:p w14:paraId="2494BAC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1389.59 </w:t>
            </w:r>
          </w:p>
        </w:tc>
        <w:tc>
          <w:tcPr>
            <w:tcW w:w="1040" w:type="dxa"/>
            <w:shd w:val="clear" w:color="auto" w:fill="auto"/>
            <w:vAlign w:val="center"/>
          </w:tcPr>
          <w:p w14:paraId="3C4079E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6346.29 </w:t>
            </w:r>
          </w:p>
        </w:tc>
        <w:tc>
          <w:tcPr>
            <w:tcW w:w="1040" w:type="dxa"/>
            <w:shd w:val="clear" w:color="auto" w:fill="auto"/>
            <w:vAlign w:val="center"/>
          </w:tcPr>
          <w:p w14:paraId="0BC6316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3091.54 </w:t>
            </w:r>
          </w:p>
        </w:tc>
        <w:tc>
          <w:tcPr>
            <w:tcW w:w="1040" w:type="dxa"/>
            <w:shd w:val="clear" w:color="auto" w:fill="auto"/>
            <w:vAlign w:val="center"/>
          </w:tcPr>
          <w:p w14:paraId="42AAB25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4076.68 </w:t>
            </w:r>
          </w:p>
        </w:tc>
        <w:tc>
          <w:tcPr>
            <w:tcW w:w="1040" w:type="dxa"/>
            <w:shd w:val="clear" w:color="auto" w:fill="auto"/>
            <w:vAlign w:val="center"/>
          </w:tcPr>
          <w:p w14:paraId="3D3E497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5823.99 </w:t>
            </w:r>
          </w:p>
        </w:tc>
        <w:tc>
          <w:tcPr>
            <w:tcW w:w="1040" w:type="dxa"/>
            <w:shd w:val="clear" w:color="auto" w:fill="auto"/>
            <w:vAlign w:val="center"/>
          </w:tcPr>
          <w:p w14:paraId="01A2CFF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1834.54 </w:t>
            </w:r>
          </w:p>
        </w:tc>
        <w:tc>
          <w:tcPr>
            <w:tcW w:w="1040" w:type="dxa"/>
            <w:shd w:val="clear" w:color="auto" w:fill="auto"/>
            <w:vAlign w:val="center"/>
          </w:tcPr>
          <w:p w14:paraId="31C1407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2809.17 </w:t>
            </w:r>
          </w:p>
        </w:tc>
      </w:tr>
      <w:tr w14:paraId="16EB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vMerge w:val="restart"/>
            <w:shd w:val="clear" w:color="auto" w:fill="auto"/>
            <w:vAlign w:val="center"/>
          </w:tcPr>
          <w:p w14:paraId="53E60C65">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行政辖区</w:t>
            </w:r>
          </w:p>
        </w:tc>
        <w:tc>
          <w:tcPr>
            <w:tcW w:w="1160" w:type="dxa"/>
            <w:vMerge w:val="restart"/>
            <w:shd w:val="clear" w:color="auto" w:fill="auto"/>
            <w:vAlign w:val="center"/>
          </w:tcPr>
          <w:p w14:paraId="677D9A0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基本农田</w:t>
            </w:r>
          </w:p>
          <w:p w14:paraId="6B4D96D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w:t>
            </w:r>
          </w:p>
        </w:tc>
        <w:tc>
          <w:tcPr>
            <w:tcW w:w="846" w:type="dxa"/>
            <w:vMerge w:val="restart"/>
            <w:shd w:val="clear" w:color="auto" w:fill="auto"/>
            <w:vAlign w:val="center"/>
          </w:tcPr>
          <w:p w14:paraId="281438B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分布</w:t>
            </w:r>
          </w:p>
          <w:p w14:paraId="23E0FA5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占比</w:t>
            </w:r>
          </w:p>
        </w:tc>
        <w:tc>
          <w:tcPr>
            <w:tcW w:w="8400" w:type="dxa"/>
            <w:gridSpan w:val="8"/>
            <w:shd w:val="clear" w:color="auto" w:fill="auto"/>
            <w:vAlign w:val="center"/>
          </w:tcPr>
          <w:p w14:paraId="4EFD307C">
            <w:pPr>
              <w:widowControl/>
              <w:jc w:val="center"/>
              <w:rPr>
                <w:rFonts w:ascii="宋体" w:hAnsi="宋体" w:cs="宋体"/>
                <w:color w:val="000000"/>
                <w:kern w:val="0"/>
                <w:sz w:val="18"/>
                <w:szCs w:val="18"/>
              </w:rPr>
            </w:pPr>
            <w:r>
              <w:rPr>
                <w:rFonts w:hint="eastAsia" w:ascii="宋体" w:hAnsi="宋体" w:cs="宋体"/>
                <w:b/>
                <w:color w:val="000000"/>
                <w:kern w:val="0"/>
                <w:sz w:val="18"/>
                <w:szCs w:val="18"/>
              </w:rPr>
              <w:t>质量等级</w:t>
            </w:r>
          </w:p>
        </w:tc>
      </w:tr>
      <w:tr w14:paraId="704F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vMerge w:val="continue"/>
            <w:shd w:val="clear" w:color="auto" w:fill="auto"/>
            <w:vAlign w:val="center"/>
          </w:tcPr>
          <w:p w14:paraId="36551A69">
            <w:pPr>
              <w:widowControl/>
              <w:jc w:val="center"/>
              <w:rPr>
                <w:rFonts w:ascii="宋体" w:hAnsi="宋体" w:cs="宋体"/>
                <w:b/>
                <w:color w:val="000000"/>
                <w:kern w:val="0"/>
                <w:sz w:val="18"/>
                <w:szCs w:val="18"/>
              </w:rPr>
            </w:pPr>
          </w:p>
        </w:tc>
        <w:tc>
          <w:tcPr>
            <w:tcW w:w="1160" w:type="dxa"/>
            <w:vMerge w:val="continue"/>
            <w:shd w:val="clear" w:color="auto" w:fill="auto"/>
            <w:vAlign w:val="center"/>
          </w:tcPr>
          <w:p w14:paraId="6F616BAF">
            <w:pPr>
              <w:widowControl/>
              <w:jc w:val="center"/>
              <w:rPr>
                <w:rFonts w:ascii="宋体" w:hAnsi="宋体" w:cs="宋体"/>
                <w:b/>
                <w:color w:val="000000"/>
                <w:kern w:val="0"/>
                <w:sz w:val="18"/>
                <w:szCs w:val="18"/>
              </w:rPr>
            </w:pPr>
          </w:p>
        </w:tc>
        <w:tc>
          <w:tcPr>
            <w:tcW w:w="846" w:type="dxa"/>
            <w:vMerge w:val="continue"/>
            <w:shd w:val="clear" w:color="auto" w:fill="auto"/>
            <w:vAlign w:val="center"/>
          </w:tcPr>
          <w:p w14:paraId="516FA5AB">
            <w:pPr>
              <w:widowControl/>
              <w:jc w:val="center"/>
              <w:rPr>
                <w:rFonts w:ascii="宋体" w:hAnsi="宋体" w:cs="宋体"/>
                <w:b/>
                <w:color w:val="000000"/>
                <w:kern w:val="0"/>
                <w:sz w:val="18"/>
                <w:szCs w:val="18"/>
              </w:rPr>
            </w:pPr>
          </w:p>
        </w:tc>
        <w:tc>
          <w:tcPr>
            <w:tcW w:w="1000" w:type="dxa"/>
            <w:shd w:val="clear" w:color="auto" w:fill="auto"/>
            <w:vAlign w:val="center"/>
          </w:tcPr>
          <w:p w14:paraId="23037DE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6等</w:t>
            </w:r>
          </w:p>
        </w:tc>
        <w:tc>
          <w:tcPr>
            <w:tcW w:w="1160" w:type="dxa"/>
            <w:shd w:val="clear" w:color="auto" w:fill="auto"/>
            <w:vAlign w:val="center"/>
          </w:tcPr>
          <w:p w14:paraId="35AA283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7等</w:t>
            </w:r>
          </w:p>
        </w:tc>
        <w:tc>
          <w:tcPr>
            <w:tcW w:w="1040" w:type="dxa"/>
            <w:shd w:val="clear" w:color="auto" w:fill="auto"/>
            <w:vAlign w:val="center"/>
          </w:tcPr>
          <w:p w14:paraId="68C6335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8等</w:t>
            </w:r>
          </w:p>
        </w:tc>
        <w:tc>
          <w:tcPr>
            <w:tcW w:w="1040" w:type="dxa"/>
            <w:shd w:val="clear" w:color="auto" w:fill="auto"/>
            <w:vAlign w:val="center"/>
          </w:tcPr>
          <w:p w14:paraId="16A0E8F3">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9等</w:t>
            </w:r>
          </w:p>
        </w:tc>
        <w:tc>
          <w:tcPr>
            <w:tcW w:w="1040" w:type="dxa"/>
            <w:shd w:val="clear" w:color="auto" w:fill="auto"/>
            <w:vAlign w:val="center"/>
          </w:tcPr>
          <w:p w14:paraId="0B25E0D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10等</w:t>
            </w:r>
          </w:p>
        </w:tc>
        <w:tc>
          <w:tcPr>
            <w:tcW w:w="1040" w:type="dxa"/>
            <w:shd w:val="clear" w:color="auto" w:fill="auto"/>
            <w:vAlign w:val="center"/>
          </w:tcPr>
          <w:p w14:paraId="206251CD">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11等</w:t>
            </w:r>
          </w:p>
        </w:tc>
        <w:tc>
          <w:tcPr>
            <w:tcW w:w="1040" w:type="dxa"/>
            <w:shd w:val="clear" w:color="auto" w:fill="auto"/>
            <w:vAlign w:val="center"/>
          </w:tcPr>
          <w:p w14:paraId="63D0C1E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12等</w:t>
            </w:r>
          </w:p>
        </w:tc>
        <w:tc>
          <w:tcPr>
            <w:tcW w:w="1040" w:type="dxa"/>
            <w:shd w:val="clear" w:color="auto" w:fill="auto"/>
            <w:vAlign w:val="center"/>
          </w:tcPr>
          <w:p w14:paraId="539F99D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13等</w:t>
            </w:r>
          </w:p>
        </w:tc>
      </w:tr>
      <w:tr w14:paraId="168E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966" w:type="dxa"/>
            <w:gridSpan w:val="3"/>
            <w:shd w:val="clear" w:color="auto" w:fill="auto"/>
            <w:vAlign w:val="center"/>
          </w:tcPr>
          <w:p w14:paraId="47B7719D">
            <w:pPr>
              <w:widowControl/>
              <w:jc w:val="center"/>
              <w:rPr>
                <w:rFonts w:ascii="宋体" w:hAnsi="宋体" w:cs="宋体"/>
                <w:color w:val="000000"/>
                <w:kern w:val="0"/>
                <w:sz w:val="18"/>
                <w:szCs w:val="18"/>
              </w:rPr>
            </w:pPr>
            <w:r>
              <w:rPr>
                <w:rFonts w:hint="eastAsia" w:ascii="宋体" w:hAnsi="宋体" w:cs="宋体"/>
                <w:color w:val="000000"/>
                <w:kern w:val="0"/>
                <w:sz w:val="18"/>
                <w:szCs w:val="18"/>
              </w:rPr>
              <w:t>类型占比</w:t>
            </w:r>
          </w:p>
        </w:tc>
        <w:tc>
          <w:tcPr>
            <w:tcW w:w="1000" w:type="dxa"/>
            <w:shd w:val="clear" w:color="auto" w:fill="auto"/>
            <w:vAlign w:val="center"/>
          </w:tcPr>
          <w:p w14:paraId="16BD9E2A">
            <w:pPr>
              <w:widowControl/>
              <w:jc w:val="center"/>
              <w:rPr>
                <w:rFonts w:ascii="宋体" w:hAnsi="宋体" w:cs="宋体"/>
                <w:color w:val="000000"/>
                <w:kern w:val="0"/>
                <w:sz w:val="18"/>
                <w:szCs w:val="18"/>
              </w:rPr>
            </w:pPr>
            <w:r>
              <w:rPr>
                <w:rFonts w:hint="eastAsia" w:ascii="宋体" w:hAnsi="宋体" w:cs="宋体"/>
                <w:color w:val="000000"/>
                <w:kern w:val="0"/>
                <w:sz w:val="18"/>
                <w:szCs w:val="18"/>
              </w:rPr>
              <w:t>3.20%</w:t>
            </w:r>
          </w:p>
        </w:tc>
        <w:tc>
          <w:tcPr>
            <w:tcW w:w="1160" w:type="dxa"/>
            <w:shd w:val="clear" w:color="auto" w:fill="auto"/>
            <w:vAlign w:val="center"/>
          </w:tcPr>
          <w:p w14:paraId="68FC1408">
            <w:pPr>
              <w:widowControl/>
              <w:jc w:val="center"/>
              <w:rPr>
                <w:rFonts w:ascii="宋体" w:hAnsi="宋体" w:cs="宋体"/>
                <w:color w:val="000000"/>
                <w:kern w:val="0"/>
                <w:sz w:val="18"/>
                <w:szCs w:val="18"/>
              </w:rPr>
            </w:pPr>
            <w:r>
              <w:rPr>
                <w:rFonts w:hint="eastAsia" w:ascii="宋体" w:hAnsi="宋体" w:cs="宋体"/>
                <w:color w:val="000000"/>
                <w:kern w:val="0"/>
                <w:sz w:val="18"/>
                <w:szCs w:val="18"/>
              </w:rPr>
              <w:t>5.30%</w:t>
            </w:r>
          </w:p>
        </w:tc>
        <w:tc>
          <w:tcPr>
            <w:tcW w:w="1040" w:type="dxa"/>
            <w:shd w:val="clear" w:color="auto" w:fill="auto"/>
            <w:vAlign w:val="center"/>
          </w:tcPr>
          <w:p w14:paraId="0ABB5131">
            <w:pPr>
              <w:widowControl/>
              <w:jc w:val="center"/>
              <w:rPr>
                <w:rFonts w:ascii="宋体" w:hAnsi="宋体" w:cs="宋体"/>
                <w:color w:val="000000"/>
                <w:kern w:val="0"/>
                <w:sz w:val="18"/>
                <w:szCs w:val="18"/>
              </w:rPr>
            </w:pPr>
            <w:r>
              <w:rPr>
                <w:rFonts w:hint="eastAsia" w:ascii="宋体" w:hAnsi="宋体" w:cs="宋体"/>
                <w:color w:val="000000"/>
                <w:kern w:val="0"/>
                <w:sz w:val="18"/>
                <w:szCs w:val="18"/>
              </w:rPr>
              <w:t>24.20%</w:t>
            </w:r>
          </w:p>
        </w:tc>
        <w:tc>
          <w:tcPr>
            <w:tcW w:w="1040" w:type="dxa"/>
            <w:shd w:val="clear" w:color="auto" w:fill="auto"/>
            <w:vAlign w:val="center"/>
          </w:tcPr>
          <w:p w14:paraId="43D8AFE6">
            <w:pPr>
              <w:widowControl/>
              <w:jc w:val="center"/>
              <w:rPr>
                <w:rFonts w:ascii="宋体" w:hAnsi="宋体" w:cs="宋体"/>
                <w:color w:val="000000"/>
                <w:kern w:val="0"/>
                <w:sz w:val="18"/>
                <w:szCs w:val="18"/>
              </w:rPr>
            </w:pPr>
            <w:r>
              <w:rPr>
                <w:rFonts w:hint="eastAsia" w:ascii="宋体" w:hAnsi="宋体" w:cs="宋体"/>
                <w:color w:val="000000"/>
                <w:kern w:val="0"/>
                <w:sz w:val="18"/>
                <w:szCs w:val="18"/>
              </w:rPr>
              <w:t>11.80%</w:t>
            </w:r>
          </w:p>
        </w:tc>
        <w:tc>
          <w:tcPr>
            <w:tcW w:w="1040" w:type="dxa"/>
            <w:shd w:val="clear" w:color="auto" w:fill="auto"/>
            <w:vAlign w:val="center"/>
          </w:tcPr>
          <w:p w14:paraId="439D4D8F">
            <w:pPr>
              <w:widowControl/>
              <w:jc w:val="center"/>
              <w:rPr>
                <w:rFonts w:ascii="宋体" w:hAnsi="宋体" w:cs="宋体"/>
                <w:color w:val="000000"/>
                <w:kern w:val="0"/>
                <w:sz w:val="18"/>
                <w:szCs w:val="18"/>
              </w:rPr>
            </w:pPr>
            <w:r>
              <w:rPr>
                <w:rFonts w:hint="eastAsia" w:ascii="宋体" w:hAnsi="宋体" w:cs="宋体"/>
                <w:color w:val="000000"/>
                <w:kern w:val="0"/>
                <w:sz w:val="18"/>
                <w:szCs w:val="18"/>
              </w:rPr>
              <w:t>15.60%</w:t>
            </w:r>
          </w:p>
        </w:tc>
        <w:tc>
          <w:tcPr>
            <w:tcW w:w="1040" w:type="dxa"/>
            <w:shd w:val="clear" w:color="auto" w:fill="auto"/>
            <w:vAlign w:val="center"/>
          </w:tcPr>
          <w:p w14:paraId="28B03EDC">
            <w:pPr>
              <w:widowControl/>
              <w:jc w:val="center"/>
              <w:rPr>
                <w:rFonts w:ascii="宋体" w:hAnsi="宋体" w:cs="宋体"/>
                <w:color w:val="000000"/>
                <w:kern w:val="0"/>
                <w:sz w:val="18"/>
                <w:szCs w:val="18"/>
              </w:rPr>
            </w:pPr>
            <w:r>
              <w:rPr>
                <w:rFonts w:hint="eastAsia" w:ascii="宋体" w:hAnsi="宋体" w:cs="宋体"/>
                <w:color w:val="000000"/>
                <w:kern w:val="0"/>
                <w:sz w:val="18"/>
                <w:szCs w:val="18"/>
              </w:rPr>
              <w:t>22.20%</w:t>
            </w:r>
          </w:p>
        </w:tc>
        <w:tc>
          <w:tcPr>
            <w:tcW w:w="1040" w:type="dxa"/>
            <w:shd w:val="clear" w:color="auto" w:fill="auto"/>
            <w:vAlign w:val="center"/>
          </w:tcPr>
          <w:p w14:paraId="2518CB04">
            <w:pPr>
              <w:widowControl/>
              <w:jc w:val="center"/>
              <w:rPr>
                <w:rFonts w:ascii="宋体" w:hAnsi="宋体" w:cs="宋体"/>
                <w:color w:val="000000"/>
                <w:kern w:val="0"/>
                <w:sz w:val="18"/>
                <w:szCs w:val="18"/>
              </w:rPr>
            </w:pPr>
            <w:r>
              <w:rPr>
                <w:rFonts w:hint="eastAsia" w:ascii="宋体" w:hAnsi="宋体" w:cs="宋体"/>
                <w:color w:val="000000"/>
                <w:kern w:val="0"/>
                <w:sz w:val="18"/>
                <w:szCs w:val="18"/>
              </w:rPr>
              <w:t>7.00%</w:t>
            </w:r>
          </w:p>
        </w:tc>
        <w:tc>
          <w:tcPr>
            <w:tcW w:w="1040" w:type="dxa"/>
            <w:shd w:val="clear" w:color="auto" w:fill="auto"/>
            <w:vAlign w:val="center"/>
          </w:tcPr>
          <w:p w14:paraId="197A2209">
            <w:pPr>
              <w:widowControl/>
              <w:jc w:val="center"/>
              <w:rPr>
                <w:rFonts w:ascii="宋体" w:hAnsi="宋体" w:cs="宋体"/>
                <w:color w:val="000000"/>
                <w:kern w:val="0"/>
                <w:sz w:val="18"/>
                <w:szCs w:val="18"/>
              </w:rPr>
            </w:pPr>
            <w:r>
              <w:rPr>
                <w:rFonts w:hint="eastAsia" w:ascii="宋体" w:hAnsi="宋体" w:cs="宋体"/>
                <w:color w:val="000000"/>
                <w:kern w:val="0"/>
                <w:sz w:val="18"/>
                <w:szCs w:val="18"/>
              </w:rPr>
              <w:t>10.70%</w:t>
            </w:r>
          </w:p>
        </w:tc>
      </w:tr>
    </w:tbl>
    <w:p w14:paraId="7F673AA1">
      <w:pPr>
        <w:ind w:firstLine="420"/>
        <w:jc w:val="right"/>
        <w:rPr>
          <w:rFonts w:ascii="宋体" w:hAnsi="宋体"/>
          <w:color w:val="000000"/>
          <w:kern w:val="0"/>
          <w:sz w:val="18"/>
          <w:szCs w:val="18"/>
        </w:rPr>
      </w:pPr>
    </w:p>
    <w:p w14:paraId="3F784CF4">
      <w:pPr>
        <w:pStyle w:val="4"/>
        <w:spacing w:before="0" w:after="0" w:line="240" w:lineRule="auto"/>
        <w:ind w:firstLine="137" w:firstLineChars="49"/>
        <w:rPr>
          <w:rFonts w:ascii="Arial" w:hAnsi="Arial" w:eastAsia="黑体"/>
          <w:b w:val="0"/>
          <w:color w:val="000000"/>
          <w:sz w:val="28"/>
          <w:szCs w:val="28"/>
        </w:rPr>
      </w:pPr>
      <w:r>
        <w:rPr>
          <w:rFonts w:hint="eastAsia" w:ascii="Arial" w:hAnsi="Arial" w:eastAsia="黑体"/>
          <w:b w:val="0"/>
          <w:color w:val="000000"/>
          <w:sz w:val="28"/>
          <w:szCs w:val="28"/>
        </w:rPr>
        <w:t>（二）坝区基本农田保护现状</w:t>
      </w:r>
    </w:p>
    <w:p w14:paraId="0BEE7692">
      <w:pPr>
        <w:pStyle w:val="78"/>
        <w:ind w:firstLine="560"/>
        <w:rPr>
          <w:rFonts w:ascii="仿宋_GB2312" w:hAnsi="宋体" w:eastAsia="仿宋_GB2312"/>
          <w:sz w:val="28"/>
          <w:szCs w:val="28"/>
        </w:rPr>
      </w:pPr>
      <w:r>
        <w:rPr>
          <w:rFonts w:hint="eastAsia" w:ascii="仿宋_GB2312" w:hAnsi="宋体" w:eastAsia="仿宋_GB2312"/>
          <w:sz w:val="28"/>
          <w:szCs w:val="28"/>
        </w:rPr>
        <w:t>根据2014年度土地变更调查成果和2014年度土地变更基本农田上图数据，东川区坝区现有基本农田1117.36公顷，坝区基本农田保护率为82.86%。</w:t>
      </w:r>
    </w:p>
    <w:p w14:paraId="1946C68C">
      <w:pPr>
        <w:pStyle w:val="3"/>
        <w:spacing w:line="360" w:lineRule="auto"/>
        <w:jc w:val="center"/>
        <w:rPr>
          <w:b w:val="0"/>
          <w:color w:val="000000"/>
          <w:sz w:val="30"/>
          <w:szCs w:val="30"/>
        </w:rPr>
      </w:pPr>
      <w:bookmarkStart w:id="52" w:name="_Toc491074892"/>
      <w:r>
        <w:rPr>
          <w:rFonts w:hint="eastAsia"/>
          <w:b w:val="0"/>
          <w:color w:val="000000"/>
          <w:sz w:val="30"/>
          <w:szCs w:val="30"/>
        </w:rPr>
        <w:t>第四节  土地利用现状特点</w:t>
      </w:r>
      <w:bookmarkEnd w:id="52"/>
    </w:p>
    <w:p w14:paraId="7EB81AFC">
      <w:pPr>
        <w:pStyle w:val="78"/>
        <w:ind w:firstLine="560"/>
        <w:rPr>
          <w:rFonts w:ascii="仿宋_GB2312" w:hAnsi="宋体" w:eastAsia="仿宋_GB2312"/>
          <w:sz w:val="28"/>
          <w:szCs w:val="28"/>
        </w:rPr>
      </w:pPr>
      <w:bookmarkStart w:id="53" w:name="_Toc224394022"/>
      <w:r>
        <w:rPr>
          <w:rFonts w:hint="eastAsia" w:ascii="仿宋_GB2312" w:hAnsi="宋体" w:eastAsia="仿宋_GB2312"/>
          <w:sz w:val="28"/>
          <w:szCs w:val="28"/>
        </w:rPr>
        <w:t>1、土地资源紧缺，供需矛盾突出。随着现代新昆明建设和昆明北部崛起的深入，规划期间东川区经济增长速度加快，建设用地需求较高。同时导致农业结构调整加快，耕地大量减少。未来，人口、耕地和建设用地之间的矛盾会愈加尖锐。</w:t>
      </w:r>
    </w:p>
    <w:p w14:paraId="209568FC">
      <w:pPr>
        <w:pStyle w:val="78"/>
        <w:ind w:firstLine="560"/>
        <w:rPr>
          <w:rFonts w:ascii="仿宋_GB2312" w:hAnsi="宋体" w:eastAsia="仿宋_GB2312"/>
          <w:sz w:val="28"/>
          <w:szCs w:val="28"/>
        </w:rPr>
      </w:pPr>
      <w:r>
        <w:rPr>
          <w:rFonts w:hint="eastAsia" w:ascii="仿宋_GB2312" w:hAnsi="宋体" w:eastAsia="仿宋_GB2312"/>
          <w:sz w:val="28"/>
          <w:szCs w:val="28"/>
        </w:rPr>
        <w:t>2、土地集约利用水平不高。通过农业结构调整，农用地的整体效益得到提高，但是耕地的利用效益仍然相对较低。</w:t>
      </w:r>
    </w:p>
    <w:p w14:paraId="0B6C19DA">
      <w:pPr>
        <w:pStyle w:val="78"/>
        <w:ind w:firstLine="560"/>
        <w:rPr>
          <w:rFonts w:ascii="仿宋_GB2312" w:hAnsi="宋体" w:eastAsia="仿宋_GB2312"/>
          <w:sz w:val="28"/>
          <w:szCs w:val="28"/>
        </w:rPr>
      </w:pPr>
      <w:r>
        <w:rPr>
          <w:rFonts w:hint="eastAsia" w:ascii="仿宋_GB2312" w:hAnsi="宋体" w:eastAsia="仿宋_GB2312"/>
          <w:sz w:val="28"/>
          <w:szCs w:val="28"/>
        </w:rPr>
        <w:t>3、平耕地较少, 人均占有耕地逐年减少。后备资源开发利用限制多。</w:t>
      </w:r>
    </w:p>
    <w:p w14:paraId="4CA53D85">
      <w:pPr>
        <w:pStyle w:val="78"/>
        <w:ind w:firstLine="560"/>
        <w:rPr>
          <w:rFonts w:ascii="仿宋_GB2312" w:hAnsi="宋体" w:eastAsia="仿宋_GB2312"/>
          <w:sz w:val="28"/>
          <w:szCs w:val="28"/>
        </w:rPr>
      </w:pPr>
      <w:r>
        <w:rPr>
          <w:rFonts w:hint="eastAsia" w:ascii="仿宋_GB2312" w:hAnsi="宋体" w:eastAsia="仿宋_GB2312"/>
          <w:sz w:val="28"/>
          <w:szCs w:val="28"/>
        </w:rPr>
        <w:t>东川区地处横断山系纵谷区的南端，山多平地少，宜耕土地不多，</w:t>
      </w:r>
      <w:r>
        <w:rPr>
          <w:rFonts w:ascii="仿宋_GB2312" w:hAnsi="宋体" w:eastAsia="仿宋_GB2312"/>
          <w:sz w:val="28"/>
          <w:szCs w:val="28"/>
        </w:rPr>
        <w:t>地形坡度是影响</w:t>
      </w:r>
      <w:r>
        <w:rPr>
          <w:rFonts w:hint="eastAsia" w:ascii="仿宋_GB2312" w:hAnsi="宋体" w:eastAsia="仿宋_GB2312"/>
          <w:sz w:val="28"/>
          <w:szCs w:val="28"/>
        </w:rPr>
        <w:t>东川区耕地</w:t>
      </w:r>
      <w:r>
        <w:rPr>
          <w:rFonts w:ascii="仿宋_GB2312" w:hAnsi="宋体" w:eastAsia="仿宋_GB2312"/>
          <w:sz w:val="28"/>
          <w:szCs w:val="28"/>
        </w:rPr>
        <w:t>质量的</w:t>
      </w:r>
      <w:r>
        <w:rPr>
          <w:rFonts w:hint="eastAsia" w:ascii="仿宋_GB2312" w:hAnsi="宋体" w:eastAsia="仿宋_GB2312"/>
          <w:sz w:val="28"/>
          <w:szCs w:val="28"/>
        </w:rPr>
        <w:t>一个</w:t>
      </w:r>
      <w:r>
        <w:rPr>
          <w:rFonts w:ascii="仿宋_GB2312" w:hAnsi="宋体" w:eastAsia="仿宋_GB2312"/>
          <w:sz w:val="28"/>
          <w:szCs w:val="28"/>
        </w:rPr>
        <w:t>重要因素</w:t>
      </w:r>
      <w:r>
        <w:rPr>
          <w:rFonts w:hint="eastAsia" w:ascii="仿宋_GB2312" w:hAnsi="宋体" w:eastAsia="仿宋_GB2312"/>
          <w:sz w:val="28"/>
          <w:szCs w:val="28"/>
        </w:rPr>
        <w:t>。虽然其他土地有一定开发潜力，但是由于其他土地中山区坡地多，耕地不高，宜耕性小，以及开发利用效益低、管理难，限制了其他土地的开发利用。</w:t>
      </w:r>
    </w:p>
    <w:p w14:paraId="7E1D691B">
      <w:pPr>
        <w:pStyle w:val="78"/>
        <w:ind w:firstLine="560"/>
        <w:rPr>
          <w:rFonts w:ascii="仿宋_GB2312" w:hAnsi="宋体" w:eastAsia="仿宋_GB2312"/>
          <w:sz w:val="28"/>
          <w:szCs w:val="28"/>
        </w:rPr>
      </w:pPr>
      <w:r>
        <w:rPr>
          <w:rFonts w:hint="eastAsia" w:ascii="仿宋_GB2312" w:hAnsi="宋体" w:eastAsia="仿宋_GB2312"/>
          <w:sz w:val="28"/>
          <w:szCs w:val="28"/>
        </w:rPr>
        <w:t>4、土地利用率有待进一步提高</w:t>
      </w:r>
      <w:bookmarkEnd w:id="53"/>
    </w:p>
    <w:p w14:paraId="35E2FDE6">
      <w:pPr>
        <w:pStyle w:val="78"/>
        <w:ind w:firstLine="560"/>
        <w:rPr>
          <w:rFonts w:ascii="仿宋_GB2312" w:hAnsi="宋体" w:eastAsia="仿宋_GB2312"/>
          <w:sz w:val="28"/>
          <w:szCs w:val="28"/>
        </w:rPr>
      </w:pPr>
      <w:r>
        <w:rPr>
          <w:rFonts w:hint="eastAsia" w:ascii="仿宋_GB2312" w:hAnsi="宋体" w:eastAsia="仿宋_GB2312"/>
          <w:sz w:val="28"/>
          <w:szCs w:val="28"/>
        </w:rPr>
        <w:t>2014年东川区土地利用率只有59.57%，低于昆明市的平均水平。随着东川区人口的增加和社会经济的发展，东川区的土地利用率有待进一步提高。</w:t>
      </w:r>
    </w:p>
    <w:p w14:paraId="6633905B">
      <w:pPr>
        <w:pStyle w:val="78"/>
        <w:ind w:firstLine="560"/>
        <w:rPr>
          <w:rFonts w:ascii="仿宋_GB2312" w:hAnsi="宋体" w:eastAsia="仿宋_GB2312"/>
          <w:sz w:val="28"/>
          <w:szCs w:val="28"/>
        </w:rPr>
      </w:pPr>
      <w:bookmarkStart w:id="54" w:name="_Toc269195200"/>
      <w:bookmarkStart w:id="55" w:name="_Toc266629104"/>
      <w:bookmarkStart w:id="56" w:name="_Toc224394023"/>
      <w:bookmarkStart w:id="57" w:name="_Toc269299961"/>
      <w:r>
        <w:rPr>
          <w:rFonts w:hint="eastAsia" w:ascii="仿宋_GB2312" w:hAnsi="宋体" w:eastAsia="仿宋_GB2312"/>
          <w:sz w:val="28"/>
          <w:szCs w:val="28"/>
        </w:rPr>
        <w:t>5、</w:t>
      </w:r>
      <w:bookmarkEnd w:id="54"/>
      <w:bookmarkEnd w:id="55"/>
      <w:bookmarkEnd w:id="56"/>
      <w:bookmarkEnd w:id="57"/>
      <w:r>
        <w:rPr>
          <w:rFonts w:hint="eastAsia" w:ascii="仿宋_GB2312" w:hAnsi="宋体" w:eastAsia="仿宋_GB2312"/>
          <w:sz w:val="28"/>
          <w:szCs w:val="28"/>
        </w:rPr>
        <w:t>坝区面积比例不高，仅占全区总面积的2.22%，但却是全区主要优质耕地和建设用地分布区，是全区农业、工业和城镇分布的中心区域；坝区土地中以耕地为主，坝区是全区耕地特别是水田等优质耕地的集中区域；坝区建设用地面积比例高，集中了全区多数城乡建设用地和绝大数交通水利用地。城乡建设用地，特别是城镇用地，主要分布在坝区，坝区是东川区的城镇集中区。</w:t>
      </w:r>
    </w:p>
    <w:p w14:paraId="5915AB9E">
      <w:pPr>
        <w:tabs>
          <w:tab w:val="left" w:pos="1950"/>
        </w:tabs>
        <w:spacing w:line="360" w:lineRule="auto"/>
        <w:ind w:firstLine="561"/>
        <w:rPr>
          <w:rFonts w:ascii="仿宋_GB2312" w:hAnsi="宋体" w:eastAsia="仿宋_GB2312"/>
          <w:sz w:val="28"/>
          <w:szCs w:val="28"/>
        </w:rPr>
      </w:pPr>
      <w:r>
        <w:rPr>
          <w:rFonts w:hint="eastAsia" w:ascii="仿宋_GB2312" w:hAnsi="宋体" w:eastAsia="仿宋_GB2312"/>
          <w:sz w:val="28"/>
          <w:szCs w:val="28"/>
        </w:rPr>
        <w:t>6、城镇用地和耕地都集中在坝区，造成了坝区土地利用矛盾极为突出。随着现代新昆明建设的深入，规划期间东川区经济增长速度加快，建设用地需求较高，未来人口、耕地、及建设用地之间的矛盾会愈加尖锐。为保持粮食安全计，有必要调整城乡发展思路，加强坝区耕地保护力度。</w:t>
      </w:r>
    </w:p>
    <w:p w14:paraId="665F8B45">
      <w:pPr>
        <w:snapToGrid w:val="0"/>
        <w:spacing w:line="360" w:lineRule="auto"/>
        <w:ind w:firstLine="560" w:firstLineChars="200"/>
        <w:rPr>
          <w:rFonts w:ascii="仿宋_GB2312" w:eastAsia="仿宋_GB2312"/>
          <w:sz w:val="28"/>
          <w:szCs w:val="28"/>
        </w:rPr>
      </w:pPr>
    </w:p>
    <w:p w14:paraId="5CBB2B78">
      <w:pPr>
        <w:snapToGrid w:val="0"/>
        <w:spacing w:line="360" w:lineRule="auto"/>
        <w:ind w:firstLine="560" w:firstLineChars="200"/>
        <w:rPr>
          <w:rFonts w:ascii="仿宋_GB2312" w:eastAsia="仿宋_GB2312"/>
          <w:sz w:val="28"/>
          <w:szCs w:val="28"/>
        </w:rPr>
      </w:pPr>
    </w:p>
    <w:p w14:paraId="4477A67B">
      <w:pPr>
        <w:snapToGrid w:val="0"/>
        <w:spacing w:line="360" w:lineRule="auto"/>
        <w:ind w:firstLine="560" w:firstLineChars="200"/>
        <w:rPr>
          <w:rFonts w:ascii="仿宋_GB2312" w:eastAsia="仿宋_GB2312"/>
          <w:sz w:val="28"/>
          <w:szCs w:val="28"/>
        </w:rPr>
      </w:pPr>
    </w:p>
    <w:p w14:paraId="044B0B25">
      <w:pPr>
        <w:snapToGrid w:val="0"/>
        <w:spacing w:line="360" w:lineRule="auto"/>
        <w:ind w:firstLine="560" w:firstLineChars="200"/>
        <w:rPr>
          <w:rFonts w:ascii="仿宋_GB2312" w:eastAsia="仿宋_GB2312"/>
          <w:sz w:val="28"/>
          <w:szCs w:val="28"/>
        </w:rPr>
      </w:pPr>
    </w:p>
    <w:p w14:paraId="799F117D">
      <w:pPr>
        <w:snapToGrid w:val="0"/>
        <w:spacing w:line="360" w:lineRule="auto"/>
        <w:ind w:firstLine="560" w:firstLineChars="200"/>
        <w:rPr>
          <w:rFonts w:ascii="仿宋_GB2312" w:eastAsia="仿宋_GB2312"/>
          <w:sz w:val="28"/>
          <w:szCs w:val="28"/>
        </w:rPr>
      </w:pPr>
    </w:p>
    <w:p w14:paraId="51D29EDF">
      <w:pPr>
        <w:snapToGrid w:val="0"/>
        <w:spacing w:line="360" w:lineRule="auto"/>
        <w:ind w:firstLine="560" w:firstLineChars="200"/>
        <w:rPr>
          <w:rFonts w:ascii="仿宋_GB2312" w:eastAsia="仿宋_GB2312"/>
          <w:sz w:val="28"/>
          <w:szCs w:val="28"/>
        </w:rPr>
      </w:pPr>
    </w:p>
    <w:p w14:paraId="64EB0213">
      <w:pPr>
        <w:snapToGrid w:val="0"/>
        <w:spacing w:line="360" w:lineRule="auto"/>
        <w:ind w:firstLine="560" w:firstLineChars="200"/>
        <w:rPr>
          <w:rFonts w:ascii="仿宋_GB2312" w:eastAsia="仿宋_GB2312"/>
          <w:sz w:val="28"/>
          <w:szCs w:val="28"/>
        </w:rPr>
      </w:pPr>
    </w:p>
    <w:p w14:paraId="0AFA8420">
      <w:pPr>
        <w:snapToGrid w:val="0"/>
        <w:spacing w:line="360" w:lineRule="auto"/>
        <w:ind w:firstLine="560" w:firstLineChars="200"/>
        <w:rPr>
          <w:rFonts w:ascii="仿宋_GB2312" w:eastAsia="仿宋_GB2312"/>
          <w:sz w:val="28"/>
          <w:szCs w:val="28"/>
        </w:rPr>
      </w:pPr>
    </w:p>
    <w:p w14:paraId="04D150AC">
      <w:pPr>
        <w:snapToGrid w:val="0"/>
        <w:spacing w:line="360" w:lineRule="auto"/>
        <w:ind w:firstLine="560" w:firstLineChars="200"/>
        <w:rPr>
          <w:rFonts w:ascii="仿宋_GB2312" w:eastAsia="仿宋_GB2312"/>
          <w:sz w:val="28"/>
          <w:szCs w:val="28"/>
        </w:rPr>
      </w:pPr>
    </w:p>
    <w:p w14:paraId="71983450">
      <w:pPr>
        <w:snapToGrid w:val="0"/>
        <w:spacing w:line="360" w:lineRule="auto"/>
        <w:ind w:firstLine="560" w:firstLineChars="200"/>
        <w:rPr>
          <w:rFonts w:ascii="仿宋_GB2312" w:eastAsia="仿宋_GB2312"/>
          <w:sz w:val="28"/>
          <w:szCs w:val="28"/>
        </w:rPr>
      </w:pPr>
    </w:p>
    <w:p w14:paraId="12D7CE02">
      <w:pPr>
        <w:snapToGrid w:val="0"/>
        <w:spacing w:line="360" w:lineRule="auto"/>
        <w:ind w:firstLine="560" w:firstLineChars="200"/>
        <w:rPr>
          <w:rFonts w:ascii="仿宋_GB2312" w:eastAsia="仿宋_GB2312"/>
          <w:sz w:val="28"/>
          <w:szCs w:val="28"/>
        </w:rPr>
      </w:pPr>
    </w:p>
    <w:p w14:paraId="43A9F1E6">
      <w:pPr>
        <w:snapToGrid w:val="0"/>
        <w:spacing w:line="360" w:lineRule="auto"/>
        <w:ind w:firstLine="560" w:firstLineChars="200"/>
        <w:rPr>
          <w:rFonts w:ascii="仿宋_GB2312" w:eastAsia="仿宋_GB2312"/>
          <w:sz w:val="28"/>
          <w:szCs w:val="28"/>
        </w:rPr>
      </w:pPr>
    </w:p>
    <w:p w14:paraId="66A5AAA1">
      <w:pPr>
        <w:snapToGrid w:val="0"/>
        <w:spacing w:line="360" w:lineRule="auto"/>
        <w:ind w:firstLine="560" w:firstLineChars="200"/>
        <w:rPr>
          <w:rFonts w:ascii="仿宋_GB2312" w:eastAsia="仿宋_GB2312"/>
          <w:sz w:val="28"/>
          <w:szCs w:val="28"/>
        </w:rPr>
      </w:pPr>
    </w:p>
    <w:p w14:paraId="45C94224">
      <w:pPr>
        <w:snapToGrid w:val="0"/>
        <w:spacing w:line="360" w:lineRule="auto"/>
        <w:ind w:firstLine="560" w:firstLineChars="200"/>
        <w:rPr>
          <w:rFonts w:ascii="仿宋_GB2312" w:eastAsia="仿宋_GB2312"/>
          <w:sz w:val="28"/>
          <w:szCs w:val="28"/>
        </w:rPr>
      </w:pPr>
    </w:p>
    <w:p w14:paraId="3374873D">
      <w:pPr>
        <w:pStyle w:val="2"/>
        <w:spacing w:line="360" w:lineRule="auto"/>
        <w:jc w:val="center"/>
        <w:rPr>
          <w:rFonts w:ascii="黑体" w:eastAsia="黑体"/>
          <w:b w:val="0"/>
          <w:color w:val="000000"/>
          <w:sz w:val="36"/>
          <w:szCs w:val="36"/>
        </w:rPr>
      </w:pPr>
      <w:bookmarkStart w:id="58" w:name="_Toc491074893"/>
      <w:r>
        <w:rPr>
          <w:rFonts w:hint="eastAsia" w:ascii="黑体" w:eastAsia="黑体"/>
          <w:b w:val="0"/>
          <w:color w:val="000000"/>
          <w:sz w:val="32"/>
          <w:szCs w:val="32"/>
        </w:rPr>
        <w:t xml:space="preserve">第三章  </w:t>
      </w:r>
      <w:bookmarkEnd w:id="44"/>
      <w:bookmarkEnd w:id="45"/>
      <w:bookmarkEnd w:id="46"/>
      <w:bookmarkEnd w:id="47"/>
      <w:bookmarkEnd w:id="48"/>
      <w:bookmarkEnd w:id="49"/>
      <w:r>
        <w:rPr>
          <w:rFonts w:hint="eastAsia" w:ascii="黑体" w:eastAsia="黑体"/>
          <w:b w:val="0"/>
          <w:color w:val="000000"/>
          <w:sz w:val="32"/>
          <w:szCs w:val="32"/>
        </w:rPr>
        <w:t>现行规划分析评价</w:t>
      </w:r>
      <w:bookmarkEnd w:id="58"/>
    </w:p>
    <w:p w14:paraId="0F556866">
      <w:pPr>
        <w:spacing w:beforeLines="100" w:afterLines="50" w:line="360" w:lineRule="auto"/>
        <w:jc w:val="center"/>
        <w:outlineLvl w:val="1"/>
        <w:rPr>
          <w:rFonts w:ascii="Arial" w:hAnsi="Arial" w:eastAsia="黑体"/>
          <w:bCs/>
          <w:color w:val="000000"/>
          <w:sz w:val="30"/>
          <w:szCs w:val="30"/>
        </w:rPr>
      </w:pPr>
      <w:bookmarkStart w:id="59" w:name="_Toc99511524"/>
      <w:bookmarkStart w:id="60" w:name="_Toc108172137"/>
      <w:bookmarkStart w:id="61" w:name="_Toc91513693"/>
      <w:bookmarkStart w:id="62" w:name="_Toc84234905"/>
      <w:bookmarkStart w:id="63" w:name="_Toc178751987"/>
      <w:bookmarkStart w:id="64" w:name="_Toc233987164"/>
      <w:bookmarkStart w:id="65" w:name="_Toc110393172"/>
      <w:bookmarkStart w:id="66" w:name="_Toc491074894"/>
      <w:r>
        <w:rPr>
          <w:rFonts w:hint="eastAsia" w:ascii="Arial" w:hAnsi="Arial" w:eastAsia="黑体"/>
          <w:bCs/>
          <w:color w:val="000000"/>
          <w:sz w:val="30"/>
          <w:szCs w:val="30"/>
        </w:rPr>
        <w:t xml:space="preserve">第一节  </w:t>
      </w:r>
      <w:bookmarkEnd w:id="59"/>
      <w:bookmarkEnd w:id="60"/>
      <w:bookmarkEnd w:id="61"/>
      <w:bookmarkEnd w:id="62"/>
      <w:bookmarkEnd w:id="63"/>
      <w:bookmarkEnd w:id="64"/>
      <w:bookmarkEnd w:id="65"/>
      <w:r>
        <w:rPr>
          <w:rFonts w:hint="eastAsia" w:ascii="Arial" w:hAnsi="Arial" w:eastAsia="黑体"/>
          <w:bCs/>
          <w:color w:val="000000"/>
          <w:sz w:val="30"/>
          <w:szCs w:val="30"/>
        </w:rPr>
        <w:t>现行规划概况</w:t>
      </w:r>
      <w:bookmarkEnd w:id="66"/>
    </w:p>
    <w:p w14:paraId="64B9BE06">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一、现行规划编制批准情况</w:t>
      </w:r>
    </w:p>
    <w:p w14:paraId="73960C78">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依据《中华人民共和国土地管理法》等法律法规和国家有关土地利用的方针、政策，按照《国务院办公厅转发国土资源部关于做好土地利用总体规划修编前期工作意见的通知》（国办发</w:t>
      </w:r>
      <w:r>
        <w:rPr>
          <w:rFonts w:ascii="仿宋_GB2312" w:hAnsi="宋体" w:eastAsia="仿宋_GB2312"/>
          <w:kern w:val="0"/>
          <w:sz w:val="28"/>
          <w:szCs w:val="28"/>
        </w:rPr>
        <w:t xml:space="preserve">[2005]32 </w:t>
      </w:r>
      <w:r>
        <w:rPr>
          <w:rFonts w:hint="eastAsia" w:ascii="仿宋_GB2312" w:hAnsi="宋体" w:eastAsia="仿宋_GB2312"/>
          <w:kern w:val="0"/>
          <w:sz w:val="28"/>
          <w:szCs w:val="28"/>
        </w:rPr>
        <w:t>号）文件精神和国土资源部的统一部署，东川区组织相关人员编制了《东川区土地利用总体规划（</w:t>
      </w:r>
      <w:r>
        <w:rPr>
          <w:rFonts w:ascii="仿宋_GB2312" w:hAnsi="宋体" w:eastAsia="仿宋_GB2312"/>
          <w:kern w:val="0"/>
          <w:sz w:val="28"/>
          <w:szCs w:val="28"/>
        </w:rPr>
        <w:t xml:space="preserve">2006-2020 </w:t>
      </w:r>
      <w:r>
        <w:rPr>
          <w:rFonts w:hint="eastAsia" w:ascii="仿宋_GB2312" w:hAnsi="宋体" w:eastAsia="仿宋_GB2312"/>
          <w:kern w:val="0"/>
          <w:sz w:val="28"/>
          <w:szCs w:val="28"/>
        </w:rPr>
        <w:t>年）》（以下简称《规划修编》）。</w:t>
      </w:r>
    </w:p>
    <w:p w14:paraId="2969039E">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ascii="仿宋_GB2312" w:hAnsi="宋体" w:eastAsia="仿宋_GB2312"/>
          <w:kern w:val="0"/>
          <w:sz w:val="28"/>
          <w:szCs w:val="28"/>
        </w:rPr>
        <w:t xml:space="preserve">2009 </w:t>
      </w:r>
      <w:r>
        <w:rPr>
          <w:rFonts w:hint="eastAsia" w:ascii="仿宋_GB2312" w:hAnsi="宋体" w:eastAsia="仿宋_GB2312"/>
          <w:kern w:val="0"/>
          <w:sz w:val="28"/>
          <w:szCs w:val="28"/>
        </w:rPr>
        <w:t>年</w:t>
      </w:r>
      <w:r>
        <w:rPr>
          <w:rFonts w:ascii="仿宋_GB2312" w:hAnsi="宋体" w:eastAsia="仿宋_GB2312"/>
          <w:kern w:val="0"/>
          <w:sz w:val="28"/>
          <w:szCs w:val="28"/>
        </w:rPr>
        <w:t xml:space="preserve">4 </w:t>
      </w:r>
      <w:r>
        <w:rPr>
          <w:rFonts w:hint="eastAsia" w:ascii="仿宋_GB2312" w:hAnsi="宋体" w:eastAsia="仿宋_GB2312"/>
          <w:kern w:val="0"/>
          <w:sz w:val="28"/>
          <w:szCs w:val="28"/>
        </w:rPr>
        <w:t>月，云南省国土资源厅结合《土地利用总体规划编制审查办法》（国土资源部第</w:t>
      </w:r>
      <w:r>
        <w:rPr>
          <w:rFonts w:ascii="仿宋_GB2312" w:hAnsi="宋体" w:eastAsia="仿宋_GB2312"/>
          <w:kern w:val="0"/>
          <w:sz w:val="28"/>
          <w:szCs w:val="28"/>
        </w:rPr>
        <w:t xml:space="preserve">43 </w:t>
      </w:r>
      <w:r>
        <w:rPr>
          <w:rFonts w:hint="eastAsia" w:ascii="仿宋_GB2312" w:hAnsi="宋体" w:eastAsia="仿宋_GB2312"/>
          <w:kern w:val="0"/>
          <w:sz w:val="28"/>
          <w:szCs w:val="28"/>
        </w:rPr>
        <w:t>号令）和《云南省土地利用总体规划大纲（</w:t>
      </w:r>
      <w:r>
        <w:rPr>
          <w:rFonts w:ascii="仿宋_GB2312" w:hAnsi="宋体" w:eastAsia="仿宋_GB2312"/>
          <w:kern w:val="0"/>
          <w:sz w:val="28"/>
          <w:szCs w:val="28"/>
        </w:rPr>
        <w:t xml:space="preserve">2006-2020 </w:t>
      </w:r>
      <w:r>
        <w:rPr>
          <w:rFonts w:hint="eastAsia" w:ascii="仿宋_GB2312" w:hAnsi="宋体" w:eastAsia="仿宋_GB2312"/>
          <w:kern w:val="0"/>
          <w:sz w:val="28"/>
          <w:szCs w:val="28"/>
        </w:rPr>
        <w:t>年）》的相关要求，下发了《云南省国土资源厅关于上报土地利用总体规划修编中各类规划用地布局成果资料审查备案的通知》（云国土</w:t>
      </w:r>
      <w:r>
        <w:rPr>
          <w:rFonts w:ascii="仿宋_GB2312" w:hAnsi="宋体" w:eastAsia="仿宋_GB2312"/>
          <w:kern w:val="0"/>
          <w:sz w:val="28"/>
          <w:szCs w:val="28"/>
        </w:rPr>
        <w:t xml:space="preserve">[2009]121 </w:t>
      </w:r>
      <w:r>
        <w:rPr>
          <w:rFonts w:hint="eastAsia" w:ascii="仿宋_GB2312" w:hAnsi="宋体" w:eastAsia="仿宋_GB2312"/>
          <w:kern w:val="0"/>
          <w:sz w:val="28"/>
          <w:szCs w:val="28"/>
        </w:rPr>
        <w:t>号）。同年</w:t>
      </w:r>
      <w:r>
        <w:rPr>
          <w:rFonts w:ascii="仿宋_GB2312" w:hAnsi="宋体" w:eastAsia="仿宋_GB2312"/>
          <w:kern w:val="0"/>
          <w:sz w:val="28"/>
          <w:szCs w:val="28"/>
        </w:rPr>
        <w:t xml:space="preserve">5 </w:t>
      </w:r>
      <w:r>
        <w:rPr>
          <w:rFonts w:hint="eastAsia" w:ascii="仿宋_GB2312" w:hAnsi="宋体" w:eastAsia="仿宋_GB2312"/>
          <w:kern w:val="0"/>
          <w:sz w:val="28"/>
          <w:szCs w:val="28"/>
        </w:rPr>
        <w:t>月，东川区启动规划大纲和基本农田调整分析图、建设用地空间布局图、各类用地空间布局图（以下简称“三张图”）的编制工作。并于</w:t>
      </w:r>
      <w:r>
        <w:rPr>
          <w:rFonts w:ascii="仿宋_GB2312" w:hAnsi="宋体" w:eastAsia="仿宋_GB2312"/>
          <w:kern w:val="0"/>
          <w:sz w:val="28"/>
          <w:szCs w:val="28"/>
        </w:rPr>
        <w:t xml:space="preserve">2010 </w:t>
      </w:r>
      <w:r>
        <w:rPr>
          <w:rFonts w:hint="eastAsia" w:ascii="仿宋_GB2312" w:hAnsi="宋体" w:eastAsia="仿宋_GB2312"/>
          <w:kern w:val="0"/>
          <w:sz w:val="28"/>
          <w:szCs w:val="28"/>
        </w:rPr>
        <w:t>年</w:t>
      </w:r>
      <w:r>
        <w:rPr>
          <w:rFonts w:ascii="仿宋_GB2312" w:hAnsi="宋体" w:eastAsia="仿宋_GB2312"/>
          <w:kern w:val="0"/>
          <w:sz w:val="28"/>
          <w:szCs w:val="28"/>
        </w:rPr>
        <w:t xml:space="preserve">6 </w:t>
      </w:r>
      <w:r>
        <w:rPr>
          <w:rFonts w:hint="eastAsia" w:ascii="仿宋_GB2312" w:hAnsi="宋体" w:eastAsia="仿宋_GB2312"/>
          <w:kern w:val="0"/>
          <w:sz w:val="28"/>
          <w:szCs w:val="28"/>
        </w:rPr>
        <w:t>月完成大纲和“三张图”审查和备案。</w:t>
      </w:r>
    </w:p>
    <w:p w14:paraId="6DC28403">
      <w:pPr>
        <w:widowControl/>
        <w:tabs>
          <w:tab w:val="left" w:pos="1950"/>
        </w:tabs>
        <w:adjustRightInd w:val="0"/>
        <w:snapToGrid w:val="0"/>
        <w:spacing w:line="360" w:lineRule="auto"/>
        <w:ind w:firstLine="561"/>
        <w:jc w:val="left"/>
        <w:rPr>
          <w:rFonts w:ascii="仿宋_GB2312" w:hAnsi="宋体" w:eastAsia="仿宋_GB2312"/>
          <w:sz w:val="28"/>
          <w:szCs w:val="28"/>
        </w:rPr>
      </w:pPr>
      <w:r>
        <w:rPr>
          <w:rFonts w:hint="eastAsia" w:ascii="仿宋_GB2312" w:hAnsi="宋体" w:eastAsia="仿宋_GB2312"/>
          <w:kern w:val="0"/>
          <w:sz w:val="28"/>
          <w:szCs w:val="28"/>
        </w:rPr>
        <w:t>“三张图”编制工作完成之后，东川区人民政府成立土地利用总体规划修编领导小组和规划修编办公室，以严格保护耕地为前提，以严格控制建设用地为重点，以节约和集约用地为核心，以加快推进东川区城镇化和农业现代化为主要目的，在城镇化进程对建设用地的刚性需求强劲，新增建设用地空间十分有限的情况下，东川区国土分局牵头，各部门积极配合，至</w:t>
      </w:r>
      <w:r>
        <w:rPr>
          <w:rFonts w:ascii="仿宋_GB2312" w:hAnsi="宋体" w:eastAsia="仿宋_GB2312"/>
          <w:kern w:val="0"/>
          <w:sz w:val="28"/>
          <w:szCs w:val="28"/>
        </w:rPr>
        <w:t xml:space="preserve">2011 </w:t>
      </w:r>
      <w:r>
        <w:rPr>
          <w:rFonts w:hint="eastAsia" w:ascii="仿宋_GB2312" w:hAnsi="宋体" w:eastAsia="仿宋_GB2312"/>
          <w:kern w:val="0"/>
          <w:sz w:val="28"/>
          <w:szCs w:val="28"/>
        </w:rPr>
        <w:t>年初完成了规划成果编制工作，并获得省人民政府批准实施。</w:t>
      </w:r>
    </w:p>
    <w:p w14:paraId="2BC717CB">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ascii="仿宋_GB2312" w:hAnsi="宋体" w:eastAsia="仿宋_GB2312"/>
          <w:kern w:val="0"/>
          <w:sz w:val="28"/>
          <w:szCs w:val="28"/>
        </w:rPr>
        <w:t xml:space="preserve">2011 </w:t>
      </w:r>
      <w:r>
        <w:rPr>
          <w:rFonts w:hint="eastAsia" w:ascii="仿宋_GB2312" w:hAnsi="宋体" w:eastAsia="仿宋_GB2312"/>
          <w:kern w:val="0"/>
          <w:sz w:val="28"/>
          <w:szCs w:val="28"/>
        </w:rPr>
        <w:t>年</w:t>
      </w:r>
      <w:r>
        <w:rPr>
          <w:rFonts w:ascii="仿宋_GB2312" w:hAnsi="宋体" w:eastAsia="仿宋_GB2312"/>
          <w:kern w:val="0"/>
          <w:sz w:val="28"/>
          <w:szCs w:val="28"/>
        </w:rPr>
        <w:t xml:space="preserve">1 </w:t>
      </w:r>
      <w:r>
        <w:rPr>
          <w:rFonts w:hint="eastAsia" w:ascii="仿宋_GB2312" w:hAnsi="宋体" w:eastAsia="仿宋_GB2312"/>
          <w:kern w:val="0"/>
          <w:sz w:val="28"/>
          <w:szCs w:val="28"/>
        </w:rPr>
        <w:t>月</w:t>
      </w:r>
      <w:r>
        <w:rPr>
          <w:rFonts w:ascii="仿宋_GB2312" w:hAnsi="宋体" w:eastAsia="仿宋_GB2312"/>
          <w:kern w:val="0"/>
          <w:sz w:val="28"/>
          <w:szCs w:val="28"/>
        </w:rPr>
        <w:t xml:space="preserve">30 </w:t>
      </w:r>
      <w:r>
        <w:rPr>
          <w:rFonts w:hint="eastAsia" w:ascii="仿宋_GB2312" w:hAnsi="宋体" w:eastAsia="仿宋_GB2312"/>
          <w:kern w:val="0"/>
          <w:sz w:val="28"/>
          <w:szCs w:val="28"/>
        </w:rPr>
        <w:t>日，省委书记主持召开云南省人民政府第</w:t>
      </w:r>
      <w:r>
        <w:rPr>
          <w:rFonts w:ascii="仿宋_GB2312" w:hAnsi="宋体" w:eastAsia="仿宋_GB2312"/>
          <w:kern w:val="0"/>
          <w:sz w:val="28"/>
          <w:szCs w:val="28"/>
        </w:rPr>
        <w:t xml:space="preserve">52 </w:t>
      </w:r>
      <w:r>
        <w:rPr>
          <w:rFonts w:hint="eastAsia" w:ascii="仿宋_GB2312" w:hAnsi="宋体" w:eastAsia="仿宋_GB2312"/>
          <w:kern w:val="0"/>
          <w:sz w:val="28"/>
          <w:szCs w:val="28"/>
        </w:rPr>
        <w:t>次常务会议，会议指出，全省上下要转变城市发展理念，积极探索具有云南特色的城市建设新路子。云南省山区多、坝区少，又处于城镇化和工业化加速发展的阶段，必须以对历史高度负责的态度，一要切实抓好基本农田保护工作；二要切实推动城镇化科学发展，加强社会主义新农村建设，推进城乡一体化发展。要把中小城市作为城镇化发展的重点和亮点来抓。要进一步调整城市规划指导思想，多用坡地、荒地搞建设，用“山水田园一幅画，城镇村落一体化”的思想来规划布局城镇建设，创造山水城市、田园城市、山地城市等城镇建设新模式。</w:t>
      </w:r>
    </w:p>
    <w:p w14:paraId="3EC32AB4">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根据《云南省人民政府关于加强耕地保护促进城镇化科学发展的意见》（云政发〔</w:t>
      </w:r>
      <w:r>
        <w:rPr>
          <w:rFonts w:ascii="仿宋_GB2312" w:hAnsi="宋体" w:eastAsia="仿宋_GB2312"/>
          <w:kern w:val="0"/>
          <w:sz w:val="28"/>
          <w:szCs w:val="28"/>
        </w:rPr>
        <w:t>2011</w:t>
      </w:r>
      <w:r>
        <w:rPr>
          <w:rFonts w:hint="eastAsia" w:ascii="仿宋_GB2312" w:hAnsi="宋体" w:eastAsia="仿宋_GB2312"/>
          <w:kern w:val="0"/>
          <w:sz w:val="28"/>
          <w:szCs w:val="28"/>
        </w:rPr>
        <w:t>〕</w:t>
      </w:r>
      <w:r>
        <w:rPr>
          <w:rFonts w:ascii="仿宋_GB2312" w:hAnsi="宋体" w:eastAsia="仿宋_GB2312"/>
          <w:kern w:val="0"/>
          <w:sz w:val="28"/>
          <w:szCs w:val="28"/>
        </w:rPr>
        <w:t xml:space="preserve">185 </w:t>
      </w:r>
      <w:r>
        <w:rPr>
          <w:rFonts w:hint="eastAsia" w:ascii="仿宋_GB2312" w:hAnsi="宋体" w:eastAsia="仿宋_GB2312"/>
          <w:kern w:val="0"/>
          <w:sz w:val="28"/>
          <w:szCs w:val="28"/>
        </w:rPr>
        <w:t>号）提出加强耕地保护与促进城镇化科学发展的要求，东川区人民政府于</w:t>
      </w:r>
      <w:r>
        <w:rPr>
          <w:rFonts w:ascii="仿宋_GB2312" w:hAnsi="宋体" w:eastAsia="仿宋_GB2312"/>
          <w:kern w:val="0"/>
          <w:sz w:val="28"/>
          <w:szCs w:val="28"/>
        </w:rPr>
        <w:t xml:space="preserve">2011 </w:t>
      </w:r>
      <w:r>
        <w:rPr>
          <w:rFonts w:hint="eastAsia" w:ascii="仿宋_GB2312" w:hAnsi="宋体" w:eastAsia="仿宋_GB2312"/>
          <w:kern w:val="0"/>
          <w:sz w:val="28"/>
          <w:szCs w:val="28"/>
        </w:rPr>
        <w:t>年</w:t>
      </w:r>
      <w:r>
        <w:rPr>
          <w:rFonts w:ascii="仿宋_GB2312" w:hAnsi="宋体" w:eastAsia="仿宋_GB2312"/>
          <w:kern w:val="0"/>
          <w:sz w:val="28"/>
          <w:szCs w:val="28"/>
        </w:rPr>
        <w:t xml:space="preserve">10 </w:t>
      </w:r>
      <w:r>
        <w:rPr>
          <w:rFonts w:hint="eastAsia" w:ascii="仿宋_GB2312" w:hAnsi="宋体" w:eastAsia="仿宋_GB2312"/>
          <w:kern w:val="0"/>
          <w:sz w:val="28"/>
          <w:szCs w:val="28"/>
        </w:rPr>
        <w:t>月组织编制了《昆明市东川区土地利用总体规划（</w:t>
      </w:r>
      <w:r>
        <w:rPr>
          <w:rFonts w:ascii="仿宋_GB2312" w:hAnsi="宋体" w:eastAsia="仿宋_GB2312"/>
          <w:kern w:val="0"/>
          <w:sz w:val="28"/>
          <w:szCs w:val="28"/>
        </w:rPr>
        <w:t xml:space="preserve">2010-2020 </w:t>
      </w:r>
      <w:r>
        <w:rPr>
          <w:rFonts w:hint="eastAsia" w:ascii="仿宋_GB2312" w:hAnsi="宋体" w:eastAsia="仿宋_GB2312"/>
          <w:kern w:val="0"/>
          <w:sz w:val="28"/>
          <w:szCs w:val="28"/>
        </w:rPr>
        <w:t>年）》，规划基期年为</w:t>
      </w:r>
      <w:r>
        <w:rPr>
          <w:rFonts w:ascii="仿宋_GB2312" w:hAnsi="宋体" w:eastAsia="仿宋_GB2312"/>
          <w:kern w:val="0"/>
          <w:sz w:val="28"/>
          <w:szCs w:val="28"/>
        </w:rPr>
        <w:t xml:space="preserve">2009 </w:t>
      </w:r>
      <w:r>
        <w:rPr>
          <w:rFonts w:hint="eastAsia" w:ascii="仿宋_GB2312" w:hAnsi="宋体" w:eastAsia="仿宋_GB2312"/>
          <w:kern w:val="0"/>
          <w:sz w:val="28"/>
          <w:szCs w:val="28"/>
        </w:rPr>
        <w:t>年，规划期限为</w:t>
      </w:r>
      <w:r>
        <w:rPr>
          <w:rFonts w:ascii="仿宋_GB2312" w:hAnsi="宋体" w:eastAsia="仿宋_GB2312"/>
          <w:kern w:val="0"/>
          <w:sz w:val="28"/>
          <w:szCs w:val="28"/>
        </w:rPr>
        <w:t xml:space="preserve">2010-2020 </w:t>
      </w:r>
      <w:r>
        <w:rPr>
          <w:rFonts w:hint="eastAsia" w:ascii="仿宋_GB2312" w:hAnsi="宋体" w:eastAsia="仿宋_GB2312"/>
          <w:kern w:val="0"/>
          <w:sz w:val="28"/>
          <w:szCs w:val="28"/>
        </w:rPr>
        <w:t>年，</w:t>
      </w:r>
      <w:r>
        <w:rPr>
          <w:rFonts w:ascii="仿宋_GB2312" w:hAnsi="宋体" w:eastAsia="仿宋_GB2312"/>
          <w:kern w:val="0"/>
          <w:sz w:val="28"/>
          <w:szCs w:val="28"/>
        </w:rPr>
        <w:t xml:space="preserve">2015 </w:t>
      </w:r>
      <w:r>
        <w:rPr>
          <w:rFonts w:hint="eastAsia" w:ascii="仿宋_GB2312" w:hAnsi="宋体" w:eastAsia="仿宋_GB2312"/>
          <w:kern w:val="0"/>
          <w:sz w:val="28"/>
          <w:szCs w:val="28"/>
        </w:rPr>
        <w:t>年为近期目标年，</w:t>
      </w:r>
      <w:r>
        <w:rPr>
          <w:rFonts w:ascii="仿宋_GB2312" w:hAnsi="宋体" w:eastAsia="仿宋_GB2312"/>
          <w:kern w:val="0"/>
          <w:sz w:val="28"/>
          <w:szCs w:val="28"/>
        </w:rPr>
        <w:t xml:space="preserve">2020 </w:t>
      </w:r>
      <w:r>
        <w:rPr>
          <w:rFonts w:hint="eastAsia" w:ascii="仿宋_GB2312" w:hAnsi="宋体" w:eastAsia="仿宋_GB2312"/>
          <w:kern w:val="0"/>
          <w:sz w:val="28"/>
          <w:szCs w:val="28"/>
        </w:rPr>
        <w:t>年为规划目标年。东川区县、乡级完善规划成果于</w:t>
      </w:r>
      <w:r>
        <w:rPr>
          <w:rFonts w:ascii="仿宋_GB2312" w:hAnsi="宋体" w:eastAsia="仿宋_GB2312"/>
          <w:kern w:val="0"/>
          <w:sz w:val="28"/>
          <w:szCs w:val="28"/>
        </w:rPr>
        <w:t xml:space="preserve">2012 </w:t>
      </w:r>
      <w:r>
        <w:rPr>
          <w:rFonts w:hint="eastAsia" w:ascii="仿宋_GB2312" w:hAnsi="宋体" w:eastAsia="仿宋_GB2312"/>
          <w:kern w:val="0"/>
          <w:sz w:val="28"/>
          <w:szCs w:val="28"/>
        </w:rPr>
        <w:t>年</w:t>
      </w:r>
      <w:r>
        <w:rPr>
          <w:rFonts w:ascii="仿宋_GB2312" w:hAnsi="宋体" w:eastAsia="仿宋_GB2312"/>
          <w:kern w:val="0"/>
          <w:sz w:val="28"/>
          <w:szCs w:val="28"/>
        </w:rPr>
        <w:t xml:space="preserve">8 </w:t>
      </w:r>
      <w:r>
        <w:rPr>
          <w:rFonts w:hint="eastAsia" w:ascii="仿宋_GB2312" w:hAnsi="宋体" w:eastAsia="仿宋_GB2312"/>
          <w:kern w:val="0"/>
          <w:sz w:val="28"/>
          <w:szCs w:val="28"/>
        </w:rPr>
        <w:t>月分别获得省、市人民政府批准实施，并于</w:t>
      </w:r>
      <w:r>
        <w:rPr>
          <w:rFonts w:ascii="仿宋_GB2312" w:hAnsi="宋体" w:eastAsia="仿宋_GB2312"/>
          <w:kern w:val="0"/>
          <w:sz w:val="28"/>
          <w:szCs w:val="28"/>
        </w:rPr>
        <w:t xml:space="preserve">2012 </w:t>
      </w:r>
      <w:r>
        <w:rPr>
          <w:rFonts w:hint="eastAsia" w:ascii="仿宋_GB2312" w:hAnsi="宋体" w:eastAsia="仿宋_GB2312"/>
          <w:kern w:val="0"/>
          <w:sz w:val="28"/>
          <w:szCs w:val="28"/>
        </w:rPr>
        <w:t>年</w:t>
      </w:r>
      <w:r>
        <w:rPr>
          <w:rFonts w:ascii="仿宋_GB2312" w:hAnsi="宋体" w:eastAsia="仿宋_GB2312"/>
          <w:kern w:val="0"/>
          <w:sz w:val="28"/>
          <w:szCs w:val="28"/>
        </w:rPr>
        <w:t xml:space="preserve">10 </w:t>
      </w:r>
      <w:r>
        <w:rPr>
          <w:rFonts w:hint="eastAsia" w:ascii="仿宋_GB2312" w:hAnsi="宋体" w:eastAsia="仿宋_GB2312"/>
          <w:kern w:val="0"/>
          <w:sz w:val="28"/>
          <w:szCs w:val="28"/>
        </w:rPr>
        <w:t>月通过云南省国土资源厅备案。</w:t>
      </w:r>
    </w:p>
    <w:p w14:paraId="3E517692">
      <w:pPr>
        <w:pStyle w:val="4"/>
        <w:spacing w:before="0" w:after="0" w:line="360" w:lineRule="auto"/>
        <w:rPr>
          <w:rFonts w:ascii="Arial" w:hAnsi="Arial" w:eastAsia="黑体"/>
          <w:b w:val="0"/>
          <w:color w:val="000000"/>
          <w:sz w:val="28"/>
          <w:szCs w:val="28"/>
        </w:rPr>
      </w:pPr>
      <w:r>
        <w:rPr>
          <w:rFonts w:hint="eastAsia" w:ascii="Arial" w:hAnsi="Arial" w:eastAsia="黑体"/>
          <w:b w:val="0"/>
          <w:color w:val="000000"/>
          <w:sz w:val="28"/>
          <w:szCs w:val="28"/>
        </w:rPr>
        <w:t>二、规划主要控制指标</w:t>
      </w:r>
    </w:p>
    <w:p w14:paraId="087A4E54">
      <w:pPr>
        <w:pStyle w:val="4"/>
        <w:spacing w:before="0" w:after="0" w:line="360" w:lineRule="auto"/>
        <w:ind w:firstLine="275" w:firstLineChars="98"/>
        <w:rPr>
          <w:rFonts w:ascii="仿宋_GB2312" w:hAnsi="宋体" w:eastAsia="仿宋_GB2312"/>
          <w:sz w:val="28"/>
          <w:szCs w:val="28"/>
        </w:rPr>
      </w:pPr>
      <w:r>
        <w:rPr>
          <w:rFonts w:hint="eastAsia" w:ascii="仿宋_GB2312" w:hAnsi="宋体" w:eastAsia="仿宋_GB2312"/>
          <w:sz w:val="28"/>
          <w:szCs w:val="28"/>
        </w:rPr>
        <w:t>1、全区主要控制指标</w:t>
      </w:r>
    </w:p>
    <w:p w14:paraId="69C25213">
      <w:pPr>
        <w:spacing w:line="360" w:lineRule="auto"/>
        <w:ind w:firstLine="560" w:firstLineChars="200"/>
        <w:jc w:val="left"/>
        <w:rPr>
          <w:rFonts w:ascii="仿宋_GB2312" w:eastAsia="仿宋_GB2312"/>
          <w:sz w:val="28"/>
          <w:szCs w:val="28"/>
        </w:rPr>
      </w:pPr>
      <w:r>
        <w:rPr>
          <w:rFonts w:hint="eastAsia" w:ascii="仿宋_GB2312" w:hAnsi="宋体" w:eastAsia="仿宋_GB2312"/>
          <w:sz w:val="28"/>
          <w:szCs w:val="28"/>
        </w:rPr>
        <w:t>根据《东川区土地利用总体规划（2010-2020年）》，昆明市下达东川区的土地利用主要调控指标为：</w:t>
      </w:r>
      <w:r>
        <w:rPr>
          <w:rFonts w:ascii="仿宋_GB2312" w:eastAsia="仿宋_GB2312"/>
          <w:sz w:val="28"/>
          <w:szCs w:val="28"/>
        </w:rPr>
        <w:t>耕地保有量</w:t>
      </w:r>
      <w:r>
        <w:rPr>
          <w:rFonts w:hint="eastAsia" w:ascii="仿宋_GB2312" w:eastAsia="仿宋_GB2312"/>
          <w:sz w:val="28"/>
          <w:szCs w:val="28"/>
        </w:rPr>
        <w:t>不低于</w:t>
      </w:r>
      <w:r>
        <w:rPr>
          <w:rFonts w:ascii="仿宋_GB2312" w:eastAsia="仿宋_GB2312"/>
          <w:sz w:val="28"/>
          <w:szCs w:val="28"/>
        </w:rPr>
        <w:t>30200.00公顷；基本农田保护面积</w:t>
      </w:r>
      <w:r>
        <w:rPr>
          <w:rFonts w:hint="eastAsia" w:ascii="仿宋_GB2312" w:eastAsia="仿宋_GB2312"/>
          <w:sz w:val="28"/>
          <w:szCs w:val="28"/>
        </w:rPr>
        <w:t>不低于</w:t>
      </w:r>
      <w:r>
        <w:rPr>
          <w:rFonts w:ascii="仿宋_GB2312" w:eastAsia="仿宋_GB2312"/>
          <w:sz w:val="28"/>
          <w:szCs w:val="28"/>
        </w:rPr>
        <w:t>24070.00公顷；建设用地总规模为6221.66公顷，城乡建设用地规模为5083.76公顷，城镇用地规模为1297.99公顷；新增建设用地规模为693.82公顷；新增建设占用耕地规模为410.48公顷；土地整治补充耕地</w:t>
      </w:r>
      <w:r>
        <w:rPr>
          <w:rFonts w:hint="eastAsia" w:ascii="仿宋_GB2312" w:eastAsia="仿宋_GB2312"/>
          <w:sz w:val="28"/>
          <w:szCs w:val="28"/>
        </w:rPr>
        <w:t>任</w:t>
      </w:r>
      <w:r>
        <w:rPr>
          <w:rFonts w:ascii="仿宋_GB2312" w:eastAsia="仿宋_GB2312"/>
          <w:sz w:val="28"/>
          <w:szCs w:val="28"/>
        </w:rPr>
        <w:t>务量470.00公顷</w:t>
      </w:r>
      <w:r>
        <w:rPr>
          <w:rFonts w:hint="eastAsia" w:ascii="仿宋_GB2312" w:eastAsia="仿宋_GB2312"/>
          <w:sz w:val="28"/>
          <w:szCs w:val="28"/>
        </w:rPr>
        <w:t>；</w:t>
      </w:r>
      <w:r>
        <w:rPr>
          <w:rFonts w:hint="eastAsia" w:ascii="仿宋_GB2312" w:hAnsi="宋体" w:eastAsia="仿宋_GB2312"/>
          <w:sz w:val="28"/>
          <w:szCs w:val="28"/>
        </w:rPr>
        <w:t>人均城镇工矿用地规模为115.04平方米/人。</w:t>
      </w:r>
    </w:p>
    <w:p w14:paraId="3D75B28A">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规划至2020年，全区耕地保有量不低于31629.92公顷。划定基本农田面积26203.87公顷。比较昆明市下达东川区基本农田保护目标</w:t>
      </w:r>
      <w:r>
        <w:rPr>
          <w:rFonts w:ascii="仿宋_GB2312" w:eastAsia="仿宋_GB2312"/>
          <w:sz w:val="28"/>
          <w:szCs w:val="28"/>
        </w:rPr>
        <w:t>24070</w:t>
      </w:r>
      <w:r>
        <w:rPr>
          <w:rFonts w:hint="eastAsia" w:ascii="仿宋_GB2312" w:hAnsi="宋体" w:eastAsia="仿宋_GB2312"/>
          <w:sz w:val="28"/>
          <w:szCs w:val="28"/>
        </w:rPr>
        <w:t>公顷，东川区多划基本农田面积2133.87公顷。建设用地总量控制在</w:t>
      </w:r>
      <w:r>
        <w:rPr>
          <w:rFonts w:hint="eastAsia" w:ascii="仿宋_GB2312" w:eastAsia="仿宋_GB2312"/>
          <w:sz w:val="28"/>
          <w:szCs w:val="28"/>
        </w:rPr>
        <w:t>5147.39</w:t>
      </w:r>
      <w:r>
        <w:rPr>
          <w:rFonts w:hint="eastAsia" w:ascii="仿宋_GB2312" w:hAnsi="宋体" w:eastAsia="仿宋_GB2312"/>
          <w:sz w:val="28"/>
          <w:szCs w:val="28"/>
        </w:rPr>
        <w:t>公顷以内。其中城乡建设用地控制在</w:t>
      </w:r>
      <w:r>
        <w:rPr>
          <w:rFonts w:ascii="仿宋_GB2312" w:eastAsia="仿宋_GB2312"/>
          <w:sz w:val="28"/>
          <w:szCs w:val="28"/>
        </w:rPr>
        <w:t>5083.7</w:t>
      </w:r>
      <w:r>
        <w:rPr>
          <w:rFonts w:hint="eastAsia" w:ascii="仿宋_GB2312" w:eastAsia="仿宋_GB2312"/>
          <w:sz w:val="28"/>
          <w:szCs w:val="28"/>
        </w:rPr>
        <w:t>6</w:t>
      </w:r>
      <w:r>
        <w:rPr>
          <w:rFonts w:hint="eastAsia" w:ascii="仿宋_GB2312" w:hAnsi="宋体" w:eastAsia="仿宋_GB2312"/>
          <w:sz w:val="28"/>
          <w:szCs w:val="28"/>
        </w:rPr>
        <w:t>公顷，城镇工矿用地控制在</w:t>
      </w:r>
      <w:r>
        <w:rPr>
          <w:rFonts w:ascii="仿宋_GB2312" w:eastAsia="仿宋_GB2312"/>
          <w:sz w:val="28"/>
          <w:szCs w:val="28"/>
        </w:rPr>
        <w:t>1978.82</w:t>
      </w:r>
      <w:r>
        <w:rPr>
          <w:rFonts w:hint="eastAsia" w:ascii="仿宋_GB2312" w:hAnsi="宋体" w:eastAsia="仿宋_GB2312"/>
          <w:sz w:val="28"/>
          <w:szCs w:val="28"/>
        </w:rPr>
        <w:t>公顷。新增建设用地面积</w:t>
      </w:r>
      <w:r>
        <w:rPr>
          <w:rFonts w:hint="eastAsia" w:ascii="仿宋_GB2312" w:eastAsia="仿宋_GB2312"/>
          <w:sz w:val="28"/>
          <w:szCs w:val="28"/>
        </w:rPr>
        <w:t>1580.08</w:t>
      </w:r>
      <w:r>
        <w:rPr>
          <w:rFonts w:ascii="仿宋_GB2312" w:eastAsia="仿宋_GB2312"/>
          <w:sz w:val="28"/>
          <w:szCs w:val="28"/>
        </w:rPr>
        <w:t>公顷</w:t>
      </w:r>
      <w:r>
        <w:rPr>
          <w:rFonts w:hint="eastAsia" w:ascii="仿宋_GB2312" w:hAnsi="宋体" w:eastAsia="仿宋_GB2312"/>
          <w:sz w:val="28"/>
          <w:szCs w:val="28"/>
        </w:rPr>
        <w:t>，新增建设用地占用耕地面积</w:t>
      </w:r>
      <w:r>
        <w:rPr>
          <w:rFonts w:hint="eastAsia" w:ascii="仿宋_GB2312" w:eastAsia="仿宋_GB2312"/>
          <w:sz w:val="28"/>
          <w:szCs w:val="28"/>
        </w:rPr>
        <w:t>410.48</w:t>
      </w:r>
      <w:r>
        <w:rPr>
          <w:rFonts w:ascii="仿宋_GB2312" w:eastAsia="仿宋_GB2312"/>
          <w:sz w:val="28"/>
          <w:szCs w:val="28"/>
        </w:rPr>
        <w:t>公顷</w:t>
      </w:r>
      <w:r>
        <w:rPr>
          <w:rFonts w:hint="eastAsia" w:ascii="仿宋_GB2312" w:hAnsi="宋体" w:eastAsia="仿宋_GB2312"/>
          <w:sz w:val="28"/>
          <w:szCs w:val="28"/>
        </w:rPr>
        <w:t>。通过土地开发复垦整理，新增耕地</w:t>
      </w:r>
      <w:r>
        <w:rPr>
          <w:rFonts w:ascii="仿宋_GB2312" w:eastAsia="仿宋_GB2312"/>
          <w:sz w:val="28"/>
          <w:szCs w:val="28"/>
        </w:rPr>
        <w:t>730.34</w:t>
      </w:r>
      <w:r>
        <w:rPr>
          <w:rFonts w:hint="eastAsia" w:ascii="仿宋_GB2312" w:hAnsi="宋体" w:eastAsia="仿宋_GB2312"/>
          <w:sz w:val="28"/>
          <w:szCs w:val="28"/>
        </w:rPr>
        <w:t>公顷。规划至2020年人均城镇工矿用地规模控制在104.26平方米/人。</w:t>
      </w:r>
    </w:p>
    <w:p w14:paraId="1A188B8C">
      <w:pPr>
        <w:jc w:val="center"/>
        <w:outlineLvl w:val="4"/>
        <w:rPr>
          <w:rFonts w:ascii="宋体" w:hAnsi="宋体"/>
          <w:b/>
          <w:sz w:val="24"/>
        </w:rPr>
      </w:pPr>
      <w:r>
        <w:rPr>
          <w:rFonts w:ascii="宋体" w:hAnsi="宋体"/>
          <w:b/>
          <w:sz w:val="24"/>
        </w:rPr>
        <w:t>表3-</w:t>
      </w:r>
      <w:r>
        <w:rPr>
          <w:rFonts w:hint="eastAsia" w:ascii="宋体" w:hAnsi="宋体"/>
          <w:b/>
          <w:sz w:val="24"/>
        </w:rPr>
        <w:t>1</w:t>
      </w:r>
      <w:r>
        <w:rPr>
          <w:rFonts w:ascii="宋体" w:hAnsi="宋体"/>
          <w:b/>
          <w:sz w:val="24"/>
        </w:rPr>
        <w:t xml:space="preserve">  东川区规划控制指标和目标表</w:t>
      </w:r>
    </w:p>
    <w:p w14:paraId="3E903105">
      <w:pPr>
        <w:spacing w:line="360" w:lineRule="auto"/>
        <w:ind w:firstLine="600"/>
        <w:jc w:val="right"/>
        <w:rPr>
          <w:rFonts w:ascii="宋体" w:hAnsi="宋体"/>
          <w:color w:val="000000"/>
          <w:sz w:val="18"/>
          <w:szCs w:val="18"/>
        </w:rPr>
      </w:pPr>
      <w:r>
        <w:rPr>
          <w:rFonts w:ascii="宋体" w:hAnsi="宋体"/>
          <w:color w:val="000000"/>
          <w:sz w:val="18"/>
          <w:szCs w:val="18"/>
        </w:rPr>
        <w:t>单位：公顷、平方米/人</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0"/>
        <w:gridCol w:w="2327"/>
        <w:gridCol w:w="2622"/>
        <w:gridCol w:w="1743"/>
      </w:tblGrid>
      <w:tr w14:paraId="55DB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641" w:type="pct"/>
            <w:shd w:val="clear" w:color="auto" w:fill="auto"/>
            <w:vAlign w:val="center"/>
          </w:tcPr>
          <w:p w14:paraId="011C5DD4">
            <w:pPr>
              <w:widowControl/>
              <w:jc w:val="center"/>
              <w:rPr>
                <w:rFonts w:ascii="宋体" w:hAnsi="宋体" w:cs="宋体"/>
                <w:b/>
                <w:color w:val="000000"/>
                <w:kern w:val="0"/>
                <w:sz w:val="18"/>
                <w:szCs w:val="18"/>
              </w:rPr>
            </w:pPr>
            <w:r>
              <w:rPr>
                <w:rFonts w:ascii="宋体" w:hAnsi="宋体" w:cs="宋体"/>
                <w:b/>
                <w:color w:val="000000"/>
                <w:kern w:val="0"/>
                <w:sz w:val="18"/>
                <w:szCs w:val="18"/>
              </w:rPr>
              <w:t>指标名称</w:t>
            </w:r>
          </w:p>
        </w:tc>
        <w:tc>
          <w:tcPr>
            <w:tcW w:w="1168" w:type="pct"/>
            <w:shd w:val="clear" w:color="auto" w:fill="auto"/>
            <w:vAlign w:val="center"/>
          </w:tcPr>
          <w:p w14:paraId="04E69C8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上级</w:t>
            </w:r>
            <w:r>
              <w:rPr>
                <w:rFonts w:ascii="宋体" w:hAnsi="宋体" w:cs="宋体"/>
                <w:b/>
                <w:color w:val="000000"/>
                <w:kern w:val="0"/>
                <w:sz w:val="18"/>
                <w:szCs w:val="18"/>
              </w:rPr>
              <w:t>下达指标</w:t>
            </w:r>
            <w:r>
              <w:rPr>
                <w:rFonts w:hint="eastAsia" w:ascii="宋体" w:hAnsi="宋体" w:cs="宋体"/>
                <w:b/>
                <w:color w:val="000000"/>
                <w:kern w:val="0"/>
                <w:sz w:val="18"/>
                <w:szCs w:val="18"/>
              </w:rPr>
              <w:t>（2020年）</w:t>
            </w:r>
          </w:p>
        </w:tc>
        <w:tc>
          <w:tcPr>
            <w:tcW w:w="1316" w:type="pct"/>
            <w:vAlign w:val="center"/>
          </w:tcPr>
          <w:p w14:paraId="3D57C10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规划目标（2020年）</w:t>
            </w:r>
          </w:p>
        </w:tc>
        <w:tc>
          <w:tcPr>
            <w:tcW w:w="875" w:type="pct"/>
            <w:vAlign w:val="center"/>
          </w:tcPr>
          <w:p w14:paraId="1F9E6DD2">
            <w:pPr>
              <w:widowControl/>
              <w:jc w:val="center"/>
              <w:rPr>
                <w:rFonts w:ascii="宋体" w:hAnsi="宋体" w:cs="宋体"/>
                <w:b/>
                <w:color w:val="000000"/>
                <w:kern w:val="0"/>
                <w:sz w:val="18"/>
                <w:szCs w:val="18"/>
              </w:rPr>
            </w:pPr>
            <w:r>
              <w:rPr>
                <w:rFonts w:ascii="宋体" w:hAnsi="宋体" w:cs="宋体"/>
                <w:b/>
                <w:color w:val="000000"/>
                <w:kern w:val="0"/>
                <w:sz w:val="18"/>
                <w:szCs w:val="18"/>
              </w:rPr>
              <w:t>指标属性</w:t>
            </w:r>
          </w:p>
        </w:tc>
      </w:tr>
      <w:tr w14:paraId="6227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41" w:type="pct"/>
            <w:shd w:val="clear" w:color="auto" w:fill="auto"/>
            <w:vAlign w:val="center"/>
          </w:tcPr>
          <w:p w14:paraId="3A3ADACD">
            <w:pPr>
              <w:widowControl/>
              <w:jc w:val="center"/>
              <w:rPr>
                <w:rFonts w:ascii="宋体" w:hAnsi="宋体" w:cs="宋体"/>
                <w:color w:val="000000"/>
                <w:kern w:val="0"/>
                <w:sz w:val="18"/>
                <w:szCs w:val="18"/>
              </w:rPr>
            </w:pPr>
            <w:r>
              <w:rPr>
                <w:rFonts w:ascii="宋体" w:hAnsi="宋体" w:cs="宋体"/>
                <w:color w:val="000000"/>
                <w:kern w:val="0"/>
                <w:sz w:val="18"/>
                <w:szCs w:val="18"/>
              </w:rPr>
              <w:t>耕地保有量</w:t>
            </w:r>
          </w:p>
        </w:tc>
        <w:tc>
          <w:tcPr>
            <w:tcW w:w="1168" w:type="pct"/>
            <w:shd w:val="clear" w:color="auto" w:fill="auto"/>
            <w:vAlign w:val="center"/>
          </w:tcPr>
          <w:p w14:paraId="4E5B8CC8">
            <w:pPr>
              <w:widowControl/>
              <w:jc w:val="center"/>
              <w:rPr>
                <w:rFonts w:ascii="宋体" w:hAnsi="宋体" w:cs="宋体"/>
                <w:color w:val="000000"/>
                <w:kern w:val="0"/>
                <w:sz w:val="18"/>
                <w:szCs w:val="18"/>
              </w:rPr>
            </w:pPr>
            <w:r>
              <w:rPr>
                <w:rFonts w:ascii="宋体" w:hAnsi="宋体" w:cs="宋体"/>
                <w:color w:val="000000"/>
                <w:kern w:val="0"/>
                <w:sz w:val="18"/>
                <w:szCs w:val="18"/>
              </w:rPr>
              <w:t>30200.00</w:t>
            </w:r>
          </w:p>
        </w:tc>
        <w:tc>
          <w:tcPr>
            <w:tcW w:w="1316" w:type="pct"/>
            <w:vAlign w:val="center"/>
          </w:tcPr>
          <w:p w14:paraId="7CDC6782">
            <w:pPr>
              <w:widowControl/>
              <w:jc w:val="center"/>
              <w:rPr>
                <w:rFonts w:ascii="宋体" w:hAnsi="宋体" w:cs="宋体"/>
                <w:color w:val="000000"/>
                <w:kern w:val="0"/>
                <w:sz w:val="18"/>
                <w:szCs w:val="18"/>
              </w:rPr>
            </w:pPr>
            <w:r>
              <w:rPr>
                <w:rFonts w:hint="eastAsia" w:ascii="宋体" w:hAnsi="宋体" w:cs="宋体"/>
                <w:color w:val="000000"/>
                <w:kern w:val="0"/>
                <w:sz w:val="18"/>
                <w:szCs w:val="18"/>
              </w:rPr>
              <w:t>31629.92</w:t>
            </w:r>
          </w:p>
        </w:tc>
        <w:tc>
          <w:tcPr>
            <w:tcW w:w="875" w:type="pct"/>
            <w:vAlign w:val="center"/>
          </w:tcPr>
          <w:p w14:paraId="44530D8A">
            <w:pPr>
              <w:widowControl/>
              <w:jc w:val="center"/>
              <w:rPr>
                <w:rFonts w:ascii="宋体" w:hAnsi="宋体" w:cs="宋体"/>
                <w:color w:val="000000"/>
                <w:kern w:val="0"/>
                <w:sz w:val="18"/>
                <w:szCs w:val="18"/>
              </w:rPr>
            </w:pPr>
            <w:r>
              <w:rPr>
                <w:rFonts w:ascii="宋体" w:hAnsi="宋体" w:cs="宋体"/>
                <w:color w:val="000000"/>
                <w:kern w:val="0"/>
                <w:sz w:val="18"/>
                <w:szCs w:val="18"/>
              </w:rPr>
              <w:t>约束性</w:t>
            </w:r>
          </w:p>
        </w:tc>
      </w:tr>
      <w:tr w14:paraId="34F3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41" w:type="pct"/>
            <w:shd w:val="clear" w:color="auto" w:fill="auto"/>
            <w:vAlign w:val="center"/>
          </w:tcPr>
          <w:p w14:paraId="7E17982E">
            <w:pPr>
              <w:widowControl/>
              <w:jc w:val="center"/>
              <w:rPr>
                <w:rFonts w:ascii="宋体" w:hAnsi="宋体" w:cs="宋体"/>
                <w:color w:val="000000"/>
                <w:kern w:val="0"/>
                <w:sz w:val="18"/>
                <w:szCs w:val="18"/>
              </w:rPr>
            </w:pPr>
            <w:r>
              <w:rPr>
                <w:rFonts w:ascii="宋体" w:hAnsi="宋体" w:cs="宋体"/>
                <w:color w:val="000000"/>
                <w:kern w:val="0"/>
                <w:sz w:val="18"/>
                <w:szCs w:val="18"/>
              </w:rPr>
              <w:t>基本农田</w:t>
            </w:r>
          </w:p>
        </w:tc>
        <w:tc>
          <w:tcPr>
            <w:tcW w:w="1168" w:type="pct"/>
            <w:shd w:val="clear" w:color="auto" w:fill="auto"/>
            <w:vAlign w:val="center"/>
          </w:tcPr>
          <w:p w14:paraId="320E6B59">
            <w:pPr>
              <w:widowControl/>
              <w:jc w:val="center"/>
              <w:rPr>
                <w:rFonts w:ascii="宋体" w:hAnsi="宋体" w:cs="宋体"/>
                <w:color w:val="000000"/>
                <w:kern w:val="0"/>
                <w:sz w:val="18"/>
                <w:szCs w:val="18"/>
              </w:rPr>
            </w:pPr>
            <w:r>
              <w:rPr>
                <w:rFonts w:ascii="宋体" w:hAnsi="宋体" w:cs="宋体"/>
                <w:color w:val="000000"/>
                <w:kern w:val="0"/>
                <w:sz w:val="18"/>
                <w:szCs w:val="18"/>
              </w:rPr>
              <w:t>24070.00</w:t>
            </w:r>
          </w:p>
        </w:tc>
        <w:tc>
          <w:tcPr>
            <w:tcW w:w="1316" w:type="pct"/>
            <w:vAlign w:val="center"/>
          </w:tcPr>
          <w:p w14:paraId="22AFBEE6">
            <w:pPr>
              <w:widowControl/>
              <w:jc w:val="center"/>
              <w:rPr>
                <w:rFonts w:ascii="宋体" w:hAnsi="宋体" w:cs="宋体"/>
                <w:color w:val="000000"/>
                <w:kern w:val="0"/>
                <w:sz w:val="18"/>
                <w:szCs w:val="18"/>
              </w:rPr>
            </w:pPr>
            <w:r>
              <w:rPr>
                <w:rFonts w:hint="eastAsia" w:ascii="宋体" w:hAnsi="宋体" w:cs="宋体"/>
                <w:color w:val="000000"/>
                <w:kern w:val="0"/>
                <w:sz w:val="18"/>
                <w:szCs w:val="18"/>
              </w:rPr>
              <w:t>26203.87</w:t>
            </w:r>
          </w:p>
        </w:tc>
        <w:tc>
          <w:tcPr>
            <w:tcW w:w="875" w:type="pct"/>
            <w:vAlign w:val="center"/>
          </w:tcPr>
          <w:p w14:paraId="477A7AA6">
            <w:pPr>
              <w:widowControl/>
              <w:jc w:val="center"/>
              <w:rPr>
                <w:rFonts w:ascii="宋体" w:hAnsi="宋体" w:cs="宋体"/>
                <w:color w:val="000000"/>
                <w:kern w:val="0"/>
                <w:sz w:val="18"/>
                <w:szCs w:val="18"/>
              </w:rPr>
            </w:pPr>
            <w:r>
              <w:rPr>
                <w:rFonts w:ascii="宋体" w:hAnsi="宋体" w:cs="宋体"/>
                <w:color w:val="000000"/>
                <w:kern w:val="0"/>
                <w:sz w:val="18"/>
                <w:szCs w:val="18"/>
              </w:rPr>
              <w:t>约束性</w:t>
            </w:r>
          </w:p>
        </w:tc>
      </w:tr>
      <w:tr w14:paraId="1C59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41" w:type="pct"/>
            <w:shd w:val="clear" w:color="auto" w:fill="auto"/>
            <w:vAlign w:val="center"/>
          </w:tcPr>
          <w:p w14:paraId="3EF86BC6">
            <w:pPr>
              <w:widowControl/>
              <w:jc w:val="center"/>
              <w:rPr>
                <w:rFonts w:ascii="宋体" w:hAnsi="宋体" w:cs="宋体"/>
                <w:color w:val="000000"/>
                <w:kern w:val="0"/>
                <w:sz w:val="18"/>
                <w:szCs w:val="18"/>
              </w:rPr>
            </w:pPr>
            <w:r>
              <w:rPr>
                <w:rFonts w:ascii="宋体" w:hAnsi="宋体" w:cs="宋体"/>
                <w:color w:val="000000"/>
                <w:kern w:val="0"/>
                <w:sz w:val="18"/>
                <w:szCs w:val="18"/>
              </w:rPr>
              <w:t>建设用地总规模</w:t>
            </w:r>
          </w:p>
        </w:tc>
        <w:tc>
          <w:tcPr>
            <w:tcW w:w="1168" w:type="pct"/>
            <w:shd w:val="clear" w:color="auto" w:fill="auto"/>
            <w:vAlign w:val="center"/>
          </w:tcPr>
          <w:p w14:paraId="77571FE0">
            <w:pPr>
              <w:widowControl/>
              <w:jc w:val="center"/>
              <w:rPr>
                <w:rFonts w:ascii="宋体" w:hAnsi="宋体" w:cs="宋体"/>
                <w:color w:val="000000"/>
                <w:kern w:val="0"/>
                <w:sz w:val="18"/>
                <w:szCs w:val="18"/>
              </w:rPr>
            </w:pPr>
            <w:r>
              <w:rPr>
                <w:rFonts w:hint="eastAsia" w:ascii="宋体" w:hAnsi="宋体"/>
                <w:color w:val="000000"/>
                <w:sz w:val="18"/>
                <w:szCs w:val="18"/>
              </w:rPr>
              <w:t>5147.39</w:t>
            </w:r>
          </w:p>
        </w:tc>
        <w:tc>
          <w:tcPr>
            <w:tcW w:w="1316" w:type="pct"/>
            <w:vAlign w:val="center"/>
          </w:tcPr>
          <w:p w14:paraId="2D0ED593">
            <w:pPr>
              <w:widowControl/>
              <w:jc w:val="center"/>
              <w:rPr>
                <w:rFonts w:ascii="宋体" w:hAnsi="宋体" w:cs="宋体"/>
                <w:color w:val="000000"/>
                <w:kern w:val="0"/>
                <w:sz w:val="18"/>
                <w:szCs w:val="18"/>
              </w:rPr>
            </w:pPr>
            <w:r>
              <w:rPr>
                <w:rFonts w:ascii="宋体" w:hAnsi="宋体" w:cs="宋体"/>
                <w:color w:val="000000"/>
                <w:kern w:val="0"/>
                <w:sz w:val="18"/>
                <w:szCs w:val="18"/>
              </w:rPr>
              <w:t>6985.</w:t>
            </w:r>
            <w:r>
              <w:rPr>
                <w:rFonts w:hint="eastAsia" w:ascii="宋体" w:hAnsi="宋体" w:cs="宋体"/>
                <w:color w:val="000000"/>
                <w:kern w:val="0"/>
                <w:sz w:val="18"/>
                <w:szCs w:val="18"/>
              </w:rPr>
              <w:t>91</w:t>
            </w:r>
          </w:p>
        </w:tc>
        <w:tc>
          <w:tcPr>
            <w:tcW w:w="875" w:type="pct"/>
            <w:vAlign w:val="center"/>
          </w:tcPr>
          <w:p w14:paraId="2713B3D8">
            <w:pPr>
              <w:widowControl/>
              <w:jc w:val="center"/>
              <w:rPr>
                <w:rFonts w:ascii="宋体" w:hAnsi="宋体" w:cs="宋体"/>
                <w:color w:val="000000"/>
                <w:kern w:val="0"/>
                <w:sz w:val="18"/>
                <w:szCs w:val="18"/>
              </w:rPr>
            </w:pPr>
            <w:r>
              <w:rPr>
                <w:rFonts w:ascii="宋体" w:hAnsi="宋体" w:cs="宋体"/>
                <w:color w:val="000000"/>
                <w:kern w:val="0"/>
                <w:sz w:val="18"/>
                <w:szCs w:val="18"/>
              </w:rPr>
              <w:t>预期性</w:t>
            </w:r>
          </w:p>
        </w:tc>
      </w:tr>
      <w:tr w14:paraId="47F8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41" w:type="pct"/>
            <w:shd w:val="clear" w:color="auto" w:fill="auto"/>
            <w:vAlign w:val="center"/>
          </w:tcPr>
          <w:p w14:paraId="351B6ABB">
            <w:pPr>
              <w:widowControl/>
              <w:jc w:val="center"/>
              <w:rPr>
                <w:rFonts w:ascii="宋体" w:hAnsi="宋体" w:cs="宋体"/>
                <w:color w:val="000000"/>
                <w:kern w:val="0"/>
                <w:sz w:val="18"/>
                <w:szCs w:val="18"/>
              </w:rPr>
            </w:pPr>
            <w:r>
              <w:rPr>
                <w:rFonts w:ascii="宋体" w:hAnsi="宋体" w:cs="宋体"/>
                <w:color w:val="000000"/>
                <w:kern w:val="0"/>
                <w:sz w:val="18"/>
                <w:szCs w:val="18"/>
              </w:rPr>
              <w:t>城乡建设用地规模</w:t>
            </w:r>
          </w:p>
        </w:tc>
        <w:tc>
          <w:tcPr>
            <w:tcW w:w="1168" w:type="pct"/>
            <w:shd w:val="clear" w:color="auto" w:fill="auto"/>
            <w:vAlign w:val="center"/>
          </w:tcPr>
          <w:p w14:paraId="3FC5820C">
            <w:pPr>
              <w:widowControl/>
              <w:jc w:val="center"/>
              <w:rPr>
                <w:rFonts w:ascii="宋体" w:hAnsi="宋体" w:cs="宋体"/>
                <w:color w:val="000000"/>
                <w:kern w:val="0"/>
                <w:sz w:val="18"/>
                <w:szCs w:val="18"/>
              </w:rPr>
            </w:pPr>
            <w:r>
              <w:rPr>
                <w:rFonts w:ascii="宋体" w:hAnsi="宋体"/>
                <w:color w:val="000000"/>
                <w:sz w:val="18"/>
                <w:szCs w:val="18"/>
              </w:rPr>
              <w:t>3677.25</w:t>
            </w:r>
          </w:p>
        </w:tc>
        <w:tc>
          <w:tcPr>
            <w:tcW w:w="1316" w:type="pct"/>
            <w:vAlign w:val="center"/>
          </w:tcPr>
          <w:p w14:paraId="397B72B4">
            <w:pPr>
              <w:widowControl/>
              <w:jc w:val="center"/>
              <w:rPr>
                <w:rFonts w:ascii="宋体" w:hAnsi="宋体" w:cs="宋体"/>
                <w:color w:val="000000"/>
                <w:kern w:val="0"/>
                <w:sz w:val="18"/>
                <w:szCs w:val="18"/>
              </w:rPr>
            </w:pPr>
            <w:r>
              <w:rPr>
                <w:rFonts w:ascii="宋体" w:hAnsi="宋体" w:cs="宋体"/>
                <w:color w:val="000000"/>
                <w:kern w:val="0"/>
                <w:sz w:val="18"/>
                <w:szCs w:val="18"/>
              </w:rPr>
              <w:t>5083.7</w:t>
            </w:r>
            <w:r>
              <w:rPr>
                <w:rFonts w:hint="eastAsia" w:ascii="宋体" w:hAnsi="宋体" w:cs="宋体"/>
                <w:color w:val="000000"/>
                <w:kern w:val="0"/>
                <w:sz w:val="18"/>
                <w:szCs w:val="18"/>
              </w:rPr>
              <w:t>6</w:t>
            </w:r>
          </w:p>
        </w:tc>
        <w:tc>
          <w:tcPr>
            <w:tcW w:w="875" w:type="pct"/>
            <w:vAlign w:val="center"/>
          </w:tcPr>
          <w:p w14:paraId="7ED68F67">
            <w:pPr>
              <w:widowControl/>
              <w:jc w:val="center"/>
              <w:rPr>
                <w:rFonts w:ascii="宋体" w:hAnsi="宋体" w:cs="宋体"/>
                <w:color w:val="000000"/>
                <w:kern w:val="0"/>
                <w:sz w:val="18"/>
                <w:szCs w:val="18"/>
              </w:rPr>
            </w:pPr>
            <w:r>
              <w:rPr>
                <w:rFonts w:ascii="宋体" w:hAnsi="宋体" w:cs="宋体"/>
                <w:color w:val="000000"/>
                <w:kern w:val="0"/>
                <w:sz w:val="18"/>
                <w:szCs w:val="18"/>
              </w:rPr>
              <w:t>约束性</w:t>
            </w:r>
          </w:p>
        </w:tc>
      </w:tr>
      <w:tr w14:paraId="46B6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41" w:type="pct"/>
            <w:shd w:val="clear" w:color="auto" w:fill="auto"/>
            <w:vAlign w:val="center"/>
          </w:tcPr>
          <w:p w14:paraId="22ABEE64">
            <w:pPr>
              <w:widowControl/>
              <w:jc w:val="center"/>
              <w:rPr>
                <w:rFonts w:ascii="宋体" w:hAnsi="宋体" w:cs="宋体"/>
                <w:color w:val="000000"/>
                <w:kern w:val="0"/>
                <w:sz w:val="18"/>
                <w:szCs w:val="18"/>
              </w:rPr>
            </w:pPr>
            <w:r>
              <w:rPr>
                <w:rFonts w:ascii="宋体" w:hAnsi="宋体" w:cs="宋体"/>
                <w:color w:val="000000"/>
                <w:kern w:val="0"/>
                <w:sz w:val="18"/>
                <w:szCs w:val="18"/>
              </w:rPr>
              <w:t>城镇</w:t>
            </w:r>
            <w:r>
              <w:rPr>
                <w:rFonts w:hint="eastAsia" w:ascii="宋体" w:hAnsi="宋体" w:cs="宋体"/>
                <w:color w:val="000000"/>
                <w:kern w:val="0"/>
                <w:sz w:val="18"/>
                <w:szCs w:val="18"/>
              </w:rPr>
              <w:t>工矿</w:t>
            </w:r>
            <w:r>
              <w:rPr>
                <w:rFonts w:ascii="宋体" w:hAnsi="宋体" w:cs="宋体"/>
                <w:color w:val="000000"/>
                <w:kern w:val="0"/>
                <w:sz w:val="18"/>
                <w:szCs w:val="18"/>
              </w:rPr>
              <w:t>用地</w:t>
            </w:r>
          </w:p>
        </w:tc>
        <w:tc>
          <w:tcPr>
            <w:tcW w:w="1168" w:type="pct"/>
            <w:shd w:val="clear" w:color="auto" w:fill="auto"/>
            <w:vAlign w:val="center"/>
          </w:tcPr>
          <w:p w14:paraId="7AF6BFA8">
            <w:pPr>
              <w:widowControl/>
              <w:jc w:val="center"/>
              <w:rPr>
                <w:rFonts w:ascii="宋体" w:hAnsi="宋体" w:cs="宋体"/>
                <w:color w:val="000000"/>
                <w:kern w:val="0"/>
                <w:sz w:val="18"/>
                <w:szCs w:val="18"/>
              </w:rPr>
            </w:pPr>
            <w:r>
              <w:rPr>
                <w:rFonts w:ascii="宋体" w:hAnsi="宋体" w:cs="宋体"/>
                <w:color w:val="000000"/>
                <w:kern w:val="0"/>
                <w:sz w:val="18"/>
                <w:szCs w:val="18"/>
              </w:rPr>
              <w:t>1297.99</w:t>
            </w:r>
          </w:p>
        </w:tc>
        <w:tc>
          <w:tcPr>
            <w:tcW w:w="1316" w:type="pct"/>
            <w:vAlign w:val="center"/>
          </w:tcPr>
          <w:p w14:paraId="63556814">
            <w:pPr>
              <w:widowControl/>
              <w:jc w:val="center"/>
              <w:rPr>
                <w:rFonts w:ascii="宋体" w:hAnsi="宋体" w:cs="宋体"/>
                <w:color w:val="000000"/>
                <w:kern w:val="0"/>
                <w:sz w:val="18"/>
                <w:szCs w:val="18"/>
              </w:rPr>
            </w:pPr>
            <w:r>
              <w:rPr>
                <w:rFonts w:ascii="宋体" w:hAnsi="宋体" w:cs="宋体"/>
                <w:color w:val="000000"/>
                <w:kern w:val="0"/>
                <w:sz w:val="18"/>
                <w:szCs w:val="18"/>
              </w:rPr>
              <w:t>1978.82</w:t>
            </w:r>
          </w:p>
        </w:tc>
        <w:tc>
          <w:tcPr>
            <w:tcW w:w="875" w:type="pct"/>
            <w:vAlign w:val="center"/>
          </w:tcPr>
          <w:p w14:paraId="1DE5F5C6">
            <w:pPr>
              <w:widowControl/>
              <w:jc w:val="center"/>
              <w:rPr>
                <w:rFonts w:ascii="宋体" w:hAnsi="宋体" w:cs="宋体"/>
                <w:color w:val="000000"/>
                <w:kern w:val="0"/>
                <w:sz w:val="18"/>
                <w:szCs w:val="18"/>
              </w:rPr>
            </w:pPr>
            <w:r>
              <w:rPr>
                <w:rFonts w:ascii="宋体" w:hAnsi="宋体" w:cs="宋体"/>
                <w:color w:val="000000"/>
                <w:kern w:val="0"/>
                <w:sz w:val="18"/>
                <w:szCs w:val="18"/>
              </w:rPr>
              <w:t>预期性</w:t>
            </w:r>
          </w:p>
        </w:tc>
      </w:tr>
      <w:tr w14:paraId="2C68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41" w:type="pct"/>
            <w:shd w:val="clear" w:color="auto" w:fill="auto"/>
            <w:vAlign w:val="center"/>
          </w:tcPr>
          <w:p w14:paraId="7C932699">
            <w:pPr>
              <w:widowControl/>
              <w:jc w:val="center"/>
              <w:rPr>
                <w:rFonts w:ascii="宋体" w:hAnsi="宋体" w:cs="宋体"/>
                <w:color w:val="000000"/>
                <w:kern w:val="0"/>
                <w:sz w:val="18"/>
                <w:szCs w:val="18"/>
              </w:rPr>
            </w:pPr>
            <w:r>
              <w:rPr>
                <w:rFonts w:ascii="宋体" w:hAnsi="宋体" w:cs="宋体"/>
                <w:color w:val="000000"/>
                <w:kern w:val="0"/>
                <w:sz w:val="18"/>
                <w:szCs w:val="18"/>
              </w:rPr>
              <w:t>新增建设用地规模</w:t>
            </w:r>
          </w:p>
        </w:tc>
        <w:tc>
          <w:tcPr>
            <w:tcW w:w="1168" w:type="pct"/>
            <w:shd w:val="clear" w:color="auto" w:fill="auto"/>
            <w:vAlign w:val="center"/>
          </w:tcPr>
          <w:p w14:paraId="52BB74E0">
            <w:pPr>
              <w:widowControl/>
              <w:jc w:val="center"/>
              <w:rPr>
                <w:rFonts w:ascii="宋体" w:hAnsi="宋体" w:cs="宋体"/>
                <w:color w:val="000000"/>
                <w:kern w:val="0"/>
                <w:sz w:val="18"/>
                <w:szCs w:val="18"/>
              </w:rPr>
            </w:pPr>
            <w:r>
              <w:rPr>
                <w:rFonts w:hint="eastAsia" w:ascii="宋体" w:hAnsi="宋体"/>
                <w:color w:val="000000"/>
                <w:sz w:val="18"/>
                <w:szCs w:val="18"/>
              </w:rPr>
              <w:t>653.38</w:t>
            </w:r>
          </w:p>
        </w:tc>
        <w:tc>
          <w:tcPr>
            <w:tcW w:w="1316" w:type="pct"/>
            <w:vAlign w:val="center"/>
          </w:tcPr>
          <w:p w14:paraId="4F1243A6">
            <w:pPr>
              <w:widowControl/>
              <w:jc w:val="center"/>
              <w:rPr>
                <w:rFonts w:ascii="宋体" w:hAnsi="宋体" w:cs="宋体"/>
                <w:color w:val="000000"/>
                <w:kern w:val="0"/>
                <w:sz w:val="18"/>
                <w:szCs w:val="18"/>
              </w:rPr>
            </w:pPr>
            <w:r>
              <w:rPr>
                <w:rFonts w:hint="eastAsia" w:ascii="宋体" w:hAnsi="宋体" w:cs="宋体"/>
                <w:color w:val="000000"/>
                <w:kern w:val="0"/>
                <w:sz w:val="18"/>
                <w:szCs w:val="18"/>
              </w:rPr>
              <w:t>1580.08</w:t>
            </w:r>
          </w:p>
        </w:tc>
        <w:tc>
          <w:tcPr>
            <w:tcW w:w="875" w:type="pct"/>
            <w:vAlign w:val="center"/>
          </w:tcPr>
          <w:p w14:paraId="6A654541">
            <w:pPr>
              <w:widowControl/>
              <w:jc w:val="center"/>
              <w:rPr>
                <w:rFonts w:ascii="宋体" w:hAnsi="宋体" w:cs="宋体"/>
                <w:color w:val="000000"/>
                <w:kern w:val="0"/>
                <w:sz w:val="18"/>
                <w:szCs w:val="18"/>
              </w:rPr>
            </w:pPr>
            <w:r>
              <w:rPr>
                <w:rFonts w:ascii="宋体" w:hAnsi="宋体" w:cs="宋体"/>
                <w:color w:val="000000"/>
                <w:kern w:val="0"/>
                <w:sz w:val="18"/>
                <w:szCs w:val="18"/>
              </w:rPr>
              <w:t>预期性</w:t>
            </w:r>
          </w:p>
        </w:tc>
      </w:tr>
      <w:tr w14:paraId="479F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41" w:type="pct"/>
            <w:shd w:val="clear" w:color="auto" w:fill="auto"/>
            <w:vAlign w:val="center"/>
          </w:tcPr>
          <w:p w14:paraId="6F0D88BE">
            <w:pPr>
              <w:widowControl/>
              <w:jc w:val="center"/>
              <w:rPr>
                <w:rFonts w:ascii="宋体" w:hAnsi="宋体" w:cs="宋体"/>
                <w:color w:val="000000"/>
                <w:kern w:val="0"/>
                <w:sz w:val="18"/>
                <w:szCs w:val="18"/>
              </w:rPr>
            </w:pPr>
            <w:r>
              <w:rPr>
                <w:rFonts w:ascii="宋体" w:hAnsi="宋体" w:cs="宋体"/>
                <w:color w:val="000000"/>
                <w:kern w:val="0"/>
                <w:sz w:val="18"/>
                <w:szCs w:val="18"/>
              </w:rPr>
              <w:t>新增建设占用耕地规模</w:t>
            </w:r>
          </w:p>
        </w:tc>
        <w:tc>
          <w:tcPr>
            <w:tcW w:w="1168" w:type="pct"/>
            <w:shd w:val="clear" w:color="auto" w:fill="auto"/>
            <w:vAlign w:val="center"/>
          </w:tcPr>
          <w:p w14:paraId="75D15D0D">
            <w:pPr>
              <w:widowControl/>
              <w:jc w:val="center"/>
              <w:rPr>
                <w:rFonts w:ascii="宋体" w:hAnsi="宋体" w:cs="宋体"/>
                <w:color w:val="000000"/>
                <w:kern w:val="0"/>
                <w:sz w:val="18"/>
                <w:szCs w:val="18"/>
              </w:rPr>
            </w:pPr>
            <w:r>
              <w:rPr>
                <w:rFonts w:ascii="宋体" w:hAnsi="宋体" w:cs="宋体"/>
                <w:color w:val="000000"/>
                <w:kern w:val="0"/>
                <w:sz w:val="18"/>
                <w:szCs w:val="18"/>
              </w:rPr>
              <w:t>410.48</w:t>
            </w:r>
          </w:p>
        </w:tc>
        <w:tc>
          <w:tcPr>
            <w:tcW w:w="1316" w:type="pct"/>
            <w:vAlign w:val="center"/>
          </w:tcPr>
          <w:p w14:paraId="42BC1AC5">
            <w:pPr>
              <w:widowControl/>
              <w:jc w:val="center"/>
              <w:rPr>
                <w:rFonts w:ascii="宋体" w:hAnsi="宋体" w:cs="宋体"/>
                <w:color w:val="000000"/>
                <w:kern w:val="0"/>
                <w:sz w:val="18"/>
                <w:szCs w:val="18"/>
              </w:rPr>
            </w:pPr>
            <w:r>
              <w:rPr>
                <w:rFonts w:hint="eastAsia" w:ascii="宋体" w:hAnsi="宋体" w:cs="宋体"/>
                <w:color w:val="000000"/>
                <w:kern w:val="0"/>
                <w:sz w:val="18"/>
                <w:szCs w:val="18"/>
              </w:rPr>
              <w:t>410.48</w:t>
            </w:r>
          </w:p>
        </w:tc>
        <w:tc>
          <w:tcPr>
            <w:tcW w:w="875" w:type="pct"/>
            <w:vAlign w:val="center"/>
          </w:tcPr>
          <w:p w14:paraId="765B4E27">
            <w:pPr>
              <w:widowControl/>
              <w:jc w:val="center"/>
              <w:rPr>
                <w:rFonts w:ascii="宋体" w:hAnsi="宋体" w:cs="宋体"/>
                <w:color w:val="000000"/>
                <w:kern w:val="0"/>
                <w:sz w:val="18"/>
                <w:szCs w:val="18"/>
              </w:rPr>
            </w:pPr>
            <w:r>
              <w:rPr>
                <w:rFonts w:ascii="宋体" w:hAnsi="宋体" w:cs="宋体"/>
                <w:color w:val="000000"/>
                <w:kern w:val="0"/>
                <w:sz w:val="18"/>
                <w:szCs w:val="18"/>
              </w:rPr>
              <w:t>约束性</w:t>
            </w:r>
          </w:p>
        </w:tc>
      </w:tr>
      <w:tr w14:paraId="54DD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41" w:type="pct"/>
            <w:shd w:val="clear" w:color="auto" w:fill="auto"/>
            <w:vAlign w:val="center"/>
          </w:tcPr>
          <w:p w14:paraId="6D82A160">
            <w:pPr>
              <w:widowControl/>
              <w:jc w:val="center"/>
              <w:rPr>
                <w:rFonts w:ascii="宋体" w:hAnsi="宋体" w:cs="宋体"/>
                <w:color w:val="000000"/>
                <w:kern w:val="0"/>
                <w:sz w:val="18"/>
                <w:szCs w:val="18"/>
              </w:rPr>
            </w:pPr>
            <w:r>
              <w:rPr>
                <w:rFonts w:ascii="宋体" w:hAnsi="宋体" w:cs="宋体"/>
                <w:color w:val="000000"/>
                <w:kern w:val="0"/>
                <w:sz w:val="18"/>
                <w:szCs w:val="18"/>
              </w:rPr>
              <w:t>土地整治补充耕地规模</w:t>
            </w:r>
          </w:p>
        </w:tc>
        <w:tc>
          <w:tcPr>
            <w:tcW w:w="1168" w:type="pct"/>
            <w:shd w:val="clear" w:color="auto" w:fill="auto"/>
            <w:vAlign w:val="center"/>
          </w:tcPr>
          <w:p w14:paraId="46D9E010">
            <w:pPr>
              <w:widowControl/>
              <w:jc w:val="center"/>
              <w:rPr>
                <w:rFonts w:ascii="宋体" w:hAnsi="宋体" w:cs="宋体"/>
                <w:color w:val="000000"/>
                <w:kern w:val="0"/>
                <w:sz w:val="18"/>
                <w:szCs w:val="18"/>
              </w:rPr>
            </w:pPr>
            <w:r>
              <w:rPr>
                <w:rFonts w:ascii="宋体" w:hAnsi="宋体" w:cs="宋体"/>
                <w:color w:val="000000"/>
                <w:kern w:val="0"/>
                <w:sz w:val="18"/>
                <w:szCs w:val="18"/>
              </w:rPr>
              <w:t>470.00</w:t>
            </w:r>
          </w:p>
        </w:tc>
        <w:tc>
          <w:tcPr>
            <w:tcW w:w="1316" w:type="pct"/>
            <w:vAlign w:val="center"/>
          </w:tcPr>
          <w:p w14:paraId="57F7FECE">
            <w:pPr>
              <w:widowControl/>
              <w:jc w:val="center"/>
              <w:rPr>
                <w:rFonts w:ascii="宋体" w:hAnsi="宋体" w:cs="宋体"/>
                <w:color w:val="000000"/>
                <w:kern w:val="0"/>
                <w:sz w:val="18"/>
                <w:szCs w:val="18"/>
              </w:rPr>
            </w:pPr>
            <w:r>
              <w:rPr>
                <w:rFonts w:ascii="宋体" w:hAnsi="宋体" w:cs="宋体"/>
                <w:color w:val="000000"/>
                <w:kern w:val="0"/>
                <w:sz w:val="18"/>
                <w:szCs w:val="18"/>
              </w:rPr>
              <w:t>730.34</w:t>
            </w:r>
          </w:p>
        </w:tc>
        <w:tc>
          <w:tcPr>
            <w:tcW w:w="875" w:type="pct"/>
            <w:vAlign w:val="center"/>
          </w:tcPr>
          <w:p w14:paraId="44C97A11">
            <w:pPr>
              <w:widowControl/>
              <w:jc w:val="center"/>
              <w:rPr>
                <w:rFonts w:ascii="宋体" w:hAnsi="宋体" w:cs="宋体"/>
                <w:color w:val="000000"/>
                <w:kern w:val="0"/>
                <w:sz w:val="18"/>
                <w:szCs w:val="18"/>
              </w:rPr>
            </w:pPr>
            <w:r>
              <w:rPr>
                <w:rFonts w:ascii="宋体" w:hAnsi="宋体" w:cs="宋体"/>
                <w:color w:val="000000"/>
                <w:kern w:val="0"/>
                <w:sz w:val="18"/>
                <w:szCs w:val="18"/>
              </w:rPr>
              <w:t>约束性</w:t>
            </w:r>
          </w:p>
        </w:tc>
      </w:tr>
      <w:tr w14:paraId="49AF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41" w:type="pct"/>
            <w:shd w:val="clear" w:color="auto" w:fill="auto"/>
            <w:vAlign w:val="center"/>
          </w:tcPr>
          <w:p w14:paraId="51165BA0">
            <w:pPr>
              <w:widowControl/>
              <w:jc w:val="center"/>
              <w:rPr>
                <w:rFonts w:ascii="宋体" w:hAnsi="宋体" w:cs="宋体"/>
                <w:color w:val="000000"/>
                <w:kern w:val="0"/>
                <w:sz w:val="18"/>
                <w:szCs w:val="18"/>
              </w:rPr>
            </w:pPr>
            <w:r>
              <w:rPr>
                <w:rFonts w:ascii="宋体" w:hAnsi="宋体" w:cs="宋体"/>
                <w:color w:val="000000"/>
                <w:kern w:val="0"/>
                <w:sz w:val="18"/>
                <w:szCs w:val="18"/>
              </w:rPr>
              <w:t>人均城镇工矿用地</w:t>
            </w:r>
          </w:p>
        </w:tc>
        <w:tc>
          <w:tcPr>
            <w:tcW w:w="1168" w:type="pct"/>
            <w:shd w:val="clear" w:color="auto" w:fill="auto"/>
            <w:vAlign w:val="center"/>
          </w:tcPr>
          <w:p w14:paraId="05782B1A">
            <w:pPr>
              <w:widowControl/>
              <w:jc w:val="center"/>
              <w:rPr>
                <w:rFonts w:ascii="宋体" w:hAnsi="宋体" w:cs="宋体"/>
                <w:color w:val="000000"/>
                <w:kern w:val="0"/>
                <w:sz w:val="18"/>
                <w:szCs w:val="18"/>
              </w:rPr>
            </w:pPr>
            <w:r>
              <w:rPr>
                <w:rFonts w:ascii="宋体" w:hAnsi="宋体" w:cs="宋体"/>
                <w:color w:val="000000"/>
                <w:kern w:val="0"/>
                <w:sz w:val="18"/>
                <w:szCs w:val="18"/>
              </w:rPr>
              <w:t>115.04</w:t>
            </w:r>
          </w:p>
        </w:tc>
        <w:tc>
          <w:tcPr>
            <w:tcW w:w="1316" w:type="pct"/>
            <w:vAlign w:val="center"/>
          </w:tcPr>
          <w:p w14:paraId="216F1086">
            <w:pPr>
              <w:widowControl/>
              <w:jc w:val="center"/>
              <w:rPr>
                <w:rFonts w:ascii="宋体" w:hAnsi="宋体" w:cs="宋体"/>
                <w:color w:val="000000"/>
                <w:kern w:val="0"/>
                <w:sz w:val="18"/>
                <w:szCs w:val="18"/>
              </w:rPr>
            </w:pPr>
            <w:r>
              <w:rPr>
                <w:rFonts w:ascii="宋体" w:hAnsi="宋体" w:cs="宋体"/>
                <w:color w:val="000000"/>
                <w:kern w:val="0"/>
                <w:sz w:val="18"/>
                <w:szCs w:val="18"/>
              </w:rPr>
              <w:t>104.26</w:t>
            </w:r>
          </w:p>
        </w:tc>
        <w:tc>
          <w:tcPr>
            <w:tcW w:w="875" w:type="pct"/>
            <w:vAlign w:val="center"/>
          </w:tcPr>
          <w:p w14:paraId="75EE922D">
            <w:pPr>
              <w:widowControl/>
              <w:jc w:val="center"/>
              <w:rPr>
                <w:rFonts w:ascii="宋体" w:hAnsi="宋体" w:cs="宋体"/>
                <w:color w:val="000000"/>
                <w:kern w:val="0"/>
                <w:sz w:val="18"/>
                <w:szCs w:val="18"/>
              </w:rPr>
            </w:pPr>
            <w:r>
              <w:rPr>
                <w:rFonts w:ascii="宋体" w:hAnsi="宋体" w:cs="宋体"/>
                <w:color w:val="000000"/>
                <w:kern w:val="0"/>
                <w:sz w:val="18"/>
                <w:szCs w:val="18"/>
              </w:rPr>
              <w:t>约束性</w:t>
            </w:r>
          </w:p>
        </w:tc>
      </w:tr>
    </w:tbl>
    <w:p w14:paraId="19DD17A8">
      <w:pPr>
        <w:pStyle w:val="4"/>
        <w:spacing w:before="0" w:after="0" w:line="360" w:lineRule="auto"/>
        <w:ind w:firstLine="275" w:firstLineChars="98"/>
        <w:rPr>
          <w:rFonts w:ascii="仿宋_GB2312" w:hAnsi="宋体" w:eastAsia="仿宋_GB2312"/>
          <w:sz w:val="28"/>
          <w:szCs w:val="28"/>
        </w:rPr>
      </w:pPr>
      <w:r>
        <w:rPr>
          <w:rFonts w:hint="eastAsia" w:ascii="仿宋_GB2312" w:hAnsi="宋体" w:eastAsia="仿宋_GB2312"/>
          <w:sz w:val="28"/>
          <w:szCs w:val="28"/>
        </w:rPr>
        <w:t>2、坝区主要控制指标</w:t>
      </w:r>
    </w:p>
    <w:p w14:paraId="08FB4BAE">
      <w:pPr>
        <w:pStyle w:val="78"/>
        <w:spacing w:line="360" w:lineRule="auto"/>
        <w:ind w:firstLine="560"/>
        <w:rPr>
          <w:rFonts w:ascii="仿宋_GB2312" w:hAnsi="宋体" w:eastAsia="仿宋_GB2312"/>
          <w:sz w:val="28"/>
          <w:szCs w:val="28"/>
        </w:rPr>
      </w:pPr>
      <w:r>
        <w:rPr>
          <w:rFonts w:hint="eastAsia" w:ascii="仿宋_GB2312" w:hAnsi="宋体" w:eastAsia="仿宋_GB2312"/>
          <w:sz w:val="28"/>
          <w:szCs w:val="28"/>
        </w:rPr>
        <w:t>根据《东川区土地利用总体规划（2010-2020年）》，东川区坝区确保</w:t>
      </w:r>
      <w:r>
        <w:rPr>
          <w:rFonts w:ascii="仿宋_GB2312" w:hAnsi="宋体" w:eastAsia="仿宋_GB2312"/>
          <w:sz w:val="28"/>
          <w:szCs w:val="28"/>
        </w:rPr>
        <w:t>1344.69</w:t>
      </w:r>
      <w:r>
        <w:rPr>
          <w:rFonts w:hint="eastAsia" w:ascii="仿宋_GB2312" w:hAnsi="宋体" w:eastAsia="仿宋_GB2312"/>
          <w:sz w:val="28"/>
          <w:szCs w:val="28"/>
        </w:rPr>
        <w:t>公顷的耕地保有量，坝区基本农田保护目标为1135.45公顷，坝区耕地划入基本农田的比例为83.36</w:t>
      </w:r>
      <w:r>
        <w:rPr>
          <w:rFonts w:ascii="仿宋_GB2312" w:hAnsi="宋体" w:eastAsia="仿宋_GB2312"/>
          <w:sz w:val="28"/>
          <w:szCs w:val="28"/>
        </w:rPr>
        <w:t>%</w:t>
      </w:r>
      <w:r>
        <w:rPr>
          <w:rFonts w:hint="eastAsia" w:ascii="仿宋_GB2312" w:hAnsi="宋体" w:eastAsia="仿宋_GB2312"/>
          <w:sz w:val="28"/>
          <w:szCs w:val="28"/>
        </w:rPr>
        <w:t>，坝区建设用地控制目标为</w:t>
      </w:r>
      <w:r>
        <w:rPr>
          <w:rFonts w:ascii="仿宋_GB2312" w:hAnsi="宋体" w:eastAsia="仿宋_GB2312"/>
          <w:sz w:val="28"/>
          <w:szCs w:val="28"/>
        </w:rPr>
        <w:t>695.79</w:t>
      </w:r>
      <w:r>
        <w:rPr>
          <w:rFonts w:hint="eastAsia" w:ascii="仿宋_GB2312" w:hAnsi="宋体" w:eastAsia="仿宋_GB2312"/>
          <w:sz w:val="28"/>
          <w:szCs w:val="28"/>
        </w:rPr>
        <w:t>公顷，坝区新增建设用地控制目标为</w:t>
      </w:r>
      <w:r>
        <w:rPr>
          <w:rFonts w:ascii="仿宋_GB2312" w:hAnsi="宋体" w:eastAsia="仿宋_GB2312"/>
          <w:sz w:val="28"/>
          <w:szCs w:val="28"/>
        </w:rPr>
        <w:t>422.76</w:t>
      </w:r>
      <w:r>
        <w:rPr>
          <w:rFonts w:hint="eastAsia" w:ascii="仿宋_GB2312" w:hAnsi="宋体" w:eastAsia="仿宋_GB2312"/>
          <w:sz w:val="28"/>
          <w:szCs w:val="28"/>
        </w:rPr>
        <w:t>公顷，</w:t>
      </w:r>
      <w:r>
        <w:rPr>
          <w:rFonts w:ascii="仿宋_GB2312" w:eastAsia="仿宋_GB2312"/>
          <w:sz w:val="28"/>
          <w:szCs w:val="28"/>
        </w:rPr>
        <w:t>坝区新增建设用地占区域新增建设用地比例为26.76%；</w:t>
      </w:r>
      <w:r>
        <w:rPr>
          <w:rFonts w:hint="eastAsia" w:ascii="仿宋_GB2312" w:hAnsi="宋体" w:eastAsia="仿宋_GB2312"/>
          <w:sz w:val="28"/>
          <w:szCs w:val="28"/>
        </w:rPr>
        <w:t>坝区新增建设占用耕地控制目标为</w:t>
      </w:r>
      <w:r>
        <w:rPr>
          <w:rFonts w:ascii="仿宋_GB2312" w:hAnsi="宋体" w:eastAsia="仿宋_GB2312"/>
          <w:sz w:val="28"/>
          <w:szCs w:val="28"/>
        </w:rPr>
        <w:t>172.13</w:t>
      </w:r>
      <w:r>
        <w:rPr>
          <w:rFonts w:hint="eastAsia" w:ascii="仿宋_GB2312" w:hAnsi="宋体" w:eastAsia="仿宋_GB2312"/>
          <w:sz w:val="28"/>
          <w:szCs w:val="28"/>
        </w:rPr>
        <w:t>公顷。</w:t>
      </w:r>
    </w:p>
    <w:p w14:paraId="5730D549">
      <w:pPr>
        <w:jc w:val="center"/>
        <w:outlineLvl w:val="4"/>
        <w:rPr>
          <w:rFonts w:ascii="宋体" w:hAnsi="宋体"/>
          <w:b/>
          <w:sz w:val="24"/>
        </w:rPr>
      </w:pPr>
      <w:r>
        <w:rPr>
          <w:rFonts w:ascii="宋体" w:hAnsi="宋体"/>
          <w:b/>
          <w:sz w:val="24"/>
        </w:rPr>
        <w:t>表3-</w:t>
      </w:r>
      <w:r>
        <w:rPr>
          <w:rFonts w:hint="eastAsia" w:ascii="宋体" w:hAnsi="宋体"/>
          <w:b/>
          <w:sz w:val="24"/>
        </w:rPr>
        <w:t>2</w:t>
      </w:r>
      <w:r>
        <w:rPr>
          <w:rFonts w:ascii="宋体" w:hAnsi="宋体"/>
          <w:b/>
          <w:sz w:val="24"/>
        </w:rPr>
        <w:t xml:space="preserve">  东川区坝区相关规划目标表</w:t>
      </w:r>
    </w:p>
    <w:p w14:paraId="1B712033">
      <w:pPr>
        <w:spacing w:line="360" w:lineRule="auto"/>
        <w:ind w:firstLine="600"/>
        <w:jc w:val="right"/>
        <w:rPr>
          <w:rFonts w:ascii="宋体" w:hAnsi="宋体"/>
          <w:color w:val="000000"/>
          <w:sz w:val="18"/>
          <w:szCs w:val="18"/>
        </w:rPr>
      </w:pPr>
      <w:r>
        <w:rPr>
          <w:rFonts w:ascii="宋体" w:hAnsi="宋体"/>
          <w:color w:val="000000"/>
          <w:sz w:val="18"/>
          <w:szCs w:val="18"/>
        </w:rPr>
        <w:t>单位：公顷</w:t>
      </w:r>
    </w:p>
    <w:tbl>
      <w:tblPr>
        <w:tblStyle w:val="27"/>
        <w:tblW w:w="46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2"/>
        <w:gridCol w:w="1873"/>
        <w:gridCol w:w="2780"/>
      </w:tblGrid>
      <w:tr w14:paraId="0D02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9" w:type="pct"/>
            <w:shd w:val="clear" w:color="auto" w:fill="auto"/>
            <w:noWrap/>
            <w:vAlign w:val="center"/>
          </w:tcPr>
          <w:p w14:paraId="0D563EB2">
            <w:pPr>
              <w:widowControl/>
              <w:jc w:val="center"/>
              <w:rPr>
                <w:rFonts w:ascii="宋体" w:hAnsi="宋体" w:cs="宋体"/>
                <w:b/>
                <w:color w:val="000000"/>
                <w:kern w:val="0"/>
                <w:sz w:val="18"/>
                <w:szCs w:val="18"/>
              </w:rPr>
            </w:pPr>
            <w:r>
              <w:rPr>
                <w:rFonts w:ascii="宋体" w:hAnsi="宋体" w:cs="宋体"/>
                <w:b/>
                <w:color w:val="000000"/>
                <w:kern w:val="0"/>
                <w:sz w:val="18"/>
                <w:szCs w:val="18"/>
              </w:rPr>
              <w:t>指标名称</w:t>
            </w:r>
          </w:p>
        </w:tc>
        <w:tc>
          <w:tcPr>
            <w:tcW w:w="1011" w:type="pct"/>
            <w:vAlign w:val="center"/>
          </w:tcPr>
          <w:p w14:paraId="29C33120">
            <w:pPr>
              <w:widowControl/>
              <w:jc w:val="center"/>
              <w:rPr>
                <w:rFonts w:ascii="宋体" w:hAnsi="宋体" w:cs="宋体"/>
                <w:b/>
                <w:color w:val="000000"/>
                <w:kern w:val="0"/>
                <w:sz w:val="18"/>
                <w:szCs w:val="18"/>
              </w:rPr>
            </w:pPr>
            <w:r>
              <w:rPr>
                <w:rFonts w:ascii="宋体" w:hAnsi="宋体" w:cs="宋体"/>
                <w:b/>
                <w:color w:val="000000"/>
                <w:kern w:val="0"/>
                <w:sz w:val="18"/>
                <w:szCs w:val="18"/>
              </w:rPr>
              <w:t>上级下达指标</w:t>
            </w:r>
          </w:p>
        </w:tc>
        <w:tc>
          <w:tcPr>
            <w:tcW w:w="1500" w:type="pct"/>
            <w:vAlign w:val="center"/>
          </w:tcPr>
          <w:p w14:paraId="25357FB3">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调整完善规划目标（2020年）</w:t>
            </w:r>
          </w:p>
        </w:tc>
      </w:tr>
      <w:tr w14:paraId="7C85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9" w:type="pct"/>
            <w:shd w:val="clear" w:color="auto" w:fill="auto"/>
            <w:vAlign w:val="center"/>
          </w:tcPr>
          <w:p w14:paraId="38FA6102">
            <w:pPr>
              <w:widowControl/>
              <w:jc w:val="center"/>
              <w:rPr>
                <w:rFonts w:ascii="宋体" w:hAnsi="宋体" w:cs="宋体"/>
                <w:color w:val="000000"/>
                <w:kern w:val="0"/>
                <w:sz w:val="18"/>
                <w:szCs w:val="18"/>
              </w:rPr>
            </w:pPr>
            <w:r>
              <w:rPr>
                <w:rFonts w:ascii="宋体" w:hAnsi="宋体" w:cs="宋体"/>
                <w:color w:val="000000"/>
                <w:kern w:val="0"/>
                <w:sz w:val="18"/>
                <w:szCs w:val="18"/>
              </w:rPr>
              <w:t>坝区耕地保有量</w:t>
            </w:r>
          </w:p>
        </w:tc>
        <w:tc>
          <w:tcPr>
            <w:tcW w:w="1011" w:type="pct"/>
            <w:vAlign w:val="center"/>
          </w:tcPr>
          <w:p w14:paraId="6FBAA852">
            <w:pPr>
              <w:widowControl/>
              <w:jc w:val="center"/>
              <w:rPr>
                <w:rFonts w:ascii="宋体" w:hAnsi="宋体" w:cs="宋体"/>
                <w:color w:val="000000"/>
                <w:kern w:val="0"/>
                <w:sz w:val="18"/>
                <w:szCs w:val="18"/>
              </w:rPr>
            </w:pPr>
            <w:r>
              <w:rPr>
                <w:rFonts w:ascii="宋体" w:hAnsi="宋体" w:cs="宋体"/>
                <w:color w:val="000000"/>
                <w:kern w:val="0"/>
                <w:sz w:val="18"/>
                <w:szCs w:val="18"/>
              </w:rPr>
              <w:t>—</w:t>
            </w:r>
          </w:p>
        </w:tc>
        <w:tc>
          <w:tcPr>
            <w:tcW w:w="1500" w:type="pct"/>
            <w:vAlign w:val="center"/>
          </w:tcPr>
          <w:p w14:paraId="4EEED530">
            <w:pPr>
              <w:widowControl/>
              <w:jc w:val="center"/>
              <w:rPr>
                <w:rFonts w:ascii="宋体" w:hAnsi="宋体" w:cs="宋体"/>
                <w:color w:val="000000"/>
                <w:kern w:val="0"/>
                <w:sz w:val="18"/>
                <w:szCs w:val="18"/>
              </w:rPr>
            </w:pPr>
            <w:r>
              <w:rPr>
                <w:rFonts w:ascii="宋体" w:hAnsi="宋体" w:cs="宋体"/>
                <w:color w:val="000000"/>
                <w:kern w:val="0"/>
                <w:sz w:val="18"/>
                <w:szCs w:val="18"/>
              </w:rPr>
              <w:t>1344.69</w:t>
            </w:r>
          </w:p>
        </w:tc>
      </w:tr>
      <w:tr w14:paraId="2731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9" w:type="pct"/>
            <w:shd w:val="clear" w:color="auto" w:fill="auto"/>
            <w:vAlign w:val="center"/>
          </w:tcPr>
          <w:p w14:paraId="6C1C25F3">
            <w:pPr>
              <w:widowControl/>
              <w:jc w:val="center"/>
              <w:rPr>
                <w:rFonts w:ascii="宋体" w:hAnsi="宋体" w:cs="宋体"/>
                <w:color w:val="000000"/>
                <w:kern w:val="0"/>
                <w:sz w:val="18"/>
                <w:szCs w:val="18"/>
              </w:rPr>
            </w:pPr>
            <w:r>
              <w:rPr>
                <w:rFonts w:ascii="宋体" w:hAnsi="宋体" w:cs="宋体"/>
                <w:color w:val="000000"/>
                <w:kern w:val="0"/>
                <w:sz w:val="18"/>
                <w:szCs w:val="18"/>
              </w:rPr>
              <w:t>坝区耕地划入基本农田面积</w:t>
            </w:r>
          </w:p>
        </w:tc>
        <w:tc>
          <w:tcPr>
            <w:tcW w:w="1011" w:type="pct"/>
            <w:vAlign w:val="center"/>
          </w:tcPr>
          <w:p w14:paraId="14D4DAEE">
            <w:pPr>
              <w:widowControl/>
              <w:jc w:val="center"/>
              <w:rPr>
                <w:rFonts w:ascii="宋体" w:hAnsi="宋体" w:cs="宋体"/>
                <w:color w:val="000000"/>
                <w:kern w:val="0"/>
                <w:sz w:val="18"/>
                <w:szCs w:val="18"/>
              </w:rPr>
            </w:pPr>
            <w:r>
              <w:rPr>
                <w:rFonts w:ascii="宋体" w:hAnsi="宋体" w:cs="宋体"/>
                <w:color w:val="000000"/>
                <w:kern w:val="0"/>
                <w:sz w:val="18"/>
                <w:szCs w:val="18"/>
              </w:rPr>
              <w:t>—</w:t>
            </w:r>
          </w:p>
        </w:tc>
        <w:tc>
          <w:tcPr>
            <w:tcW w:w="1500" w:type="pct"/>
            <w:vAlign w:val="center"/>
          </w:tcPr>
          <w:p w14:paraId="04851022">
            <w:pPr>
              <w:widowControl/>
              <w:jc w:val="center"/>
              <w:rPr>
                <w:rFonts w:ascii="宋体" w:hAnsi="宋体" w:cs="宋体"/>
                <w:color w:val="000000"/>
                <w:kern w:val="0"/>
                <w:sz w:val="18"/>
                <w:szCs w:val="18"/>
              </w:rPr>
            </w:pPr>
            <w:r>
              <w:rPr>
                <w:rFonts w:hint="eastAsia" w:ascii="宋体" w:hAnsi="宋体" w:cs="宋体"/>
                <w:color w:val="000000"/>
                <w:kern w:val="0"/>
                <w:sz w:val="18"/>
                <w:szCs w:val="18"/>
              </w:rPr>
              <w:t>1135.45</w:t>
            </w:r>
          </w:p>
        </w:tc>
      </w:tr>
      <w:tr w14:paraId="31A2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9" w:type="pct"/>
            <w:shd w:val="clear" w:color="auto" w:fill="auto"/>
            <w:vAlign w:val="center"/>
          </w:tcPr>
          <w:p w14:paraId="7B985DD2">
            <w:pPr>
              <w:widowControl/>
              <w:jc w:val="center"/>
              <w:rPr>
                <w:rFonts w:ascii="宋体" w:hAnsi="宋体" w:cs="宋体"/>
                <w:color w:val="000000"/>
                <w:kern w:val="0"/>
                <w:sz w:val="18"/>
                <w:szCs w:val="18"/>
              </w:rPr>
            </w:pPr>
            <w:r>
              <w:rPr>
                <w:rFonts w:ascii="宋体" w:hAnsi="宋体" w:cs="宋体"/>
                <w:color w:val="000000"/>
                <w:kern w:val="0"/>
                <w:sz w:val="18"/>
                <w:szCs w:val="18"/>
              </w:rPr>
              <w:t>坝区耕地划入基本农田比例</w:t>
            </w:r>
          </w:p>
        </w:tc>
        <w:tc>
          <w:tcPr>
            <w:tcW w:w="1011" w:type="pct"/>
            <w:vAlign w:val="center"/>
          </w:tcPr>
          <w:p w14:paraId="401A3210">
            <w:pPr>
              <w:widowControl/>
              <w:jc w:val="center"/>
              <w:rPr>
                <w:rFonts w:ascii="宋体" w:hAnsi="宋体" w:cs="宋体"/>
                <w:color w:val="000000"/>
                <w:kern w:val="0"/>
                <w:sz w:val="18"/>
                <w:szCs w:val="18"/>
              </w:rPr>
            </w:pPr>
            <w:r>
              <w:rPr>
                <w:rFonts w:ascii="宋体" w:hAnsi="宋体" w:cs="宋体"/>
                <w:color w:val="000000"/>
                <w:kern w:val="0"/>
                <w:sz w:val="18"/>
                <w:szCs w:val="18"/>
              </w:rPr>
              <w:t>80%（全区）</w:t>
            </w:r>
          </w:p>
        </w:tc>
        <w:tc>
          <w:tcPr>
            <w:tcW w:w="1500" w:type="pct"/>
            <w:vAlign w:val="center"/>
          </w:tcPr>
          <w:p w14:paraId="7E7CEFFA">
            <w:pPr>
              <w:widowControl/>
              <w:jc w:val="center"/>
              <w:rPr>
                <w:rFonts w:ascii="宋体" w:hAnsi="宋体" w:cs="宋体"/>
                <w:color w:val="000000"/>
                <w:kern w:val="0"/>
                <w:sz w:val="18"/>
                <w:szCs w:val="18"/>
              </w:rPr>
            </w:pPr>
            <w:r>
              <w:rPr>
                <w:rFonts w:hint="eastAsia" w:ascii="宋体" w:hAnsi="宋体" w:cs="宋体"/>
                <w:color w:val="000000"/>
                <w:kern w:val="0"/>
                <w:sz w:val="18"/>
                <w:szCs w:val="18"/>
              </w:rPr>
              <w:t>83.36</w:t>
            </w:r>
            <w:r>
              <w:rPr>
                <w:rFonts w:ascii="宋体" w:hAnsi="宋体" w:cs="宋体"/>
                <w:color w:val="000000"/>
                <w:kern w:val="0"/>
                <w:sz w:val="18"/>
                <w:szCs w:val="18"/>
              </w:rPr>
              <w:t>%</w:t>
            </w:r>
          </w:p>
        </w:tc>
      </w:tr>
      <w:tr w14:paraId="7737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9" w:type="pct"/>
            <w:shd w:val="clear" w:color="auto" w:fill="auto"/>
            <w:vAlign w:val="center"/>
          </w:tcPr>
          <w:p w14:paraId="60E8A833">
            <w:pPr>
              <w:widowControl/>
              <w:jc w:val="center"/>
              <w:rPr>
                <w:rFonts w:ascii="宋体" w:hAnsi="宋体" w:cs="宋体"/>
                <w:color w:val="000000"/>
                <w:kern w:val="0"/>
                <w:sz w:val="18"/>
                <w:szCs w:val="18"/>
              </w:rPr>
            </w:pPr>
            <w:r>
              <w:rPr>
                <w:rFonts w:ascii="宋体" w:hAnsi="宋体" w:cs="宋体"/>
                <w:color w:val="000000"/>
                <w:kern w:val="0"/>
                <w:sz w:val="18"/>
                <w:szCs w:val="18"/>
              </w:rPr>
              <w:t>坝区建设用地总规模</w:t>
            </w:r>
          </w:p>
        </w:tc>
        <w:tc>
          <w:tcPr>
            <w:tcW w:w="1011" w:type="pct"/>
            <w:vAlign w:val="center"/>
          </w:tcPr>
          <w:p w14:paraId="7662C4C7">
            <w:pPr>
              <w:widowControl/>
              <w:jc w:val="center"/>
              <w:rPr>
                <w:rFonts w:ascii="宋体" w:hAnsi="宋体" w:cs="宋体"/>
                <w:color w:val="000000"/>
                <w:kern w:val="0"/>
                <w:sz w:val="18"/>
                <w:szCs w:val="18"/>
              </w:rPr>
            </w:pPr>
            <w:r>
              <w:rPr>
                <w:rFonts w:ascii="宋体" w:hAnsi="宋体" w:cs="宋体"/>
                <w:color w:val="000000"/>
                <w:kern w:val="0"/>
                <w:sz w:val="18"/>
                <w:szCs w:val="18"/>
              </w:rPr>
              <w:t>—</w:t>
            </w:r>
          </w:p>
        </w:tc>
        <w:tc>
          <w:tcPr>
            <w:tcW w:w="1500" w:type="pct"/>
            <w:vAlign w:val="center"/>
          </w:tcPr>
          <w:p w14:paraId="6B5CEFF4">
            <w:pPr>
              <w:widowControl/>
              <w:jc w:val="center"/>
              <w:rPr>
                <w:rFonts w:ascii="宋体" w:hAnsi="宋体" w:cs="宋体"/>
                <w:color w:val="000000"/>
                <w:kern w:val="0"/>
                <w:sz w:val="18"/>
                <w:szCs w:val="18"/>
              </w:rPr>
            </w:pPr>
            <w:r>
              <w:rPr>
                <w:rFonts w:ascii="宋体" w:hAnsi="宋体" w:cs="宋体"/>
                <w:color w:val="000000"/>
                <w:kern w:val="0"/>
                <w:sz w:val="18"/>
                <w:szCs w:val="18"/>
              </w:rPr>
              <w:t>695.79</w:t>
            </w:r>
          </w:p>
        </w:tc>
      </w:tr>
      <w:tr w14:paraId="70B9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9" w:type="pct"/>
            <w:shd w:val="clear" w:color="auto" w:fill="auto"/>
            <w:vAlign w:val="center"/>
          </w:tcPr>
          <w:p w14:paraId="6E8DE129">
            <w:pPr>
              <w:widowControl/>
              <w:jc w:val="center"/>
              <w:rPr>
                <w:rFonts w:ascii="宋体" w:hAnsi="宋体" w:cs="宋体"/>
                <w:color w:val="000000"/>
                <w:kern w:val="0"/>
                <w:sz w:val="18"/>
                <w:szCs w:val="18"/>
              </w:rPr>
            </w:pPr>
            <w:r>
              <w:rPr>
                <w:rFonts w:ascii="宋体" w:hAnsi="宋体" w:cs="宋体"/>
                <w:color w:val="000000"/>
                <w:kern w:val="0"/>
                <w:sz w:val="18"/>
                <w:szCs w:val="18"/>
              </w:rPr>
              <w:t>坝区新增建设用地面积</w:t>
            </w:r>
          </w:p>
        </w:tc>
        <w:tc>
          <w:tcPr>
            <w:tcW w:w="1011" w:type="pct"/>
            <w:vAlign w:val="center"/>
          </w:tcPr>
          <w:p w14:paraId="702707A9">
            <w:pPr>
              <w:widowControl/>
              <w:jc w:val="center"/>
              <w:rPr>
                <w:rFonts w:ascii="宋体" w:hAnsi="宋体" w:cs="宋体"/>
                <w:color w:val="000000"/>
                <w:kern w:val="0"/>
                <w:sz w:val="18"/>
                <w:szCs w:val="18"/>
              </w:rPr>
            </w:pPr>
            <w:r>
              <w:rPr>
                <w:rFonts w:ascii="宋体" w:hAnsi="宋体" w:cs="宋体"/>
                <w:color w:val="000000"/>
                <w:kern w:val="0"/>
                <w:sz w:val="18"/>
                <w:szCs w:val="18"/>
              </w:rPr>
              <w:t>—</w:t>
            </w:r>
          </w:p>
        </w:tc>
        <w:tc>
          <w:tcPr>
            <w:tcW w:w="1500" w:type="pct"/>
            <w:vAlign w:val="center"/>
          </w:tcPr>
          <w:p w14:paraId="3E8A21C2">
            <w:pPr>
              <w:widowControl/>
              <w:jc w:val="center"/>
              <w:rPr>
                <w:rFonts w:ascii="宋体" w:hAnsi="宋体" w:cs="宋体"/>
                <w:color w:val="000000"/>
                <w:kern w:val="0"/>
                <w:sz w:val="18"/>
                <w:szCs w:val="18"/>
              </w:rPr>
            </w:pPr>
            <w:r>
              <w:rPr>
                <w:rFonts w:ascii="宋体" w:hAnsi="宋体" w:cs="宋体"/>
                <w:color w:val="000000"/>
                <w:kern w:val="0"/>
                <w:sz w:val="18"/>
                <w:szCs w:val="18"/>
              </w:rPr>
              <w:t>422.76</w:t>
            </w:r>
          </w:p>
        </w:tc>
      </w:tr>
      <w:tr w14:paraId="74CB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9" w:type="pct"/>
            <w:shd w:val="clear" w:color="auto" w:fill="auto"/>
            <w:vAlign w:val="center"/>
          </w:tcPr>
          <w:p w14:paraId="47B70CE2">
            <w:pPr>
              <w:widowControl/>
              <w:jc w:val="center"/>
              <w:rPr>
                <w:rFonts w:ascii="宋体" w:hAnsi="宋体" w:cs="宋体"/>
                <w:color w:val="000000"/>
                <w:kern w:val="0"/>
                <w:sz w:val="18"/>
                <w:szCs w:val="18"/>
              </w:rPr>
            </w:pPr>
            <w:r>
              <w:rPr>
                <w:rFonts w:ascii="宋体" w:hAnsi="宋体" w:cs="宋体"/>
                <w:color w:val="000000"/>
                <w:kern w:val="0"/>
                <w:sz w:val="18"/>
                <w:szCs w:val="18"/>
              </w:rPr>
              <w:t>坝区新增建设用地占区域新增建设用地比例</w:t>
            </w:r>
          </w:p>
        </w:tc>
        <w:tc>
          <w:tcPr>
            <w:tcW w:w="1011" w:type="pct"/>
            <w:vAlign w:val="center"/>
          </w:tcPr>
          <w:p w14:paraId="04757502">
            <w:pPr>
              <w:widowControl/>
              <w:jc w:val="center"/>
              <w:rPr>
                <w:rFonts w:ascii="宋体" w:hAnsi="宋体" w:cs="宋体"/>
                <w:color w:val="000000"/>
                <w:kern w:val="0"/>
                <w:sz w:val="18"/>
                <w:szCs w:val="18"/>
              </w:rPr>
            </w:pPr>
            <w:r>
              <w:rPr>
                <w:rFonts w:ascii="宋体" w:hAnsi="宋体" w:cs="宋体"/>
                <w:color w:val="000000"/>
                <w:kern w:val="0"/>
                <w:sz w:val="18"/>
                <w:szCs w:val="18"/>
              </w:rPr>
              <w:t>—</w:t>
            </w:r>
          </w:p>
        </w:tc>
        <w:tc>
          <w:tcPr>
            <w:tcW w:w="1500" w:type="pct"/>
            <w:vAlign w:val="center"/>
          </w:tcPr>
          <w:p w14:paraId="384D4C44">
            <w:pPr>
              <w:widowControl/>
              <w:jc w:val="center"/>
              <w:rPr>
                <w:rFonts w:ascii="宋体" w:hAnsi="宋体" w:cs="宋体"/>
                <w:color w:val="000000"/>
                <w:kern w:val="0"/>
                <w:sz w:val="18"/>
                <w:szCs w:val="18"/>
              </w:rPr>
            </w:pPr>
            <w:r>
              <w:rPr>
                <w:rFonts w:ascii="宋体" w:hAnsi="宋体" w:cs="宋体"/>
                <w:color w:val="000000"/>
                <w:kern w:val="0"/>
                <w:sz w:val="18"/>
                <w:szCs w:val="18"/>
              </w:rPr>
              <w:t>26.76%</w:t>
            </w:r>
          </w:p>
        </w:tc>
      </w:tr>
      <w:tr w14:paraId="34D4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9" w:type="pct"/>
            <w:shd w:val="clear" w:color="auto" w:fill="auto"/>
            <w:vAlign w:val="center"/>
          </w:tcPr>
          <w:p w14:paraId="41D2515A">
            <w:pPr>
              <w:widowControl/>
              <w:jc w:val="center"/>
              <w:rPr>
                <w:rFonts w:ascii="宋体" w:hAnsi="宋体" w:cs="宋体"/>
                <w:color w:val="000000"/>
                <w:kern w:val="0"/>
                <w:sz w:val="18"/>
                <w:szCs w:val="18"/>
              </w:rPr>
            </w:pPr>
            <w:r>
              <w:rPr>
                <w:rFonts w:ascii="宋体" w:hAnsi="宋体" w:cs="宋体"/>
                <w:color w:val="000000"/>
                <w:kern w:val="0"/>
                <w:sz w:val="18"/>
                <w:szCs w:val="18"/>
              </w:rPr>
              <w:t>坝区新增建设占用耕地</w:t>
            </w:r>
          </w:p>
        </w:tc>
        <w:tc>
          <w:tcPr>
            <w:tcW w:w="1011" w:type="pct"/>
            <w:vAlign w:val="center"/>
          </w:tcPr>
          <w:p w14:paraId="642215FE">
            <w:pPr>
              <w:widowControl/>
              <w:jc w:val="center"/>
              <w:rPr>
                <w:rFonts w:ascii="宋体" w:hAnsi="宋体" w:cs="宋体"/>
                <w:color w:val="000000"/>
                <w:kern w:val="0"/>
                <w:sz w:val="18"/>
                <w:szCs w:val="18"/>
              </w:rPr>
            </w:pPr>
            <w:r>
              <w:rPr>
                <w:rFonts w:ascii="宋体" w:hAnsi="宋体" w:cs="宋体"/>
                <w:color w:val="000000"/>
                <w:kern w:val="0"/>
                <w:sz w:val="18"/>
                <w:szCs w:val="18"/>
              </w:rPr>
              <w:t>—</w:t>
            </w:r>
          </w:p>
        </w:tc>
        <w:tc>
          <w:tcPr>
            <w:tcW w:w="1500" w:type="pct"/>
            <w:vAlign w:val="center"/>
          </w:tcPr>
          <w:p w14:paraId="71C15D63">
            <w:pPr>
              <w:widowControl/>
              <w:jc w:val="center"/>
              <w:rPr>
                <w:rFonts w:ascii="宋体" w:hAnsi="宋体" w:cs="宋体"/>
                <w:color w:val="000000"/>
                <w:kern w:val="0"/>
                <w:sz w:val="18"/>
                <w:szCs w:val="18"/>
              </w:rPr>
            </w:pPr>
            <w:r>
              <w:rPr>
                <w:rFonts w:ascii="宋体" w:hAnsi="宋体" w:cs="宋体"/>
                <w:color w:val="000000"/>
                <w:kern w:val="0"/>
                <w:sz w:val="18"/>
                <w:szCs w:val="18"/>
              </w:rPr>
              <w:t>172.13</w:t>
            </w:r>
          </w:p>
        </w:tc>
      </w:tr>
    </w:tbl>
    <w:p w14:paraId="4061F766">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三、现行规划建设用地管制分区情况</w:t>
      </w:r>
    </w:p>
    <w:p w14:paraId="189B91D4">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现行规划划定建设用地边界，形成允许建设区、有条件建设区、限制建设区和禁止建设区4个区域，其中允许建设区5219</w:t>
      </w:r>
      <w:r>
        <w:rPr>
          <w:rFonts w:ascii="仿宋_GB2312" w:hAnsi="宋体" w:eastAsia="仿宋_GB2312"/>
          <w:sz w:val="28"/>
          <w:szCs w:val="28"/>
        </w:rPr>
        <w:t>公顷，占全区土地总面积的</w:t>
      </w:r>
      <w:r>
        <w:rPr>
          <w:rFonts w:hint="eastAsia" w:ascii="仿宋_GB2312" w:hAnsi="宋体" w:eastAsia="仿宋_GB2312"/>
          <w:sz w:val="28"/>
          <w:szCs w:val="28"/>
        </w:rPr>
        <w:t>2.80</w:t>
      </w:r>
      <w:r>
        <w:rPr>
          <w:rFonts w:ascii="仿宋_GB2312" w:hAnsi="宋体" w:eastAsia="仿宋_GB2312"/>
          <w:sz w:val="28"/>
          <w:szCs w:val="28"/>
        </w:rPr>
        <w:t>%；有条件建设区</w:t>
      </w:r>
      <w:r>
        <w:rPr>
          <w:rFonts w:hint="eastAsia" w:ascii="仿宋_GB2312" w:hAnsi="宋体" w:eastAsia="仿宋_GB2312"/>
          <w:sz w:val="28"/>
          <w:szCs w:val="28"/>
        </w:rPr>
        <w:t>1780</w:t>
      </w:r>
      <w:r>
        <w:rPr>
          <w:rFonts w:ascii="仿宋_GB2312" w:hAnsi="宋体" w:eastAsia="仿宋_GB2312"/>
          <w:sz w:val="28"/>
          <w:szCs w:val="28"/>
        </w:rPr>
        <w:t>公顷，占全区土地总面积的0.9</w:t>
      </w:r>
      <w:r>
        <w:rPr>
          <w:rFonts w:hint="eastAsia" w:ascii="仿宋_GB2312" w:hAnsi="宋体" w:eastAsia="仿宋_GB2312"/>
          <w:sz w:val="28"/>
          <w:szCs w:val="28"/>
        </w:rPr>
        <w:t>5</w:t>
      </w:r>
      <w:r>
        <w:rPr>
          <w:rFonts w:ascii="仿宋_GB2312" w:hAnsi="宋体" w:eastAsia="仿宋_GB2312"/>
          <w:sz w:val="28"/>
          <w:szCs w:val="28"/>
        </w:rPr>
        <w:t>%；限制建设区</w:t>
      </w:r>
      <w:r>
        <w:rPr>
          <w:rFonts w:hint="eastAsia" w:ascii="仿宋_GB2312" w:hAnsi="宋体" w:eastAsia="仿宋_GB2312"/>
          <w:sz w:val="28"/>
          <w:szCs w:val="28"/>
        </w:rPr>
        <w:t>169533</w:t>
      </w:r>
      <w:r>
        <w:rPr>
          <w:rFonts w:ascii="仿宋_GB2312" w:hAnsi="宋体" w:eastAsia="仿宋_GB2312"/>
          <w:sz w:val="28"/>
          <w:szCs w:val="28"/>
        </w:rPr>
        <w:t>公顷，占全区土地总面积的90.</w:t>
      </w:r>
      <w:r>
        <w:rPr>
          <w:rFonts w:hint="eastAsia" w:ascii="仿宋_GB2312" w:hAnsi="宋体" w:eastAsia="仿宋_GB2312"/>
          <w:sz w:val="28"/>
          <w:szCs w:val="28"/>
        </w:rPr>
        <w:t>87</w:t>
      </w:r>
      <w:r>
        <w:rPr>
          <w:rFonts w:ascii="仿宋_GB2312" w:hAnsi="宋体" w:eastAsia="仿宋_GB2312"/>
          <w:sz w:val="28"/>
          <w:szCs w:val="28"/>
        </w:rPr>
        <w:t>%；禁止建设区10038.00公顷，占全区土地总面积的</w:t>
      </w:r>
      <w:r>
        <w:rPr>
          <w:rFonts w:hint="eastAsia" w:ascii="仿宋_GB2312" w:hAnsi="宋体" w:eastAsia="仿宋_GB2312"/>
          <w:sz w:val="28"/>
          <w:szCs w:val="28"/>
        </w:rPr>
        <w:t>5.38</w:t>
      </w:r>
      <w:r>
        <w:rPr>
          <w:rFonts w:ascii="仿宋_GB2312" w:hAnsi="宋体" w:eastAsia="仿宋_GB2312"/>
          <w:sz w:val="28"/>
          <w:szCs w:val="28"/>
        </w:rPr>
        <w:t>%。</w:t>
      </w:r>
    </w:p>
    <w:p w14:paraId="7BB69208">
      <w:pPr>
        <w:jc w:val="center"/>
        <w:outlineLvl w:val="4"/>
        <w:rPr>
          <w:rFonts w:ascii="宋体" w:hAnsi="宋体"/>
          <w:b/>
          <w:sz w:val="24"/>
        </w:rPr>
      </w:pPr>
      <w:r>
        <w:rPr>
          <w:rFonts w:ascii="宋体" w:hAnsi="宋体"/>
          <w:b/>
          <w:sz w:val="24"/>
        </w:rPr>
        <w:t>表3-</w:t>
      </w:r>
      <w:r>
        <w:rPr>
          <w:rFonts w:hint="eastAsia" w:ascii="宋体" w:hAnsi="宋体"/>
          <w:b/>
          <w:sz w:val="24"/>
        </w:rPr>
        <w:t>3</w:t>
      </w:r>
      <w:r>
        <w:rPr>
          <w:rFonts w:ascii="宋体" w:hAnsi="宋体"/>
          <w:b/>
          <w:sz w:val="24"/>
        </w:rPr>
        <w:t xml:space="preserve">  东川区建设用地管制区面积统计表</w:t>
      </w:r>
    </w:p>
    <w:p w14:paraId="4CAC73B2">
      <w:pPr>
        <w:spacing w:line="360" w:lineRule="auto"/>
        <w:ind w:firstLine="600"/>
        <w:jc w:val="right"/>
        <w:rPr>
          <w:rFonts w:ascii="宋体" w:hAnsi="宋体"/>
          <w:color w:val="000000"/>
          <w:sz w:val="18"/>
          <w:szCs w:val="18"/>
        </w:rPr>
      </w:pPr>
      <w:r>
        <w:rPr>
          <w:rFonts w:ascii="宋体" w:hAnsi="宋体"/>
          <w:color w:val="000000"/>
          <w:sz w:val="18"/>
          <w:szCs w:val="18"/>
        </w:rPr>
        <w:t>单位：公顷</w:t>
      </w:r>
    </w:p>
    <w:tbl>
      <w:tblPr>
        <w:tblStyle w:val="27"/>
        <w:tblW w:w="4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3"/>
        <w:gridCol w:w="2598"/>
        <w:gridCol w:w="2059"/>
      </w:tblGrid>
      <w:tr w14:paraId="61F7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2082" w:type="pct"/>
            <w:vAlign w:val="center"/>
          </w:tcPr>
          <w:p w14:paraId="479273D0">
            <w:pPr>
              <w:jc w:val="center"/>
              <w:rPr>
                <w:rFonts w:ascii="宋体" w:hAnsi="宋体" w:cs="宋体"/>
                <w:b/>
                <w:color w:val="000000"/>
                <w:kern w:val="0"/>
                <w:sz w:val="18"/>
                <w:szCs w:val="18"/>
              </w:rPr>
            </w:pPr>
            <w:r>
              <w:rPr>
                <w:rFonts w:ascii="宋体" w:hAnsi="宋体" w:cs="宋体"/>
                <w:b/>
                <w:color w:val="000000"/>
                <w:kern w:val="0"/>
                <w:sz w:val="18"/>
                <w:szCs w:val="18"/>
              </w:rPr>
              <w:t>建设用地空间管制分区</w:t>
            </w:r>
          </w:p>
        </w:tc>
        <w:tc>
          <w:tcPr>
            <w:tcW w:w="1628" w:type="pct"/>
            <w:shd w:val="clear" w:color="auto" w:fill="auto"/>
            <w:vAlign w:val="center"/>
          </w:tcPr>
          <w:p w14:paraId="30016D25">
            <w:pPr>
              <w:widowControl/>
              <w:jc w:val="center"/>
              <w:rPr>
                <w:rFonts w:ascii="宋体" w:hAnsi="宋体" w:cs="宋体"/>
                <w:b/>
                <w:color w:val="000000"/>
                <w:kern w:val="0"/>
                <w:sz w:val="18"/>
                <w:szCs w:val="18"/>
              </w:rPr>
            </w:pPr>
            <w:r>
              <w:rPr>
                <w:rFonts w:ascii="宋体" w:hAnsi="宋体" w:cs="宋体"/>
                <w:b/>
                <w:color w:val="000000"/>
                <w:kern w:val="0"/>
                <w:sz w:val="18"/>
                <w:szCs w:val="18"/>
              </w:rPr>
              <w:t>面积</w:t>
            </w:r>
          </w:p>
        </w:tc>
        <w:tc>
          <w:tcPr>
            <w:tcW w:w="1290" w:type="pct"/>
            <w:shd w:val="clear" w:color="auto" w:fill="auto"/>
            <w:vAlign w:val="center"/>
          </w:tcPr>
          <w:p w14:paraId="3960724D">
            <w:pPr>
              <w:widowControl/>
              <w:jc w:val="center"/>
              <w:rPr>
                <w:rFonts w:ascii="宋体" w:hAnsi="宋体" w:cs="宋体"/>
                <w:b/>
                <w:color w:val="000000"/>
                <w:kern w:val="0"/>
                <w:sz w:val="18"/>
                <w:szCs w:val="18"/>
              </w:rPr>
            </w:pPr>
            <w:r>
              <w:rPr>
                <w:rFonts w:ascii="宋体" w:hAnsi="宋体" w:cs="宋体"/>
                <w:b/>
                <w:color w:val="000000"/>
                <w:kern w:val="0"/>
                <w:sz w:val="18"/>
                <w:szCs w:val="18"/>
              </w:rPr>
              <w:t>比例</w:t>
            </w:r>
          </w:p>
        </w:tc>
      </w:tr>
      <w:tr w14:paraId="7F2A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82" w:type="pct"/>
            <w:shd w:val="clear" w:color="auto" w:fill="auto"/>
            <w:vAlign w:val="center"/>
          </w:tcPr>
          <w:p w14:paraId="45EB9C66">
            <w:pPr>
              <w:widowControl/>
              <w:jc w:val="center"/>
              <w:rPr>
                <w:rFonts w:ascii="宋体" w:hAnsi="宋体" w:cs="宋体"/>
                <w:color w:val="000000"/>
                <w:kern w:val="0"/>
                <w:sz w:val="18"/>
                <w:szCs w:val="18"/>
              </w:rPr>
            </w:pPr>
            <w:r>
              <w:rPr>
                <w:rFonts w:ascii="宋体" w:hAnsi="宋体" w:cs="宋体"/>
                <w:color w:val="000000"/>
                <w:kern w:val="0"/>
                <w:sz w:val="18"/>
                <w:szCs w:val="18"/>
              </w:rPr>
              <w:t>允许建设区</w:t>
            </w:r>
          </w:p>
        </w:tc>
        <w:tc>
          <w:tcPr>
            <w:tcW w:w="1628" w:type="pct"/>
            <w:shd w:val="clear" w:color="auto" w:fill="auto"/>
            <w:vAlign w:val="bottom"/>
          </w:tcPr>
          <w:p w14:paraId="5085DFCF">
            <w:pPr>
              <w:widowControl/>
              <w:jc w:val="center"/>
              <w:rPr>
                <w:rFonts w:ascii="宋体" w:hAnsi="宋体" w:cs="宋体"/>
                <w:color w:val="000000"/>
                <w:kern w:val="0"/>
                <w:sz w:val="18"/>
                <w:szCs w:val="18"/>
              </w:rPr>
            </w:pPr>
            <w:r>
              <w:rPr>
                <w:rFonts w:hint="eastAsia" w:ascii="宋体" w:hAnsi="宋体" w:cs="宋体"/>
                <w:color w:val="000000"/>
                <w:kern w:val="0"/>
                <w:sz w:val="18"/>
                <w:szCs w:val="18"/>
              </w:rPr>
              <w:t>5219</w:t>
            </w:r>
          </w:p>
        </w:tc>
        <w:tc>
          <w:tcPr>
            <w:tcW w:w="1290" w:type="pct"/>
            <w:shd w:val="clear" w:color="auto" w:fill="auto"/>
            <w:vAlign w:val="bottom"/>
          </w:tcPr>
          <w:p w14:paraId="69B07EF1">
            <w:pPr>
              <w:widowControl/>
              <w:jc w:val="center"/>
              <w:rPr>
                <w:rFonts w:ascii="宋体" w:hAnsi="宋体" w:cs="宋体"/>
                <w:color w:val="000000"/>
                <w:kern w:val="0"/>
                <w:sz w:val="18"/>
                <w:szCs w:val="18"/>
              </w:rPr>
            </w:pPr>
            <w:r>
              <w:rPr>
                <w:rFonts w:ascii="宋体" w:hAnsi="宋体" w:cs="宋体"/>
                <w:color w:val="000000"/>
                <w:kern w:val="0"/>
                <w:sz w:val="18"/>
                <w:szCs w:val="18"/>
              </w:rPr>
              <w:t>2.</w:t>
            </w:r>
            <w:r>
              <w:rPr>
                <w:rFonts w:hint="eastAsia" w:ascii="宋体" w:hAnsi="宋体" w:cs="宋体"/>
                <w:color w:val="000000"/>
                <w:kern w:val="0"/>
                <w:sz w:val="18"/>
                <w:szCs w:val="18"/>
              </w:rPr>
              <w:t>8</w:t>
            </w:r>
            <w:r>
              <w:rPr>
                <w:rFonts w:ascii="宋体" w:hAnsi="宋体"/>
                <w:color w:val="000000"/>
                <w:sz w:val="18"/>
                <w:szCs w:val="18"/>
              </w:rPr>
              <w:t>%</w:t>
            </w:r>
          </w:p>
        </w:tc>
      </w:tr>
      <w:tr w14:paraId="4F05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82" w:type="pct"/>
            <w:shd w:val="clear" w:color="auto" w:fill="auto"/>
            <w:vAlign w:val="center"/>
          </w:tcPr>
          <w:p w14:paraId="7CF32CA4">
            <w:pPr>
              <w:widowControl/>
              <w:jc w:val="center"/>
              <w:rPr>
                <w:rFonts w:ascii="宋体" w:hAnsi="宋体" w:cs="宋体"/>
                <w:color w:val="000000"/>
                <w:kern w:val="0"/>
                <w:sz w:val="18"/>
                <w:szCs w:val="18"/>
              </w:rPr>
            </w:pPr>
            <w:r>
              <w:rPr>
                <w:rFonts w:ascii="宋体" w:hAnsi="宋体" w:cs="宋体"/>
                <w:color w:val="000000"/>
                <w:kern w:val="0"/>
                <w:sz w:val="18"/>
                <w:szCs w:val="18"/>
              </w:rPr>
              <w:t>有条件建设区</w:t>
            </w:r>
          </w:p>
        </w:tc>
        <w:tc>
          <w:tcPr>
            <w:tcW w:w="1628" w:type="pct"/>
            <w:shd w:val="clear" w:color="auto" w:fill="auto"/>
            <w:vAlign w:val="bottom"/>
          </w:tcPr>
          <w:p w14:paraId="549455F2">
            <w:pPr>
              <w:widowControl/>
              <w:jc w:val="center"/>
              <w:rPr>
                <w:rFonts w:ascii="宋体" w:hAnsi="宋体" w:cs="宋体"/>
                <w:color w:val="000000"/>
                <w:kern w:val="0"/>
                <w:sz w:val="18"/>
                <w:szCs w:val="18"/>
              </w:rPr>
            </w:pPr>
            <w:r>
              <w:rPr>
                <w:rFonts w:hint="eastAsia" w:ascii="宋体" w:hAnsi="宋体" w:cs="宋体"/>
                <w:color w:val="000000"/>
                <w:kern w:val="0"/>
                <w:sz w:val="18"/>
                <w:szCs w:val="18"/>
              </w:rPr>
              <w:t>1780</w:t>
            </w:r>
          </w:p>
        </w:tc>
        <w:tc>
          <w:tcPr>
            <w:tcW w:w="1290" w:type="pct"/>
            <w:shd w:val="clear" w:color="auto" w:fill="auto"/>
            <w:vAlign w:val="bottom"/>
          </w:tcPr>
          <w:p w14:paraId="3A35A84A">
            <w:pPr>
              <w:widowControl/>
              <w:jc w:val="center"/>
              <w:rPr>
                <w:rFonts w:ascii="宋体" w:hAnsi="宋体" w:cs="宋体"/>
                <w:color w:val="000000"/>
                <w:kern w:val="0"/>
                <w:sz w:val="18"/>
                <w:szCs w:val="18"/>
              </w:rPr>
            </w:pPr>
            <w:r>
              <w:rPr>
                <w:rFonts w:ascii="宋体" w:hAnsi="宋体" w:cs="宋体"/>
                <w:color w:val="000000"/>
                <w:kern w:val="0"/>
                <w:sz w:val="18"/>
                <w:szCs w:val="18"/>
              </w:rPr>
              <w:t>0.95</w:t>
            </w:r>
            <w:r>
              <w:rPr>
                <w:rFonts w:ascii="宋体" w:hAnsi="宋体"/>
                <w:color w:val="000000"/>
                <w:sz w:val="18"/>
                <w:szCs w:val="18"/>
              </w:rPr>
              <w:t>%</w:t>
            </w:r>
          </w:p>
        </w:tc>
      </w:tr>
      <w:tr w14:paraId="1C08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82" w:type="pct"/>
            <w:shd w:val="clear" w:color="auto" w:fill="auto"/>
            <w:vAlign w:val="center"/>
          </w:tcPr>
          <w:p w14:paraId="53BB8255">
            <w:pPr>
              <w:widowControl/>
              <w:jc w:val="center"/>
              <w:rPr>
                <w:rFonts w:ascii="宋体" w:hAnsi="宋体" w:cs="宋体"/>
                <w:color w:val="000000"/>
                <w:kern w:val="0"/>
                <w:sz w:val="18"/>
                <w:szCs w:val="18"/>
              </w:rPr>
            </w:pPr>
            <w:r>
              <w:rPr>
                <w:rFonts w:ascii="宋体" w:hAnsi="宋体" w:cs="宋体"/>
                <w:color w:val="000000"/>
                <w:kern w:val="0"/>
                <w:sz w:val="18"/>
                <w:szCs w:val="18"/>
              </w:rPr>
              <w:t>限制建设区</w:t>
            </w:r>
          </w:p>
        </w:tc>
        <w:tc>
          <w:tcPr>
            <w:tcW w:w="1628" w:type="pct"/>
            <w:shd w:val="clear" w:color="auto" w:fill="auto"/>
            <w:vAlign w:val="bottom"/>
          </w:tcPr>
          <w:p w14:paraId="58EE5DB5">
            <w:pPr>
              <w:widowControl/>
              <w:jc w:val="center"/>
              <w:rPr>
                <w:rFonts w:ascii="宋体" w:hAnsi="宋体" w:cs="宋体"/>
                <w:color w:val="000000"/>
                <w:kern w:val="0"/>
                <w:sz w:val="18"/>
                <w:szCs w:val="18"/>
              </w:rPr>
            </w:pPr>
            <w:r>
              <w:rPr>
                <w:rFonts w:hint="eastAsia" w:ascii="宋体" w:hAnsi="宋体" w:cs="宋体"/>
                <w:color w:val="000000"/>
                <w:kern w:val="0"/>
                <w:sz w:val="18"/>
                <w:szCs w:val="18"/>
              </w:rPr>
              <w:t>169533</w:t>
            </w:r>
          </w:p>
        </w:tc>
        <w:tc>
          <w:tcPr>
            <w:tcW w:w="1290" w:type="pct"/>
            <w:shd w:val="clear" w:color="auto" w:fill="auto"/>
            <w:vAlign w:val="bottom"/>
          </w:tcPr>
          <w:p w14:paraId="09F97A6E">
            <w:pPr>
              <w:widowControl/>
              <w:jc w:val="center"/>
              <w:rPr>
                <w:rFonts w:ascii="宋体" w:hAnsi="宋体" w:cs="宋体"/>
                <w:color w:val="000000"/>
                <w:kern w:val="0"/>
                <w:sz w:val="18"/>
                <w:szCs w:val="18"/>
              </w:rPr>
            </w:pPr>
            <w:r>
              <w:rPr>
                <w:rFonts w:ascii="宋体" w:hAnsi="宋体" w:cs="宋体"/>
                <w:color w:val="000000"/>
                <w:kern w:val="0"/>
                <w:sz w:val="18"/>
                <w:szCs w:val="18"/>
              </w:rPr>
              <w:t>90.</w:t>
            </w:r>
            <w:r>
              <w:rPr>
                <w:rFonts w:hint="eastAsia" w:ascii="宋体" w:hAnsi="宋体" w:cs="宋体"/>
                <w:color w:val="000000"/>
                <w:kern w:val="0"/>
                <w:sz w:val="18"/>
                <w:szCs w:val="18"/>
              </w:rPr>
              <w:t>87</w:t>
            </w:r>
            <w:r>
              <w:rPr>
                <w:rFonts w:ascii="宋体" w:hAnsi="宋体"/>
                <w:color w:val="000000"/>
                <w:sz w:val="18"/>
                <w:szCs w:val="18"/>
              </w:rPr>
              <w:t>%</w:t>
            </w:r>
          </w:p>
        </w:tc>
      </w:tr>
      <w:tr w14:paraId="38AB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82" w:type="pct"/>
            <w:shd w:val="clear" w:color="auto" w:fill="auto"/>
            <w:vAlign w:val="center"/>
          </w:tcPr>
          <w:p w14:paraId="5909B70F">
            <w:pPr>
              <w:widowControl/>
              <w:jc w:val="center"/>
              <w:rPr>
                <w:rFonts w:ascii="宋体" w:hAnsi="宋体" w:cs="宋体"/>
                <w:color w:val="000000"/>
                <w:kern w:val="0"/>
                <w:sz w:val="18"/>
                <w:szCs w:val="18"/>
              </w:rPr>
            </w:pPr>
            <w:r>
              <w:rPr>
                <w:rFonts w:ascii="宋体" w:hAnsi="宋体" w:cs="宋体"/>
                <w:color w:val="000000"/>
                <w:kern w:val="0"/>
                <w:sz w:val="18"/>
                <w:szCs w:val="18"/>
              </w:rPr>
              <w:t>禁止建设区</w:t>
            </w:r>
          </w:p>
        </w:tc>
        <w:tc>
          <w:tcPr>
            <w:tcW w:w="1628" w:type="pct"/>
            <w:shd w:val="clear" w:color="auto" w:fill="auto"/>
            <w:vAlign w:val="bottom"/>
          </w:tcPr>
          <w:p w14:paraId="09232F1C">
            <w:pPr>
              <w:widowControl/>
              <w:jc w:val="center"/>
              <w:rPr>
                <w:rFonts w:ascii="宋体" w:hAnsi="宋体" w:cs="宋体"/>
                <w:color w:val="000000"/>
                <w:kern w:val="0"/>
                <w:sz w:val="18"/>
                <w:szCs w:val="18"/>
              </w:rPr>
            </w:pPr>
            <w:r>
              <w:rPr>
                <w:rFonts w:hint="eastAsia" w:ascii="宋体" w:hAnsi="宋体" w:cs="宋体"/>
                <w:color w:val="000000"/>
                <w:kern w:val="0"/>
                <w:sz w:val="18"/>
                <w:szCs w:val="18"/>
              </w:rPr>
              <w:t>10038</w:t>
            </w:r>
          </w:p>
        </w:tc>
        <w:tc>
          <w:tcPr>
            <w:tcW w:w="1290" w:type="pct"/>
            <w:shd w:val="clear" w:color="auto" w:fill="auto"/>
            <w:vAlign w:val="bottom"/>
          </w:tcPr>
          <w:p w14:paraId="4F49C2C8">
            <w:pPr>
              <w:widowControl/>
              <w:jc w:val="center"/>
              <w:rPr>
                <w:rFonts w:ascii="宋体" w:hAnsi="宋体" w:cs="宋体"/>
                <w:color w:val="000000"/>
                <w:kern w:val="0"/>
                <w:sz w:val="18"/>
                <w:szCs w:val="18"/>
              </w:rPr>
            </w:pPr>
            <w:r>
              <w:rPr>
                <w:rFonts w:ascii="宋体" w:hAnsi="宋体" w:cs="宋体"/>
                <w:color w:val="000000"/>
                <w:kern w:val="0"/>
                <w:sz w:val="18"/>
                <w:szCs w:val="18"/>
              </w:rPr>
              <w:t>5.38</w:t>
            </w:r>
            <w:r>
              <w:rPr>
                <w:rFonts w:ascii="宋体" w:hAnsi="宋体"/>
                <w:color w:val="000000"/>
                <w:sz w:val="18"/>
                <w:szCs w:val="18"/>
              </w:rPr>
              <w:t>%</w:t>
            </w:r>
          </w:p>
        </w:tc>
      </w:tr>
      <w:tr w14:paraId="54B6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82" w:type="pct"/>
            <w:shd w:val="clear" w:color="auto" w:fill="auto"/>
            <w:vAlign w:val="center"/>
          </w:tcPr>
          <w:p w14:paraId="4459F020">
            <w:pPr>
              <w:widowControl/>
              <w:jc w:val="center"/>
              <w:rPr>
                <w:rFonts w:ascii="宋体" w:hAnsi="宋体" w:cs="宋体"/>
                <w:color w:val="000000"/>
                <w:kern w:val="0"/>
                <w:sz w:val="18"/>
                <w:szCs w:val="18"/>
              </w:rPr>
            </w:pPr>
            <w:r>
              <w:rPr>
                <w:rFonts w:ascii="宋体" w:hAnsi="宋体" w:cs="宋体"/>
                <w:color w:val="000000"/>
                <w:kern w:val="0"/>
                <w:sz w:val="18"/>
                <w:szCs w:val="18"/>
              </w:rPr>
              <w:t>东川区</w:t>
            </w:r>
          </w:p>
        </w:tc>
        <w:tc>
          <w:tcPr>
            <w:tcW w:w="1628" w:type="pct"/>
            <w:shd w:val="clear" w:color="auto" w:fill="auto"/>
            <w:vAlign w:val="bottom"/>
          </w:tcPr>
          <w:p w14:paraId="643DD66E">
            <w:pPr>
              <w:widowControl/>
              <w:jc w:val="center"/>
              <w:rPr>
                <w:rFonts w:ascii="宋体" w:hAnsi="宋体" w:cs="宋体"/>
                <w:color w:val="000000"/>
                <w:kern w:val="0"/>
                <w:sz w:val="18"/>
                <w:szCs w:val="18"/>
              </w:rPr>
            </w:pPr>
            <w:r>
              <w:rPr>
                <w:rFonts w:ascii="宋体" w:hAnsi="宋体" w:cs="宋体"/>
                <w:color w:val="000000"/>
                <w:kern w:val="0"/>
                <w:sz w:val="18"/>
                <w:szCs w:val="18"/>
              </w:rPr>
              <w:t>186569.81</w:t>
            </w:r>
          </w:p>
        </w:tc>
        <w:tc>
          <w:tcPr>
            <w:tcW w:w="1290" w:type="pct"/>
            <w:shd w:val="clear" w:color="auto" w:fill="auto"/>
            <w:vAlign w:val="bottom"/>
          </w:tcPr>
          <w:p w14:paraId="2D1ABB39">
            <w:pPr>
              <w:widowControl/>
              <w:jc w:val="center"/>
              <w:rPr>
                <w:rFonts w:ascii="宋体" w:hAnsi="宋体" w:cs="宋体"/>
                <w:color w:val="000000"/>
                <w:kern w:val="0"/>
                <w:sz w:val="18"/>
                <w:szCs w:val="18"/>
              </w:rPr>
            </w:pPr>
            <w:r>
              <w:rPr>
                <w:rFonts w:ascii="宋体" w:hAnsi="宋体" w:cs="宋体"/>
                <w:color w:val="000000"/>
                <w:kern w:val="0"/>
                <w:sz w:val="18"/>
                <w:szCs w:val="18"/>
              </w:rPr>
              <w:t>100.00</w:t>
            </w:r>
            <w:r>
              <w:rPr>
                <w:rFonts w:ascii="宋体" w:hAnsi="宋体"/>
                <w:color w:val="000000"/>
                <w:sz w:val="18"/>
                <w:szCs w:val="18"/>
              </w:rPr>
              <w:t>%</w:t>
            </w:r>
          </w:p>
        </w:tc>
      </w:tr>
    </w:tbl>
    <w:p w14:paraId="4F1C3D67">
      <w:pPr>
        <w:pStyle w:val="4"/>
        <w:spacing w:before="0" w:after="0" w:line="480" w:lineRule="auto"/>
        <w:rPr>
          <w:rFonts w:ascii="Arial" w:hAnsi="Arial" w:eastAsia="黑体"/>
          <w:b w:val="0"/>
          <w:color w:val="000000"/>
          <w:sz w:val="28"/>
          <w:szCs w:val="28"/>
        </w:rPr>
      </w:pPr>
      <w:bookmarkStart w:id="67" w:name="_Toc429571995"/>
      <w:bookmarkStart w:id="68" w:name="_Toc461358545"/>
      <w:bookmarkStart w:id="69" w:name="_Toc434593401"/>
      <w:r>
        <w:rPr>
          <w:rFonts w:hint="eastAsia" w:ascii="Arial" w:hAnsi="Arial" w:eastAsia="黑体"/>
          <w:b w:val="0"/>
          <w:color w:val="000000"/>
          <w:sz w:val="28"/>
          <w:szCs w:val="28"/>
        </w:rPr>
        <w:t>四、现行规划</w:t>
      </w:r>
      <w:r>
        <w:rPr>
          <w:rFonts w:ascii="Arial" w:hAnsi="Arial" w:eastAsia="黑体"/>
          <w:b w:val="0"/>
          <w:color w:val="000000"/>
          <w:sz w:val="28"/>
          <w:szCs w:val="28"/>
        </w:rPr>
        <w:t>土地用途区</w:t>
      </w:r>
      <w:bookmarkEnd w:id="67"/>
      <w:bookmarkEnd w:id="68"/>
      <w:bookmarkEnd w:id="69"/>
    </w:p>
    <w:p w14:paraId="0D95D00F">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现行规划将东川区土地划分为八个土地用途区，分别为</w:t>
      </w:r>
      <w:r>
        <w:rPr>
          <w:rFonts w:ascii="仿宋_GB2312" w:hAnsi="宋体" w:eastAsia="仿宋_GB2312"/>
          <w:sz w:val="28"/>
          <w:szCs w:val="28"/>
        </w:rPr>
        <w:t>基本农田保护区</w:t>
      </w:r>
      <w:r>
        <w:rPr>
          <w:rFonts w:hint="eastAsia" w:ascii="仿宋_GB2312" w:hAnsi="宋体" w:eastAsia="仿宋_GB2312"/>
          <w:sz w:val="28"/>
          <w:szCs w:val="28"/>
        </w:rPr>
        <w:t>33592.23</w:t>
      </w:r>
      <w:r>
        <w:rPr>
          <w:rFonts w:ascii="仿宋_GB2312" w:hAnsi="宋体" w:eastAsia="仿宋_GB2312"/>
          <w:sz w:val="28"/>
          <w:szCs w:val="28"/>
        </w:rPr>
        <w:t>公顷，占全区土地总面积的18.0</w:t>
      </w:r>
      <w:r>
        <w:rPr>
          <w:rFonts w:hint="eastAsia" w:ascii="仿宋_GB2312" w:hAnsi="宋体" w:eastAsia="仿宋_GB2312"/>
          <w:sz w:val="28"/>
          <w:szCs w:val="28"/>
        </w:rPr>
        <w:t>1</w:t>
      </w:r>
      <w:r>
        <w:rPr>
          <w:rFonts w:ascii="仿宋_GB2312" w:hAnsi="宋体" w:eastAsia="仿宋_GB2312"/>
          <w:sz w:val="28"/>
          <w:szCs w:val="28"/>
        </w:rPr>
        <w:t>%；划定一般农地区</w:t>
      </w:r>
      <w:r>
        <w:rPr>
          <w:rFonts w:hint="eastAsia" w:ascii="仿宋_GB2312" w:hAnsi="宋体" w:eastAsia="仿宋_GB2312"/>
          <w:sz w:val="28"/>
          <w:szCs w:val="28"/>
        </w:rPr>
        <w:t>8429.11</w:t>
      </w:r>
      <w:r>
        <w:rPr>
          <w:rFonts w:ascii="仿宋_GB2312" w:hAnsi="宋体" w:eastAsia="仿宋_GB2312"/>
          <w:sz w:val="28"/>
          <w:szCs w:val="28"/>
        </w:rPr>
        <w:t>公顷，占全区土地总面积的4.52%；划定城镇</w:t>
      </w:r>
      <w:r>
        <w:rPr>
          <w:rFonts w:hint="eastAsia" w:ascii="仿宋_GB2312" w:hAnsi="宋体" w:eastAsia="仿宋_GB2312"/>
          <w:sz w:val="28"/>
          <w:szCs w:val="28"/>
        </w:rPr>
        <w:t>村</w:t>
      </w:r>
      <w:r>
        <w:rPr>
          <w:rFonts w:ascii="仿宋_GB2312" w:hAnsi="宋体" w:eastAsia="仿宋_GB2312"/>
          <w:sz w:val="28"/>
          <w:szCs w:val="28"/>
        </w:rPr>
        <w:t>建设用地区</w:t>
      </w:r>
      <w:r>
        <w:rPr>
          <w:rFonts w:hint="eastAsia" w:ascii="仿宋_GB2312" w:hAnsi="宋体" w:eastAsia="仿宋_GB2312"/>
          <w:sz w:val="28"/>
          <w:szCs w:val="28"/>
        </w:rPr>
        <w:t>4610.01</w:t>
      </w:r>
      <w:r>
        <w:rPr>
          <w:rFonts w:ascii="仿宋_GB2312" w:hAnsi="宋体" w:eastAsia="仿宋_GB2312"/>
          <w:sz w:val="28"/>
          <w:szCs w:val="28"/>
        </w:rPr>
        <w:t>公顷，占全区土地总面积的</w:t>
      </w:r>
      <w:r>
        <w:rPr>
          <w:rFonts w:hint="eastAsia" w:ascii="仿宋_GB2312" w:hAnsi="宋体" w:eastAsia="仿宋_GB2312"/>
          <w:sz w:val="28"/>
          <w:szCs w:val="28"/>
        </w:rPr>
        <w:t>2.4</w:t>
      </w:r>
      <w:r>
        <w:rPr>
          <w:rFonts w:ascii="仿宋_GB2312" w:hAnsi="宋体" w:eastAsia="仿宋_GB2312"/>
          <w:sz w:val="28"/>
          <w:szCs w:val="28"/>
        </w:rPr>
        <w:t>7%；划定独立工矿区</w:t>
      </w:r>
      <w:r>
        <w:rPr>
          <w:rFonts w:hint="eastAsia" w:ascii="仿宋_GB2312" w:hAnsi="宋体" w:eastAsia="仿宋_GB2312"/>
          <w:sz w:val="28"/>
          <w:szCs w:val="28"/>
        </w:rPr>
        <w:t>610.12</w:t>
      </w:r>
      <w:r>
        <w:rPr>
          <w:rFonts w:ascii="仿宋_GB2312" w:hAnsi="宋体" w:eastAsia="仿宋_GB2312"/>
          <w:sz w:val="28"/>
          <w:szCs w:val="28"/>
        </w:rPr>
        <w:t>公顷，占全区土地总面积的0.33%；划定风景旅游用地区</w:t>
      </w:r>
      <w:r>
        <w:rPr>
          <w:rFonts w:hint="eastAsia" w:ascii="仿宋_GB2312" w:hAnsi="宋体" w:eastAsia="仿宋_GB2312"/>
          <w:sz w:val="28"/>
          <w:szCs w:val="28"/>
        </w:rPr>
        <w:t>139.82</w:t>
      </w:r>
      <w:r>
        <w:rPr>
          <w:rFonts w:ascii="仿宋_GB2312" w:hAnsi="宋体" w:eastAsia="仿宋_GB2312"/>
          <w:sz w:val="28"/>
          <w:szCs w:val="28"/>
        </w:rPr>
        <w:t>公顷，占全区土地总面积的0.07%；划定林业用地区</w:t>
      </w:r>
      <w:r>
        <w:rPr>
          <w:rFonts w:hint="eastAsia" w:ascii="仿宋_GB2312" w:hAnsi="宋体" w:eastAsia="仿宋_GB2312"/>
          <w:sz w:val="28"/>
          <w:szCs w:val="28"/>
        </w:rPr>
        <w:t>61805.67</w:t>
      </w:r>
      <w:r>
        <w:rPr>
          <w:rFonts w:ascii="仿宋_GB2312" w:hAnsi="宋体" w:eastAsia="仿宋_GB2312"/>
          <w:sz w:val="28"/>
          <w:szCs w:val="28"/>
        </w:rPr>
        <w:t>公顷，占全区土地总面积的33.13%；划定低丘缓坡土地综合开发利用区</w:t>
      </w:r>
      <w:r>
        <w:rPr>
          <w:rFonts w:hint="eastAsia" w:ascii="仿宋_GB2312" w:hAnsi="宋体" w:eastAsia="仿宋_GB2312"/>
          <w:sz w:val="28"/>
          <w:szCs w:val="28"/>
        </w:rPr>
        <w:t>931.84</w:t>
      </w:r>
      <w:r>
        <w:rPr>
          <w:rFonts w:ascii="仿宋_GB2312" w:hAnsi="宋体" w:eastAsia="仿宋_GB2312"/>
          <w:sz w:val="28"/>
          <w:szCs w:val="28"/>
        </w:rPr>
        <w:t>公顷，占全区土地总面积0.50%；除以上用途区外还有其他用地</w:t>
      </w:r>
      <w:r>
        <w:rPr>
          <w:rFonts w:hint="eastAsia" w:ascii="仿宋_GB2312" w:hAnsi="宋体" w:eastAsia="仿宋_GB2312"/>
          <w:sz w:val="28"/>
          <w:szCs w:val="28"/>
        </w:rPr>
        <w:t>76451.01</w:t>
      </w:r>
      <w:r>
        <w:rPr>
          <w:rFonts w:ascii="仿宋_GB2312" w:hAnsi="宋体" w:eastAsia="仿宋_GB2312"/>
          <w:sz w:val="28"/>
          <w:szCs w:val="28"/>
        </w:rPr>
        <w:t>公顷，占全区土地总面积的40.98%。</w:t>
      </w:r>
    </w:p>
    <w:p w14:paraId="2946B80E">
      <w:pPr>
        <w:spacing w:line="360" w:lineRule="auto"/>
        <w:ind w:firstLine="560" w:firstLineChars="200"/>
        <w:rPr>
          <w:rFonts w:ascii="仿宋_GB2312" w:hAnsi="宋体" w:eastAsia="仿宋_GB2312"/>
          <w:sz w:val="28"/>
          <w:szCs w:val="28"/>
        </w:rPr>
      </w:pPr>
    </w:p>
    <w:p w14:paraId="5E2A2D27">
      <w:pPr>
        <w:spacing w:line="360" w:lineRule="auto"/>
        <w:ind w:firstLine="560" w:firstLineChars="200"/>
        <w:rPr>
          <w:rFonts w:ascii="仿宋_GB2312" w:hAnsi="宋体" w:eastAsia="仿宋_GB2312"/>
          <w:sz w:val="28"/>
          <w:szCs w:val="28"/>
        </w:rPr>
      </w:pPr>
    </w:p>
    <w:p w14:paraId="4710A393">
      <w:pPr>
        <w:spacing w:line="360" w:lineRule="auto"/>
        <w:ind w:firstLine="560" w:firstLineChars="200"/>
        <w:rPr>
          <w:rFonts w:ascii="仿宋_GB2312" w:hAnsi="宋体" w:eastAsia="仿宋_GB2312"/>
          <w:sz w:val="28"/>
          <w:szCs w:val="28"/>
        </w:rPr>
      </w:pPr>
    </w:p>
    <w:p w14:paraId="1163983F">
      <w:pPr>
        <w:jc w:val="center"/>
        <w:outlineLvl w:val="4"/>
        <w:rPr>
          <w:rFonts w:ascii="宋体" w:hAnsi="宋体"/>
          <w:b/>
          <w:sz w:val="24"/>
        </w:rPr>
      </w:pPr>
      <w:r>
        <w:rPr>
          <w:rFonts w:ascii="宋体" w:hAnsi="宋体"/>
          <w:b/>
          <w:sz w:val="24"/>
        </w:rPr>
        <w:t>表3-</w:t>
      </w:r>
      <w:r>
        <w:rPr>
          <w:rFonts w:hint="eastAsia" w:ascii="宋体" w:hAnsi="宋体"/>
          <w:b/>
          <w:sz w:val="24"/>
        </w:rPr>
        <w:t>4</w:t>
      </w:r>
      <w:r>
        <w:rPr>
          <w:rFonts w:ascii="宋体" w:hAnsi="宋体"/>
          <w:b/>
          <w:sz w:val="24"/>
        </w:rPr>
        <w:t xml:space="preserve">  东川区土地用途分区面积统计表</w:t>
      </w:r>
    </w:p>
    <w:p w14:paraId="1B2ABBA5">
      <w:pPr>
        <w:spacing w:line="360" w:lineRule="auto"/>
        <w:ind w:firstLine="600"/>
        <w:jc w:val="right"/>
        <w:rPr>
          <w:rFonts w:ascii="宋体" w:hAnsi="宋体"/>
          <w:color w:val="000000"/>
          <w:sz w:val="18"/>
          <w:szCs w:val="18"/>
        </w:rPr>
      </w:pPr>
    </w:p>
    <w:tbl>
      <w:tblPr>
        <w:tblStyle w:val="27"/>
        <w:tblW w:w="7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9"/>
        <w:gridCol w:w="2552"/>
        <w:gridCol w:w="2409"/>
      </w:tblGrid>
      <w:tr w14:paraId="60C4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989" w:type="dxa"/>
            <w:vAlign w:val="center"/>
          </w:tcPr>
          <w:p w14:paraId="39F906C8">
            <w:pPr>
              <w:jc w:val="center"/>
              <w:rPr>
                <w:rFonts w:ascii="宋体" w:hAnsi="宋体" w:cs="宋体"/>
                <w:b/>
                <w:bCs/>
                <w:color w:val="000000"/>
                <w:kern w:val="0"/>
                <w:sz w:val="18"/>
                <w:szCs w:val="18"/>
              </w:rPr>
            </w:pPr>
            <w:r>
              <w:rPr>
                <w:rFonts w:hint="eastAsia" w:ascii="宋体" w:hAnsi="宋体" w:cs="宋体"/>
                <w:b/>
                <w:bCs/>
                <w:color w:val="000000"/>
                <w:kern w:val="0"/>
                <w:sz w:val="18"/>
                <w:szCs w:val="18"/>
              </w:rPr>
              <w:t>土地用途分区</w:t>
            </w:r>
          </w:p>
        </w:tc>
        <w:tc>
          <w:tcPr>
            <w:tcW w:w="2552" w:type="dxa"/>
            <w:shd w:val="clear" w:color="auto" w:fill="auto"/>
            <w:noWrap/>
            <w:vAlign w:val="center"/>
          </w:tcPr>
          <w:p w14:paraId="7306971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2409" w:type="dxa"/>
            <w:shd w:val="clear" w:color="auto" w:fill="auto"/>
            <w:noWrap/>
            <w:vAlign w:val="center"/>
          </w:tcPr>
          <w:p w14:paraId="3193CBBC">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r>
      <w:tr w14:paraId="6947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989" w:type="dxa"/>
            <w:shd w:val="clear" w:color="auto" w:fill="auto"/>
            <w:noWrap/>
            <w:vAlign w:val="center"/>
          </w:tcPr>
          <w:p w14:paraId="3DCB7D0B">
            <w:pPr>
              <w:widowControl/>
              <w:jc w:val="center"/>
              <w:rPr>
                <w:rFonts w:ascii="宋体" w:hAnsi="宋体" w:cs="宋体"/>
                <w:color w:val="000000"/>
                <w:kern w:val="0"/>
                <w:sz w:val="18"/>
                <w:szCs w:val="18"/>
              </w:rPr>
            </w:pPr>
            <w:r>
              <w:rPr>
                <w:rFonts w:hint="eastAsia" w:ascii="宋体" w:hAnsi="宋体" w:cs="宋体"/>
                <w:color w:val="000000"/>
                <w:kern w:val="0"/>
                <w:sz w:val="18"/>
                <w:szCs w:val="18"/>
              </w:rPr>
              <w:t>基本农田保护区</w:t>
            </w:r>
          </w:p>
        </w:tc>
        <w:tc>
          <w:tcPr>
            <w:tcW w:w="2552" w:type="dxa"/>
            <w:shd w:val="clear" w:color="auto" w:fill="auto"/>
            <w:noWrap/>
            <w:vAlign w:val="center"/>
          </w:tcPr>
          <w:p w14:paraId="03FA227C">
            <w:pPr>
              <w:widowControl/>
              <w:jc w:val="center"/>
              <w:rPr>
                <w:rFonts w:ascii="宋体" w:hAnsi="宋体" w:cs="宋体"/>
                <w:color w:val="000000"/>
                <w:kern w:val="0"/>
                <w:sz w:val="18"/>
                <w:szCs w:val="18"/>
              </w:rPr>
            </w:pPr>
            <w:r>
              <w:rPr>
                <w:rFonts w:hint="eastAsia" w:ascii="宋体" w:hAnsi="宋体" w:cs="宋体"/>
                <w:color w:val="000000"/>
                <w:kern w:val="0"/>
                <w:sz w:val="18"/>
                <w:szCs w:val="18"/>
              </w:rPr>
              <w:t>33592.23</w:t>
            </w:r>
          </w:p>
        </w:tc>
        <w:tc>
          <w:tcPr>
            <w:tcW w:w="2409" w:type="dxa"/>
            <w:shd w:val="clear" w:color="auto" w:fill="auto"/>
            <w:noWrap/>
            <w:vAlign w:val="bottom"/>
          </w:tcPr>
          <w:p w14:paraId="029751D0">
            <w:pPr>
              <w:widowControl/>
              <w:jc w:val="center"/>
              <w:rPr>
                <w:rFonts w:ascii="宋体" w:hAnsi="宋体" w:cs="宋体"/>
                <w:color w:val="000000"/>
                <w:kern w:val="0"/>
                <w:sz w:val="18"/>
                <w:szCs w:val="18"/>
              </w:rPr>
            </w:pPr>
            <w:r>
              <w:rPr>
                <w:rFonts w:hint="eastAsia" w:ascii="宋体" w:hAnsi="宋体" w:cs="宋体"/>
                <w:color w:val="000000"/>
                <w:kern w:val="0"/>
                <w:sz w:val="18"/>
                <w:szCs w:val="18"/>
              </w:rPr>
              <w:t>18.01%</w:t>
            </w:r>
          </w:p>
        </w:tc>
      </w:tr>
      <w:tr w14:paraId="69CD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989" w:type="dxa"/>
            <w:shd w:val="clear" w:color="auto" w:fill="auto"/>
            <w:noWrap/>
            <w:vAlign w:val="center"/>
          </w:tcPr>
          <w:p w14:paraId="1C0A03EE">
            <w:pPr>
              <w:widowControl/>
              <w:jc w:val="center"/>
              <w:rPr>
                <w:rFonts w:ascii="宋体" w:hAnsi="宋体" w:cs="宋体"/>
                <w:color w:val="000000"/>
                <w:kern w:val="0"/>
                <w:sz w:val="18"/>
                <w:szCs w:val="18"/>
              </w:rPr>
            </w:pPr>
            <w:r>
              <w:rPr>
                <w:rFonts w:hint="eastAsia" w:ascii="宋体" w:hAnsi="宋体" w:cs="宋体"/>
                <w:color w:val="000000"/>
                <w:kern w:val="0"/>
                <w:sz w:val="18"/>
                <w:szCs w:val="18"/>
              </w:rPr>
              <w:t>一般农地区</w:t>
            </w:r>
          </w:p>
        </w:tc>
        <w:tc>
          <w:tcPr>
            <w:tcW w:w="2552" w:type="dxa"/>
            <w:shd w:val="clear" w:color="auto" w:fill="auto"/>
            <w:noWrap/>
            <w:vAlign w:val="center"/>
          </w:tcPr>
          <w:p w14:paraId="70E3D348">
            <w:pPr>
              <w:widowControl/>
              <w:jc w:val="center"/>
              <w:rPr>
                <w:rFonts w:ascii="宋体" w:hAnsi="宋体" w:cs="宋体"/>
                <w:color w:val="000000"/>
                <w:kern w:val="0"/>
                <w:sz w:val="18"/>
                <w:szCs w:val="18"/>
              </w:rPr>
            </w:pPr>
            <w:r>
              <w:rPr>
                <w:rFonts w:hint="eastAsia" w:ascii="宋体" w:hAnsi="宋体" w:cs="宋体"/>
                <w:color w:val="000000"/>
                <w:kern w:val="0"/>
                <w:sz w:val="18"/>
                <w:szCs w:val="18"/>
              </w:rPr>
              <w:t>8429.11</w:t>
            </w:r>
          </w:p>
        </w:tc>
        <w:tc>
          <w:tcPr>
            <w:tcW w:w="2409" w:type="dxa"/>
            <w:shd w:val="clear" w:color="auto" w:fill="auto"/>
            <w:noWrap/>
            <w:vAlign w:val="bottom"/>
          </w:tcPr>
          <w:p w14:paraId="05FC718C">
            <w:pPr>
              <w:widowControl/>
              <w:jc w:val="center"/>
              <w:rPr>
                <w:rFonts w:ascii="宋体" w:hAnsi="宋体" w:cs="宋体"/>
                <w:color w:val="000000"/>
                <w:kern w:val="0"/>
                <w:sz w:val="18"/>
                <w:szCs w:val="18"/>
              </w:rPr>
            </w:pPr>
            <w:r>
              <w:rPr>
                <w:rFonts w:hint="eastAsia" w:ascii="宋体" w:hAnsi="宋体" w:cs="宋体"/>
                <w:color w:val="000000"/>
                <w:kern w:val="0"/>
                <w:sz w:val="18"/>
                <w:szCs w:val="18"/>
              </w:rPr>
              <w:t>4.52%</w:t>
            </w:r>
          </w:p>
        </w:tc>
      </w:tr>
      <w:tr w14:paraId="1AFE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989" w:type="dxa"/>
            <w:shd w:val="clear" w:color="auto" w:fill="auto"/>
            <w:noWrap/>
            <w:vAlign w:val="center"/>
          </w:tcPr>
          <w:p w14:paraId="63E6EF4C">
            <w:pPr>
              <w:widowControl/>
              <w:jc w:val="center"/>
              <w:rPr>
                <w:rFonts w:ascii="宋体" w:hAnsi="宋体" w:cs="宋体"/>
                <w:color w:val="000000"/>
                <w:kern w:val="0"/>
                <w:sz w:val="18"/>
                <w:szCs w:val="18"/>
              </w:rPr>
            </w:pPr>
            <w:r>
              <w:rPr>
                <w:rFonts w:hint="eastAsia" w:ascii="宋体" w:hAnsi="宋体" w:cs="宋体"/>
                <w:color w:val="000000"/>
                <w:kern w:val="0"/>
                <w:sz w:val="18"/>
                <w:szCs w:val="18"/>
              </w:rPr>
              <w:t>城镇村建设用地区</w:t>
            </w:r>
          </w:p>
        </w:tc>
        <w:tc>
          <w:tcPr>
            <w:tcW w:w="2552" w:type="dxa"/>
            <w:shd w:val="clear" w:color="auto" w:fill="auto"/>
            <w:noWrap/>
            <w:vAlign w:val="center"/>
          </w:tcPr>
          <w:p w14:paraId="40D6989B">
            <w:pPr>
              <w:widowControl/>
              <w:jc w:val="center"/>
              <w:rPr>
                <w:rFonts w:ascii="宋体" w:hAnsi="宋体" w:cs="宋体"/>
                <w:color w:val="000000"/>
                <w:kern w:val="0"/>
                <w:sz w:val="18"/>
                <w:szCs w:val="18"/>
              </w:rPr>
            </w:pPr>
            <w:r>
              <w:rPr>
                <w:rFonts w:hint="eastAsia" w:ascii="宋体" w:hAnsi="宋体" w:cs="宋体"/>
                <w:color w:val="000000"/>
                <w:kern w:val="0"/>
                <w:sz w:val="18"/>
                <w:szCs w:val="18"/>
              </w:rPr>
              <w:t>4610.01</w:t>
            </w:r>
          </w:p>
        </w:tc>
        <w:tc>
          <w:tcPr>
            <w:tcW w:w="2409" w:type="dxa"/>
            <w:shd w:val="clear" w:color="auto" w:fill="auto"/>
            <w:noWrap/>
            <w:vAlign w:val="bottom"/>
          </w:tcPr>
          <w:p w14:paraId="36FAD6C5">
            <w:pPr>
              <w:widowControl/>
              <w:jc w:val="center"/>
              <w:rPr>
                <w:rFonts w:ascii="宋体" w:hAnsi="宋体" w:cs="宋体"/>
                <w:color w:val="000000"/>
                <w:kern w:val="0"/>
                <w:sz w:val="18"/>
                <w:szCs w:val="18"/>
              </w:rPr>
            </w:pPr>
            <w:r>
              <w:rPr>
                <w:rFonts w:hint="eastAsia" w:ascii="宋体" w:hAnsi="宋体" w:cs="宋体"/>
                <w:color w:val="000000"/>
                <w:kern w:val="0"/>
                <w:sz w:val="18"/>
                <w:szCs w:val="18"/>
              </w:rPr>
              <w:t>2.47%</w:t>
            </w:r>
          </w:p>
        </w:tc>
      </w:tr>
      <w:tr w14:paraId="2D0E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989" w:type="dxa"/>
            <w:shd w:val="clear" w:color="auto" w:fill="auto"/>
            <w:noWrap/>
            <w:vAlign w:val="center"/>
          </w:tcPr>
          <w:p w14:paraId="11490D0B">
            <w:pPr>
              <w:widowControl/>
              <w:jc w:val="center"/>
              <w:rPr>
                <w:rFonts w:ascii="宋体" w:hAnsi="宋体" w:cs="宋体"/>
                <w:color w:val="000000"/>
                <w:kern w:val="0"/>
                <w:sz w:val="18"/>
                <w:szCs w:val="18"/>
              </w:rPr>
            </w:pPr>
            <w:r>
              <w:rPr>
                <w:rFonts w:hint="eastAsia" w:ascii="宋体" w:hAnsi="宋体" w:cs="宋体"/>
                <w:color w:val="000000"/>
                <w:kern w:val="0"/>
                <w:sz w:val="18"/>
                <w:szCs w:val="18"/>
              </w:rPr>
              <w:t>独立工矿区</w:t>
            </w:r>
          </w:p>
        </w:tc>
        <w:tc>
          <w:tcPr>
            <w:tcW w:w="2552" w:type="dxa"/>
            <w:shd w:val="clear" w:color="auto" w:fill="auto"/>
            <w:vAlign w:val="center"/>
          </w:tcPr>
          <w:p w14:paraId="49A12F7E">
            <w:pPr>
              <w:widowControl/>
              <w:jc w:val="center"/>
              <w:rPr>
                <w:rFonts w:ascii="宋体" w:hAnsi="宋体" w:cs="宋体"/>
                <w:color w:val="000000"/>
                <w:kern w:val="0"/>
                <w:sz w:val="18"/>
                <w:szCs w:val="18"/>
              </w:rPr>
            </w:pPr>
            <w:r>
              <w:rPr>
                <w:rFonts w:hint="eastAsia" w:ascii="宋体" w:hAnsi="宋体" w:cs="宋体"/>
                <w:color w:val="000000"/>
                <w:kern w:val="0"/>
                <w:sz w:val="18"/>
                <w:szCs w:val="18"/>
              </w:rPr>
              <w:t>610.12</w:t>
            </w:r>
          </w:p>
        </w:tc>
        <w:tc>
          <w:tcPr>
            <w:tcW w:w="2409" w:type="dxa"/>
            <w:shd w:val="clear" w:color="auto" w:fill="auto"/>
            <w:noWrap/>
            <w:vAlign w:val="bottom"/>
          </w:tcPr>
          <w:p w14:paraId="1B4324B5">
            <w:pPr>
              <w:widowControl/>
              <w:jc w:val="center"/>
              <w:rPr>
                <w:rFonts w:ascii="宋体" w:hAnsi="宋体" w:cs="宋体"/>
                <w:color w:val="000000"/>
                <w:kern w:val="0"/>
                <w:sz w:val="18"/>
                <w:szCs w:val="18"/>
              </w:rPr>
            </w:pPr>
            <w:r>
              <w:rPr>
                <w:rFonts w:hint="eastAsia" w:ascii="宋体" w:hAnsi="宋体" w:cs="宋体"/>
                <w:color w:val="000000"/>
                <w:kern w:val="0"/>
                <w:sz w:val="18"/>
                <w:szCs w:val="18"/>
              </w:rPr>
              <w:t>0.33%</w:t>
            </w:r>
          </w:p>
        </w:tc>
      </w:tr>
      <w:tr w14:paraId="4DCF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989" w:type="dxa"/>
            <w:shd w:val="clear" w:color="auto" w:fill="auto"/>
            <w:noWrap/>
            <w:vAlign w:val="center"/>
          </w:tcPr>
          <w:p w14:paraId="44525311">
            <w:pPr>
              <w:widowControl/>
              <w:jc w:val="center"/>
              <w:rPr>
                <w:rFonts w:ascii="宋体" w:hAnsi="宋体" w:cs="宋体"/>
                <w:color w:val="000000"/>
                <w:kern w:val="0"/>
                <w:sz w:val="18"/>
                <w:szCs w:val="18"/>
              </w:rPr>
            </w:pPr>
            <w:r>
              <w:rPr>
                <w:rFonts w:hint="eastAsia" w:ascii="宋体" w:hAnsi="宋体" w:cs="宋体"/>
                <w:color w:val="000000"/>
                <w:kern w:val="0"/>
                <w:sz w:val="18"/>
                <w:szCs w:val="18"/>
              </w:rPr>
              <w:t>风景旅游用地区</w:t>
            </w:r>
          </w:p>
        </w:tc>
        <w:tc>
          <w:tcPr>
            <w:tcW w:w="2552" w:type="dxa"/>
            <w:shd w:val="clear" w:color="auto" w:fill="auto"/>
            <w:vAlign w:val="center"/>
          </w:tcPr>
          <w:p w14:paraId="014DD056">
            <w:pPr>
              <w:widowControl/>
              <w:jc w:val="center"/>
              <w:rPr>
                <w:rFonts w:ascii="宋体" w:hAnsi="宋体" w:cs="宋体"/>
                <w:color w:val="000000"/>
                <w:kern w:val="0"/>
                <w:sz w:val="18"/>
                <w:szCs w:val="18"/>
              </w:rPr>
            </w:pPr>
            <w:r>
              <w:rPr>
                <w:rFonts w:hint="eastAsia" w:ascii="宋体" w:hAnsi="宋体" w:cs="宋体"/>
                <w:color w:val="000000"/>
                <w:kern w:val="0"/>
                <w:sz w:val="18"/>
                <w:szCs w:val="18"/>
              </w:rPr>
              <w:t>139.82</w:t>
            </w:r>
          </w:p>
        </w:tc>
        <w:tc>
          <w:tcPr>
            <w:tcW w:w="2409" w:type="dxa"/>
            <w:shd w:val="clear" w:color="auto" w:fill="auto"/>
            <w:noWrap/>
            <w:vAlign w:val="bottom"/>
          </w:tcPr>
          <w:p w14:paraId="712F6482">
            <w:pPr>
              <w:widowControl/>
              <w:jc w:val="center"/>
              <w:rPr>
                <w:rFonts w:ascii="宋体" w:hAnsi="宋体" w:cs="宋体"/>
                <w:color w:val="000000"/>
                <w:kern w:val="0"/>
                <w:sz w:val="18"/>
                <w:szCs w:val="18"/>
              </w:rPr>
            </w:pPr>
            <w:r>
              <w:rPr>
                <w:rFonts w:hint="eastAsia" w:ascii="宋体" w:hAnsi="宋体" w:cs="宋体"/>
                <w:color w:val="000000"/>
                <w:kern w:val="0"/>
                <w:sz w:val="18"/>
                <w:szCs w:val="18"/>
              </w:rPr>
              <w:t>0.07%</w:t>
            </w:r>
          </w:p>
        </w:tc>
      </w:tr>
      <w:tr w14:paraId="0EAF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989" w:type="dxa"/>
            <w:shd w:val="clear" w:color="auto" w:fill="auto"/>
            <w:noWrap/>
            <w:vAlign w:val="center"/>
          </w:tcPr>
          <w:p w14:paraId="37FD2CB1">
            <w:pPr>
              <w:widowControl/>
              <w:jc w:val="center"/>
              <w:rPr>
                <w:rFonts w:ascii="宋体" w:hAnsi="宋体" w:cs="宋体"/>
                <w:color w:val="000000"/>
                <w:kern w:val="0"/>
                <w:sz w:val="18"/>
                <w:szCs w:val="18"/>
              </w:rPr>
            </w:pPr>
            <w:r>
              <w:rPr>
                <w:rFonts w:hint="eastAsia" w:ascii="宋体" w:hAnsi="宋体" w:cs="宋体"/>
                <w:color w:val="000000"/>
                <w:kern w:val="0"/>
                <w:sz w:val="18"/>
                <w:szCs w:val="18"/>
              </w:rPr>
              <w:t>林业用地区</w:t>
            </w:r>
          </w:p>
        </w:tc>
        <w:tc>
          <w:tcPr>
            <w:tcW w:w="2552" w:type="dxa"/>
            <w:shd w:val="clear" w:color="auto" w:fill="auto"/>
            <w:vAlign w:val="center"/>
          </w:tcPr>
          <w:p w14:paraId="164AF01E">
            <w:pPr>
              <w:widowControl/>
              <w:jc w:val="center"/>
              <w:rPr>
                <w:rFonts w:ascii="宋体" w:hAnsi="宋体" w:cs="宋体"/>
                <w:color w:val="000000"/>
                <w:kern w:val="0"/>
                <w:sz w:val="18"/>
                <w:szCs w:val="18"/>
              </w:rPr>
            </w:pPr>
            <w:r>
              <w:rPr>
                <w:rFonts w:hint="eastAsia" w:ascii="宋体" w:hAnsi="宋体" w:cs="宋体"/>
                <w:color w:val="000000"/>
                <w:kern w:val="0"/>
                <w:sz w:val="18"/>
                <w:szCs w:val="18"/>
              </w:rPr>
              <w:t>61805.67</w:t>
            </w:r>
          </w:p>
        </w:tc>
        <w:tc>
          <w:tcPr>
            <w:tcW w:w="2409" w:type="dxa"/>
            <w:shd w:val="clear" w:color="auto" w:fill="auto"/>
            <w:noWrap/>
            <w:vAlign w:val="bottom"/>
          </w:tcPr>
          <w:p w14:paraId="04D4981E">
            <w:pPr>
              <w:widowControl/>
              <w:jc w:val="center"/>
              <w:rPr>
                <w:rFonts w:ascii="宋体" w:hAnsi="宋体" w:cs="宋体"/>
                <w:color w:val="000000"/>
                <w:kern w:val="0"/>
                <w:sz w:val="18"/>
                <w:szCs w:val="18"/>
              </w:rPr>
            </w:pPr>
            <w:r>
              <w:rPr>
                <w:rFonts w:hint="eastAsia" w:ascii="宋体" w:hAnsi="宋体" w:cs="宋体"/>
                <w:color w:val="000000"/>
                <w:kern w:val="0"/>
                <w:sz w:val="18"/>
                <w:szCs w:val="18"/>
              </w:rPr>
              <w:t>33.13%</w:t>
            </w:r>
          </w:p>
        </w:tc>
      </w:tr>
      <w:tr w14:paraId="3F76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989" w:type="dxa"/>
            <w:shd w:val="clear" w:color="auto" w:fill="auto"/>
            <w:noWrap/>
            <w:vAlign w:val="center"/>
          </w:tcPr>
          <w:p w14:paraId="027E9327">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其他用地区</w:t>
            </w:r>
          </w:p>
        </w:tc>
        <w:tc>
          <w:tcPr>
            <w:tcW w:w="2552" w:type="dxa"/>
            <w:shd w:val="clear" w:color="auto" w:fill="auto"/>
            <w:noWrap/>
            <w:vAlign w:val="center"/>
          </w:tcPr>
          <w:p w14:paraId="7005A075">
            <w:pPr>
              <w:widowControl/>
              <w:jc w:val="center"/>
              <w:rPr>
                <w:rFonts w:ascii="宋体" w:hAnsi="宋体" w:cs="宋体"/>
                <w:color w:val="000000"/>
                <w:kern w:val="0"/>
                <w:sz w:val="18"/>
                <w:szCs w:val="18"/>
              </w:rPr>
            </w:pPr>
            <w:r>
              <w:rPr>
                <w:rFonts w:hint="eastAsia" w:ascii="宋体" w:hAnsi="宋体" w:cs="宋体"/>
                <w:color w:val="000000"/>
                <w:kern w:val="0"/>
                <w:sz w:val="18"/>
                <w:szCs w:val="18"/>
              </w:rPr>
              <w:t>76451.01</w:t>
            </w:r>
          </w:p>
        </w:tc>
        <w:tc>
          <w:tcPr>
            <w:tcW w:w="2409" w:type="dxa"/>
            <w:shd w:val="clear" w:color="auto" w:fill="auto"/>
            <w:noWrap/>
            <w:vAlign w:val="bottom"/>
          </w:tcPr>
          <w:p w14:paraId="56E215CD">
            <w:pPr>
              <w:widowControl/>
              <w:jc w:val="center"/>
              <w:rPr>
                <w:rFonts w:ascii="宋体" w:hAnsi="宋体" w:cs="宋体"/>
                <w:color w:val="000000"/>
                <w:kern w:val="0"/>
                <w:sz w:val="18"/>
                <w:szCs w:val="18"/>
              </w:rPr>
            </w:pPr>
            <w:r>
              <w:rPr>
                <w:rFonts w:hint="eastAsia" w:ascii="宋体" w:hAnsi="宋体" w:cs="宋体"/>
                <w:color w:val="000000"/>
                <w:kern w:val="0"/>
                <w:sz w:val="18"/>
                <w:szCs w:val="18"/>
              </w:rPr>
              <w:t>40.98%</w:t>
            </w:r>
          </w:p>
        </w:tc>
      </w:tr>
      <w:tr w14:paraId="4F2A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989" w:type="dxa"/>
            <w:shd w:val="clear" w:color="auto" w:fill="auto"/>
            <w:noWrap/>
            <w:vAlign w:val="center"/>
          </w:tcPr>
          <w:p w14:paraId="5994CE57">
            <w:pPr>
              <w:widowControl/>
              <w:jc w:val="center"/>
              <w:rPr>
                <w:rFonts w:ascii="宋体" w:hAnsi="宋体" w:cs="宋体"/>
                <w:color w:val="000000"/>
                <w:kern w:val="0"/>
                <w:sz w:val="18"/>
                <w:szCs w:val="18"/>
              </w:rPr>
            </w:pPr>
            <w:r>
              <w:rPr>
                <w:rFonts w:hint="eastAsia" w:ascii="宋体" w:hAnsi="宋体" w:cs="宋体"/>
                <w:color w:val="000000"/>
                <w:kern w:val="0"/>
                <w:sz w:val="18"/>
                <w:szCs w:val="18"/>
              </w:rPr>
              <w:t>低丘缓坡土地综合开发利用区</w:t>
            </w:r>
          </w:p>
        </w:tc>
        <w:tc>
          <w:tcPr>
            <w:tcW w:w="2552" w:type="dxa"/>
            <w:shd w:val="clear" w:color="auto" w:fill="auto"/>
            <w:vAlign w:val="center"/>
          </w:tcPr>
          <w:p w14:paraId="73C83F43">
            <w:pPr>
              <w:widowControl/>
              <w:jc w:val="center"/>
              <w:rPr>
                <w:rFonts w:ascii="宋体" w:hAnsi="宋体" w:cs="宋体"/>
                <w:color w:val="000000"/>
                <w:kern w:val="0"/>
                <w:sz w:val="18"/>
                <w:szCs w:val="18"/>
              </w:rPr>
            </w:pPr>
            <w:r>
              <w:rPr>
                <w:rFonts w:hint="eastAsia" w:ascii="宋体" w:hAnsi="宋体" w:cs="宋体"/>
                <w:color w:val="000000"/>
                <w:kern w:val="0"/>
                <w:sz w:val="18"/>
                <w:szCs w:val="18"/>
              </w:rPr>
              <w:t>931.84</w:t>
            </w:r>
          </w:p>
        </w:tc>
        <w:tc>
          <w:tcPr>
            <w:tcW w:w="2409" w:type="dxa"/>
            <w:shd w:val="clear" w:color="auto" w:fill="auto"/>
            <w:noWrap/>
            <w:vAlign w:val="bottom"/>
          </w:tcPr>
          <w:p w14:paraId="60EC0E35">
            <w:pPr>
              <w:widowControl/>
              <w:jc w:val="center"/>
              <w:rPr>
                <w:rFonts w:ascii="宋体" w:hAnsi="宋体" w:cs="宋体"/>
                <w:color w:val="000000"/>
                <w:kern w:val="0"/>
                <w:sz w:val="18"/>
                <w:szCs w:val="18"/>
              </w:rPr>
            </w:pPr>
            <w:r>
              <w:rPr>
                <w:rFonts w:hint="eastAsia" w:ascii="宋体" w:hAnsi="宋体" w:cs="宋体"/>
                <w:color w:val="000000"/>
                <w:kern w:val="0"/>
                <w:sz w:val="18"/>
                <w:szCs w:val="18"/>
              </w:rPr>
              <w:t>0.50%</w:t>
            </w:r>
          </w:p>
        </w:tc>
      </w:tr>
      <w:tr w14:paraId="265F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989" w:type="dxa"/>
            <w:shd w:val="clear" w:color="auto" w:fill="auto"/>
            <w:noWrap/>
            <w:vAlign w:val="center"/>
          </w:tcPr>
          <w:p w14:paraId="687CB08F">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2552" w:type="dxa"/>
            <w:shd w:val="clear" w:color="auto" w:fill="auto"/>
            <w:noWrap/>
            <w:vAlign w:val="center"/>
          </w:tcPr>
          <w:p w14:paraId="34884E1A">
            <w:pPr>
              <w:widowControl/>
              <w:jc w:val="center"/>
              <w:rPr>
                <w:rFonts w:ascii="宋体" w:hAnsi="宋体" w:cs="宋体"/>
                <w:color w:val="000000"/>
                <w:kern w:val="0"/>
                <w:sz w:val="18"/>
                <w:szCs w:val="18"/>
              </w:rPr>
            </w:pPr>
            <w:r>
              <w:rPr>
                <w:rFonts w:hint="eastAsia" w:ascii="宋体" w:hAnsi="宋体" w:cs="宋体"/>
                <w:color w:val="000000"/>
                <w:kern w:val="0"/>
                <w:sz w:val="18"/>
                <w:szCs w:val="18"/>
              </w:rPr>
              <w:t>186569.81</w:t>
            </w:r>
          </w:p>
        </w:tc>
        <w:tc>
          <w:tcPr>
            <w:tcW w:w="2409" w:type="dxa"/>
            <w:shd w:val="clear" w:color="auto" w:fill="auto"/>
            <w:noWrap/>
            <w:vAlign w:val="bottom"/>
          </w:tcPr>
          <w:p w14:paraId="54B14912">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r>
    </w:tbl>
    <w:p w14:paraId="0A7EA8F4">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五、现行规划重点项目规划情况</w:t>
      </w:r>
    </w:p>
    <w:p w14:paraId="5212EDFF">
      <w:pPr>
        <w:pStyle w:val="78"/>
        <w:ind w:firstLine="560"/>
        <w:rPr>
          <w:rFonts w:ascii="仿宋_GB2312" w:hAnsi="宋体" w:eastAsia="仿宋_GB2312"/>
          <w:b/>
          <w:sz w:val="28"/>
          <w:szCs w:val="28"/>
        </w:rPr>
      </w:pPr>
      <w:r>
        <w:rPr>
          <w:rFonts w:hint="eastAsia" w:ascii="仿宋_GB2312" w:eastAsia="仿宋_GB2312"/>
          <w:sz w:val="28"/>
          <w:szCs w:val="28"/>
        </w:rPr>
        <w:t>东川区土地利用总体规划共安排了72个重点建设项目，其中水利类项目1个、交通类项目18个、能源类项目2个、电力类项目46个、环保类项目1个、产业发展类4个。</w:t>
      </w:r>
    </w:p>
    <w:p w14:paraId="0A629B24">
      <w:pPr>
        <w:spacing w:beforeLines="100" w:afterLines="50" w:line="360" w:lineRule="auto"/>
        <w:jc w:val="center"/>
        <w:outlineLvl w:val="1"/>
        <w:rPr>
          <w:rFonts w:ascii="Arial" w:hAnsi="Arial" w:eastAsia="黑体"/>
          <w:bCs/>
          <w:color w:val="000000"/>
          <w:sz w:val="30"/>
          <w:szCs w:val="30"/>
        </w:rPr>
      </w:pPr>
      <w:bookmarkStart w:id="70" w:name="_Toc482867510"/>
      <w:bookmarkStart w:id="71" w:name="_Toc491074895"/>
      <w:r>
        <w:rPr>
          <w:rFonts w:hint="eastAsia" w:ascii="Arial" w:hAnsi="Arial" w:eastAsia="黑体"/>
          <w:bCs/>
          <w:color w:val="000000"/>
          <w:sz w:val="30"/>
          <w:szCs w:val="30"/>
        </w:rPr>
        <w:t>第二节  现行规划实施情况</w:t>
      </w:r>
      <w:bookmarkEnd w:id="70"/>
      <w:bookmarkEnd w:id="71"/>
    </w:p>
    <w:p w14:paraId="531DE83D">
      <w:pPr>
        <w:spacing w:line="360" w:lineRule="auto"/>
        <w:ind w:firstLine="560" w:firstLineChars="200"/>
        <w:rPr>
          <w:rFonts w:ascii="仿宋_GB2312" w:eastAsia="仿宋_GB2312"/>
          <w:sz w:val="28"/>
          <w:szCs w:val="28"/>
        </w:rPr>
      </w:pPr>
      <w:r>
        <w:rPr>
          <w:rFonts w:hint="eastAsia" w:ascii="仿宋_GB2312" w:eastAsia="仿宋_GB2312"/>
          <w:sz w:val="28"/>
          <w:szCs w:val="28"/>
        </w:rPr>
        <w:t>《东川区土地利用总体规划（2010-2020年）》于2012年6月经云南省人民政府批准实施以来，为满足东川区社会经济发展用地需求，更好的促进东川区社会经济发展，对社会经济发展中部分不符合土地利用总体规划的地块按照相关技术要求，编制了规划修改方案。截止到2014年年底，东川区编制了对门山项目区低丘缓坡土地综合开发试点项目实施方案、东川区碧谷-四方地项目区低丘缓坡土地综合开发利用试点项目实施方案以及昆明市倘甸马鬃岭风电场项目涉及寻甸县联合乡和东川区红土地镇土地利用总体规划（2010-2020年）修改方案（</w:t>
      </w:r>
      <w:r>
        <w:rPr>
          <w:rFonts w:ascii="仿宋_GB2312" w:eastAsia="仿宋_GB2312"/>
          <w:sz w:val="28"/>
          <w:szCs w:val="28"/>
        </w:rPr>
        <w:t>昆政复〔2014〕48号</w:t>
      </w:r>
      <w:r>
        <w:rPr>
          <w:rFonts w:hint="eastAsia" w:ascii="仿宋_GB2312" w:eastAsia="仿宋_GB2312"/>
          <w:sz w:val="28"/>
          <w:szCs w:val="28"/>
        </w:rPr>
        <w:t>）。规划实施以来，东川区主要用地指标执行情况如下表所示：</w:t>
      </w:r>
    </w:p>
    <w:p w14:paraId="15CD0BBD">
      <w:pPr>
        <w:spacing w:line="360" w:lineRule="auto"/>
        <w:ind w:firstLine="560" w:firstLineChars="200"/>
        <w:rPr>
          <w:rFonts w:ascii="仿宋_GB2312" w:eastAsia="仿宋_GB2312"/>
          <w:sz w:val="28"/>
          <w:szCs w:val="28"/>
        </w:rPr>
      </w:pPr>
    </w:p>
    <w:p w14:paraId="5BF2A1F2">
      <w:pPr>
        <w:spacing w:line="360" w:lineRule="auto"/>
        <w:ind w:firstLine="560" w:firstLineChars="200"/>
        <w:rPr>
          <w:rFonts w:ascii="仿宋_GB2312" w:eastAsia="仿宋_GB2312"/>
          <w:sz w:val="28"/>
          <w:szCs w:val="28"/>
        </w:rPr>
      </w:pPr>
    </w:p>
    <w:p w14:paraId="1EEE49F0">
      <w:pPr>
        <w:jc w:val="center"/>
        <w:outlineLvl w:val="4"/>
        <w:rPr>
          <w:rFonts w:ascii="宋体" w:hAnsi="宋体"/>
          <w:b/>
          <w:sz w:val="24"/>
        </w:rPr>
      </w:pPr>
      <w:r>
        <w:rPr>
          <w:rFonts w:hint="eastAsia" w:ascii="宋体" w:hAnsi="宋体"/>
          <w:b/>
          <w:sz w:val="24"/>
        </w:rPr>
        <w:t>表3-5  东川区主要用地指标执行情况</w:t>
      </w:r>
    </w:p>
    <w:p w14:paraId="293F25F0">
      <w:pPr>
        <w:wordWrap w:val="0"/>
        <w:ind w:firstLine="420"/>
        <w:jc w:val="right"/>
        <w:rPr>
          <w:rFonts w:ascii="宋体" w:hAnsi="宋体"/>
          <w:color w:val="000000"/>
          <w:kern w:val="0"/>
          <w:sz w:val="18"/>
          <w:szCs w:val="18"/>
        </w:rPr>
      </w:pPr>
      <w:r>
        <w:rPr>
          <w:rFonts w:hint="eastAsia" w:ascii="仿宋_GB2312" w:hAnsi="宋体" w:eastAsia="仿宋_GB2312"/>
          <w:b/>
          <w:sz w:val="24"/>
        </w:rPr>
        <w:t xml:space="preserve">                                          </w:t>
      </w:r>
      <w:r>
        <w:rPr>
          <w:rFonts w:hint="eastAsia" w:ascii="仿宋_GB2312" w:hAnsi="宋体" w:eastAsia="仿宋_GB2312"/>
          <w:sz w:val="24"/>
        </w:rPr>
        <w:t xml:space="preserve">    </w:t>
      </w:r>
      <w:r>
        <w:rPr>
          <w:rFonts w:hint="eastAsia" w:ascii="宋体" w:hAnsi="宋体"/>
          <w:color w:val="000000"/>
          <w:kern w:val="0"/>
          <w:sz w:val="18"/>
          <w:szCs w:val="18"/>
        </w:rPr>
        <w:t>单位：公顷</w:t>
      </w:r>
    </w:p>
    <w:tbl>
      <w:tblPr>
        <w:tblStyle w:val="27"/>
        <w:tblW w:w="11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7"/>
        <w:gridCol w:w="1252"/>
        <w:gridCol w:w="1252"/>
        <w:gridCol w:w="1200"/>
        <w:gridCol w:w="1016"/>
        <w:gridCol w:w="1252"/>
        <w:gridCol w:w="1252"/>
        <w:gridCol w:w="967"/>
      </w:tblGrid>
      <w:tr w14:paraId="59AD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79F3767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指标名称</w:t>
            </w:r>
          </w:p>
        </w:tc>
        <w:tc>
          <w:tcPr>
            <w:tcW w:w="1252" w:type="dxa"/>
            <w:shd w:val="clear" w:color="auto" w:fill="auto"/>
            <w:vAlign w:val="center"/>
          </w:tcPr>
          <w:p w14:paraId="708E53E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规划基期年（2009年）</w:t>
            </w:r>
          </w:p>
        </w:tc>
        <w:tc>
          <w:tcPr>
            <w:tcW w:w="1252" w:type="dxa"/>
            <w:shd w:val="clear" w:color="auto" w:fill="auto"/>
            <w:vAlign w:val="center"/>
          </w:tcPr>
          <w:p w14:paraId="50F3CF7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上级下达（2020年）</w:t>
            </w:r>
          </w:p>
        </w:tc>
        <w:tc>
          <w:tcPr>
            <w:tcW w:w="1200" w:type="dxa"/>
            <w:shd w:val="clear" w:color="auto" w:fill="auto"/>
            <w:vAlign w:val="center"/>
          </w:tcPr>
          <w:p w14:paraId="3CB49A64">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2014年</w:t>
            </w:r>
          </w:p>
          <w:p w14:paraId="41E6DCBB">
            <w:pPr>
              <w:jc w:val="center"/>
              <w:rPr>
                <w:rFonts w:ascii="宋体" w:hAnsi="宋体" w:cs="宋体"/>
                <w:b/>
                <w:bCs/>
                <w:color w:val="000000"/>
                <w:kern w:val="0"/>
                <w:sz w:val="18"/>
                <w:szCs w:val="18"/>
              </w:rPr>
            </w:pPr>
            <w:r>
              <w:rPr>
                <w:rFonts w:hint="eastAsia" w:ascii="宋体" w:hAnsi="宋体" w:cs="宋体"/>
                <w:b/>
                <w:bCs/>
                <w:color w:val="000000"/>
                <w:kern w:val="0"/>
                <w:sz w:val="18"/>
                <w:szCs w:val="18"/>
              </w:rPr>
              <w:t>阶段目标</w:t>
            </w:r>
          </w:p>
        </w:tc>
        <w:tc>
          <w:tcPr>
            <w:tcW w:w="1016" w:type="dxa"/>
            <w:shd w:val="clear" w:color="auto" w:fill="auto"/>
            <w:vAlign w:val="center"/>
          </w:tcPr>
          <w:p w14:paraId="4F3282E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2014年</w:t>
            </w:r>
          </w:p>
          <w:p w14:paraId="7CFA7046">
            <w:pPr>
              <w:jc w:val="center"/>
              <w:rPr>
                <w:rFonts w:ascii="宋体" w:hAnsi="宋体" w:cs="宋体"/>
                <w:b/>
                <w:bCs/>
                <w:color w:val="000000"/>
                <w:kern w:val="0"/>
                <w:sz w:val="18"/>
                <w:szCs w:val="18"/>
              </w:rPr>
            </w:pPr>
            <w:r>
              <w:rPr>
                <w:rFonts w:hint="eastAsia" w:ascii="宋体" w:hAnsi="宋体" w:cs="宋体"/>
                <w:b/>
                <w:bCs/>
                <w:color w:val="000000"/>
                <w:kern w:val="0"/>
                <w:sz w:val="18"/>
                <w:szCs w:val="18"/>
              </w:rPr>
              <w:t>实现值</w:t>
            </w:r>
          </w:p>
        </w:tc>
        <w:tc>
          <w:tcPr>
            <w:tcW w:w="1252" w:type="dxa"/>
            <w:shd w:val="clear" w:color="auto" w:fill="auto"/>
            <w:vAlign w:val="center"/>
          </w:tcPr>
          <w:p w14:paraId="16A7D26C">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与阶段目标对比</w:t>
            </w:r>
          </w:p>
        </w:tc>
        <w:tc>
          <w:tcPr>
            <w:tcW w:w="1252" w:type="dxa"/>
            <w:shd w:val="clear" w:color="auto" w:fill="auto"/>
            <w:vAlign w:val="center"/>
          </w:tcPr>
          <w:p w14:paraId="5ED55B7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与上级下达指标对比</w:t>
            </w:r>
          </w:p>
        </w:tc>
        <w:tc>
          <w:tcPr>
            <w:tcW w:w="967" w:type="dxa"/>
            <w:shd w:val="clear" w:color="auto" w:fill="auto"/>
            <w:vAlign w:val="center"/>
          </w:tcPr>
          <w:p w14:paraId="47D68E2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实现程度</w:t>
            </w:r>
          </w:p>
        </w:tc>
      </w:tr>
      <w:tr w14:paraId="34B1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268" w:type="dxa"/>
            <w:gridSpan w:val="8"/>
            <w:shd w:val="clear" w:color="auto" w:fill="auto"/>
            <w:vAlign w:val="center"/>
          </w:tcPr>
          <w:p w14:paraId="532EB6D0">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总量指标</w:t>
            </w:r>
          </w:p>
        </w:tc>
      </w:tr>
      <w:tr w14:paraId="0D10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7D20C625">
            <w:pPr>
              <w:widowControl/>
              <w:jc w:val="center"/>
              <w:rPr>
                <w:rFonts w:ascii="宋体" w:hAnsi="宋体" w:cs="宋体"/>
                <w:color w:val="000000"/>
                <w:kern w:val="0"/>
                <w:sz w:val="18"/>
                <w:szCs w:val="18"/>
              </w:rPr>
            </w:pPr>
            <w:r>
              <w:rPr>
                <w:rFonts w:hint="eastAsia" w:ascii="宋体" w:hAnsi="宋体" w:cs="宋体"/>
                <w:color w:val="000000"/>
                <w:kern w:val="0"/>
                <w:sz w:val="18"/>
                <w:szCs w:val="18"/>
              </w:rPr>
              <w:t>耕地保有量</w:t>
            </w:r>
          </w:p>
        </w:tc>
        <w:tc>
          <w:tcPr>
            <w:tcW w:w="1252" w:type="dxa"/>
            <w:shd w:val="clear" w:color="auto" w:fill="auto"/>
            <w:noWrap/>
            <w:vAlign w:val="center"/>
          </w:tcPr>
          <w:p w14:paraId="512CB9D1">
            <w:pPr>
              <w:widowControl/>
              <w:jc w:val="center"/>
              <w:rPr>
                <w:rFonts w:ascii="宋体" w:hAnsi="宋体" w:cs="宋体"/>
                <w:color w:val="000000"/>
                <w:kern w:val="0"/>
                <w:sz w:val="18"/>
                <w:szCs w:val="18"/>
              </w:rPr>
            </w:pPr>
            <w:r>
              <w:rPr>
                <w:rFonts w:hint="eastAsia" w:ascii="宋体" w:hAnsi="宋体" w:cs="宋体"/>
                <w:color w:val="000000"/>
                <w:kern w:val="0"/>
                <w:sz w:val="18"/>
                <w:szCs w:val="18"/>
              </w:rPr>
              <w:t>32617.95</w:t>
            </w:r>
          </w:p>
        </w:tc>
        <w:tc>
          <w:tcPr>
            <w:tcW w:w="1252" w:type="dxa"/>
            <w:shd w:val="clear" w:color="auto" w:fill="auto"/>
            <w:noWrap/>
            <w:vAlign w:val="center"/>
          </w:tcPr>
          <w:p w14:paraId="1D253B00">
            <w:pPr>
              <w:widowControl/>
              <w:jc w:val="center"/>
              <w:rPr>
                <w:rFonts w:ascii="宋体" w:hAnsi="宋体" w:cs="宋体"/>
                <w:color w:val="000000"/>
                <w:kern w:val="0"/>
                <w:sz w:val="18"/>
                <w:szCs w:val="18"/>
              </w:rPr>
            </w:pPr>
            <w:r>
              <w:rPr>
                <w:rFonts w:hint="eastAsia" w:ascii="宋体" w:hAnsi="宋体" w:cs="宋体"/>
                <w:color w:val="000000"/>
                <w:kern w:val="0"/>
                <w:sz w:val="18"/>
                <w:szCs w:val="18"/>
              </w:rPr>
              <w:t>30200</w:t>
            </w:r>
          </w:p>
        </w:tc>
        <w:tc>
          <w:tcPr>
            <w:tcW w:w="1200" w:type="dxa"/>
            <w:shd w:val="clear" w:color="auto" w:fill="auto"/>
            <w:vAlign w:val="center"/>
          </w:tcPr>
          <w:p w14:paraId="48568F62">
            <w:pPr>
              <w:widowControl/>
              <w:jc w:val="center"/>
              <w:rPr>
                <w:rFonts w:ascii="宋体" w:hAnsi="宋体" w:cs="宋体"/>
                <w:color w:val="000000"/>
                <w:kern w:val="0"/>
                <w:sz w:val="18"/>
                <w:szCs w:val="18"/>
              </w:rPr>
            </w:pPr>
            <w:r>
              <w:rPr>
                <w:rFonts w:hint="eastAsia" w:ascii="宋体" w:hAnsi="宋体" w:cs="宋体"/>
                <w:color w:val="000000"/>
                <w:kern w:val="0"/>
                <w:sz w:val="18"/>
                <w:szCs w:val="18"/>
              </w:rPr>
              <w:t>31518.88</w:t>
            </w:r>
          </w:p>
        </w:tc>
        <w:tc>
          <w:tcPr>
            <w:tcW w:w="1016" w:type="dxa"/>
            <w:shd w:val="clear" w:color="auto" w:fill="auto"/>
            <w:noWrap/>
            <w:vAlign w:val="center"/>
          </w:tcPr>
          <w:p w14:paraId="5520141F">
            <w:pPr>
              <w:widowControl/>
              <w:jc w:val="center"/>
              <w:rPr>
                <w:rFonts w:ascii="宋体" w:hAnsi="宋体" w:cs="宋体"/>
                <w:color w:val="000000"/>
                <w:kern w:val="0"/>
                <w:sz w:val="18"/>
                <w:szCs w:val="18"/>
              </w:rPr>
            </w:pPr>
            <w:r>
              <w:rPr>
                <w:rFonts w:hint="eastAsia" w:ascii="宋体" w:hAnsi="宋体" w:cs="宋体"/>
                <w:color w:val="000000"/>
                <w:kern w:val="0"/>
                <w:sz w:val="18"/>
                <w:szCs w:val="18"/>
              </w:rPr>
              <w:t>32403.40</w:t>
            </w:r>
          </w:p>
        </w:tc>
        <w:tc>
          <w:tcPr>
            <w:tcW w:w="1252" w:type="dxa"/>
            <w:shd w:val="clear" w:color="auto" w:fill="auto"/>
            <w:noWrap/>
            <w:vAlign w:val="center"/>
          </w:tcPr>
          <w:p w14:paraId="58AC540E">
            <w:pPr>
              <w:widowControl/>
              <w:jc w:val="center"/>
              <w:rPr>
                <w:rFonts w:ascii="宋体" w:hAnsi="宋体" w:cs="宋体"/>
                <w:color w:val="000000"/>
                <w:kern w:val="0"/>
                <w:sz w:val="18"/>
                <w:szCs w:val="18"/>
              </w:rPr>
            </w:pPr>
            <w:r>
              <w:rPr>
                <w:rFonts w:hint="eastAsia" w:ascii="宋体" w:hAnsi="宋体" w:cs="宋体"/>
                <w:color w:val="000000"/>
                <w:kern w:val="0"/>
                <w:sz w:val="18"/>
                <w:szCs w:val="18"/>
              </w:rPr>
              <w:t>884.52</w:t>
            </w:r>
          </w:p>
        </w:tc>
        <w:tc>
          <w:tcPr>
            <w:tcW w:w="1252" w:type="dxa"/>
            <w:shd w:val="clear" w:color="auto" w:fill="auto"/>
            <w:noWrap/>
            <w:vAlign w:val="center"/>
          </w:tcPr>
          <w:p w14:paraId="49B64C7E">
            <w:pPr>
              <w:widowControl/>
              <w:jc w:val="center"/>
              <w:rPr>
                <w:rFonts w:ascii="宋体" w:hAnsi="宋体" w:cs="宋体"/>
                <w:color w:val="000000"/>
                <w:kern w:val="0"/>
                <w:sz w:val="18"/>
                <w:szCs w:val="18"/>
              </w:rPr>
            </w:pPr>
            <w:r>
              <w:rPr>
                <w:rFonts w:hint="eastAsia" w:ascii="宋体" w:hAnsi="宋体" w:cs="宋体"/>
                <w:color w:val="000000"/>
                <w:kern w:val="0"/>
                <w:sz w:val="18"/>
                <w:szCs w:val="18"/>
              </w:rPr>
              <w:t>2203.4</w:t>
            </w:r>
          </w:p>
        </w:tc>
        <w:tc>
          <w:tcPr>
            <w:tcW w:w="967" w:type="dxa"/>
            <w:shd w:val="clear" w:color="auto" w:fill="auto"/>
            <w:noWrap/>
            <w:vAlign w:val="center"/>
          </w:tcPr>
          <w:p w14:paraId="3478409E">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0E5B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0F79DD7C">
            <w:pPr>
              <w:widowControl/>
              <w:jc w:val="center"/>
              <w:rPr>
                <w:rFonts w:ascii="宋体" w:hAnsi="宋体" w:cs="宋体"/>
                <w:color w:val="000000"/>
                <w:kern w:val="0"/>
                <w:sz w:val="18"/>
                <w:szCs w:val="18"/>
              </w:rPr>
            </w:pPr>
            <w:r>
              <w:rPr>
                <w:rFonts w:hint="eastAsia" w:ascii="宋体" w:hAnsi="宋体" w:cs="宋体"/>
                <w:color w:val="000000"/>
                <w:kern w:val="0"/>
                <w:sz w:val="18"/>
                <w:szCs w:val="18"/>
              </w:rPr>
              <w:t>基本农田面积</w:t>
            </w:r>
          </w:p>
        </w:tc>
        <w:tc>
          <w:tcPr>
            <w:tcW w:w="1252" w:type="dxa"/>
            <w:shd w:val="clear" w:color="auto" w:fill="auto"/>
            <w:noWrap/>
            <w:vAlign w:val="center"/>
          </w:tcPr>
          <w:p w14:paraId="2DF52ACA">
            <w:pPr>
              <w:widowControl/>
              <w:jc w:val="center"/>
              <w:rPr>
                <w:rFonts w:ascii="宋体" w:hAnsi="宋体" w:cs="宋体"/>
                <w:color w:val="000000"/>
                <w:kern w:val="0"/>
                <w:sz w:val="18"/>
                <w:szCs w:val="18"/>
              </w:rPr>
            </w:pPr>
            <w:r>
              <w:rPr>
                <w:rFonts w:hint="eastAsia" w:ascii="宋体" w:hAnsi="宋体" w:cs="宋体"/>
                <w:color w:val="000000"/>
                <w:kern w:val="0"/>
                <w:sz w:val="18"/>
                <w:szCs w:val="18"/>
              </w:rPr>
              <w:t>26081.08</w:t>
            </w:r>
          </w:p>
        </w:tc>
        <w:tc>
          <w:tcPr>
            <w:tcW w:w="1252" w:type="dxa"/>
            <w:shd w:val="clear" w:color="auto" w:fill="auto"/>
            <w:noWrap/>
            <w:vAlign w:val="center"/>
          </w:tcPr>
          <w:p w14:paraId="075971CD">
            <w:pPr>
              <w:widowControl/>
              <w:jc w:val="center"/>
              <w:rPr>
                <w:rFonts w:ascii="宋体" w:hAnsi="宋体" w:cs="宋体"/>
                <w:color w:val="000000"/>
                <w:kern w:val="0"/>
                <w:sz w:val="18"/>
                <w:szCs w:val="18"/>
              </w:rPr>
            </w:pPr>
            <w:r>
              <w:rPr>
                <w:rFonts w:hint="eastAsia" w:ascii="宋体" w:hAnsi="宋体" w:cs="宋体"/>
                <w:color w:val="000000"/>
                <w:kern w:val="0"/>
                <w:sz w:val="18"/>
                <w:szCs w:val="18"/>
              </w:rPr>
              <w:t>24070</w:t>
            </w:r>
          </w:p>
        </w:tc>
        <w:tc>
          <w:tcPr>
            <w:tcW w:w="1200" w:type="dxa"/>
            <w:shd w:val="clear" w:color="auto" w:fill="auto"/>
            <w:noWrap/>
            <w:vAlign w:val="center"/>
          </w:tcPr>
          <w:p w14:paraId="02328F47">
            <w:pPr>
              <w:widowControl/>
              <w:jc w:val="center"/>
              <w:rPr>
                <w:rFonts w:ascii="宋体" w:hAnsi="宋体" w:cs="宋体"/>
                <w:color w:val="000000"/>
                <w:kern w:val="0"/>
                <w:sz w:val="18"/>
                <w:szCs w:val="18"/>
              </w:rPr>
            </w:pPr>
            <w:r>
              <w:rPr>
                <w:rFonts w:hint="eastAsia" w:ascii="宋体" w:hAnsi="宋体" w:cs="宋体"/>
                <w:color w:val="000000"/>
                <w:kern w:val="0"/>
                <w:sz w:val="18"/>
                <w:szCs w:val="18"/>
              </w:rPr>
              <w:t>24070</w:t>
            </w:r>
          </w:p>
        </w:tc>
        <w:tc>
          <w:tcPr>
            <w:tcW w:w="1016" w:type="dxa"/>
            <w:shd w:val="clear" w:color="auto" w:fill="auto"/>
            <w:noWrap/>
            <w:vAlign w:val="center"/>
          </w:tcPr>
          <w:p w14:paraId="59EE51F4">
            <w:pPr>
              <w:widowControl/>
              <w:jc w:val="right"/>
              <w:rPr>
                <w:rFonts w:ascii="宋体" w:hAnsi="宋体" w:cs="宋体"/>
                <w:color w:val="000000"/>
                <w:kern w:val="0"/>
                <w:sz w:val="18"/>
                <w:szCs w:val="18"/>
              </w:rPr>
            </w:pPr>
            <w:r>
              <w:rPr>
                <w:rFonts w:hint="eastAsia" w:ascii="宋体" w:hAnsi="宋体" w:cs="宋体"/>
                <w:color w:val="000000"/>
                <w:kern w:val="0"/>
                <w:sz w:val="18"/>
                <w:szCs w:val="18"/>
              </w:rPr>
              <w:t>26269.15</w:t>
            </w:r>
          </w:p>
        </w:tc>
        <w:tc>
          <w:tcPr>
            <w:tcW w:w="1252" w:type="dxa"/>
            <w:shd w:val="clear" w:color="auto" w:fill="auto"/>
            <w:noWrap/>
            <w:vAlign w:val="center"/>
          </w:tcPr>
          <w:p w14:paraId="4BD98AC2">
            <w:pPr>
              <w:widowControl/>
              <w:jc w:val="center"/>
              <w:rPr>
                <w:rFonts w:ascii="宋体" w:hAnsi="宋体" w:cs="宋体"/>
                <w:color w:val="000000"/>
                <w:kern w:val="0"/>
                <w:sz w:val="18"/>
                <w:szCs w:val="18"/>
              </w:rPr>
            </w:pPr>
            <w:r>
              <w:rPr>
                <w:rFonts w:hint="eastAsia" w:ascii="宋体" w:hAnsi="宋体" w:cs="宋体"/>
                <w:color w:val="000000"/>
                <w:kern w:val="0"/>
                <w:sz w:val="18"/>
                <w:szCs w:val="18"/>
              </w:rPr>
              <w:t>2199.15</w:t>
            </w:r>
          </w:p>
        </w:tc>
        <w:tc>
          <w:tcPr>
            <w:tcW w:w="1252" w:type="dxa"/>
            <w:shd w:val="clear" w:color="auto" w:fill="auto"/>
            <w:noWrap/>
            <w:vAlign w:val="center"/>
          </w:tcPr>
          <w:p w14:paraId="1AE43C14">
            <w:pPr>
              <w:widowControl/>
              <w:jc w:val="center"/>
              <w:rPr>
                <w:rFonts w:ascii="宋体" w:hAnsi="宋体" w:cs="宋体"/>
                <w:color w:val="000000"/>
                <w:kern w:val="0"/>
                <w:sz w:val="18"/>
                <w:szCs w:val="18"/>
              </w:rPr>
            </w:pPr>
            <w:r>
              <w:rPr>
                <w:rFonts w:hint="eastAsia" w:ascii="宋体" w:hAnsi="宋体" w:cs="宋体"/>
                <w:color w:val="000000"/>
                <w:kern w:val="0"/>
                <w:sz w:val="18"/>
                <w:szCs w:val="18"/>
              </w:rPr>
              <w:t>2199.15</w:t>
            </w:r>
          </w:p>
        </w:tc>
        <w:tc>
          <w:tcPr>
            <w:tcW w:w="967" w:type="dxa"/>
            <w:shd w:val="clear" w:color="auto" w:fill="auto"/>
            <w:noWrap/>
            <w:vAlign w:val="center"/>
          </w:tcPr>
          <w:p w14:paraId="61A4E535">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5E3E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008DC8B0">
            <w:pPr>
              <w:widowControl/>
              <w:jc w:val="center"/>
              <w:rPr>
                <w:rFonts w:ascii="宋体" w:hAnsi="宋体" w:cs="宋体"/>
                <w:color w:val="000000"/>
                <w:kern w:val="0"/>
                <w:sz w:val="18"/>
                <w:szCs w:val="18"/>
              </w:rPr>
            </w:pPr>
            <w:r>
              <w:rPr>
                <w:rFonts w:hint="eastAsia" w:ascii="宋体" w:hAnsi="宋体" w:cs="宋体"/>
                <w:color w:val="000000"/>
                <w:kern w:val="0"/>
                <w:sz w:val="18"/>
                <w:szCs w:val="18"/>
              </w:rPr>
              <w:t>园地面积</w:t>
            </w:r>
          </w:p>
        </w:tc>
        <w:tc>
          <w:tcPr>
            <w:tcW w:w="1252" w:type="dxa"/>
            <w:shd w:val="clear" w:color="auto" w:fill="auto"/>
            <w:noWrap/>
            <w:vAlign w:val="center"/>
          </w:tcPr>
          <w:p w14:paraId="7C24A4B0">
            <w:pPr>
              <w:widowControl/>
              <w:jc w:val="center"/>
              <w:rPr>
                <w:rFonts w:ascii="宋体" w:hAnsi="宋体" w:cs="宋体"/>
                <w:color w:val="000000"/>
                <w:kern w:val="0"/>
                <w:sz w:val="18"/>
                <w:szCs w:val="18"/>
              </w:rPr>
            </w:pPr>
            <w:r>
              <w:rPr>
                <w:rFonts w:hint="eastAsia" w:ascii="宋体" w:hAnsi="宋体" w:cs="宋体"/>
                <w:color w:val="000000"/>
                <w:kern w:val="0"/>
                <w:sz w:val="18"/>
                <w:szCs w:val="18"/>
              </w:rPr>
              <w:t>1720.38</w:t>
            </w:r>
          </w:p>
        </w:tc>
        <w:tc>
          <w:tcPr>
            <w:tcW w:w="1252" w:type="dxa"/>
            <w:shd w:val="clear" w:color="auto" w:fill="auto"/>
            <w:noWrap/>
            <w:vAlign w:val="center"/>
          </w:tcPr>
          <w:p w14:paraId="7DCAD586">
            <w:pPr>
              <w:widowControl/>
              <w:jc w:val="center"/>
              <w:rPr>
                <w:rFonts w:ascii="宋体" w:hAnsi="宋体" w:cs="宋体"/>
                <w:color w:val="000000"/>
                <w:kern w:val="0"/>
                <w:sz w:val="18"/>
                <w:szCs w:val="18"/>
              </w:rPr>
            </w:pPr>
            <w:r>
              <w:rPr>
                <w:rFonts w:hint="eastAsia" w:ascii="宋体" w:hAnsi="宋体" w:cs="宋体"/>
                <w:color w:val="000000"/>
                <w:kern w:val="0"/>
                <w:sz w:val="18"/>
                <w:szCs w:val="18"/>
              </w:rPr>
              <w:t>554.41</w:t>
            </w:r>
          </w:p>
        </w:tc>
        <w:tc>
          <w:tcPr>
            <w:tcW w:w="1200" w:type="dxa"/>
            <w:shd w:val="clear" w:color="auto" w:fill="auto"/>
            <w:vAlign w:val="center"/>
          </w:tcPr>
          <w:p w14:paraId="7E9F3C94">
            <w:pPr>
              <w:widowControl/>
              <w:jc w:val="center"/>
              <w:rPr>
                <w:rFonts w:ascii="宋体" w:hAnsi="宋体" w:cs="宋体"/>
                <w:color w:val="000000"/>
                <w:kern w:val="0"/>
                <w:sz w:val="18"/>
                <w:szCs w:val="18"/>
              </w:rPr>
            </w:pPr>
            <w:r>
              <w:rPr>
                <w:rFonts w:hint="eastAsia" w:ascii="宋体" w:hAnsi="宋体" w:cs="宋体"/>
                <w:color w:val="000000"/>
                <w:kern w:val="0"/>
                <w:sz w:val="18"/>
                <w:szCs w:val="18"/>
              </w:rPr>
              <w:t>1190.39</w:t>
            </w:r>
          </w:p>
        </w:tc>
        <w:tc>
          <w:tcPr>
            <w:tcW w:w="1016" w:type="dxa"/>
            <w:shd w:val="clear" w:color="auto" w:fill="auto"/>
            <w:noWrap/>
            <w:vAlign w:val="center"/>
          </w:tcPr>
          <w:p w14:paraId="15ED65DA">
            <w:pPr>
              <w:widowControl/>
              <w:jc w:val="center"/>
              <w:rPr>
                <w:rFonts w:ascii="宋体" w:hAnsi="宋体" w:cs="宋体"/>
                <w:color w:val="000000"/>
                <w:kern w:val="0"/>
                <w:sz w:val="18"/>
                <w:szCs w:val="18"/>
              </w:rPr>
            </w:pPr>
            <w:r>
              <w:rPr>
                <w:rFonts w:hint="eastAsia" w:ascii="宋体" w:hAnsi="宋体" w:cs="宋体"/>
                <w:color w:val="000000"/>
                <w:kern w:val="0"/>
                <w:sz w:val="18"/>
                <w:szCs w:val="18"/>
              </w:rPr>
              <w:t>1687.07</w:t>
            </w:r>
          </w:p>
        </w:tc>
        <w:tc>
          <w:tcPr>
            <w:tcW w:w="1252" w:type="dxa"/>
            <w:shd w:val="clear" w:color="auto" w:fill="auto"/>
            <w:noWrap/>
            <w:vAlign w:val="center"/>
          </w:tcPr>
          <w:p w14:paraId="68C1A74B">
            <w:pPr>
              <w:widowControl/>
              <w:jc w:val="center"/>
              <w:rPr>
                <w:rFonts w:ascii="宋体" w:hAnsi="宋体" w:cs="宋体"/>
                <w:color w:val="000000"/>
                <w:kern w:val="0"/>
                <w:sz w:val="18"/>
                <w:szCs w:val="18"/>
              </w:rPr>
            </w:pPr>
            <w:r>
              <w:rPr>
                <w:rFonts w:hint="eastAsia" w:ascii="宋体" w:hAnsi="宋体" w:cs="宋体"/>
                <w:color w:val="000000"/>
                <w:kern w:val="0"/>
                <w:sz w:val="18"/>
                <w:szCs w:val="18"/>
              </w:rPr>
              <w:t>496.68</w:t>
            </w:r>
          </w:p>
        </w:tc>
        <w:tc>
          <w:tcPr>
            <w:tcW w:w="1252" w:type="dxa"/>
            <w:shd w:val="clear" w:color="auto" w:fill="auto"/>
            <w:noWrap/>
            <w:vAlign w:val="center"/>
          </w:tcPr>
          <w:p w14:paraId="15122ED6">
            <w:pPr>
              <w:widowControl/>
              <w:jc w:val="center"/>
              <w:rPr>
                <w:rFonts w:ascii="宋体" w:hAnsi="宋体" w:cs="宋体"/>
                <w:color w:val="000000"/>
                <w:kern w:val="0"/>
                <w:sz w:val="18"/>
                <w:szCs w:val="18"/>
              </w:rPr>
            </w:pPr>
            <w:r>
              <w:rPr>
                <w:rFonts w:hint="eastAsia" w:ascii="宋体" w:hAnsi="宋体" w:cs="宋体"/>
                <w:color w:val="000000"/>
                <w:kern w:val="0"/>
                <w:sz w:val="18"/>
                <w:szCs w:val="18"/>
              </w:rPr>
              <w:t>1132.66</w:t>
            </w:r>
          </w:p>
        </w:tc>
        <w:tc>
          <w:tcPr>
            <w:tcW w:w="967" w:type="dxa"/>
            <w:shd w:val="clear" w:color="auto" w:fill="auto"/>
            <w:noWrap/>
            <w:vAlign w:val="center"/>
          </w:tcPr>
          <w:p w14:paraId="6824F5EB">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02F8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0A075132">
            <w:pPr>
              <w:widowControl/>
              <w:jc w:val="center"/>
              <w:rPr>
                <w:rFonts w:ascii="宋体" w:hAnsi="宋体" w:cs="宋体"/>
                <w:color w:val="000000"/>
                <w:kern w:val="0"/>
                <w:sz w:val="18"/>
                <w:szCs w:val="18"/>
              </w:rPr>
            </w:pPr>
            <w:r>
              <w:rPr>
                <w:rFonts w:hint="eastAsia" w:ascii="宋体" w:hAnsi="宋体" w:cs="宋体"/>
                <w:color w:val="000000"/>
                <w:kern w:val="0"/>
                <w:sz w:val="18"/>
                <w:szCs w:val="18"/>
              </w:rPr>
              <w:t>林地面积</w:t>
            </w:r>
          </w:p>
        </w:tc>
        <w:tc>
          <w:tcPr>
            <w:tcW w:w="1252" w:type="dxa"/>
            <w:shd w:val="clear" w:color="auto" w:fill="auto"/>
            <w:noWrap/>
            <w:vAlign w:val="center"/>
          </w:tcPr>
          <w:p w14:paraId="41B4091D">
            <w:pPr>
              <w:widowControl/>
              <w:jc w:val="center"/>
              <w:rPr>
                <w:rFonts w:ascii="宋体" w:hAnsi="宋体" w:cs="宋体"/>
                <w:color w:val="000000"/>
                <w:kern w:val="0"/>
                <w:sz w:val="18"/>
                <w:szCs w:val="18"/>
              </w:rPr>
            </w:pPr>
            <w:r>
              <w:rPr>
                <w:rFonts w:hint="eastAsia" w:ascii="宋体" w:hAnsi="宋体" w:cs="宋体"/>
                <w:color w:val="000000"/>
                <w:kern w:val="0"/>
                <w:sz w:val="18"/>
                <w:szCs w:val="18"/>
              </w:rPr>
              <w:t>61479.3</w:t>
            </w:r>
          </w:p>
        </w:tc>
        <w:tc>
          <w:tcPr>
            <w:tcW w:w="1252" w:type="dxa"/>
            <w:shd w:val="clear" w:color="auto" w:fill="auto"/>
            <w:noWrap/>
            <w:vAlign w:val="center"/>
          </w:tcPr>
          <w:p w14:paraId="35D9D21C">
            <w:pPr>
              <w:widowControl/>
              <w:jc w:val="center"/>
              <w:rPr>
                <w:rFonts w:ascii="宋体" w:hAnsi="宋体" w:cs="宋体"/>
                <w:color w:val="000000"/>
                <w:kern w:val="0"/>
                <w:sz w:val="18"/>
                <w:szCs w:val="18"/>
              </w:rPr>
            </w:pPr>
            <w:r>
              <w:rPr>
                <w:rFonts w:hint="eastAsia" w:ascii="宋体" w:hAnsi="宋体" w:cs="宋体"/>
                <w:color w:val="000000"/>
                <w:kern w:val="0"/>
                <w:sz w:val="18"/>
                <w:szCs w:val="18"/>
              </w:rPr>
              <w:t>65025.69</w:t>
            </w:r>
          </w:p>
        </w:tc>
        <w:tc>
          <w:tcPr>
            <w:tcW w:w="1200" w:type="dxa"/>
            <w:shd w:val="clear" w:color="auto" w:fill="auto"/>
            <w:vAlign w:val="center"/>
          </w:tcPr>
          <w:p w14:paraId="3039BA0C">
            <w:pPr>
              <w:widowControl/>
              <w:jc w:val="center"/>
              <w:rPr>
                <w:rFonts w:ascii="宋体" w:hAnsi="宋体" w:cs="宋体"/>
                <w:color w:val="000000"/>
                <w:kern w:val="0"/>
                <w:sz w:val="18"/>
                <w:szCs w:val="18"/>
              </w:rPr>
            </w:pPr>
            <w:r>
              <w:rPr>
                <w:rFonts w:hint="eastAsia" w:ascii="宋体" w:hAnsi="宋体" w:cs="宋体"/>
                <w:color w:val="000000"/>
                <w:kern w:val="0"/>
                <w:sz w:val="18"/>
                <w:szCs w:val="18"/>
              </w:rPr>
              <w:t>63091.3</w:t>
            </w:r>
          </w:p>
        </w:tc>
        <w:tc>
          <w:tcPr>
            <w:tcW w:w="1016" w:type="dxa"/>
            <w:shd w:val="clear" w:color="auto" w:fill="auto"/>
            <w:noWrap/>
            <w:vAlign w:val="center"/>
          </w:tcPr>
          <w:p w14:paraId="3EB393E8">
            <w:pPr>
              <w:widowControl/>
              <w:jc w:val="center"/>
              <w:rPr>
                <w:rFonts w:ascii="宋体" w:hAnsi="宋体" w:cs="宋体"/>
                <w:color w:val="000000"/>
                <w:kern w:val="0"/>
                <w:sz w:val="18"/>
                <w:szCs w:val="18"/>
              </w:rPr>
            </w:pPr>
            <w:r>
              <w:rPr>
                <w:rFonts w:hint="eastAsia" w:ascii="宋体" w:hAnsi="宋体" w:cs="宋体"/>
                <w:color w:val="000000"/>
                <w:kern w:val="0"/>
                <w:sz w:val="18"/>
                <w:szCs w:val="18"/>
              </w:rPr>
              <w:t>61455.47</w:t>
            </w:r>
          </w:p>
        </w:tc>
        <w:tc>
          <w:tcPr>
            <w:tcW w:w="1252" w:type="dxa"/>
            <w:shd w:val="clear" w:color="auto" w:fill="auto"/>
            <w:noWrap/>
            <w:vAlign w:val="center"/>
          </w:tcPr>
          <w:p w14:paraId="14EAFC5E">
            <w:pPr>
              <w:widowControl/>
              <w:jc w:val="center"/>
              <w:rPr>
                <w:rFonts w:ascii="宋体" w:hAnsi="宋体" w:cs="宋体"/>
                <w:color w:val="000000"/>
                <w:kern w:val="0"/>
                <w:sz w:val="18"/>
                <w:szCs w:val="18"/>
              </w:rPr>
            </w:pPr>
            <w:r>
              <w:rPr>
                <w:rFonts w:hint="eastAsia" w:ascii="宋体" w:hAnsi="宋体" w:cs="宋体"/>
                <w:color w:val="000000"/>
                <w:kern w:val="0"/>
                <w:sz w:val="18"/>
                <w:szCs w:val="18"/>
              </w:rPr>
              <w:t>-1635.83</w:t>
            </w:r>
          </w:p>
        </w:tc>
        <w:tc>
          <w:tcPr>
            <w:tcW w:w="1252" w:type="dxa"/>
            <w:shd w:val="clear" w:color="auto" w:fill="auto"/>
            <w:noWrap/>
            <w:vAlign w:val="center"/>
          </w:tcPr>
          <w:p w14:paraId="4A805EB1">
            <w:pPr>
              <w:widowControl/>
              <w:jc w:val="center"/>
              <w:rPr>
                <w:rFonts w:ascii="宋体" w:hAnsi="宋体" w:cs="宋体"/>
                <w:color w:val="000000"/>
                <w:kern w:val="0"/>
                <w:sz w:val="18"/>
                <w:szCs w:val="18"/>
              </w:rPr>
            </w:pPr>
            <w:r>
              <w:rPr>
                <w:rFonts w:hint="eastAsia" w:ascii="宋体" w:hAnsi="宋体" w:cs="宋体"/>
                <w:color w:val="000000"/>
                <w:kern w:val="0"/>
                <w:sz w:val="18"/>
                <w:szCs w:val="18"/>
              </w:rPr>
              <w:t>-3570.22</w:t>
            </w:r>
          </w:p>
        </w:tc>
        <w:tc>
          <w:tcPr>
            <w:tcW w:w="967" w:type="dxa"/>
            <w:shd w:val="clear" w:color="auto" w:fill="auto"/>
            <w:noWrap/>
            <w:vAlign w:val="center"/>
          </w:tcPr>
          <w:p w14:paraId="1C42AF74">
            <w:pPr>
              <w:widowControl/>
              <w:jc w:val="center"/>
              <w:rPr>
                <w:rFonts w:ascii="宋体" w:hAnsi="宋体" w:cs="宋体"/>
                <w:color w:val="000000"/>
                <w:kern w:val="0"/>
                <w:sz w:val="18"/>
                <w:szCs w:val="18"/>
              </w:rPr>
            </w:pPr>
            <w:r>
              <w:rPr>
                <w:rFonts w:hint="eastAsia" w:ascii="宋体" w:hAnsi="宋体" w:cs="宋体"/>
                <w:color w:val="000000"/>
                <w:kern w:val="0"/>
                <w:sz w:val="18"/>
                <w:szCs w:val="18"/>
              </w:rPr>
              <w:t>不符合</w:t>
            </w:r>
          </w:p>
        </w:tc>
      </w:tr>
      <w:tr w14:paraId="5313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14CBE7B5">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建设用地总规模</w:t>
            </w:r>
          </w:p>
        </w:tc>
        <w:tc>
          <w:tcPr>
            <w:tcW w:w="1252" w:type="dxa"/>
            <w:shd w:val="clear" w:color="auto" w:fill="auto"/>
            <w:noWrap/>
            <w:vAlign w:val="center"/>
          </w:tcPr>
          <w:p w14:paraId="34D7430D">
            <w:pPr>
              <w:widowControl/>
              <w:jc w:val="center"/>
              <w:rPr>
                <w:rFonts w:ascii="宋体" w:hAnsi="宋体" w:cs="宋体"/>
                <w:color w:val="000000"/>
                <w:kern w:val="0"/>
                <w:sz w:val="18"/>
                <w:szCs w:val="18"/>
              </w:rPr>
            </w:pPr>
            <w:r>
              <w:rPr>
                <w:rFonts w:hint="eastAsia" w:ascii="宋体" w:hAnsi="宋体" w:cs="宋体"/>
                <w:color w:val="000000"/>
                <w:kern w:val="0"/>
                <w:sz w:val="18"/>
                <w:szCs w:val="18"/>
              </w:rPr>
              <w:t>5527.82</w:t>
            </w:r>
          </w:p>
        </w:tc>
        <w:tc>
          <w:tcPr>
            <w:tcW w:w="1252" w:type="dxa"/>
            <w:shd w:val="clear" w:color="auto" w:fill="auto"/>
            <w:noWrap/>
            <w:vAlign w:val="center"/>
          </w:tcPr>
          <w:p w14:paraId="3461818F">
            <w:pPr>
              <w:widowControl/>
              <w:jc w:val="center"/>
              <w:rPr>
                <w:rFonts w:ascii="宋体" w:hAnsi="宋体" w:cs="宋体"/>
                <w:color w:val="000000"/>
                <w:kern w:val="0"/>
                <w:sz w:val="18"/>
                <w:szCs w:val="18"/>
              </w:rPr>
            </w:pPr>
            <w:r>
              <w:rPr>
                <w:rFonts w:hint="eastAsia" w:ascii="宋体" w:hAnsi="宋体" w:cs="宋体"/>
                <w:color w:val="000000"/>
                <w:kern w:val="0"/>
                <w:sz w:val="18"/>
                <w:szCs w:val="18"/>
              </w:rPr>
              <w:t>5147.39</w:t>
            </w:r>
          </w:p>
        </w:tc>
        <w:tc>
          <w:tcPr>
            <w:tcW w:w="1200" w:type="dxa"/>
            <w:shd w:val="clear" w:color="auto" w:fill="auto"/>
            <w:vAlign w:val="center"/>
          </w:tcPr>
          <w:p w14:paraId="38BBF37B">
            <w:pPr>
              <w:widowControl/>
              <w:jc w:val="center"/>
              <w:rPr>
                <w:rFonts w:ascii="宋体" w:hAnsi="宋体" w:cs="宋体"/>
                <w:color w:val="000000"/>
                <w:kern w:val="0"/>
                <w:sz w:val="18"/>
                <w:szCs w:val="18"/>
              </w:rPr>
            </w:pPr>
            <w:r>
              <w:rPr>
                <w:rFonts w:hint="eastAsia" w:ascii="宋体" w:hAnsi="宋体" w:cs="宋体"/>
                <w:color w:val="000000"/>
                <w:kern w:val="0"/>
                <w:sz w:val="18"/>
                <w:szCs w:val="18"/>
              </w:rPr>
              <w:t>5354.9</w:t>
            </w:r>
          </w:p>
        </w:tc>
        <w:tc>
          <w:tcPr>
            <w:tcW w:w="1016" w:type="dxa"/>
            <w:shd w:val="clear" w:color="auto" w:fill="auto"/>
            <w:vAlign w:val="center"/>
          </w:tcPr>
          <w:p w14:paraId="13C58605">
            <w:pPr>
              <w:widowControl/>
              <w:jc w:val="center"/>
              <w:rPr>
                <w:rFonts w:ascii="宋体" w:hAnsi="宋体" w:cs="宋体"/>
                <w:color w:val="000000"/>
                <w:kern w:val="0"/>
                <w:sz w:val="18"/>
                <w:szCs w:val="18"/>
              </w:rPr>
            </w:pPr>
            <w:r>
              <w:rPr>
                <w:rFonts w:hint="eastAsia" w:ascii="宋体" w:hAnsi="宋体" w:cs="宋体"/>
                <w:color w:val="000000"/>
                <w:kern w:val="0"/>
                <w:sz w:val="18"/>
                <w:szCs w:val="18"/>
              </w:rPr>
              <w:t>5816.16</w:t>
            </w:r>
          </w:p>
        </w:tc>
        <w:tc>
          <w:tcPr>
            <w:tcW w:w="1252" w:type="dxa"/>
            <w:shd w:val="clear" w:color="auto" w:fill="auto"/>
            <w:noWrap/>
            <w:vAlign w:val="center"/>
          </w:tcPr>
          <w:p w14:paraId="46F1DEC4">
            <w:pPr>
              <w:widowControl/>
              <w:jc w:val="center"/>
              <w:rPr>
                <w:rFonts w:ascii="宋体" w:hAnsi="宋体" w:cs="宋体"/>
                <w:color w:val="000000"/>
                <w:kern w:val="0"/>
                <w:sz w:val="18"/>
                <w:szCs w:val="18"/>
              </w:rPr>
            </w:pPr>
            <w:r>
              <w:rPr>
                <w:rFonts w:hint="eastAsia" w:ascii="宋体" w:hAnsi="宋体" w:cs="宋体"/>
                <w:color w:val="000000"/>
                <w:kern w:val="0"/>
                <w:sz w:val="18"/>
                <w:szCs w:val="18"/>
              </w:rPr>
              <w:t>461.26</w:t>
            </w:r>
          </w:p>
        </w:tc>
        <w:tc>
          <w:tcPr>
            <w:tcW w:w="1252" w:type="dxa"/>
            <w:shd w:val="clear" w:color="auto" w:fill="auto"/>
            <w:noWrap/>
            <w:vAlign w:val="center"/>
          </w:tcPr>
          <w:p w14:paraId="5246F4FE">
            <w:pPr>
              <w:widowControl/>
              <w:jc w:val="center"/>
              <w:rPr>
                <w:rFonts w:ascii="宋体" w:hAnsi="宋体" w:cs="宋体"/>
                <w:color w:val="000000"/>
                <w:kern w:val="0"/>
                <w:sz w:val="18"/>
                <w:szCs w:val="18"/>
              </w:rPr>
            </w:pPr>
            <w:r>
              <w:rPr>
                <w:rFonts w:hint="eastAsia" w:ascii="宋体" w:hAnsi="宋体" w:cs="宋体"/>
                <w:color w:val="000000"/>
                <w:kern w:val="0"/>
                <w:sz w:val="18"/>
                <w:szCs w:val="18"/>
              </w:rPr>
              <w:t>668.77</w:t>
            </w:r>
          </w:p>
        </w:tc>
        <w:tc>
          <w:tcPr>
            <w:tcW w:w="967" w:type="dxa"/>
            <w:shd w:val="clear" w:color="auto" w:fill="auto"/>
            <w:noWrap/>
            <w:vAlign w:val="center"/>
          </w:tcPr>
          <w:p w14:paraId="701AE236">
            <w:pPr>
              <w:widowControl/>
              <w:jc w:val="center"/>
              <w:rPr>
                <w:rFonts w:ascii="宋体" w:hAnsi="宋体" w:cs="宋体"/>
                <w:color w:val="000000"/>
                <w:kern w:val="0"/>
                <w:sz w:val="18"/>
                <w:szCs w:val="18"/>
              </w:rPr>
            </w:pPr>
            <w:r>
              <w:rPr>
                <w:rFonts w:hint="eastAsia" w:ascii="宋体" w:hAnsi="宋体" w:cs="宋体"/>
                <w:color w:val="000000"/>
                <w:kern w:val="0"/>
                <w:sz w:val="18"/>
                <w:szCs w:val="18"/>
              </w:rPr>
              <w:t>不符合</w:t>
            </w:r>
          </w:p>
        </w:tc>
      </w:tr>
      <w:tr w14:paraId="4DD0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11C35709">
            <w:pPr>
              <w:widowControl/>
              <w:jc w:val="center"/>
              <w:rPr>
                <w:rFonts w:ascii="宋体" w:hAnsi="宋体" w:cs="宋体"/>
                <w:color w:val="000000"/>
                <w:kern w:val="0"/>
                <w:sz w:val="18"/>
                <w:szCs w:val="18"/>
              </w:rPr>
            </w:pPr>
            <w:r>
              <w:rPr>
                <w:rFonts w:hint="eastAsia" w:ascii="宋体" w:hAnsi="宋体" w:cs="宋体"/>
                <w:color w:val="000000"/>
                <w:kern w:val="0"/>
                <w:sz w:val="18"/>
                <w:szCs w:val="18"/>
              </w:rPr>
              <w:t>城乡建设用地规模</w:t>
            </w:r>
          </w:p>
        </w:tc>
        <w:tc>
          <w:tcPr>
            <w:tcW w:w="1252" w:type="dxa"/>
            <w:shd w:val="clear" w:color="auto" w:fill="auto"/>
            <w:noWrap/>
            <w:vAlign w:val="center"/>
          </w:tcPr>
          <w:p w14:paraId="2C2CF9ED">
            <w:pPr>
              <w:widowControl/>
              <w:jc w:val="center"/>
              <w:rPr>
                <w:rFonts w:ascii="宋体" w:hAnsi="宋体" w:cs="宋体"/>
                <w:color w:val="000000"/>
                <w:kern w:val="0"/>
                <w:sz w:val="18"/>
                <w:szCs w:val="18"/>
              </w:rPr>
            </w:pPr>
            <w:r>
              <w:rPr>
                <w:rFonts w:hint="eastAsia" w:ascii="宋体" w:hAnsi="宋体" w:cs="宋体"/>
                <w:color w:val="000000"/>
                <w:kern w:val="0"/>
                <w:sz w:val="18"/>
                <w:szCs w:val="18"/>
              </w:rPr>
              <w:t>4774.36</w:t>
            </w:r>
          </w:p>
        </w:tc>
        <w:tc>
          <w:tcPr>
            <w:tcW w:w="1252" w:type="dxa"/>
            <w:shd w:val="clear" w:color="auto" w:fill="auto"/>
            <w:noWrap/>
            <w:vAlign w:val="center"/>
          </w:tcPr>
          <w:p w14:paraId="7C0D3BAF">
            <w:pPr>
              <w:widowControl/>
              <w:jc w:val="center"/>
              <w:rPr>
                <w:rFonts w:ascii="宋体" w:hAnsi="宋体" w:cs="宋体"/>
                <w:color w:val="000000"/>
                <w:kern w:val="0"/>
                <w:sz w:val="18"/>
                <w:szCs w:val="18"/>
              </w:rPr>
            </w:pPr>
            <w:r>
              <w:rPr>
                <w:rFonts w:hint="eastAsia" w:ascii="宋体" w:hAnsi="宋体" w:cs="宋体"/>
                <w:color w:val="000000"/>
                <w:kern w:val="0"/>
                <w:sz w:val="18"/>
                <w:szCs w:val="18"/>
              </w:rPr>
              <w:t>3677.25</w:t>
            </w:r>
          </w:p>
        </w:tc>
        <w:tc>
          <w:tcPr>
            <w:tcW w:w="1200" w:type="dxa"/>
            <w:shd w:val="clear" w:color="auto" w:fill="auto"/>
            <w:vAlign w:val="center"/>
          </w:tcPr>
          <w:p w14:paraId="18737BEF">
            <w:pPr>
              <w:widowControl/>
              <w:jc w:val="center"/>
              <w:rPr>
                <w:rFonts w:ascii="宋体" w:hAnsi="宋体" w:cs="宋体"/>
                <w:color w:val="000000"/>
                <w:kern w:val="0"/>
                <w:sz w:val="18"/>
                <w:szCs w:val="18"/>
              </w:rPr>
            </w:pPr>
            <w:r>
              <w:rPr>
                <w:rFonts w:hint="eastAsia" w:ascii="宋体" w:hAnsi="宋体" w:cs="宋体"/>
                <w:color w:val="000000"/>
                <w:kern w:val="0"/>
                <w:sz w:val="18"/>
                <w:szCs w:val="18"/>
              </w:rPr>
              <w:t>4275.67</w:t>
            </w:r>
          </w:p>
        </w:tc>
        <w:tc>
          <w:tcPr>
            <w:tcW w:w="1016" w:type="dxa"/>
            <w:shd w:val="clear" w:color="auto" w:fill="auto"/>
            <w:vAlign w:val="center"/>
          </w:tcPr>
          <w:p w14:paraId="5BDDBBBA">
            <w:pPr>
              <w:widowControl/>
              <w:jc w:val="center"/>
              <w:rPr>
                <w:rFonts w:ascii="宋体" w:hAnsi="宋体" w:cs="宋体"/>
                <w:color w:val="000000"/>
                <w:kern w:val="0"/>
                <w:sz w:val="18"/>
                <w:szCs w:val="18"/>
              </w:rPr>
            </w:pPr>
            <w:r>
              <w:rPr>
                <w:rFonts w:hint="eastAsia" w:ascii="宋体" w:hAnsi="宋体" w:cs="宋体"/>
                <w:color w:val="000000"/>
                <w:kern w:val="0"/>
                <w:sz w:val="18"/>
                <w:szCs w:val="18"/>
              </w:rPr>
              <w:t>5055.54</w:t>
            </w:r>
          </w:p>
        </w:tc>
        <w:tc>
          <w:tcPr>
            <w:tcW w:w="1252" w:type="dxa"/>
            <w:shd w:val="clear" w:color="auto" w:fill="auto"/>
            <w:noWrap/>
            <w:vAlign w:val="center"/>
          </w:tcPr>
          <w:p w14:paraId="528EDDEA">
            <w:pPr>
              <w:widowControl/>
              <w:jc w:val="center"/>
              <w:rPr>
                <w:rFonts w:ascii="宋体" w:hAnsi="宋体" w:cs="宋体"/>
                <w:color w:val="000000"/>
                <w:kern w:val="0"/>
                <w:sz w:val="18"/>
                <w:szCs w:val="18"/>
              </w:rPr>
            </w:pPr>
            <w:r>
              <w:rPr>
                <w:rFonts w:hint="eastAsia" w:ascii="宋体" w:hAnsi="宋体" w:cs="宋体"/>
                <w:color w:val="000000"/>
                <w:kern w:val="0"/>
                <w:sz w:val="18"/>
                <w:szCs w:val="18"/>
              </w:rPr>
              <w:t>779.87</w:t>
            </w:r>
          </w:p>
        </w:tc>
        <w:tc>
          <w:tcPr>
            <w:tcW w:w="1252" w:type="dxa"/>
            <w:shd w:val="clear" w:color="auto" w:fill="auto"/>
            <w:noWrap/>
            <w:vAlign w:val="center"/>
          </w:tcPr>
          <w:p w14:paraId="67B1E4BA">
            <w:pPr>
              <w:widowControl/>
              <w:jc w:val="center"/>
              <w:rPr>
                <w:rFonts w:ascii="宋体" w:hAnsi="宋体" w:cs="宋体"/>
                <w:color w:val="000000"/>
                <w:kern w:val="0"/>
                <w:sz w:val="18"/>
                <w:szCs w:val="18"/>
              </w:rPr>
            </w:pPr>
            <w:r>
              <w:rPr>
                <w:rFonts w:hint="eastAsia" w:ascii="宋体" w:hAnsi="宋体" w:cs="宋体"/>
                <w:color w:val="000000"/>
                <w:kern w:val="0"/>
                <w:sz w:val="18"/>
                <w:szCs w:val="18"/>
              </w:rPr>
              <w:t>1378.29</w:t>
            </w:r>
          </w:p>
        </w:tc>
        <w:tc>
          <w:tcPr>
            <w:tcW w:w="967" w:type="dxa"/>
            <w:shd w:val="clear" w:color="auto" w:fill="auto"/>
            <w:noWrap/>
            <w:vAlign w:val="center"/>
          </w:tcPr>
          <w:p w14:paraId="498B9052">
            <w:pPr>
              <w:widowControl/>
              <w:jc w:val="center"/>
              <w:rPr>
                <w:rFonts w:ascii="宋体" w:hAnsi="宋体" w:cs="宋体"/>
                <w:color w:val="000000"/>
                <w:kern w:val="0"/>
                <w:sz w:val="18"/>
                <w:szCs w:val="18"/>
              </w:rPr>
            </w:pPr>
            <w:r>
              <w:rPr>
                <w:rFonts w:hint="eastAsia" w:ascii="宋体" w:hAnsi="宋体" w:cs="宋体"/>
                <w:color w:val="000000"/>
                <w:kern w:val="0"/>
                <w:sz w:val="18"/>
                <w:szCs w:val="18"/>
              </w:rPr>
              <w:t>不符合</w:t>
            </w:r>
          </w:p>
        </w:tc>
      </w:tr>
      <w:tr w14:paraId="4166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4C7E6D81">
            <w:pPr>
              <w:widowControl/>
              <w:jc w:val="center"/>
              <w:rPr>
                <w:rFonts w:ascii="宋体" w:hAnsi="宋体" w:cs="宋体"/>
                <w:color w:val="000000"/>
                <w:kern w:val="0"/>
                <w:sz w:val="18"/>
                <w:szCs w:val="18"/>
              </w:rPr>
            </w:pPr>
            <w:r>
              <w:rPr>
                <w:rFonts w:hint="eastAsia" w:ascii="宋体" w:hAnsi="宋体" w:cs="宋体"/>
                <w:color w:val="000000"/>
                <w:kern w:val="0"/>
                <w:sz w:val="18"/>
                <w:szCs w:val="18"/>
              </w:rPr>
              <w:t>城镇工矿用地规模</w:t>
            </w:r>
          </w:p>
        </w:tc>
        <w:tc>
          <w:tcPr>
            <w:tcW w:w="1252" w:type="dxa"/>
            <w:shd w:val="clear" w:color="auto" w:fill="auto"/>
            <w:noWrap/>
            <w:vAlign w:val="center"/>
          </w:tcPr>
          <w:p w14:paraId="2EE97CBD">
            <w:pPr>
              <w:widowControl/>
              <w:jc w:val="center"/>
              <w:rPr>
                <w:rFonts w:ascii="宋体" w:hAnsi="宋体" w:cs="宋体"/>
                <w:color w:val="000000"/>
                <w:kern w:val="0"/>
                <w:sz w:val="18"/>
                <w:szCs w:val="18"/>
              </w:rPr>
            </w:pPr>
            <w:r>
              <w:rPr>
                <w:rFonts w:hint="eastAsia" w:ascii="宋体" w:hAnsi="宋体" w:cs="宋体"/>
                <w:color w:val="000000"/>
                <w:kern w:val="0"/>
                <w:sz w:val="18"/>
                <w:szCs w:val="18"/>
              </w:rPr>
              <w:t>1658.94</w:t>
            </w:r>
          </w:p>
        </w:tc>
        <w:tc>
          <w:tcPr>
            <w:tcW w:w="1252" w:type="dxa"/>
            <w:shd w:val="clear" w:color="auto" w:fill="auto"/>
            <w:noWrap/>
            <w:vAlign w:val="center"/>
          </w:tcPr>
          <w:p w14:paraId="3B4C05F1">
            <w:pPr>
              <w:widowControl/>
              <w:jc w:val="center"/>
              <w:rPr>
                <w:rFonts w:ascii="宋体" w:hAnsi="宋体" w:cs="宋体"/>
                <w:color w:val="000000"/>
                <w:kern w:val="0"/>
                <w:sz w:val="18"/>
                <w:szCs w:val="18"/>
              </w:rPr>
            </w:pPr>
            <w:r>
              <w:rPr>
                <w:rFonts w:hint="eastAsia" w:ascii="宋体" w:hAnsi="宋体" w:cs="宋体"/>
                <w:color w:val="000000"/>
                <w:kern w:val="0"/>
                <w:sz w:val="18"/>
                <w:szCs w:val="18"/>
              </w:rPr>
              <w:t>1297.99</w:t>
            </w:r>
          </w:p>
        </w:tc>
        <w:tc>
          <w:tcPr>
            <w:tcW w:w="1200" w:type="dxa"/>
            <w:shd w:val="clear" w:color="auto" w:fill="auto"/>
            <w:vAlign w:val="center"/>
          </w:tcPr>
          <w:p w14:paraId="4B1D5625">
            <w:pPr>
              <w:widowControl/>
              <w:jc w:val="center"/>
              <w:rPr>
                <w:rFonts w:ascii="宋体" w:hAnsi="宋体" w:cs="宋体"/>
                <w:color w:val="000000"/>
                <w:kern w:val="0"/>
                <w:sz w:val="18"/>
                <w:szCs w:val="18"/>
              </w:rPr>
            </w:pPr>
            <w:r>
              <w:rPr>
                <w:rFonts w:hint="eastAsia" w:ascii="宋体" w:hAnsi="宋体" w:cs="宋体"/>
                <w:color w:val="000000"/>
                <w:kern w:val="0"/>
                <w:sz w:val="18"/>
                <w:szCs w:val="18"/>
              </w:rPr>
              <w:t>1494.87</w:t>
            </w:r>
          </w:p>
        </w:tc>
        <w:tc>
          <w:tcPr>
            <w:tcW w:w="1016" w:type="dxa"/>
            <w:shd w:val="clear" w:color="auto" w:fill="auto"/>
            <w:vAlign w:val="center"/>
          </w:tcPr>
          <w:p w14:paraId="3B7FB0F1">
            <w:pPr>
              <w:widowControl/>
              <w:jc w:val="center"/>
              <w:rPr>
                <w:rFonts w:ascii="宋体" w:hAnsi="宋体" w:cs="宋体"/>
                <w:color w:val="000000"/>
                <w:kern w:val="0"/>
                <w:sz w:val="18"/>
                <w:szCs w:val="18"/>
              </w:rPr>
            </w:pPr>
            <w:r>
              <w:rPr>
                <w:rFonts w:hint="eastAsia" w:ascii="宋体" w:hAnsi="宋体" w:cs="宋体"/>
                <w:color w:val="000000"/>
                <w:kern w:val="0"/>
                <w:sz w:val="18"/>
                <w:szCs w:val="18"/>
              </w:rPr>
              <w:t>1803.97</w:t>
            </w:r>
          </w:p>
        </w:tc>
        <w:tc>
          <w:tcPr>
            <w:tcW w:w="1252" w:type="dxa"/>
            <w:shd w:val="clear" w:color="auto" w:fill="auto"/>
            <w:noWrap/>
            <w:vAlign w:val="center"/>
          </w:tcPr>
          <w:p w14:paraId="19826611">
            <w:pPr>
              <w:widowControl/>
              <w:jc w:val="center"/>
              <w:rPr>
                <w:rFonts w:ascii="宋体" w:hAnsi="宋体" w:cs="宋体"/>
                <w:color w:val="000000"/>
                <w:kern w:val="0"/>
                <w:sz w:val="18"/>
                <w:szCs w:val="18"/>
              </w:rPr>
            </w:pPr>
            <w:r>
              <w:rPr>
                <w:rFonts w:hint="eastAsia" w:ascii="宋体" w:hAnsi="宋体" w:cs="宋体"/>
                <w:color w:val="000000"/>
                <w:kern w:val="0"/>
                <w:sz w:val="18"/>
                <w:szCs w:val="18"/>
              </w:rPr>
              <w:t>309.1</w:t>
            </w:r>
          </w:p>
        </w:tc>
        <w:tc>
          <w:tcPr>
            <w:tcW w:w="1252" w:type="dxa"/>
            <w:shd w:val="clear" w:color="auto" w:fill="auto"/>
            <w:noWrap/>
            <w:vAlign w:val="center"/>
          </w:tcPr>
          <w:p w14:paraId="61D5CB0B">
            <w:pPr>
              <w:widowControl/>
              <w:jc w:val="center"/>
              <w:rPr>
                <w:rFonts w:ascii="宋体" w:hAnsi="宋体" w:cs="宋体"/>
                <w:color w:val="000000"/>
                <w:kern w:val="0"/>
                <w:sz w:val="18"/>
                <w:szCs w:val="18"/>
              </w:rPr>
            </w:pPr>
            <w:r>
              <w:rPr>
                <w:rFonts w:hint="eastAsia" w:ascii="宋体" w:hAnsi="宋体" w:cs="宋体"/>
                <w:color w:val="000000"/>
                <w:kern w:val="0"/>
                <w:sz w:val="18"/>
                <w:szCs w:val="18"/>
              </w:rPr>
              <w:t>505.98</w:t>
            </w:r>
          </w:p>
        </w:tc>
        <w:tc>
          <w:tcPr>
            <w:tcW w:w="967" w:type="dxa"/>
            <w:shd w:val="clear" w:color="auto" w:fill="auto"/>
            <w:noWrap/>
            <w:vAlign w:val="center"/>
          </w:tcPr>
          <w:p w14:paraId="2CC61B38">
            <w:pPr>
              <w:widowControl/>
              <w:jc w:val="center"/>
              <w:rPr>
                <w:rFonts w:ascii="宋体" w:hAnsi="宋体" w:cs="宋体"/>
                <w:color w:val="000000"/>
                <w:kern w:val="0"/>
                <w:sz w:val="18"/>
                <w:szCs w:val="18"/>
              </w:rPr>
            </w:pPr>
            <w:r>
              <w:rPr>
                <w:rFonts w:hint="eastAsia" w:ascii="宋体" w:hAnsi="宋体" w:cs="宋体"/>
                <w:color w:val="000000"/>
                <w:kern w:val="0"/>
                <w:sz w:val="18"/>
                <w:szCs w:val="18"/>
              </w:rPr>
              <w:t>不符合</w:t>
            </w:r>
          </w:p>
        </w:tc>
      </w:tr>
      <w:tr w14:paraId="2371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61A1AB78">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交通、水利及其他建设用地规模</w:t>
            </w:r>
          </w:p>
        </w:tc>
        <w:tc>
          <w:tcPr>
            <w:tcW w:w="1252" w:type="dxa"/>
            <w:shd w:val="clear" w:color="auto" w:fill="auto"/>
            <w:vAlign w:val="center"/>
          </w:tcPr>
          <w:p w14:paraId="2B4FD53F">
            <w:pPr>
              <w:widowControl/>
              <w:jc w:val="center"/>
              <w:rPr>
                <w:rFonts w:ascii="宋体" w:hAnsi="宋体" w:cs="宋体"/>
                <w:color w:val="000000"/>
                <w:kern w:val="0"/>
                <w:sz w:val="18"/>
                <w:szCs w:val="18"/>
              </w:rPr>
            </w:pPr>
            <w:r>
              <w:rPr>
                <w:rFonts w:hint="eastAsia" w:ascii="宋体" w:hAnsi="宋体" w:cs="宋体"/>
                <w:color w:val="000000"/>
                <w:kern w:val="0"/>
                <w:sz w:val="18"/>
                <w:szCs w:val="18"/>
              </w:rPr>
              <w:t>753.46</w:t>
            </w:r>
          </w:p>
        </w:tc>
        <w:tc>
          <w:tcPr>
            <w:tcW w:w="1252" w:type="dxa"/>
            <w:shd w:val="clear" w:color="auto" w:fill="auto"/>
            <w:vAlign w:val="center"/>
          </w:tcPr>
          <w:p w14:paraId="3800F8A6">
            <w:pPr>
              <w:widowControl/>
              <w:jc w:val="center"/>
              <w:rPr>
                <w:rFonts w:ascii="宋体" w:hAnsi="宋体" w:cs="宋体"/>
                <w:color w:val="000000"/>
                <w:kern w:val="0"/>
                <w:sz w:val="18"/>
                <w:szCs w:val="18"/>
              </w:rPr>
            </w:pPr>
            <w:r>
              <w:rPr>
                <w:rFonts w:hint="eastAsia" w:ascii="宋体" w:hAnsi="宋体" w:cs="宋体"/>
                <w:color w:val="000000"/>
                <w:kern w:val="0"/>
                <w:sz w:val="18"/>
                <w:szCs w:val="18"/>
              </w:rPr>
              <w:t>1902.15</w:t>
            </w:r>
          </w:p>
        </w:tc>
        <w:tc>
          <w:tcPr>
            <w:tcW w:w="1200" w:type="dxa"/>
            <w:shd w:val="clear" w:color="auto" w:fill="auto"/>
            <w:vAlign w:val="center"/>
          </w:tcPr>
          <w:p w14:paraId="58CA34E4">
            <w:pPr>
              <w:widowControl/>
              <w:jc w:val="center"/>
              <w:rPr>
                <w:rFonts w:ascii="宋体" w:hAnsi="宋体" w:cs="宋体"/>
                <w:color w:val="000000"/>
                <w:kern w:val="0"/>
                <w:sz w:val="18"/>
                <w:szCs w:val="18"/>
              </w:rPr>
            </w:pPr>
            <w:r>
              <w:rPr>
                <w:rFonts w:hint="eastAsia" w:ascii="宋体" w:hAnsi="宋体" w:cs="宋体"/>
                <w:color w:val="000000"/>
                <w:kern w:val="0"/>
                <w:sz w:val="18"/>
                <w:szCs w:val="18"/>
              </w:rPr>
              <w:t>1275.59</w:t>
            </w:r>
          </w:p>
        </w:tc>
        <w:tc>
          <w:tcPr>
            <w:tcW w:w="1016" w:type="dxa"/>
            <w:shd w:val="clear" w:color="auto" w:fill="auto"/>
            <w:vAlign w:val="center"/>
          </w:tcPr>
          <w:p w14:paraId="76AA75DC">
            <w:pPr>
              <w:widowControl/>
              <w:jc w:val="center"/>
              <w:rPr>
                <w:rFonts w:ascii="宋体" w:hAnsi="宋体" w:cs="宋体"/>
                <w:color w:val="000000"/>
                <w:kern w:val="0"/>
                <w:sz w:val="18"/>
                <w:szCs w:val="18"/>
              </w:rPr>
            </w:pPr>
            <w:r>
              <w:rPr>
                <w:rFonts w:hint="eastAsia" w:ascii="宋体" w:hAnsi="宋体" w:cs="宋体"/>
                <w:color w:val="000000"/>
                <w:kern w:val="0"/>
                <w:sz w:val="18"/>
                <w:szCs w:val="18"/>
              </w:rPr>
              <w:t>760.62</w:t>
            </w:r>
          </w:p>
        </w:tc>
        <w:tc>
          <w:tcPr>
            <w:tcW w:w="1252" w:type="dxa"/>
            <w:shd w:val="clear" w:color="auto" w:fill="auto"/>
            <w:noWrap/>
            <w:vAlign w:val="center"/>
          </w:tcPr>
          <w:p w14:paraId="0B0E754C">
            <w:pPr>
              <w:widowControl/>
              <w:jc w:val="center"/>
              <w:rPr>
                <w:rFonts w:ascii="宋体" w:hAnsi="宋体" w:cs="宋体"/>
                <w:color w:val="000000"/>
                <w:kern w:val="0"/>
                <w:sz w:val="18"/>
                <w:szCs w:val="18"/>
              </w:rPr>
            </w:pPr>
            <w:r>
              <w:rPr>
                <w:rFonts w:hint="eastAsia" w:ascii="宋体" w:hAnsi="宋体" w:cs="宋体"/>
                <w:color w:val="000000"/>
                <w:kern w:val="0"/>
                <w:sz w:val="18"/>
                <w:szCs w:val="18"/>
              </w:rPr>
              <w:t>-514.97</w:t>
            </w:r>
          </w:p>
        </w:tc>
        <w:tc>
          <w:tcPr>
            <w:tcW w:w="1252" w:type="dxa"/>
            <w:shd w:val="clear" w:color="auto" w:fill="auto"/>
            <w:noWrap/>
            <w:vAlign w:val="center"/>
          </w:tcPr>
          <w:p w14:paraId="098EB951">
            <w:pPr>
              <w:widowControl/>
              <w:jc w:val="center"/>
              <w:rPr>
                <w:rFonts w:ascii="宋体" w:hAnsi="宋体" w:cs="宋体"/>
                <w:color w:val="000000"/>
                <w:kern w:val="0"/>
                <w:sz w:val="18"/>
                <w:szCs w:val="18"/>
              </w:rPr>
            </w:pPr>
            <w:r>
              <w:rPr>
                <w:rFonts w:hint="eastAsia" w:ascii="宋体" w:hAnsi="宋体" w:cs="宋体"/>
                <w:color w:val="000000"/>
                <w:kern w:val="0"/>
                <w:sz w:val="18"/>
                <w:szCs w:val="18"/>
              </w:rPr>
              <w:t>-1141.53</w:t>
            </w:r>
          </w:p>
        </w:tc>
        <w:tc>
          <w:tcPr>
            <w:tcW w:w="967" w:type="dxa"/>
            <w:shd w:val="clear" w:color="auto" w:fill="auto"/>
            <w:noWrap/>
            <w:vAlign w:val="center"/>
          </w:tcPr>
          <w:p w14:paraId="57F8A45E">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2C9C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049" w:type="dxa"/>
            <w:gridSpan w:val="6"/>
            <w:shd w:val="clear" w:color="auto" w:fill="auto"/>
            <w:vAlign w:val="center"/>
          </w:tcPr>
          <w:p w14:paraId="1E4B3B77">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增量指标</w:t>
            </w:r>
          </w:p>
        </w:tc>
        <w:tc>
          <w:tcPr>
            <w:tcW w:w="1252" w:type="dxa"/>
            <w:shd w:val="clear" w:color="auto" w:fill="auto"/>
            <w:vAlign w:val="center"/>
          </w:tcPr>
          <w:p w14:paraId="220AF1C8">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967" w:type="dxa"/>
            <w:shd w:val="clear" w:color="auto" w:fill="auto"/>
            <w:noWrap/>
            <w:vAlign w:val="center"/>
          </w:tcPr>
          <w:p w14:paraId="7CB3F91E">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14:paraId="7E1C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3212072A">
            <w:pPr>
              <w:widowControl/>
              <w:jc w:val="center"/>
              <w:rPr>
                <w:rFonts w:ascii="宋体" w:hAnsi="宋体" w:cs="宋体"/>
                <w:color w:val="000000"/>
                <w:kern w:val="0"/>
                <w:sz w:val="18"/>
                <w:szCs w:val="18"/>
              </w:rPr>
            </w:pPr>
            <w:r>
              <w:rPr>
                <w:rFonts w:hint="eastAsia" w:ascii="宋体" w:hAnsi="宋体" w:cs="宋体"/>
                <w:color w:val="000000"/>
                <w:kern w:val="0"/>
                <w:sz w:val="18"/>
                <w:szCs w:val="18"/>
              </w:rPr>
              <w:t>新增建设用地总量</w:t>
            </w:r>
          </w:p>
        </w:tc>
        <w:tc>
          <w:tcPr>
            <w:tcW w:w="1252" w:type="dxa"/>
            <w:shd w:val="clear" w:color="auto" w:fill="auto"/>
            <w:vAlign w:val="center"/>
          </w:tcPr>
          <w:p w14:paraId="2C3C51B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52" w:type="dxa"/>
            <w:shd w:val="clear" w:color="auto" w:fill="auto"/>
            <w:noWrap/>
            <w:vAlign w:val="center"/>
          </w:tcPr>
          <w:p w14:paraId="340E8988">
            <w:pPr>
              <w:widowControl/>
              <w:jc w:val="center"/>
              <w:rPr>
                <w:rFonts w:ascii="宋体" w:hAnsi="宋体" w:cs="宋体"/>
                <w:color w:val="000000"/>
                <w:kern w:val="0"/>
                <w:sz w:val="18"/>
                <w:szCs w:val="18"/>
              </w:rPr>
            </w:pPr>
            <w:r>
              <w:rPr>
                <w:rFonts w:hint="eastAsia" w:ascii="宋体" w:hAnsi="宋体" w:cs="宋体"/>
                <w:color w:val="000000"/>
                <w:kern w:val="0"/>
                <w:sz w:val="18"/>
                <w:szCs w:val="18"/>
              </w:rPr>
              <w:t>653.38</w:t>
            </w:r>
          </w:p>
        </w:tc>
        <w:tc>
          <w:tcPr>
            <w:tcW w:w="1200" w:type="dxa"/>
            <w:shd w:val="clear" w:color="auto" w:fill="auto"/>
            <w:vAlign w:val="center"/>
          </w:tcPr>
          <w:p w14:paraId="1FBA71E8">
            <w:pPr>
              <w:widowControl/>
              <w:jc w:val="center"/>
              <w:rPr>
                <w:rFonts w:ascii="宋体" w:hAnsi="宋体" w:cs="宋体"/>
                <w:color w:val="000000"/>
                <w:kern w:val="0"/>
                <w:sz w:val="18"/>
                <w:szCs w:val="18"/>
              </w:rPr>
            </w:pPr>
            <w:r>
              <w:rPr>
                <w:rFonts w:hint="eastAsia" w:ascii="宋体" w:hAnsi="宋体" w:cs="宋体"/>
                <w:color w:val="000000"/>
                <w:kern w:val="0"/>
                <w:sz w:val="18"/>
                <w:szCs w:val="18"/>
              </w:rPr>
              <w:t>296.99</w:t>
            </w:r>
          </w:p>
        </w:tc>
        <w:tc>
          <w:tcPr>
            <w:tcW w:w="1016" w:type="dxa"/>
            <w:shd w:val="clear" w:color="auto" w:fill="auto"/>
            <w:noWrap/>
            <w:vAlign w:val="center"/>
          </w:tcPr>
          <w:p w14:paraId="6B72783C">
            <w:pPr>
              <w:widowControl/>
              <w:jc w:val="center"/>
              <w:rPr>
                <w:rFonts w:ascii="宋体" w:hAnsi="宋体" w:cs="宋体"/>
                <w:color w:val="000000"/>
                <w:kern w:val="0"/>
                <w:sz w:val="18"/>
                <w:szCs w:val="18"/>
              </w:rPr>
            </w:pPr>
            <w:r>
              <w:rPr>
                <w:rFonts w:hint="eastAsia" w:ascii="宋体" w:hAnsi="宋体" w:cs="宋体"/>
                <w:color w:val="000000"/>
                <w:kern w:val="0"/>
                <w:sz w:val="18"/>
                <w:szCs w:val="18"/>
              </w:rPr>
              <w:t>288.34</w:t>
            </w:r>
          </w:p>
        </w:tc>
        <w:tc>
          <w:tcPr>
            <w:tcW w:w="1252" w:type="dxa"/>
            <w:shd w:val="clear" w:color="auto" w:fill="auto"/>
            <w:noWrap/>
            <w:vAlign w:val="center"/>
          </w:tcPr>
          <w:p w14:paraId="2AC8C51B">
            <w:pPr>
              <w:widowControl/>
              <w:jc w:val="center"/>
              <w:rPr>
                <w:rFonts w:ascii="宋体" w:hAnsi="宋体" w:cs="宋体"/>
                <w:color w:val="000000"/>
                <w:kern w:val="0"/>
                <w:sz w:val="18"/>
                <w:szCs w:val="18"/>
              </w:rPr>
            </w:pPr>
            <w:r>
              <w:rPr>
                <w:rFonts w:hint="eastAsia" w:ascii="宋体" w:hAnsi="宋体" w:cs="宋体"/>
                <w:color w:val="000000"/>
                <w:kern w:val="0"/>
                <w:sz w:val="18"/>
                <w:szCs w:val="18"/>
              </w:rPr>
              <w:t>-8.65</w:t>
            </w:r>
          </w:p>
        </w:tc>
        <w:tc>
          <w:tcPr>
            <w:tcW w:w="1252" w:type="dxa"/>
            <w:shd w:val="clear" w:color="auto" w:fill="auto"/>
            <w:noWrap/>
            <w:vAlign w:val="center"/>
          </w:tcPr>
          <w:p w14:paraId="047264F2">
            <w:pPr>
              <w:widowControl/>
              <w:jc w:val="center"/>
              <w:rPr>
                <w:rFonts w:ascii="宋体" w:hAnsi="宋体" w:cs="宋体"/>
                <w:color w:val="000000"/>
                <w:kern w:val="0"/>
                <w:sz w:val="18"/>
                <w:szCs w:val="18"/>
              </w:rPr>
            </w:pPr>
            <w:r>
              <w:rPr>
                <w:rFonts w:hint="eastAsia" w:ascii="宋体" w:hAnsi="宋体" w:cs="宋体"/>
                <w:color w:val="000000"/>
                <w:kern w:val="0"/>
                <w:sz w:val="18"/>
                <w:szCs w:val="18"/>
              </w:rPr>
              <w:t>-365.04</w:t>
            </w:r>
          </w:p>
        </w:tc>
        <w:tc>
          <w:tcPr>
            <w:tcW w:w="967" w:type="dxa"/>
            <w:shd w:val="clear" w:color="auto" w:fill="auto"/>
            <w:noWrap/>
            <w:vAlign w:val="center"/>
          </w:tcPr>
          <w:p w14:paraId="3F08036E">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15C1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39D281FC">
            <w:pPr>
              <w:widowControl/>
              <w:jc w:val="center"/>
              <w:rPr>
                <w:rFonts w:ascii="宋体" w:hAnsi="宋体" w:cs="宋体"/>
                <w:color w:val="000000"/>
                <w:kern w:val="0"/>
                <w:sz w:val="18"/>
                <w:szCs w:val="18"/>
              </w:rPr>
            </w:pPr>
            <w:r>
              <w:rPr>
                <w:rFonts w:hint="eastAsia" w:ascii="宋体" w:hAnsi="宋体" w:cs="宋体"/>
                <w:color w:val="000000"/>
                <w:kern w:val="0"/>
                <w:sz w:val="18"/>
                <w:szCs w:val="18"/>
              </w:rPr>
              <w:t>新增建设占用农用地规模</w:t>
            </w:r>
          </w:p>
        </w:tc>
        <w:tc>
          <w:tcPr>
            <w:tcW w:w="1252" w:type="dxa"/>
            <w:shd w:val="clear" w:color="auto" w:fill="auto"/>
            <w:vAlign w:val="center"/>
          </w:tcPr>
          <w:p w14:paraId="282B27B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52" w:type="dxa"/>
            <w:shd w:val="clear" w:color="auto" w:fill="auto"/>
            <w:noWrap/>
            <w:vAlign w:val="center"/>
          </w:tcPr>
          <w:p w14:paraId="36E332AA">
            <w:pPr>
              <w:widowControl/>
              <w:jc w:val="center"/>
              <w:rPr>
                <w:rFonts w:ascii="宋体" w:hAnsi="宋体" w:cs="宋体"/>
                <w:color w:val="000000"/>
                <w:kern w:val="0"/>
                <w:sz w:val="18"/>
                <w:szCs w:val="18"/>
              </w:rPr>
            </w:pPr>
            <w:r>
              <w:rPr>
                <w:rFonts w:hint="eastAsia" w:ascii="宋体" w:hAnsi="宋体" w:cs="宋体"/>
                <w:color w:val="000000"/>
                <w:kern w:val="0"/>
                <w:sz w:val="18"/>
                <w:szCs w:val="18"/>
              </w:rPr>
              <w:t>552.91</w:t>
            </w:r>
          </w:p>
        </w:tc>
        <w:tc>
          <w:tcPr>
            <w:tcW w:w="1200" w:type="dxa"/>
            <w:shd w:val="clear" w:color="auto" w:fill="auto"/>
            <w:vAlign w:val="center"/>
          </w:tcPr>
          <w:p w14:paraId="7989B473">
            <w:pPr>
              <w:widowControl/>
              <w:jc w:val="center"/>
              <w:rPr>
                <w:rFonts w:ascii="宋体" w:hAnsi="宋体" w:cs="宋体"/>
                <w:color w:val="000000"/>
                <w:kern w:val="0"/>
                <w:sz w:val="18"/>
                <w:szCs w:val="18"/>
              </w:rPr>
            </w:pPr>
            <w:r>
              <w:rPr>
                <w:rFonts w:hint="eastAsia" w:ascii="宋体" w:hAnsi="宋体" w:cs="宋体"/>
                <w:color w:val="000000"/>
                <w:kern w:val="0"/>
                <w:sz w:val="18"/>
                <w:szCs w:val="18"/>
              </w:rPr>
              <w:t>251.32</w:t>
            </w:r>
          </w:p>
        </w:tc>
        <w:tc>
          <w:tcPr>
            <w:tcW w:w="1016" w:type="dxa"/>
            <w:shd w:val="clear" w:color="auto" w:fill="auto"/>
            <w:noWrap/>
            <w:vAlign w:val="center"/>
          </w:tcPr>
          <w:p w14:paraId="264A201E">
            <w:pPr>
              <w:widowControl/>
              <w:jc w:val="center"/>
              <w:rPr>
                <w:rFonts w:ascii="宋体" w:hAnsi="宋体" w:cs="宋体"/>
                <w:color w:val="000000"/>
                <w:kern w:val="0"/>
                <w:sz w:val="18"/>
                <w:szCs w:val="18"/>
              </w:rPr>
            </w:pPr>
            <w:r>
              <w:rPr>
                <w:rFonts w:hint="eastAsia" w:ascii="宋体" w:hAnsi="宋体" w:cs="宋体"/>
                <w:color w:val="000000"/>
                <w:kern w:val="0"/>
                <w:sz w:val="18"/>
                <w:szCs w:val="18"/>
              </w:rPr>
              <w:t>241.5</w:t>
            </w:r>
          </w:p>
        </w:tc>
        <w:tc>
          <w:tcPr>
            <w:tcW w:w="1252" w:type="dxa"/>
            <w:shd w:val="clear" w:color="auto" w:fill="auto"/>
            <w:noWrap/>
            <w:vAlign w:val="center"/>
          </w:tcPr>
          <w:p w14:paraId="4EC0A6C4">
            <w:pPr>
              <w:widowControl/>
              <w:jc w:val="center"/>
              <w:rPr>
                <w:rFonts w:ascii="宋体" w:hAnsi="宋体" w:cs="宋体"/>
                <w:color w:val="000000"/>
                <w:kern w:val="0"/>
                <w:sz w:val="18"/>
                <w:szCs w:val="18"/>
              </w:rPr>
            </w:pPr>
            <w:r>
              <w:rPr>
                <w:rFonts w:hint="eastAsia" w:ascii="宋体" w:hAnsi="宋体" w:cs="宋体"/>
                <w:color w:val="000000"/>
                <w:kern w:val="0"/>
                <w:sz w:val="18"/>
                <w:szCs w:val="18"/>
              </w:rPr>
              <w:t>-76.72</w:t>
            </w:r>
          </w:p>
        </w:tc>
        <w:tc>
          <w:tcPr>
            <w:tcW w:w="1252" w:type="dxa"/>
            <w:shd w:val="clear" w:color="auto" w:fill="auto"/>
            <w:noWrap/>
            <w:vAlign w:val="center"/>
          </w:tcPr>
          <w:p w14:paraId="694045D8">
            <w:pPr>
              <w:widowControl/>
              <w:jc w:val="center"/>
              <w:rPr>
                <w:rFonts w:ascii="宋体" w:hAnsi="宋体" w:cs="宋体"/>
                <w:color w:val="000000"/>
                <w:kern w:val="0"/>
                <w:sz w:val="18"/>
                <w:szCs w:val="18"/>
              </w:rPr>
            </w:pPr>
            <w:r>
              <w:rPr>
                <w:rFonts w:hint="eastAsia" w:ascii="宋体" w:hAnsi="宋体" w:cs="宋体"/>
                <w:color w:val="000000"/>
                <w:kern w:val="0"/>
                <w:sz w:val="18"/>
                <w:szCs w:val="18"/>
              </w:rPr>
              <w:t>-311.41</w:t>
            </w:r>
          </w:p>
        </w:tc>
        <w:tc>
          <w:tcPr>
            <w:tcW w:w="967" w:type="dxa"/>
            <w:shd w:val="clear" w:color="auto" w:fill="auto"/>
            <w:noWrap/>
            <w:vAlign w:val="center"/>
          </w:tcPr>
          <w:p w14:paraId="0350E0AD">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3D8C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2C7F6C46">
            <w:pPr>
              <w:widowControl/>
              <w:jc w:val="center"/>
              <w:rPr>
                <w:rFonts w:ascii="宋体" w:hAnsi="宋体" w:cs="宋体"/>
                <w:color w:val="000000"/>
                <w:kern w:val="0"/>
                <w:sz w:val="18"/>
                <w:szCs w:val="18"/>
              </w:rPr>
            </w:pPr>
            <w:r>
              <w:rPr>
                <w:rFonts w:hint="eastAsia" w:ascii="宋体" w:hAnsi="宋体" w:cs="宋体"/>
                <w:color w:val="000000"/>
                <w:kern w:val="0"/>
                <w:sz w:val="18"/>
                <w:szCs w:val="18"/>
              </w:rPr>
              <w:t>新增建设占用耕地规模</w:t>
            </w:r>
          </w:p>
        </w:tc>
        <w:tc>
          <w:tcPr>
            <w:tcW w:w="1252" w:type="dxa"/>
            <w:shd w:val="clear" w:color="auto" w:fill="auto"/>
            <w:vAlign w:val="center"/>
          </w:tcPr>
          <w:p w14:paraId="63452F2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52" w:type="dxa"/>
            <w:shd w:val="clear" w:color="auto" w:fill="auto"/>
            <w:noWrap/>
            <w:vAlign w:val="center"/>
          </w:tcPr>
          <w:p w14:paraId="6F02A578">
            <w:pPr>
              <w:widowControl/>
              <w:jc w:val="center"/>
              <w:rPr>
                <w:rFonts w:ascii="宋体" w:hAnsi="宋体" w:cs="宋体"/>
                <w:color w:val="000000"/>
                <w:kern w:val="0"/>
                <w:sz w:val="18"/>
                <w:szCs w:val="18"/>
              </w:rPr>
            </w:pPr>
            <w:r>
              <w:rPr>
                <w:rFonts w:hint="eastAsia" w:ascii="宋体" w:hAnsi="宋体" w:cs="宋体"/>
                <w:color w:val="000000"/>
                <w:kern w:val="0"/>
                <w:sz w:val="18"/>
                <w:szCs w:val="18"/>
              </w:rPr>
              <w:t>410.48</w:t>
            </w:r>
          </w:p>
        </w:tc>
        <w:tc>
          <w:tcPr>
            <w:tcW w:w="1200" w:type="dxa"/>
            <w:shd w:val="clear" w:color="auto" w:fill="auto"/>
            <w:vAlign w:val="center"/>
          </w:tcPr>
          <w:p w14:paraId="216FAC11">
            <w:pPr>
              <w:widowControl/>
              <w:jc w:val="center"/>
              <w:rPr>
                <w:rFonts w:ascii="宋体" w:hAnsi="宋体" w:cs="宋体"/>
                <w:color w:val="000000"/>
                <w:kern w:val="0"/>
                <w:sz w:val="18"/>
                <w:szCs w:val="18"/>
              </w:rPr>
            </w:pPr>
            <w:r>
              <w:rPr>
                <w:rFonts w:hint="eastAsia" w:ascii="宋体" w:hAnsi="宋体" w:cs="宋体"/>
                <w:color w:val="000000"/>
                <w:kern w:val="0"/>
                <w:sz w:val="18"/>
                <w:szCs w:val="18"/>
              </w:rPr>
              <w:t>186.58</w:t>
            </w:r>
          </w:p>
        </w:tc>
        <w:tc>
          <w:tcPr>
            <w:tcW w:w="1016" w:type="dxa"/>
            <w:shd w:val="clear" w:color="auto" w:fill="auto"/>
            <w:noWrap/>
            <w:vAlign w:val="center"/>
          </w:tcPr>
          <w:p w14:paraId="5F311743">
            <w:pPr>
              <w:widowControl/>
              <w:jc w:val="center"/>
              <w:rPr>
                <w:rFonts w:ascii="宋体" w:hAnsi="宋体" w:cs="宋体"/>
                <w:color w:val="000000"/>
                <w:kern w:val="0"/>
                <w:sz w:val="18"/>
                <w:szCs w:val="18"/>
              </w:rPr>
            </w:pPr>
            <w:r>
              <w:rPr>
                <w:rFonts w:hint="eastAsia" w:ascii="宋体" w:hAnsi="宋体" w:cs="宋体"/>
                <w:color w:val="000000"/>
                <w:kern w:val="0"/>
                <w:sz w:val="18"/>
                <w:szCs w:val="18"/>
              </w:rPr>
              <w:t>55.98</w:t>
            </w:r>
          </w:p>
        </w:tc>
        <w:tc>
          <w:tcPr>
            <w:tcW w:w="1252" w:type="dxa"/>
            <w:shd w:val="clear" w:color="auto" w:fill="auto"/>
            <w:noWrap/>
            <w:vAlign w:val="center"/>
          </w:tcPr>
          <w:p w14:paraId="336B1808">
            <w:pPr>
              <w:widowControl/>
              <w:jc w:val="center"/>
              <w:rPr>
                <w:rFonts w:ascii="宋体" w:hAnsi="宋体" w:cs="宋体"/>
                <w:color w:val="000000"/>
                <w:kern w:val="0"/>
                <w:sz w:val="18"/>
                <w:szCs w:val="18"/>
              </w:rPr>
            </w:pPr>
            <w:r>
              <w:rPr>
                <w:rFonts w:hint="eastAsia" w:ascii="宋体" w:hAnsi="宋体" w:cs="宋体"/>
                <w:color w:val="000000"/>
                <w:kern w:val="0"/>
                <w:sz w:val="18"/>
                <w:szCs w:val="18"/>
              </w:rPr>
              <w:t>-125.98</w:t>
            </w:r>
          </w:p>
        </w:tc>
        <w:tc>
          <w:tcPr>
            <w:tcW w:w="1252" w:type="dxa"/>
            <w:shd w:val="clear" w:color="auto" w:fill="auto"/>
            <w:noWrap/>
            <w:vAlign w:val="center"/>
          </w:tcPr>
          <w:p w14:paraId="227BBE11">
            <w:pPr>
              <w:widowControl/>
              <w:jc w:val="center"/>
              <w:rPr>
                <w:rFonts w:ascii="宋体" w:hAnsi="宋体" w:cs="宋体"/>
                <w:color w:val="000000"/>
                <w:kern w:val="0"/>
                <w:sz w:val="18"/>
                <w:szCs w:val="18"/>
              </w:rPr>
            </w:pPr>
            <w:r>
              <w:rPr>
                <w:rFonts w:hint="eastAsia" w:ascii="宋体" w:hAnsi="宋体" w:cs="宋体"/>
                <w:color w:val="000000"/>
                <w:kern w:val="0"/>
                <w:sz w:val="18"/>
                <w:szCs w:val="18"/>
              </w:rPr>
              <w:t>-354.5</w:t>
            </w:r>
          </w:p>
        </w:tc>
        <w:tc>
          <w:tcPr>
            <w:tcW w:w="967" w:type="dxa"/>
            <w:shd w:val="clear" w:color="auto" w:fill="auto"/>
            <w:noWrap/>
            <w:vAlign w:val="center"/>
          </w:tcPr>
          <w:p w14:paraId="7E2F947E">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1E29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71D0C354">
            <w:pPr>
              <w:widowControl/>
              <w:jc w:val="center"/>
              <w:rPr>
                <w:rFonts w:ascii="宋体" w:hAnsi="宋体" w:cs="宋体"/>
                <w:color w:val="000000"/>
                <w:kern w:val="0"/>
                <w:sz w:val="18"/>
                <w:szCs w:val="18"/>
              </w:rPr>
            </w:pPr>
            <w:r>
              <w:rPr>
                <w:rFonts w:hint="eastAsia" w:ascii="宋体" w:hAnsi="宋体" w:cs="宋体"/>
                <w:color w:val="000000"/>
                <w:kern w:val="0"/>
                <w:sz w:val="18"/>
                <w:szCs w:val="18"/>
              </w:rPr>
              <w:t>整理复垦开发补充耕地义务量</w:t>
            </w:r>
          </w:p>
        </w:tc>
        <w:tc>
          <w:tcPr>
            <w:tcW w:w="1252" w:type="dxa"/>
            <w:shd w:val="clear" w:color="auto" w:fill="auto"/>
            <w:vAlign w:val="center"/>
          </w:tcPr>
          <w:p w14:paraId="304458F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52" w:type="dxa"/>
            <w:shd w:val="clear" w:color="auto" w:fill="auto"/>
            <w:noWrap/>
            <w:vAlign w:val="center"/>
          </w:tcPr>
          <w:p w14:paraId="7802A69C">
            <w:pPr>
              <w:widowControl/>
              <w:jc w:val="center"/>
              <w:rPr>
                <w:rFonts w:ascii="宋体" w:hAnsi="宋体" w:cs="宋体"/>
                <w:color w:val="000000"/>
                <w:kern w:val="0"/>
                <w:sz w:val="18"/>
                <w:szCs w:val="18"/>
              </w:rPr>
            </w:pPr>
            <w:r>
              <w:rPr>
                <w:rFonts w:hint="eastAsia" w:ascii="宋体" w:hAnsi="宋体" w:cs="宋体"/>
                <w:color w:val="000000"/>
                <w:kern w:val="0"/>
                <w:sz w:val="18"/>
                <w:szCs w:val="18"/>
              </w:rPr>
              <w:t>470</w:t>
            </w:r>
          </w:p>
        </w:tc>
        <w:tc>
          <w:tcPr>
            <w:tcW w:w="1200" w:type="dxa"/>
            <w:shd w:val="clear" w:color="auto" w:fill="auto"/>
            <w:vAlign w:val="center"/>
          </w:tcPr>
          <w:p w14:paraId="03C32DB2">
            <w:pPr>
              <w:widowControl/>
              <w:jc w:val="center"/>
              <w:rPr>
                <w:rFonts w:ascii="宋体" w:hAnsi="宋体" w:cs="宋体"/>
                <w:color w:val="000000"/>
                <w:kern w:val="0"/>
                <w:sz w:val="18"/>
                <w:szCs w:val="18"/>
              </w:rPr>
            </w:pPr>
            <w:r>
              <w:rPr>
                <w:rFonts w:hint="eastAsia" w:ascii="宋体" w:hAnsi="宋体" w:cs="宋体"/>
                <w:color w:val="000000"/>
                <w:kern w:val="0"/>
                <w:sz w:val="18"/>
                <w:szCs w:val="18"/>
              </w:rPr>
              <w:t>213.64</w:t>
            </w:r>
          </w:p>
        </w:tc>
        <w:tc>
          <w:tcPr>
            <w:tcW w:w="1016" w:type="dxa"/>
            <w:shd w:val="clear" w:color="auto" w:fill="auto"/>
            <w:noWrap/>
            <w:vAlign w:val="center"/>
          </w:tcPr>
          <w:p w14:paraId="76AE127E">
            <w:pPr>
              <w:widowControl/>
              <w:jc w:val="center"/>
              <w:rPr>
                <w:rFonts w:ascii="宋体" w:hAnsi="宋体" w:cs="宋体"/>
                <w:color w:val="000000"/>
                <w:kern w:val="0"/>
                <w:sz w:val="18"/>
                <w:szCs w:val="18"/>
              </w:rPr>
            </w:pPr>
            <w:r>
              <w:rPr>
                <w:rFonts w:hint="eastAsia" w:ascii="宋体" w:hAnsi="宋体" w:cs="宋体"/>
                <w:color w:val="000000"/>
                <w:kern w:val="0"/>
                <w:sz w:val="18"/>
                <w:szCs w:val="18"/>
              </w:rPr>
              <w:t>40.6</w:t>
            </w:r>
          </w:p>
        </w:tc>
        <w:tc>
          <w:tcPr>
            <w:tcW w:w="1252" w:type="dxa"/>
            <w:shd w:val="clear" w:color="auto" w:fill="auto"/>
            <w:noWrap/>
            <w:vAlign w:val="center"/>
          </w:tcPr>
          <w:p w14:paraId="316E73ED">
            <w:pPr>
              <w:widowControl/>
              <w:jc w:val="center"/>
              <w:rPr>
                <w:rFonts w:ascii="宋体" w:hAnsi="宋体" w:cs="宋体"/>
                <w:color w:val="000000"/>
                <w:kern w:val="0"/>
                <w:sz w:val="18"/>
                <w:szCs w:val="18"/>
              </w:rPr>
            </w:pPr>
            <w:r>
              <w:rPr>
                <w:rFonts w:hint="eastAsia" w:ascii="宋体" w:hAnsi="宋体" w:cs="宋体"/>
                <w:color w:val="000000"/>
                <w:kern w:val="0"/>
                <w:sz w:val="18"/>
                <w:szCs w:val="18"/>
              </w:rPr>
              <w:t>-176.65</w:t>
            </w:r>
          </w:p>
        </w:tc>
        <w:tc>
          <w:tcPr>
            <w:tcW w:w="1252" w:type="dxa"/>
            <w:shd w:val="clear" w:color="auto" w:fill="auto"/>
            <w:noWrap/>
            <w:vAlign w:val="center"/>
          </w:tcPr>
          <w:p w14:paraId="3BDE1176">
            <w:pPr>
              <w:widowControl/>
              <w:jc w:val="center"/>
              <w:rPr>
                <w:rFonts w:ascii="宋体" w:hAnsi="宋体" w:cs="宋体"/>
                <w:color w:val="000000"/>
                <w:kern w:val="0"/>
                <w:sz w:val="18"/>
                <w:szCs w:val="18"/>
              </w:rPr>
            </w:pPr>
            <w:r>
              <w:rPr>
                <w:rFonts w:hint="eastAsia" w:ascii="宋体" w:hAnsi="宋体" w:cs="宋体"/>
                <w:color w:val="000000"/>
                <w:kern w:val="0"/>
                <w:sz w:val="18"/>
                <w:szCs w:val="18"/>
              </w:rPr>
              <w:t>-429.4</w:t>
            </w:r>
          </w:p>
        </w:tc>
        <w:tc>
          <w:tcPr>
            <w:tcW w:w="967" w:type="dxa"/>
            <w:shd w:val="clear" w:color="auto" w:fill="auto"/>
            <w:noWrap/>
            <w:vAlign w:val="center"/>
          </w:tcPr>
          <w:p w14:paraId="52B915FF">
            <w:pPr>
              <w:widowControl/>
              <w:jc w:val="center"/>
              <w:rPr>
                <w:rFonts w:ascii="宋体" w:hAnsi="宋体" w:cs="宋体"/>
                <w:color w:val="000000"/>
                <w:kern w:val="0"/>
                <w:sz w:val="18"/>
                <w:szCs w:val="18"/>
              </w:rPr>
            </w:pPr>
            <w:r>
              <w:rPr>
                <w:rFonts w:hint="eastAsia" w:ascii="宋体" w:hAnsi="宋体" w:cs="宋体"/>
                <w:color w:val="000000"/>
                <w:kern w:val="0"/>
                <w:sz w:val="18"/>
                <w:szCs w:val="18"/>
              </w:rPr>
              <w:t>不符合</w:t>
            </w:r>
          </w:p>
        </w:tc>
      </w:tr>
      <w:tr w14:paraId="33BD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049" w:type="dxa"/>
            <w:gridSpan w:val="6"/>
            <w:shd w:val="clear" w:color="auto" w:fill="auto"/>
            <w:vAlign w:val="center"/>
          </w:tcPr>
          <w:p w14:paraId="1F8A0F44">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效率指标</w:t>
            </w:r>
          </w:p>
        </w:tc>
        <w:tc>
          <w:tcPr>
            <w:tcW w:w="1252" w:type="dxa"/>
            <w:shd w:val="clear" w:color="auto" w:fill="auto"/>
            <w:vAlign w:val="center"/>
          </w:tcPr>
          <w:p w14:paraId="18E099C4">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967" w:type="dxa"/>
            <w:shd w:val="clear" w:color="auto" w:fill="auto"/>
            <w:noWrap/>
            <w:vAlign w:val="center"/>
          </w:tcPr>
          <w:p w14:paraId="7A3F36CA">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14:paraId="4148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7" w:type="dxa"/>
            <w:shd w:val="clear" w:color="auto" w:fill="auto"/>
            <w:vAlign w:val="center"/>
          </w:tcPr>
          <w:p w14:paraId="02F4CC42">
            <w:pPr>
              <w:widowControl/>
              <w:jc w:val="center"/>
              <w:rPr>
                <w:rFonts w:ascii="宋体" w:hAnsi="宋体" w:cs="宋体"/>
                <w:color w:val="000000"/>
                <w:kern w:val="0"/>
                <w:sz w:val="18"/>
                <w:szCs w:val="18"/>
                <w:highlight w:val="yellow"/>
              </w:rPr>
            </w:pPr>
            <w:r>
              <w:rPr>
                <w:rFonts w:hint="eastAsia" w:ascii="宋体" w:hAnsi="宋体" w:cs="宋体"/>
                <w:color w:val="000000"/>
                <w:kern w:val="0"/>
                <w:sz w:val="18"/>
                <w:szCs w:val="18"/>
              </w:rPr>
              <w:t>人均城镇工矿用地（平方米/人）</w:t>
            </w:r>
          </w:p>
        </w:tc>
        <w:tc>
          <w:tcPr>
            <w:tcW w:w="1252" w:type="dxa"/>
            <w:shd w:val="clear" w:color="auto" w:fill="auto"/>
            <w:vAlign w:val="center"/>
          </w:tcPr>
          <w:p w14:paraId="02F628D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52" w:type="dxa"/>
            <w:shd w:val="clear" w:color="auto" w:fill="auto"/>
            <w:vAlign w:val="center"/>
          </w:tcPr>
          <w:p w14:paraId="2B5C2FB0">
            <w:pPr>
              <w:widowControl/>
              <w:jc w:val="center"/>
              <w:rPr>
                <w:rFonts w:ascii="宋体" w:hAnsi="宋体" w:cs="宋体"/>
                <w:color w:val="000000"/>
                <w:kern w:val="0"/>
                <w:sz w:val="18"/>
                <w:szCs w:val="18"/>
              </w:rPr>
            </w:pPr>
            <w:r>
              <w:rPr>
                <w:rFonts w:hint="eastAsia" w:ascii="宋体" w:hAnsi="宋体" w:cs="宋体"/>
                <w:color w:val="000000"/>
                <w:kern w:val="0"/>
                <w:sz w:val="18"/>
                <w:szCs w:val="18"/>
              </w:rPr>
              <w:t>115.04</w:t>
            </w:r>
          </w:p>
        </w:tc>
        <w:tc>
          <w:tcPr>
            <w:tcW w:w="1200" w:type="dxa"/>
            <w:shd w:val="clear" w:color="auto" w:fill="auto"/>
            <w:vAlign w:val="center"/>
          </w:tcPr>
          <w:p w14:paraId="22C19B74">
            <w:pPr>
              <w:widowControl/>
              <w:jc w:val="center"/>
              <w:rPr>
                <w:rFonts w:ascii="宋体" w:hAnsi="宋体" w:cs="宋体"/>
                <w:color w:val="000000"/>
                <w:kern w:val="0"/>
                <w:sz w:val="18"/>
                <w:szCs w:val="18"/>
              </w:rPr>
            </w:pPr>
            <w:r>
              <w:rPr>
                <w:rFonts w:hint="eastAsia" w:ascii="宋体" w:hAnsi="宋体" w:cs="宋体"/>
                <w:color w:val="000000"/>
                <w:kern w:val="0"/>
                <w:sz w:val="18"/>
                <w:szCs w:val="18"/>
              </w:rPr>
              <w:t>175.74</w:t>
            </w:r>
          </w:p>
        </w:tc>
        <w:tc>
          <w:tcPr>
            <w:tcW w:w="1016" w:type="dxa"/>
            <w:shd w:val="clear" w:color="auto" w:fill="auto"/>
            <w:vAlign w:val="center"/>
          </w:tcPr>
          <w:p w14:paraId="7A6E7DD7">
            <w:pPr>
              <w:widowControl/>
              <w:jc w:val="center"/>
              <w:rPr>
                <w:rFonts w:ascii="宋体" w:hAnsi="宋体" w:cs="宋体"/>
                <w:color w:val="000000"/>
                <w:kern w:val="0"/>
                <w:sz w:val="18"/>
                <w:szCs w:val="18"/>
              </w:rPr>
            </w:pPr>
            <w:r>
              <w:rPr>
                <w:rFonts w:hint="eastAsia" w:ascii="宋体" w:hAnsi="宋体" w:cs="宋体"/>
                <w:color w:val="000000"/>
                <w:kern w:val="0"/>
                <w:sz w:val="18"/>
                <w:szCs w:val="18"/>
              </w:rPr>
              <w:t>123.90　</w:t>
            </w:r>
          </w:p>
        </w:tc>
        <w:tc>
          <w:tcPr>
            <w:tcW w:w="1252" w:type="dxa"/>
            <w:shd w:val="clear" w:color="auto" w:fill="auto"/>
            <w:noWrap/>
            <w:vAlign w:val="center"/>
          </w:tcPr>
          <w:p w14:paraId="22CEE7A5">
            <w:pPr>
              <w:widowControl/>
              <w:jc w:val="center"/>
              <w:rPr>
                <w:rFonts w:ascii="宋体" w:hAnsi="宋体" w:cs="宋体"/>
                <w:color w:val="000000"/>
                <w:kern w:val="0"/>
                <w:sz w:val="18"/>
                <w:szCs w:val="18"/>
              </w:rPr>
            </w:pPr>
            <w:r>
              <w:rPr>
                <w:rFonts w:hint="eastAsia" w:ascii="宋体" w:hAnsi="宋体" w:cs="宋体"/>
                <w:color w:val="000000"/>
                <w:kern w:val="0"/>
                <w:sz w:val="18"/>
                <w:szCs w:val="18"/>
              </w:rPr>
              <w:t>-51.84</w:t>
            </w:r>
          </w:p>
        </w:tc>
        <w:tc>
          <w:tcPr>
            <w:tcW w:w="1252" w:type="dxa"/>
            <w:shd w:val="clear" w:color="auto" w:fill="auto"/>
            <w:noWrap/>
            <w:vAlign w:val="center"/>
          </w:tcPr>
          <w:p w14:paraId="08ACB608">
            <w:pPr>
              <w:widowControl/>
              <w:jc w:val="center"/>
              <w:rPr>
                <w:rFonts w:ascii="宋体" w:hAnsi="宋体" w:cs="宋体"/>
                <w:color w:val="000000"/>
                <w:kern w:val="0"/>
                <w:sz w:val="18"/>
                <w:szCs w:val="18"/>
              </w:rPr>
            </w:pPr>
            <w:r>
              <w:rPr>
                <w:rFonts w:hint="eastAsia" w:ascii="宋体" w:hAnsi="宋体" w:cs="宋体"/>
                <w:color w:val="000000"/>
                <w:kern w:val="0"/>
                <w:sz w:val="18"/>
                <w:szCs w:val="18"/>
              </w:rPr>
              <w:t>　8.86</w:t>
            </w:r>
          </w:p>
        </w:tc>
        <w:tc>
          <w:tcPr>
            <w:tcW w:w="967" w:type="dxa"/>
            <w:shd w:val="clear" w:color="auto" w:fill="auto"/>
            <w:noWrap/>
            <w:vAlign w:val="center"/>
          </w:tcPr>
          <w:p w14:paraId="707CAA50">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bl>
    <w:p w14:paraId="750C3770">
      <w:pPr>
        <w:spacing w:line="360" w:lineRule="auto"/>
        <w:ind w:firstLine="360" w:firstLineChars="200"/>
        <w:rPr>
          <w:rFonts w:ascii="仿宋_GB2312" w:eastAsia="仿宋_GB2312"/>
          <w:sz w:val="28"/>
          <w:szCs w:val="28"/>
        </w:rPr>
      </w:pPr>
      <w:r>
        <w:rPr>
          <w:rFonts w:hint="eastAsia" w:ascii="宋体" w:hAnsi="宋体" w:cs="宋体"/>
          <w:color w:val="000000"/>
          <w:kern w:val="0"/>
          <w:sz w:val="18"/>
          <w:szCs w:val="18"/>
        </w:rPr>
        <w:t>（注：评估时点（2014年12月）规划阶段目标是根据《规划》基期、末期的数据，通过年平均计算法得出的。其中总量指标计算公式为：2014年规划阶段目标=规划基期+（上级下达规划目标-规划基期）÷11×5；增量指标计算公式为：2014年规划阶段目标=上级下达规划目标÷11×5；其中，人均城镇工矿用地采用总量指标计算公式计算。）</w:t>
      </w:r>
    </w:p>
    <w:p w14:paraId="21183593">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一、耕地和基本农田保护情况分析</w:t>
      </w:r>
    </w:p>
    <w:p w14:paraId="73418269">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（一）基本农田保护情况</w:t>
      </w:r>
    </w:p>
    <w:p w14:paraId="07A58E1C">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上级下达东川区2020年基本农田保护指标为24070公顷，2014年现状基本农田面积为26269.15公顷，现状基本农田面积比上级下达指标多2199.15公顷。从全区来看，基本农田保护目标执行情况较好。从各乡镇来看，各乡镇基本农田保护面积均高于上级下达指标，基本农田保护执行情况较好。</w:t>
      </w:r>
    </w:p>
    <w:p w14:paraId="7240B536">
      <w:pPr>
        <w:spacing w:line="360" w:lineRule="auto"/>
        <w:ind w:firstLine="560" w:firstLineChars="200"/>
        <w:jc w:val="left"/>
        <w:rPr>
          <w:rFonts w:ascii="仿宋_GB2312" w:hAnsi="宋体" w:eastAsia="仿宋_GB2312"/>
          <w:sz w:val="28"/>
          <w:szCs w:val="28"/>
        </w:rPr>
      </w:pPr>
    </w:p>
    <w:p w14:paraId="72BE05E5">
      <w:pPr>
        <w:spacing w:line="360" w:lineRule="auto"/>
        <w:ind w:firstLine="560" w:firstLineChars="200"/>
        <w:jc w:val="left"/>
        <w:rPr>
          <w:rFonts w:ascii="仿宋_GB2312" w:hAnsi="宋体" w:eastAsia="仿宋_GB2312"/>
          <w:sz w:val="28"/>
          <w:szCs w:val="28"/>
        </w:rPr>
      </w:pPr>
    </w:p>
    <w:p w14:paraId="1F639C6F">
      <w:pPr>
        <w:spacing w:line="360" w:lineRule="auto"/>
        <w:ind w:firstLine="560" w:firstLineChars="200"/>
        <w:jc w:val="left"/>
        <w:rPr>
          <w:rFonts w:ascii="仿宋_GB2312" w:hAnsi="宋体" w:eastAsia="仿宋_GB2312"/>
          <w:sz w:val="28"/>
          <w:szCs w:val="28"/>
        </w:rPr>
      </w:pPr>
    </w:p>
    <w:p w14:paraId="0ACD4A5B">
      <w:pPr>
        <w:jc w:val="center"/>
        <w:outlineLvl w:val="4"/>
        <w:rPr>
          <w:sz w:val="23"/>
          <w:szCs w:val="23"/>
        </w:rPr>
      </w:pPr>
      <w:r>
        <w:rPr>
          <w:rFonts w:hint="eastAsia" w:ascii="宋体" w:hAnsi="宋体"/>
          <w:b/>
          <w:sz w:val="24"/>
        </w:rPr>
        <w:t>表</w:t>
      </w:r>
      <w:r>
        <w:rPr>
          <w:rFonts w:ascii="宋体" w:hAnsi="宋体"/>
          <w:b/>
          <w:sz w:val="24"/>
        </w:rPr>
        <w:t xml:space="preserve"> 3-</w:t>
      </w:r>
      <w:r>
        <w:rPr>
          <w:rFonts w:hint="eastAsia" w:ascii="宋体" w:hAnsi="宋体"/>
          <w:b/>
          <w:sz w:val="24"/>
        </w:rPr>
        <w:t>6</w:t>
      </w:r>
      <w:r>
        <w:rPr>
          <w:rFonts w:ascii="宋体" w:hAnsi="宋体"/>
          <w:b/>
          <w:sz w:val="24"/>
        </w:rPr>
        <w:t xml:space="preserve"> </w:t>
      </w:r>
      <w:r>
        <w:rPr>
          <w:rFonts w:hint="eastAsia" w:ascii="宋体" w:hAnsi="宋体"/>
          <w:b/>
          <w:sz w:val="24"/>
        </w:rPr>
        <w:t>东川区基本农田保护实施情况</w:t>
      </w:r>
    </w:p>
    <w:p w14:paraId="730F9223">
      <w:pPr>
        <w:pStyle w:val="120"/>
        <w:jc w:val="right"/>
      </w:pPr>
      <w:r>
        <w:rPr>
          <w:rFonts w:hAnsi="宋体"/>
          <w:sz w:val="18"/>
          <w:szCs w:val="18"/>
        </w:rPr>
        <w:t>单位：公顷</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1340"/>
        <w:gridCol w:w="1791"/>
        <w:gridCol w:w="3051"/>
        <w:gridCol w:w="1300"/>
      </w:tblGrid>
      <w:tr w14:paraId="62B4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430" w:type="dxa"/>
            <w:shd w:val="clear" w:color="auto" w:fill="auto"/>
            <w:vAlign w:val="center"/>
          </w:tcPr>
          <w:p w14:paraId="32C3B89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行政区</w:t>
            </w:r>
          </w:p>
        </w:tc>
        <w:tc>
          <w:tcPr>
            <w:tcW w:w="1340" w:type="dxa"/>
            <w:shd w:val="clear" w:color="auto" w:fill="auto"/>
            <w:vAlign w:val="center"/>
          </w:tcPr>
          <w:p w14:paraId="6593250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下达指标</w:t>
            </w:r>
          </w:p>
        </w:tc>
        <w:tc>
          <w:tcPr>
            <w:tcW w:w="1791" w:type="dxa"/>
            <w:shd w:val="clear" w:color="auto" w:fill="auto"/>
            <w:vAlign w:val="center"/>
          </w:tcPr>
          <w:p w14:paraId="43D27D64">
            <w:pPr>
              <w:widowControl/>
              <w:jc w:val="center"/>
              <w:rPr>
                <w:rFonts w:ascii="宋体" w:hAnsi="宋体" w:cs="宋体"/>
                <w:b/>
                <w:color w:val="000000"/>
                <w:kern w:val="0"/>
                <w:sz w:val="18"/>
                <w:szCs w:val="18"/>
              </w:rPr>
            </w:pPr>
            <w:r>
              <w:rPr>
                <w:rFonts w:ascii="宋体" w:hAnsi="宋体" w:cs="宋体"/>
                <w:b/>
                <w:color w:val="000000"/>
                <w:kern w:val="0"/>
                <w:sz w:val="18"/>
                <w:szCs w:val="18"/>
              </w:rPr>
              <w:t xml:space="preserve"> 2014</w:t>
            </w:r>
            <w:r>
              <w:rPr>
                <w:rFonts w:hint="eastAsia" w:ascii="宋体" w:hAnsi="宋体" w:cs="宋体"/>
                <w:b/>
                <w:color w:val="000000"/>
                <w:kern w:val="0"/>
                <w:sz w:val="18"/>
                <w:szCs w:val="18"/>
              </w:rPr>
              <w:t>年保护面积</w:t>
            </w:r>
          </w:p>
        </w:tc>
        <w:tc>
          <w:tcPr>
            <w:tcW w:w="3051" w:type="dxa"/>
            <w:shd w:val="clear" w:color="auto" w:fill="auto"/>
            <w:vAlign w:val="center"/>
          </w:tcPr>
          <w:p w14:paraId="6F5C4C8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实施情况</w:t>
            </w:r>
          </w:p>
          <w:p w14:paraId="7BFB219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w:t>
            </w:r>
            <w:r>
              <w:rPr>
                <w:rFonts w:ascii="宋体" w:hAnsi="宋体" w:cs="宋体"/>
                <w:b/>
                <w:color w:val="000000"/>
                <w:kern w:val="0"/>
                <w:sz w:val="18"/>
                <w:szCs w:val="18"/>
              </w:rPr>
              <w:t>2014</w:t>
            </w:r>
            <w:r>
              <w:rPr>
                <w:rFonts w:hint="eastAsia" w:ascii="宋体" w:hAnsi="宋体" w:cs="宋体"/>
                <w:b/>
                <w:color w:val="000000"/>
                <w:kern w:val="0"/>
                <w:sz w:val="18"/>
                <w:szCs w:val="18"/>
              </w:rPr>
              <w:t xml:space="preserve">年现状 </w:t>
            </w:r>
            <w:r>
              <w:rPr>
                <w:rFonts w:ascii="宋体" w:hAnsi="宋体" w:cs="宋体"/>
                <w:b/>
                <w:color w:val="000000"/>
                <w:kern w:val="0"/>
                <w:sz w:val="18"/>
                <w:szCs w:val="18"/>
              </w:rPr>
              <w:t>-</w:t>
            </w:r>
            <w:r>
              <w:rPr>
                <w:rFonts w:hint="eastAsia" w:ascii="宋体" w:hAnsi="宋体" w:cs="宋体"/>
                <w:b/>
                <w:color w:val="000000"/>
                <w:kern w:val="0"/>
                <w:sz w:val="18"/>
                <w:szCs w:val="18"/>
              </w:rPr>
              <w:t>上级下达指标）</w:t>
            </w:r>
          </w:p>
        </w:tc>
        <w:tc>
          <w:tcPr>
            <w:tcW w:w="1300" w:type="dxa"/>
            <w:shd w:val="clear" w:color="auto" w:fill="auto"/>
            <w:vAlign w:val="center"/>
          </w:tcPr>
          <w:p w14:paraId="69DA061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规划符合性</w:t>
            </w:r>
          </w:p>
        </w:tc>
      </w:tr>
      <w:tr w14:paraId="48C0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30" w:type="dxa"/>
            <w:shd w:val="clear" w:color="auto" w:fill="auto"/>
            <w:noWrap/>
            <w:vAlign w:val="center"/>
          </w:tcPr>
          <w:p w14:paraId="305885EB">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340" w:type="dxa"/>
            <w:shd w:val="clear" w:color="auto" w:fill="auto"/>
            <w:vAlign w:val="center"/>
          </w:tcPr>
          <w:p w14:paraId="6C13CAED">
            <w:pPr>
              <w:widowControl/>
              <w:jc w:val="center"/>
              <w:rPr>
                <w:rFonts w:ascii="宋体" w:hAnsi="宋体" w:cs="宋体"/>
                <w:color w:val="000000"/>
                <w:kern w:val="0"/>
                <w:sz w:val="18"/>
                <w:szCs w:val="18"/>
              </w:rPr>
            </w:pPr>
            <w:r>
              <w:rPr>
                <w:rFonts w:ascii="宋体" w:hAnsi="宋体" w:cs="宋体"/>
                <w:color w:val="000000"/>
                <w:kern w:val="0"/>
                <w:sz w:val="18"/>
                <w:szCs w:val="18"/>
              </w:rPr>
              <w:t xml:space="preserve">4783.79 </w:t>
            </w:r>
          </w:p>
        </w:tc>
        <w:tc>
          <w:tcPr>
            <w:tcW w:w="1791" w:type="dxa"/>
            <w:shd w:val="clear" w:color="auto" w:fill="auto"/>
            <w:noWrap/>
            <w:vAlign w:val="center"/>
          </w:tcPr>
          <w:p w14:paraId="14084862">
            <w:pPr>
              <w:widowControl/>
              <w:jc w:val="center"/>
              <w:rPr>
                <w:rFonts w:ascii="宋体" w:hAnsi="宋体" w:cs="宋体"/>
                <w:color w:val="000000"/>
                <w:kern w:val="0"/>
                <w:sz w:val="18"/>
                <w:szCs w:val="18"/>
              </w:rPr>
            </w:pPr>
            <w:r>
              <w:rPr>
                <w:rFonts w:hint="eastAsia" w:ascii="宋体" w:hAnsi="宋体" w:cs="宋体"/>
                <w:color w:val="000000"/>
                <w:kern w:val="0"/>
                <w:sz w:val="18"/>
                <w:szCs w:val="18"/>
              </w:rPr>
              <w:t>5207.89</w:t>
            </w:r>
          </w:p>
        </w:tc>
        <w:tc>
          <w:tcPr>
            <w:tcW w:w="3051" w:type="dxa"/>
            <w:shd w:val="clear" w:color="auto" w:fill="auto"/>
            <w:vAlign w:val="center"/>
          </w:tcPr>
          <w:p w14:paraId="6A66CEA7">
            <w:pPr>
              <w:widowControl/>
              <w:jc w:val="center"/>
              <w:rPr>
                <w:rFonts w:ascii="宋体" w:hAnsi="宋体" w:cs="宋体"/>
                <w:color w:val="000000"/>
                <w:kern w:val="0"/>
                <w:sz w:val="18"/>
                <w:szCs w:val="18"/>
              </w:rPr>
            </w:pPr>
            <w:r>
              <w:rPr>
                <w:rFonts w:ascii="宋体" w:hAnsi="宋体" w:cs="宋体"/>
                <w:color w:val="000000"/>
                <w:kern w:val="0"/>
                <w:sz w:val="18"/>
                <w:szCs w:val="18"/>
              </w:rPr>
              <w:t xml:space="preserve">424.10 </w:t>
            </w:r>
          </w:p>
        </w:tc>
        <w:tc>
          <w:tcPr>
            <w:tcW w:w="1300" w:type="dxa"/>
            <w:shd w:val="clear" w:color="auto" w:fill="auto"/>
            <w:vAlign w:val="center"/>
          </w:tcPr>
          <w:p w14:paraId="4A068CEB">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2FA8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30" w:type="dxa"/>
            <w:shd w:val="clear" w:color="auto" w:fill="auto"/>
            <w:noWrap/>
            <w:vAlign w:val="center"/>
          </w:tcPr>
          <w:p w14:paraId="57FDAE7E">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340" w:type="dxa"/>
            <w:shd w:val="clear" w:color="auto" w:fill="auto"/>
            <w:vAlign w:val="center"/>
          </w:tcPr>
          <w:p w14:paraId="52E43BDC">
            <w:pPr>
              <w:widowControl/>
              <w:jc w:val="center"/>
              <w:rPr>
                <w:rFonts w:ascii="宋体" w:hAnsi="宋体" w:cs="宋体"/>
                <w:color w:val="000000"/>
                <w:kern w:val="0"/>
                <w:sz w:val="18"/>
                <w:szCs w:val="18"/>
              </w:rPr>
            </w:pPr>
            <w:r>
              <w:rPr>
                <w:rFonts w:ascii="宋体" w:hAnsi="宋体" w:cs="宋体"/>
                <w:color w:val="000000"/>
                <w:kern w:val="0"/>
                <w:sz w:val="18"/>
                <w:szCs w:val="18"/>
              </w:rPr>
              <w:t xml:space="preserve">4826.46 </w:t>
            </w:r>
          </w:p>
        </w:tc>
        <w:tc>
          <w:tcPr>
            <w:tcW w:w="1791" w:type="dxa"/>
            <w:shd w:val="clear" w:color="auto" w:fill="auto"/>
            <w:noWrap/>
            <w:vAlign w:val="center"/>
          </w:tcPr>
          <w:p w14:paraId="600296F5">
            <w:pPr>
              <w:widowControl/>
              <w:jc w:val="center"/>
              <w:rPr>
                <w:rFonts w:ascii="宋体" w:hAnsi="宋体" w:cs="宋体"/>
                <w:color w:val="000000"/>
                <w:kern w:val="0"/>
                <w:sz w:val="18"/>
                <w:szCs w:val="18"/>
              </w:rPr>
            </w:pPr>
            <w:r>
              <w:rPr>
                <w:rFonts w:hint="eastAsia" w:ascii="宋体" w:hAnsi="宋体" w:cs="宋体"/>
                <w:color w:val="000000"/>
                <w:kern w:val="0"/>
                <w:sz w:val="18"/>
                <w:szCs w:val="18"/>
              </w:rPr>
              <w:t>5254.34</w:t>
            </w:r>
          </w:p>
        </w:tc>
        <w:tc>
          <w:tcPr>
            <w:tcW w:w="3051" w:type="dxa"/>
            <w:shd w:val="clear" w:color="auto" w:fill="auto"/>
            <w:vAlign w:val="center"/>
          </w:tcPr>
          <w:p w14:paraId="702EC68A">
            <w:pPr>
              <w:widowControl/>
              <w:jc w:val="center"/>
              <w:rPr>
                <w:rFonts w:ascii="宋体" w:hAnsi="宋体" w:cs="宋体"/>
                <w:color w:val="000000"/>
                <w:kern w:val="0"/>
                <w:sz w:val="18"/>
                <w:szCs w:val="18"/>
              </w:rPr>
            </w:pPr>
            <w:r>
              <w:rPr>
                <w:rFonts w:ascii="宋体" w:hAnsi="宋体" w:cs="宋体"/>
                <w:color w:val="000000"/>
                <w:kern w:val="0"/>
                <w:sz w:val="18"/>
                <w:szCs w:val="18"/>
              </w:rPr>
              <w:t xml:space="preserve">427.88 </w:t>
            </w:r>
          </w:p>
        </w:tc>
        <w:tc>
          <w:tcPr>
            <w:tcW w:w="1300" w:type="dxa"/>
            <w:shd w:val="clear" w:color="auto" w:fill="auto"/>
            <w:vAlign w:val="center"/>
          </w:tcPr>
          <w:p w14:paraId="4A0E45D3">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6140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30" w:type="dxa"/>
            <w:shd w:val="clear" w:color="auto" w:fill="auto"/>
            <w:noWrap/>
            <w:vAlign w:val="center"/>
          </w:tcPr>
          <w:p w14:paraId="15BD9829">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340" w:type="dxa"/>
            <w:shd w:val="clear" w:color="auto" w:fill="auto"/>
            <w:vAlign w:val="center"/>
          </w:tcPr>
          <w:p w14:paraId="2B37147E">
            <w:pPr>
              <w:widowControl/>
              <w:jc w:val="center"/>
              <w:rPr>
                <w:rFonts w:ascii="宋体" w:hAnsi="宋体" w:cs="宋体"/>
                <w:color w:val="000000"/>
                <w:kern w:val="0"/>
                <w:sz w:val="18"/>
                <w:szCs w:val="18"/>
              </w:rPr>
            </w:pPr>
            <w:r>
              <w:rPr>
                <w:rFonts w:ascii="宋体" w:hAnsi="宋体" w:cs="宋体"/>
                <w:color w:val="000000"/>
                <w:kern w:val="0"/>
                <w:sz w:val="18"/>
                <w:szCs w:val="18"/>
              </w:rPr>
              <w:t xml:space="preserve">2677.17 </w:t>
            </w:r>
          </w:p>
        </w:tc>
        <w:tc>
          <w:tcPr>
            <w:tcW w:w="1791" w:type="dxa"/>
            <w:shd w:val="clear" w:color="auto" w:fill="auto"/>
            <w:noWrap/>
            <w:vAlign w:val="center"/>
          </w:tcPr>
          <w:p w14:paraId="7ED3858E">
            <w:pPr>
              <w:widowControl/>
              <w:jc w:val="center"/>
              <w:rPr>
                <w:rFonts w:ascii="宋体" w:hAnsi="宋体" w:cs="宋体"/>
                <w:color w:val="000000"/>
                <w:kern w:val="0"/>
                <w:sz w:val="18"/>
                <w:szCs w:val="18"/>
              </w:rPr>
            </w:pPr>
            <w:r>
              <w:rPr>
                <w:rFonts w:hint="eastAsia" w:ascii="宋体" w:hAnsi="宋体" w:cs="宋体"/>
                <w:color w:val="000000"/>
                <w:kern w:val="0"/>
                <w:sz w:val="18"/>
                <w:szCs w:val="18"/>
              </w:rPr>
              <w:t>2914.51</w:t>
            </w:r>
          </w:p>
        </w:tc>
        <w:tc>
          <w:tcPr>
            <w:tcW w:w="3051" w:type="dxa"/>
            <w:shd w:val="clear" w:color="auto" w:fill="auto"/>
            <w:vAlign w:val="center"/>
          </w:tcPr>
          <w:p w14:paraId="417BFE6A">
            <w:pPr>
              <w:widowControl/>
              <w:jc w:val="center"/>
              <w:rPr>
                <w:rFonts w:ascii="宋体" w:hAnsi="宋体" w:cs="宋体"/>
                <w:color w:val="000000"/>
                <w:kern w:val="0"/>
                <w:sz w:val="18"/>
                <w:szCs w:val="18"/>
              </w:rPr>
            </w:pPr>
            <w:r>
              <w:rPr>
                <w:rFonts w:ascii="宋体" w:hAnsi="宋体" w:cs="宋体"/>
                <w:color w:val="000000"/>
                <w:kern w:val="0"/>
                <w:sz w:val="18"/>
                <w:szCs w:val="18"/>
              </w:rPr>
              <w:t xml:space="preserve">237.34 </w:t>
            </w:r>
          </w:p>
        </w:tc>
        <w:tc>
          <w:tcPr>
            <w:tcW w:w="1300" w:type="dxa"/>
            <w:shd w:val="clear" w:color="auto" w:fill="auto"/>
            <w:vAlign w:val="center"/>
          </w:tcPr>
          <w:p w14:paraId="46BC3392">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58B3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30" w:type="dxa"/>
            <w:shd w:val="clear" w:color="auto" w:fill="auto"/>
            <w:noWrap/>
            <w:vAlign w:val="center"/>
          </w:tcPr>
          <w:p w14:paraId="782D3E5D">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340" w:type="dxa"/>
            <w:shd w:val="clear" w:color="auto" w:fill="auto"/>
            <w:vAlign w:val="center"/>
          </w:tcPr>
          <w:p w14:paraId="66895B07">
            <w:pPr>
              <w:widowControl/>
              <w:jc w:val="center"/>
              <w:rPr>
                <w:rFonts w:ascii="宋体" w:hAnsi="宋体" w:cs="宋体"/>
                <w:color w:val="000000"/>
                <w:kern w:val="0"/>
                <w:sz w:val="18"/>
                <w:szCs w:val="18"/>
              </w:rPr>
            </w:pPr>
            <w:r>
              <w:rPr>
                <w:rFonts w:ascii="宋体" w:hAnsi="宋体" w:cs="宋体"/>
                <w:color w:val="000000"/>
                <w:kern w:val="0"/>
                <w:sz w:val="18"/>
                <w:szCs w:val="18"/>
              </w:rPr>
              <w:t xml:space="preserve">4720.01 </w:t>
            </w:r>
          </w:p>
        </w:tc>
        <w:tc>
          <w:tcPr>
            <w:tcW w:w="1791" w:type="dxa"/>
            <w:shd w:val="clear" w:color="auto" w:fill="auto"/>
            <w:noWrap/>
            <w:vAlign w:val="center"/>
          </w:tcPr>
          <w:p w14:paraId="2040B62D">
            <w:pPr>
              <w:widowControl/>
              <w:jc w:val="center"/>
              <w:rPr>
                <w:rFonts w:ascii="宋体" w:hAnsi="宋体" w:cs="宋体"/>
                <w:color w:val="000000"/>
                <w:kern w:val="0"/>
                <w:sz w:val="18"/>
                <w:szCs w:val="18"/>
              </w:rPr>
            </w:pPr>
            <w:r>
              <w:rPr>
                <w:rFonts w:hint="eastAsia" w:ascii="宋体" w:hAnsi="宋体" w:cs="宋体"/>
                <w:color w:val="000000"/>
                <w:kern w:val="0"/>
                <w:sz w:val="18"/>
                <w:szCs w:val="18"/>
              </w:rPr>
              <w:t>5138.45</w:t>
            </w:r>
          </w:p>
        </w:tc>
        <w:tc>
          <w:tcPr>
            <w:tcW w:w="3051" w:type="dxa"/>
            <w:shd w:val="clear" w:color="auto" w:fill="auto"/>
            <w:vAlign w:val="center"/>
          </w:tcPr>
          <w:p w14:paraId="3B945800">
            <w:pPr>
              <w:widowControl/>
              <w:jc w:val="center"/>
              <w:rPr>
                <w:rFonts w:ascii="宋体" w:hAnsi="宋体" w:cs="宋体"/>
                <w:color w:val="000000"/>
                <w:kern w:val="0"/>
                <w:sz w:val="18"/>
                <w:szCs w:val="18"/>
              </w:rPr>
            </w:pPr>
            <w:r>
              <w:rPr>
                <w:rFonts w:ascii="宋体" w:hAnsi="宋体" w:cs="宋体"/>
                <w:color w:val="000000"/>
                <w:kern w:val="0"/>
                <w:sz w:val="18"/>
                <w:szCs w:val="18"/>
              </w:rPr>
              <w:t xml:space="preserve">418.44 </w:t>
            </w:r>
          </w:p>
        </w:tc>
        <w:tc>
          <w:tcPr>
            <w:tcW w:w="1300" w:type="dxa"/>
            <w:shd w:val="clear" w:color="auto" w:fill="auto"/>
            <w:vAlign w:val="center"/>
          </w:tcPr>
          <w:p w14:paraId="05D73735">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24C7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30" w:type="dxa"/>
            <w:shd w:val="clear" w:color="auto" w:fill="auto"/>
            <w:noWrap/>
            <w:vAlign w:val="center"/>
          </w:tcPr>
          <w:p w14:paraId="6FEA1529">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340" w:type="dxa"/>
            <w:shd w:val="clear" w:color="auto" w:fill="auto"/>
            <w:vAlign w:val="center"/>
          </w:tcPr>
          <w:p w14:paraId="6EEBA9E9">
            <w:pPr>
              <w:widowControl/>
              <w:jc w:val="center"/>
              <w:rPr>
                <w:rFonts w:ascii="宋体" w:hAnsi="宋体" w:cs="宋体"/>
                <w:color w:val="000000"/>
                <w:kern w:val="0"/>
                <w:sz w:val="18"/>
                <w:szCs w:val="18"/>
              </w:rPr>
            </w:pPr>
            <w:r>
              <w:rPr>
                <w:rFonts w:ascii="宋体" w:hAnsi="宋体" w:cs="宋体"/>
                <w:color w:val="000000"/>
                <w:kern w:val="0"/>
                <w:sz w:val="18"/>
                <w:szCs w:val="18"/>
              </w:rPr>
              <w:t xml:space="preserve">3102.70 </w:t>
            </w:r>
          </w:p>
        </w:tc>
        <w:tc>
          <w:tcPr>
            <w:tcW w:w="1791" w:type="dxa"/>
            <w:shd w:val="clear" w:color="auto" w:fill="auto"/>
            <w:noWrap/>
            <w:vAlign w:val="center"/>
          </w:tcPr>
          <w:p w14:paraId="5A66758D">
            <w:pPr>
              <w:widowControl/>
              <w:jc w:val="center"/>
              <w:rPr>
                <w:rFonts w:ascii="宋体" w:hAnsi="宋体" w:cs="宋体"/>
                <w:color w:val="000000"/>
                <w:kern w:val="0"/>
                <w:sz w:val="18"/>
                <w:szCs w:val="18"/>
              </w:rPr>
            </w:pPr>
            <w:r>
              <w:rPr>
                <w:rFonts w:hint="eastAsia" w:ascii="宋体" w:hAnsi="宋体" w:cs="宋体"/>
                <w:color w:val="000000"/>
                <w:kern w:val="0"/>
                <w:sz w:val="18"/>
                <w:szCs w:val="18"/>
              </w:rPr>
              <w:t>3377.76</w:t>
            </w:r>
          </w:p>
        </w:tc>
        <w:tc>
          <w:tcPr>
            <w:tcW w:w="3051" w:type="dxa"/>
            <w:shd w:val="clear" w:color="auto" w:fill="auto"/>
            <w:vAlign w:val="center"/>
          </w:tcPr>
          <w:p w14:paraId="2242629B">
            <w:pPr>
              <w:widowControl/>
              <w:jc w:val="center"/>
              <w:rPr>
                <w:rFonts w:ascii="宋体" w:hAnsi="宋体" w:cs="宋体"/>
                <w:color w:val="000000"/>
                <w:kern w:val="0"/>
                <w:sz w:val="18"/>
                <w:szCs w:val="18"/>
              </w:rPr>
            </w:pPr>
            <w:r>
              <w:rPr>
                <w:rFonts w:ascii="宋体" w:hAnsi="宋体" w:cs="宋体"/>
                <w:color w:val="000000"/>
                <w:kern w:val="0"/>
                <w:sz w:val="18"/>
                <w:szCs w:val="18"/>
              </w:rPr>
              <w:t xml:space="preserve">275.06 </w:t>
            </w:r>
          </w:p>
        </w:tc>
        <w:tc>
          <w:tcPr>
            <w:tcW w:w="1300" w:type="dxa"/>
            <w:shd w:val="clear" w:color="auto" w:fill="auto"/>
            <w:vAlign w:val="center"/>
          </w:tcPr>
          <w:p w14:paraId="76715DE2">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0A05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30" w:type="dxa"/>
            <w:shd w:val="clear" w:color="auto" w:fill="auto"/>
            <w:noWrap/>
            <w:vAlign w:val="center"/>
          </w:tcPr>
          <w:p w14:paraId="456E37DF">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340" w:type="dxa"/>
            <w:shd w:val="clear" w:color="auto" w:fill="auto"/>
            <w:vAlign w:val="center"/>
          </w:tcPr>
          <w:p w14:paraId="409E2616">
            <w:pPr>
              <w:widowControl/>
              <w:jc w:val="center"/>
              <w:rPr>
                <w:rFonts w:ascii="宋体" w:hAnsi="宋体" w:cs="宋体"/>
                <w:color w:val="000000"/>
                <w:kern w:val="0"/>
                <w:sz w:val="18"/>
                <w:szCs w:val="18"/>
              </w:rPr>
            </w:pPr>
            <w:r>
              <w:rPr>
                <w:rFonts w:ascii="宋体" w:hAnsi="宋体" w:cs="宋体"/>
                <w:color w:val="000000"/>
                <w:kern w:val="0"/>
                <w:sz w:val="18"/>
                <w:szCs w:val="18"/>
              </w:rPr>
              <w:t xml:space="preserve">2655.89 </w:t>
            </w:r>
          </w:p>
        </w:tc>
        <w:tc>
          <w:tcPr>
            <w:tcW w:w="1791" w:type="dxa"/>
            <w:shd w:val="clear" w:color="auto" w:fill="auto"/>
            <w:noWrap/>
            <w:vAlign w:val="center"/>
          </w:tcPr>
          <w:p w14:paraId="31C19E0A">
            <w:pPr>
              <w:widowControl/>
              <w:jc w:val="center"/>
              <w:rPr>
                <w:rFonts w:ascii="宋体" w:hAnsi="宋体" w:cs="宋体"/>
                <w:color w:val="000000"/>
                <w:kern w:val="0"/>
                <w:sz w:val="18"/>
                <w:szCs w:val="18"/>
              </w:rPr>
            </w:pPr>
            <w:r>
              <w:rPr>
                <w:rFonts w:hint="eastAsia" w:ascii="宋体" w:hAnsi="宋体" w:cs="宋体"/>
                <w:color w:val="000000"/>
                <w:kern w:val="0"/>
                <w:sz w:val="18"/>
                <w:szCs w:val="18"/>
              </w:rPr>
              <w:t>2891.34</w:t>
            </w:r>
          </w:p>
        </w:tc>
        <w:tc>
          <w:tcPr>
            <w:tcW w:w="3051" w:type="dxa"/>
            <w:shd w:val="clear" w:color="auto" w:fill="auto"/>
            <w:vAlign w:val="center"/>
          </w:tcPr>
          <w:p w14:paraId="22914136">
            <w:pPr>
              <w:widowControl/>
              <w:jc w:val="center"/>
              <w:rPr>
                <w:rFonts w:ascii="宋体" w:hAnsi="宋体" w:cs="宋体"/>
                <w:color w:val="000000"/>
                <w:kern w:val="0"/>
                <w:sz w:val="18"/>
                <w:szCs w:val="18"/>
              </w:rPr>
            </w:pPr>
            <w:r>
              <w:rPr>
                <w:rFonts w:ascii="宋体" w:hAnsi="宋体" w:cs="宋体"/>
                <w:color w:val="000000"/>
                <w:kern w:val="0"/>
                <w:sz w:val="18"/>
                <w:szCs w:val="18"/>
              </w:rPr>
              <w:t xml:space="preserve">235.45 </w:t>
            </w:r>
          </w:p>
        </w:tc>
        <w:tc>
          <w:tcPr>
            <w:tcW w:w="1300" w:type="dxa"/>
            <w:shd w:val="clear" w:color="auto" w:fill="auto"/>
            <w:vAlign w:val="center"/>
          </w:tcPr>
          <w:p w14:paraId="6AAE639A">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5F3B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30" w:type="dxa"/>
            <w:shd w:val="clear" w:color="auto" w:fill="auto"/>
            <w:noWrap/>
            <w:vAlign w:val="center"/>
          </w:tcPr>
          <w:p w14:paraId="299211EB">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340" w:type="dxa"/>
            <w:shd w:val="clear" w:color="auto" w:fill="auto"/>
            <w:vAlign w:val="center"/>
          </w:tcPr>
          <w:p w14:paraId="278817AE">
            <w:pPr>
              <w:widowControl/>
              <w:jc w:val="center"/>
              <w:rPr>
                <w:rFonts w:ascii="宋体" w:hAnsi="宋体" w:cs="宋体"/>
                <w:color w:val="000000"/>
                <w:kern w:val="0"/>
                <w:sz w:val="18"/>
                <w:szCs w:val="18"/>
              </w:rPr>
            </w:pPr>
            <w:r>
              <w:rPr>
                <w:rFonts w:ascii="宋体" w:hAnsi="宋体" w:cs="宋体"/>
                <w:color w:val="000000"/>
                <w:kern w:val="0"/>
                <w:sz w:val="18"/>
                <w:szCs w:val="18"/>
              </w:rPr>
              <w:t xml:space="preserve">651.61 </w:t>
            </w:r>
          </w:p>
        </w:tc>
        <w:tc>
          <w:tcPr>
            <w:tcW w:w="1791" w:type="dxa"/>
            <w:shd w:val="clear" w:color="auto" w:fill="auto"/>
            <w:noWrap/>
            <w:vAlign w:val="center"/>
          </w:tcPr>
          <w:p w14:paraId="1FF03581">
            <w:pPr>
              <w:widowControl/>
              <w:jc w:val="center"/>
              <w:rPr>
                <w:rFonts w:ascii="宋体" w:hAnsi="宋体" w:cs="宋体"/>
                <w:color w:val="000000"/>
                <w:kern w:val="0"/>
                <w:sz w:val="18"/>
                <w:szCs w:val="18"/>
              </w:rPr>
            </w:pPr>
            <w:r>
              <w:rPr>
                <w:rFonts w:hint="eastAsia" w:ascii="宋体" w:hAnsi="宋体" w:cs="宋体"/>
                <w:color w:val="000000"/>
                <w:kern w:val="0"/>
                <w:sz w:val="18"/>
                <w:szCs w:val="18"/>
              </w:rPr>
              <w:t>709.38</w:t>
            </w:r>
          </w:p>
        </w:tc>
        <w:tc>
          <w:tcPr>
            <w:tcW w:w="3051" w:type="dxa"/>
            <w:shd w:val="clear" w:color="auto" w:fill="auto"/>
            <w:vAlign w:val="center"/>
          </w:tcPr>
          <w:p w14:paraId="7B468BB9">
            <w:pPr>
              <w:widowControl/>
              <w:jc w:val="center"/>
              <w:rPr>
                <w:rFonts w:ascii="宋体" w:hAnsi="宋体" w:cs="宋体"/>
                <w:color w:val="000000"/>
                <w:kern w:val="0"/>
                <w:sz w:val="18"/>
                <w:szCs w:val="18"/>
              </w:rPr>
            </w:pPr>
            <w:r>
              <w:rPr>
                <w:rFonts w:ascii="宋体" w:hAnsi="宋体" w:cs="宋体"/>
                <w:color w:val="000000"/>
                <w:kern w:val="0"/>
                <w:sz w:val="18"/>
                <w:szCs w:val="18"/>
              </w:rPr>
              <w:t xml:space="preserve">57.77 </w:t>
            </w:r>
          </w:p>
        </w:tc>
        <w:tc>
          <w:tcPr>
            <w:tcW w:w="1300" w:type="dxa"/>
            <w:shd w:val="clear" w:color="auto" w:fill="auto"/>
            <w:vAlign w:val="center"/>
          </w:tcPr>
          <w:p w14:paraId="3A04A66A">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0E3F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30" w:type="dxa"/>
            <w:shd w:val="clear" w:color="auto" w:fill="auto"/>
            <w:noWrap/>
            <w:vAlign w:val="center"/>
          </w:tcPr>
          <w:p w14:paraId="7770E8D2">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340" w:type="dxa"/>
            <w:shd w:val="clear" w:color="auto" w:fill="auto"/>
            <w:vAlign w:val="center"/>
          </w:tcPr>
          <w:p w14:paraId="66BF0F3B">
            <w:pPr>
              <w:widowControl/>
              <w:jc w:val="center"/>
              <w:rPr>
                <w:rFonts w:ascii="宋体" w:hAnsi="宋体" w:cs="宋体"/>
                <w:color w:val="000000"/>
                <w:kern w:val="0"/>
                <w:sz w:val="18"/>
                <w:szCs w:val="18"/>
              </w:rPr>
            </w:pPr>
            <w:r>
              <w:rPr>
                <w:rFonts w:ascii="宋体" w:hAnsi="宋体" w:cs="宋体"/>
                <w:color w:val="000000"/>
                <w:kern w:val="0"/>
                <w:sz w:val="18"/>
                <w:szCs w:val="18"/>
              </w:rPr>
              <w:t xml:space="preserve">652.36 </w:t>
            </w:r>
          </w:p>
        </w:tc>
        <w:tc>
          <w:tcPr>
            <w:tcW w:w="1791" w:type="dxa"/>
            <w:shd w:val="clear" w:color="auto" w:fill="auto"/>
            <w:noWrap/>
            <w:vAlign w:val="center"/>
          </w:tcPr>
          <w:p w14:paraId="5F511B5D">
            <w:pPr>
              <w:widowControl/>
              <w:jc w:val="center"/>
              <w:rPr>
                <w:rFonts w:ascii="宋体" w:hAnsi="宋体" w:cs="宋体"/>
                <w:color w:val="000000"/>
                <w:kern w:val="0"/>
                <w:sz w:val="18"/>
                <w:szCs w:val="18"/>
              </w:rPr>
            </w:pPr>
            <w:r>
              <w:rPr>
                <w:rFonts w:hint="eastAsia" w:ascii="宋体" w:hAnsi="宋体" w:cs="宋体"/>
                <w:color w:val="000000"/>
                <w:kern w:val="0"/>
                <w:sz w:val="18"/>
                <w:szCs w:val="18"/>
              </w:rPr>
              <w:t>710.19</w:t>
            </w:r>
          </w:p>
        </w:tc>
        <w:tc>
          <w:tcPr>
            <w:tcW w:w="3051" w:type="dxa"/>
            <w:shd w:val="clear" w:color="auto" w:fill="auto"/>
            <w:vAlign w:val="center"/>
          </w:tcPr>
          <w:p w14:paraId="06ADD82F">
            <w:pPr>
              <w:widowControl/>
              <w:jc w:val="center"/>
              <w:rPr>
                <w:rFonts w:ascii="宋体" w:hAnsi="宋体" w:cs="宋体"/>
                <w:color w:val="000000"/>
                <w:kern w:val="0"/>
                <w:sz w:val="18"/>
                <w:szCs w:val="18"/>
              </w:rPr>
            </w:pPr>
            <w:r>
              <w:rPr>
                <w:rFonts w:ascii="宋体" w:hAnsi="宋体" w:cs="宋体"/>
                <w:color w:val="000000"/>
                <w:kern w:val="0"/>
                <w:sz w:val="18"/>
                <w:szCs w:val="18"/>
              </w:rPr>
              <w:t xml:space="preserve">57.83 </w:t>
            </w:r>
          </w:p>
        </w:tc>
        <w:tc>
          <w:tcPr>
            <w:tcW w:w="1300" w:type="dxa"/>
            <w:shd w:val="clear" w:color="auto" w:fill="auto"/>
            <w:vAlign w:val="center"/>
          </w:tcPr>
          <w:p w14:paraId="778F59DE">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04DF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30" w:type="dxa"/>
            <w:shd w:val="clear" w:color="auto" w:fill="auto"/>
            <w:noWrap/>
            <w:vAlign w:val="center"/>
          </w:tcPr>
          <w:p w14:paraId="5C5704A6">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340" w:type="dxa"/>
            <w:shd w:val="clear" w:color="auto" w:fill="auto"/>
            <w:vAlign w:val="center"/>
          </w:tcPr>
          <w:p w14:paraId="4058B98A">
            <w:pPr>
              <w:widowControl/>
              <w:jc w:val="center"/>
              <w:rPr>
                <w:rFonts w:ascii="宋体" w:hAnsi="宋体" w:cs="宋体"/>
                <w:color w:val="000000"/>
                <w:kern w:val="0"/>
                <w:sz w:val="18"/>
                <w:szCs w:val="18"/>
              </w:rPr>
            </w:pPr>
            <w:r>
              <w:rPr>
                <w:rFonts w:ascii="宋体" w:hAnsi="宋体" w:cs="宋体"/>
                <w:color w:val="000000"/>
                <w:kern w:val="0"/>
                <w:sz w:val="18"/>
                <w:szCs w:val="18"/>
              </w:rPr>
              <w:t>24070</w:t>
            </w:r>
          </w:p>
        </w:tc>
        <w:tc>
          <w:tcPr>
            <w:tcW w:w="1791" w:type="dxa"/>
            <w:shd w:val="clear" w:color="auto" w:fill="auto"/>
            <w:noWrap/>
            <w:vAlign w:val="center"/>
          </w:tcPr>
          <w:p w14:paraId="6F93D1D0">
            <w:pPr>
              <w:widowControl/>
              <w:jc w:val="center"/>
              <w:rPr>
                <w:rFonts w:ascii="宋体" w:hAnsi="宋体" w:cs="宋体"/>
                <w:color w:val="000000"/>
                <w:kern w:val="0"/>
                <w:sz w:val="18"/>
                <w:szCs w:val="18"/>
              </w:rPr>
            </w:pPr>
            <w:r>
              <w:rPr>
                <w:rFonts w:hint="eastAsia" w:ascii="宋体" w:hAnsi="宋体" w:cs="宋体"/>
                <w:color w:val="000000"/>
                <w:kern w:val="0"/>
                <w:sz w:val="18"/>
                <w:szCs w:val="18"/>
              </w:rPr>
              <w:t>26203.87</w:t>
            </w:r>
          </w:p>
        </w:tc>
        <w:tc>
          <w:tcPr>
            <w:tcW w:w="3051" w:type="dxa"/>
            <w:shd w:val="clear" w:color="auto" w:fill="auto"/>
            <w:vAlign w:val="center"/>
          </w:tcPr>
          <w:p w14:paraId="6C19E290">
            <w:pPr>
              <w:widowControl/>
              <w:jc w:val="center"/>
              <w:rPr>
                <w:rFonts w:ascii="宋体" w:hAnsi="宋体" w:cs="宋体"/>
                <w:color w:val="000000"/>
                <w:kern w:val="0"/>
                <w:sz w:val="18"/>
                <w:szCs w:val="18"/>
              </w:rPr>
            </w:pPr>
            <w:r>
              <w:rPr>
                <w:rFonts w:ascii="宋体" w:hAnsi="宋体" w:cs="宋体"/>
                <w:color w:val="000000"/>
                <w:kern w:val="0"/>
                <w:sz w:val="18"/>
                <w:szCs w:val="18"/>
              </w:rPr>
              <w:t xml:space="preserve">2133.87 </w:t>
            </w:r>
          </w:p>
        </w:tc>
        <w:tc>
          <w:tcPr>
            <w:tcW w:w="1300" w:type="dxa"/>
            <w:shd w:val="clear" w:color="auto" w:fill="auto"/>
            <w:vAlign w:val="bottom"/>
          </w:tcPr>
          <w:p w14:paraId="3F3899CF">
            <w:pPr>
              <w:widowControl/>
              <w:jc w:val="center"/>
              <w:rPr>
                <w:rFonts w:ascii="宋体" w:hAnsi="宋体" w:cs="宋体"/>
                <w:color w:val="000000"/>
                <w:kern w:val="0"/>
                <w:sz w:val="18"/>
                <w:szCs w:val="18"/>
              </w:rPr>
            </w:pPr>
            <w:r>
              <w:rPr>
                <w:rFonts w:hint="eastAsia" w:ascii="宋体" w:hAnsi="宋体" w:cs="宋体"/>
                <w:color w:val="000000"/>
                <w:kern w:val="0"/>
                <w:sz w:val="18"/>
                <w:szCs w:val="18"/>
              </w:rPr>
              <w:t>不符合</w:t>
            </w:r>
          </w:p>
        </w:tc>
      </w:tr>
    </w:tbl>
    <w:p w14:paraId="46192490">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（二）耕地保护情况</w:t>
      </w:r>
    </w:p>
    <w:p w14:paraId="714924F8">
      <w:pPr>
        <w:pStyle w:val="4"/>
        <w:spacing w:before="0" w:after="0" w:line="360" w:lineRule="auto"/>
        <w:ind w:firstLine="275" w:firstLineChars="98"/>
        <w:rPr>
          <w:rFonts w:ascii="仿宋_GB2312" w:hAnsi="宋体" w:eastAsia="仿宋_GB2312"/>
          <w:sz w:val="28"/>
          <w:szCs w:val="28"/>
        </w:rPr>
      </w:pPr>
      <w:r>
        <w:rPr>
          <w:rFonts w:ascii="仿宋_GB2312" w:hAnsi="宋体" w:eastAsia="仿宋_GB2312"/>
          <w:sz w:val="28"/>
          <w:szCs w:val="28"/>
        </w:rPr>
        <w:t>1</w:t>
      </w:r>
      <w:r>
        <w:rPr>
          <w:rFonts w:hint="eastAsia" w:ascii="仿宋_GB2312" w:hAnsi="宋体" w:eastAsia="仿宋_GB2312"/>
          <w:sz w:val="28"/>
          <w:szCs w:val="28"/>
        </w:rPr>
        <w:t>、新增建设用地占用耕地情况</w:t>
      </w:r>
    </w:p>
    <w:p w14:paraId="6B38E3B6">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昆明市下达东川区</w:t>
      </w:r>
      <w:r>
        <w:rPr>
          <w:rFonts w:ascii="仿宋_GB2312" w:hAnsi="宋体" w:eastAsia="仿宋_GB2312"/>
          <w:sz w:val="28"/>
          <w:szCs w:val="28"/>
        </w:rPr>
        <w:t xml:space="preserve"> 2020 </w:t>
      </w:r>
      <w:r>
        <w:rPr>
          <w:rFonts w:hint="eastAsia" w:ascii="仿宋_GB2312" w:hAnsi="宋体" w:eastAsia="仿宋_GB2312"/>
          <w:sz w:val="28"/>
          <w:szCs w:val="28"/>
        </w:rPr>
        <w:t>年新增建设用地占用耕地指标为410.48公顷。</w:t>
      </w:r>
      <w:r>
        <w:rPr>
          <w:rFonts w:ascii="仿宋_GB2312" w:hAnsi="宋体" w:eastAsia="仿宋_GB2312"/>
          <w:sz w:val="28"/>
          <w:szCs w:val="28"/>
        </w:rPr>
        <w:t>2010-2014</w:t>
      </w:r>
      <w:r>
        <w:rPr>
          <w:rFonts w:hint="eastAsia" w:ascii="仿宋_GB2312" w:hAnsi="宋体" w:eastAsia="仿宋_GB2312"/>
          <w:sz w:val="28"/>
          <w:szCs w:val="28"/>
        </w:rPr>
        <w:t>年全区实际新增建设用地占用耕地75.48公顷，比</w:t>
      </w:r>
      <w:r>
        <w:rPr>
          <w:rFonts w:ascii="仿宋_GB2312" w:hAnsi="宋体" w:eastAsia="仿宋_GB2312"/>
          <w:sz w:val="28"/>
          <w:szCs w:val="28"/>
        </w:rPr>
        <w:t xml:space="preserve">2020 </w:t>
      </w:r>
      <w:r>
        <w:rPr>
          <w:rFonts w:hint="eastAsia" w:ascii="仿宋_GB2312" w:hAnsi="宋体" w:eastAsia="仿宋_GB2312"/>
          <w:sz w:val="28"/>
          <w:szCs w:val="28"/>
        </w:rPr>
        <w:t>年规划新增建设用地占用耕地指标面积少335公顷。</w:t>
      </w:r>
    </w:p>
    <w:p w14:paraId="7125B4D2">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从全区范围来看，至</w:t>
      </w:r>
      <w:r>
        <w:rPr>
          <w:rFonts w:ascii="仿宋_GB2312" w:hAnsi="宋体" w:eastAsia="仿宋_GB2312"/>
          <w:sz w:val="28"/>
          <w:szCs w:val="28"/>
        </w:rPr>
        <w:t xml:space="preserve">2014 </w:t>
      </w:r>
      <w:r>
        <w:rPr>
          <w:rFonts w:hint="eastAsia" w:ascii="仿宋_GB2312" w:hAnsi="宋体" w:eastAsia="仿宋_GB2312"/>
          <w:sz w:val="28"/>
          <w:szCs w:val="28"/>
        </w:rPr>
        <w:t>年年末，新增建设用地占用耕地指标已使用</w:t>
      </w:r>
      <w:r>
        <w:rPr>
          <w:rFonts w:ascii="仿宋_GB2312" w:hAnsi="宋体" w:eastAsia="仿宋_GB2312"/>
          <w:sz w:val="28"/>
          <w:szCs w:val="28"/>
        </w:rPr>
        <w:t>18.39%</w:t>
      </w:r>
      <w:r>
        <w:rPr>
          <w:rFonts w:hint="eastAsia" w:ascii="仿宋_GB2312" w:hAnsi="宋体" w:eastAsia="仿宋_GB2312"/>
          <w:sz w:val="28"/>
          <w:szCs w:val="28"/>
        </w:rPr>
        <w:t>，指标使用进度合理。各个乡镇的新增建设用地占用耕地指标均未超出上级下达规模，指标使用进度较为合理，新增建设用地占用耕地指标还比较充足。</w:t>
      </w:r>
    </w:p>
    <w:p w14:paraId="6531398D">
      <w:pPr>
        <w:jc w:val="center"/>
        <w:outlineLvl w:val="4"/>
        <w:rPr>
          <w:rFonts w:ascii="宋体" w:hAnsi="宋体"/>
          <w:b/>
          <w:sz w:val="24"/>
        </w:rPr>
      </w:pPr>
      <w:r>
        <w:rPr>
          <w:rFonts w:hint="eastAsia" w:ascii="宋体" w:hAnsi="宋体"/>
          <w:b/>
          <w:sz w:val="24"/>
        </w:rPr>
        <w:t>表</w:t>
      </w:r>
      <w:r>
        <w:rPr>
          <w:rFonts w:ascii="宋体" w:hAnsi="宋体"/>
          <w:b/>
          <w:sz w:val="24"/>
        </w:rPr>
        <w:t>3-</w:t>
      </w:r>
      <w:r>
        <w:rPr>
          <w:rFonts w:hint="eastAsia" w:ascii="宋体" w:hAnsi="宋体"/>
          <w:b/>
          <w:sz w:val="24"/>
        </w:rPr>
        <w:t>7</w:t>
      </w:r>
      <w:r>
        <w:rPr>
          <w:rFonts w:ascii="宋体" w:hAnsi="宋体"/>
          <w:b/>
          <w:sz w:val="24"/>
        </w:rPr>
        <w:t xml:space="preserve"> </w:t>
      </w:r>
      <w:r>
        <w:rPr>
          <w:rFonts w:hint="eastAsia" w:ascii="宋体" w:hAnsi="宋体"/>
          <w:b/>
          <w:sz w:val="24"/>
        </w:rPr>
        <w:t>东川区新增建设用地占用耕地指标使用情况表</w:t>
      </w:r>
    </w:p>
    <w:p w14:paraId="3CDD2C5A">
      <w:pPr>
        <w:spacing w:line="360" w:lineRule="auto"/>
        <w:ind w:right="360" w:firstLine="360" w:firstLineChars="200"/>
        <w:jc w:val="right"/>
        <w:rPr>
          <w:rFonts w:ascii="宋体" w:hAnsi="宋体" w:cs="宋体"/>
          <w:color w:val="000000"/>
          <w:kern w:val="0"/>
          <w:sz w:val="18"/>
          <w:szCs w:val="18"/>
        </w:rPr>
      </w:pPr>
      <w:r>
        <w:rPr>
          <w:rFonts w:hint="eastAsia" w:ascii="宋体" w:hAnsi="宋体" w:cs="宋体"/>
          <w:color w:val="000000"/>
          <w:kern w:val="0"/>
          <w:sz w:val="18"/>
          <w:szCs w:val="18"/>
        </w:rPr>
        <w:t>单位：公顷、</w:t>
      </w:r>
      <w:r>
        <w:rPr>
          <w:rFonts w:ascii="宋体" w:hAnsi="宋体" w:cs="宋体"/>
          <w:color w:val="000000"/>
          <w:kern w:val="0"/>
          <w:sz w:val="18"/>
          <w:szCs w:val="18"/>
        </w:rPr>
        <w:t>%</w:t>
      </w:r>
    </w:p>
    <w:tbl>
      <w:tblPr>
        <w:tblStyle w:val="27"/>
        <w:tblW w:w="8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1560"/>
        <w:gridCol w:w="3402"/>
        <w:gridCol w:w="1677"/>
      </w:tblGrid>
      <w:tr w14:paraId="1D9B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30" w:type="dxa"/>
            <w:shd w:val="clear" w:color="auto" w:fill="auto"/>
            <w:vAlign w:val="center"/>
          </w:tcPr>
          <w:p w14:paraId="38B3DA7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行政区</w:t>
            </w:r>
          </w:p>
        </w:tc>
        <w:tc>
          <w:tcPr>
            <w:tcW w:w="1560" w:type="dxa"/>
            <w:shd w:val="clear" w:color="auto" w:fill="auto"/>
            <w:vAlign w:val="center"/>
          </w:tcPr>
          <w:p w14:paraId="220D178D">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下达指标</w:t>
            </w:r>
          </w:p>
        </w:tc>
        <w:tc>
          <w:tcPr>
            <w:tcW w:w="3402" w:type="dxa"/>
            <w:shd w:val="clear" w:color="auto" w:fill="auto"/>
            <w:vAlign w:val="center"/>
          </w:tcPr>
          <w:p w14:paraId="6E3A8604">
            <w:pPr>
              <w:widowControl/>
              <w:jc w:val="center"/>
              <w:rPr>
                <w:rFonts w:ascii="宋体" w:hAnsi="宋体" w:cs="宋体"/>
                <w:b/>
                <w:color w:val="000000"/>
                <w:kern w:val="0"/>
                <w:sz w:val="18"/>
                <w:szCs w:val="18"/>
              </w:rPr>
            </w:pPr>
            <w:r>
              <w:rPr>
                <w:rFonts w:ascii="宋体" w:hAnsi="宋体" w:cs="宋体"/>
                <w:b/>
                <w:color w:val="000000"/>
                <w:kern w:val="0"/>
                <w:sz w:val="18"/>
                <w:szCs w:val="18"/>
              </w:rPr>
              <w:t xml:space="preserve"> 2010-2014 </w:t>
            </w:r>
            <w:r>
              <w:rPr>
                <w:rFonts w:hint="eastAsia" w:ascii="宋体" w:hAnsi="宋体" w:cs="宋体"/>
                <w:b/>
                <w:color w:val="000000"/>
                <w:kern w:val="0"/>
                <w:sz w:val="18"/>
                <w:szCs w:val="18"/>
              </w:rPr>
              <w:t>年新增建设用地占用耕地</w:t>
            </w:r>
            <w:r>
              <w:rPr>
                <w:rFonts w:ascii="宋体" w:hAnsi="宋体" w:cs="宋体"/>
                <w:b/>
                <w:color w:val="000000"/>
                <w:kern w:val="0"/>
                <w:sz w:val="18"/>
                <w:szCs w:val="18"/>
              </w:rPr>
              <w:t xml:space="preserve"> </w:t>
            </w:r>
          </w:p>
        </w:tc>
        <w:tc>
          <w:tcPr>
            <w:tcW w:w="1677" w:type="dxa"/>
            <w:shd w:val="clear" w:color="auto" w:fill="auto"/>
            <w:vAlign w:val="center"/>
          </w:tcPr>
          <w:p w14:paraId="76C7139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指标使用进度</w:t>
            </w:r>
          </w:p>
        </w:tc>
      </w:tr>
      <w:tr w14:paraId="0985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30" w:type="dxa"/>
            <w:shd w:val="clear" w:color="auto" w:fill="auto"/>
            <w:noWrap/>
            <w:vAlign w:val="center"/>
          </w:tcPr>
          <w:p w14:paraId="5D14E979">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560" w:type="dxa"/>
            <w:shd w:val="clear" w:color="auto" w:fill="auto"/>
            <w:vAlign w:val="center"/>
          </w:tcPr>
          <w:p w14:paraId="3F5A624A">
            <w:pPr>
              <w:widowControl/>
              <w:jc w:val="center"/>
              <w:rPr>
                <w:rFonts w:ascii="宋体" w:hAnsi="宋体" w:cs="宋体"/>
                <w:color w:val="000000"/>
                <w:kern w:val="0"/>
                <w:sz w:val="18"/>
                <w:szCs w:val="18"/>
              </w:rPr>
            </w:pPr>
            <w:r>
              <w:rPr>
                <w:rFonts w:hint="eastAsia" w:ascii="宋体" w:hAnsi="宋体" w:cs="宋体"/>
                <w:color w:val="000000"/>
                <w:kern w:val="0"/>
                <w:sz w:val="18"/>
                <w:szCs w:val="18"/>
              </w:rPr>
              <w:t>21.6</w:t>
            </w:r>
          </w:p>
        </w:tc>
        <w:tc>
          <w:tcPr>
            <w:tcW w:w="3402" w:type="dxa"/>
            <w:shd w:val="clear" w:color="auto" w:fill="auto"/>
            <w:noWrap/>
            <w:vAlign w:val="center"/>
          </w:tcPr>
          <w:p w14:paraId="43D27724">
            <w:pPr>
              <w:widowControl/>
              <w:jc w:val="center"/>
              <w:rPr>
                <w:rFonts w:ascii="宋体" w:hAnsi="宋体" w:cs="宋体"/>
                <w:color w:val="000000"/>
                <w:kern w:val="0"/>
                <w:sz w:val="18"/>
                <w:szCs w:val="18"/>
              </w:rPr>
            </w:pPr>
            <w:r>
              <w:rPr>
                <w:rFonts w:ascii="宋体" w:hAnsi="宋体" w:cs="宋体"/>
                <w:color w:val="000000"/>
                <w:kern w:val="0"/>
                <w:sz w:val="18"/>
                <w:szCs w:val="18"/>
              </w:rPr>
              <w:t>10.19</w:t>
            </w:r>
          </w:p>
        </w:tc>
        <w:tc>
          <w:tcPr>
            <w:tcW w:w="1677" w:type="dxa"/>
            <w:shd w:val="clear" w:color="auto" w:fill="auto"/>
            <w:vAlign w:val="center"/>
          </w:tcPr>
          <w:p w14:paraId="4D7618AB">
            <w:pPr>
              <w:widowControl/>
              <w:jc w:val="center"/>
              <w:rPr>
                <w:rFonts w:ascii="宋体" w:hAnsi="宋体" w:cs="宋体"/>
                <w:color w:val="000000"/>
                <w:kern w:val="0"/>
                <w:sz w:val="18"/>
                <w:szCs w:val="18"/>
              </w:rPr>
            </w:pPr>
            <w:r>
              <w:rPr>
                <w:rFonts w:ascii="宋体" w:hAnsi="宋体" w:cs="宋体"/>
                <w:color w:val="000000"/>
                <w:kern w:val="0"/>
                <w:sz w:val="18"/>
                <w:szCs w:val="18"/>
              </w:rPr>
              <w:t>47.18%</w:t>
            </w:r>
          </w:p>
        </w:tc>
      </w:tr>
      <w:tr w14:paraId="11F8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30" w:type="dxa"/>
            <w:shd w:val="clear" w:color="auto" w:fill="auto"/>
            <w:noWrap/>
            <w:vAlign w:val="center"/>
          </w:tcPr>
          <w:p w14:paraId="024E8EAE">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560" w:type="dxa"/>
            <w:shd w:val="clear" w:color="auto" w:fill="auto"/>
            <w:vAlign w:val="center"/>
          </w:tcPr>
          <w:p w14:paraId="649A6CB9">
            <w:pPr>
              <w:widowControl/>
              <w:jc w:val="center"/>
              <w:rPr>
                <w:rFonts w:ascii="宋体" w:hAnsi="宋体" w:cs="宋体"/>
                <w:color w:val="000000"/>
                <w:kern w:val="0"/>
                <w:sz w:val="18"/>
                <w:szCs w:val="18"/>
              </w:rPr>
            </w:pPr>
            <w:r>
              <w:rPr>
                <w:rFonts w:hint="eastAsia" w:ascii="宋体" w:hAnsi="宋体" w:cs="宋体"/>
                <w:color w:val="000000"/>
                <w:kern w:val="0"/>
                <w:sz w:val="18"/>
                <w:szCs w:val="18"/>
              </w:rPr>
              <w:t>241.96</w:t>
            </w:r>
          </w:p>
        </w:tc>
        <w:tc>
          <w:tcPr>
            <w:tcW w:w="3402" w:type="dxa"/>
            <w:shd w:val="clear" w:color="auto" w:fill="auto"/>
            <w:noWrap/>
            <w:vAlign w:val="center"/>
          </w:tcPr>
          <w:p w14:paraId="36BE03C7">
            <w:pPr>
              <w:widowControl/>
              <w:jc w:val="center"/>
              <w:rPr>
                <w:rFonts w:ascii="宋体" w:hAnsi="宋体" w:cs="宋体"/>
                <w:color w:val="000000"/>
                <w:kern w:val="0"/>
                <w:sz w:val="18"/>
                <w:szCs w:val="18"/>
              </w:rPr>
            </w:pPr>
            <w:r>
              <w:rPr>
                <w:rFonts w:ascii="宋体" w:hAnsi="宋体" w:cs="宋体"/>
                <w:color w:val="000000"/>
                <w:kern w:val="0"/>
                <w:sz w:val="18"/>
                <w:szCs w:val="18"/>
              </w:rPr>
              <w:t>31.11</w:t>
            </w:r>
          </w:p>
        </w:tc>
        <w:tc>
          <w:tcPr>
            <w:tcW w:w="1677" w:type="dxa"/>
            <w:shd w:val="clear" w:color="auto" w:fill="auto"/>
            <w:vAlign w:val="center"/>
          </w:tcPr>
          <w:p w14:paraId="2DBA9237">
            <w:pPr>
              <w:widowControl/>
              <w:jc w:val="center"/>
              <w:rPr>
                <w:rFonts w:ascii="宋体" w:hAnsi="宋体" w:cs="宋体"/>
                <w:color w:val="000000"/>
                <w:kern w:val="0"/>
                <w:sz w:val="18"/>
                <w:szCs w:val="18"/>
              </w:rPr>
            </w:pPr>
            <w:r>
              <w:rPr>
                <w:rFonts w:ascii="宋体" w:hAnsi="宋体" w:cs="宋体"/>
                <w:color w:val="000000"/>
                <w:kern w:val="0"/>
                <w:sz w:val="18"/>
                <w:szCs w:val="18"/>
              </w:rPr>
              <w:t>12.86%</w:t>
            </w:r>
          </w:p>
        </w:tc>
      </w:tr>
      <w:tr w14:paraId="5158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30" w:type="dxa"/>
            <w:shd w:val="clear" w:color="auto" w:fill="auto"/>
            <w:noWrap/>
            <w:vAlign w:val="center"/>
          </w:tcPr>
          <w:p w14:paraId="7DD5D606">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560" w:type="dxa"/>
            <w:shd w:val="clear" w:color="auto" w:fill="auto"/>
            <w:vAlign w:val="center"/>
          </w:tcPr>
          <w:p w14:paraId="09B3C9BA">
            <w:pPr>
              <w:widowControl/>
              <w:jc w:val="center"/>
              <w:rPr>
                <w:rFonts w:ascii="宋体" w:hAnsi="宋体" w:cs="宋体"/>
                <w:color w:val="000000"/>
                <w:kern w:val="0"/>
                <w:sz w:val="18"/>
                <w:szCs w:val="18"/>
              </w:rPr>
            </w:pPr>
            <w:r>
              <w:rPr>
                <w:rFonts w:hint="eastAsia" w:ascii="宋体" w:hAnsi="宋体" w:cs="宋体"/>
                <w:color w:val="000000"/>
                <w:kern w:val="0"/>
                <w:sz w:val="18"/>
                <w:szCs w:val="18"/>
              </w:rPr>
              <w:t>23.84</w:t>
            </w:r>
          </w:p>
        </w:tc>
        <w:tc>
          <w:tcPr>
            <w:tcW w:w="3402" w:type="dxa"/>
            <w:shd w:val="clear" w:color="auto" w:fill="auto"/>
            <w:noWrap/>
            <w:vAlign w:val="center"/>
          </w:tcPr>
          <w:p w14:paraId="6C961331">
            <w:pPr>
              <w:widowControl/>
              <w:jc w:val="center"/>
              <w:rPr>
                <w:rFonts w:ascii="宋体" w:hAnsi="宋体" w:cs="宋体"/>
                <w:color w:val="000000"/>
                <w:kern w:val="0"/>
                <w:sz w:val="18"/>
                <w:szCs w:val="18"/>
              </w:rPr>
            </w:pPr>
            <w:r>
              <w:rPr>
                <w:rFonts w:ascii="宋体" w:hAnsi="宋体" w:cs="宋体"/>
                <w:color w:val="000000"/>
                <w:kern w:val="0"/>
                <w:sz w:val="18"/>
                <w:szCs w:val="18"/>
              </w:rPr>
              <w:t>11.39</w:t>
            </w:r>
          </w:p>
        </w:tc>
        <w:tc>
          <w:tcPr>
            <w:tcW w:w="1677" w:type="dxa"/>
            <w:shd w:val="clear" w:color="auto" w:fill="auto"/>
            <w:vAlign w:val="center"/>
          </w:tcPr>
          <w:p w14:paraId="57C0F1AE">
            <w:pPr>
              <w:widowControl/>
              <w:jc w:val="center"/>
              <w:rPr>
                <w:rFonts w:ascii="宋体" w:hAnsi="宋体" w:cs="宋体"/>
                <w:color w:val="000000"/>
                <w:kern w:val="0"/>
                <w:sz w:val="18"/>
                <w:szCs w:val="18"/>
              </w:rPr>
            </w:pPr>
            <w:r>
              <w:rPr>
                <w:rFonts w:ascii="宋体" w:hAnsi="宋体" w:cs="宋体"/>
                <w:color w:val="000000"/>
                <w:kern w:val="0"/>
                <w:sz w:val="18"/>
                <w:szCs w:val="18"/>
              </w:rPr>
              <w:t>47.78%</w:t>
            </w:r>
          </w:p>
        </w:tc>
      </w:tr>
      <w:tr w14:paraId="0109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30" w:type="dxa"/>
            <w:shd w:val="clear" w:color="auto" w:fill="auto"/>
            <w:noWrap/>
            <w:vAlign w:val="center"/>
          </w:tcPr>
          <w:p w14:paraId="71A0F0D0">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560" w:type="dxa"/>
            <w:shd w:val="clear" w:color="auto" w:fill="auto"/>
            <w:vAlign w:val="center"/>
          </w:tcPr>
          <w:p w14:paraId="6BE605AC">
            <w:pPr>
              <w:widowControl/>
              <w:jc w:val="center"/>
              <w:rPr>
                <w:rFonts w:ascii="宋体" w:hAnsi="宋体" w:cs="宋体"/>
                <w:color w:val="000000"/>
                <w:kern w:val="0"/>
                <w:sz w:val="18"/>
                <w:szCs w:val="18"/>
              </w:rPr>
            </w:pPr>
            <w:r>
              <w:rPr>
                <w:rFonts w:hint="eastAsia" w:ascii="宋体" w:hAnsi="宋体" w:cs="宋体"/>
                <w:color w:val="000000"/>
                <w:kern w:val="0"/>
                <w:sz w:val="18"/>
                <w:szCs w:val="18"/>
              </w:rPr>
              <w:t>81.53</w:t>
            </w:r>
          </w:p>
        </w:tc>
        <w:tc>
          <w:tcPr>
            <w:tcW w:w="3402" w:type="dxa"/>
            <w:shd w:val="clear" w:color="auto" w:fill="auto"/>
            <w:noWrap/>
            <w:vAlign w:val="center"/>
          </w:tcPr>
          <w:p w14:paraId="0A63DF46">
            <w:pPr>
              <w:widowControl/>
              <w:jc w:val="center"/>
              <w:rPr>
                <w:rFonts w:ascii="宋体" w:hAnsi="宋体" w:cs="宋体"/>
                <w:color w:val="000000"/>
                <w:kern w:val="0"/>
                <w:sz w:val="18"/>
                <w:szCs w:val="18"/>
              </w:rPr>
            </w:pPr>
            <w:r>
              <w:rPr>
                <w:rFonts w:ascii="宋体" w:hAnsi="宋体" w:cs="宋体"/>
                <w:color w:val="000000"/>
                <w:kern w:val="0"/>
                <w:sz w:val="18"/>
                <w:szCs w:val="18"/>
              </w:rPr>
              <w:t>6.96</w:t>
            </w:r>
          </w:p>
        </w:tc>
        <w:tc>
          <w:tcPr>
            <w:tcW w:w="1677" w:type="dxa"/>
            <w:shd w:val="clear" w:color="auto" w:fill="auto"/>
            <w:vAlign w:val="center"/>
          </w:tcPr>
          <w:p w14:paraId="1F12E61B">
            <w:pPr>
              <w:widowControl/>
              <w:jc w:val="center"/>
              <w:rPr>
                <w:rFonts w:ascii="宋体" w:hAnsi="宋体" w:cs="宋体"/>
                <w:color w:val="000000"/>
                <w:kern w:val="0"/>
                <w:sz w:val="18"/>
                <w:szCs w:val="18"/>
              </w:rPr>
            </w:pPr>
            <w:r>
              <w:rPr>
                <w:rFonts w:ascii="宋体" w:hAnsi="宋体" w:cs="宋体"/>
                <w:color w:val="000000"/>
                <w:kern w:val="0"/>
                <w:sz w:val="18"/>
                <w:szCs w:val="18"/>
              </w:rPr>
              <w:t>8.54%</w:t>
            </w:r>
          </w:p>
        </w:tc>
      </w:tr>
      <w:tr w14:paraId="2C34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30" w:type="dxa"/>
            <w:shd w:val="clear" w:color="auto" w:fill="auto"/>
            <w:noWrap/>
            <w:vAlign w:val="center"/>
          </w:tcPr>
          <w:p w14:paraId="5A57DBA4">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560" w:type="dxa"/>
            <w:shd w:val="clear" w:color="auto" w:fill="auto"/>
            <w:vAlign w:val="center"/>
          </w:tcPr>
          <w:p w14:paraId="6614E916">
            <w:pPr>
              <w:widowControl/>
              <w:jc w:val="center"/>
              <w:rPr>
                <w:rFonts w:ascii="宋体" w:hAnsi="宋体" w:cs="宋体"/>
                <w:color w:val="000000"/>
                <w:kern w:val="0"/>
                <w:sz w:val="18"/>
                <w:szCs w:val="18"/>
              </w:rPr>
            </w:pPr>
            <w:r>
              <w:rPr>
                <w:rFonts w:hint="eastAsia" w:ascii="宋体" w:hAnsi="宋体" w:cs="宋体"/>
                <w:color w:val="000000"/>
                <w:kern w:val="0"/>
                <w:sz w:val="18"/>
                <w:szCs w:val="18"/>
              </w:rPr>
              <w:t>15.13</w:t>
            </w:r>
          </w:p>
        </w:tc>
        <w:tc>
          <w:tcPr>
            <w:tcW w:w="3402" w:type="dxa"/>
            <w:shd w:val="clear" w:color="auto" w:fill="auto"/>
            <w:noWrap/>
            <w:vAlign w:val="center"/>
          </w:tcPr>
          <w:p w14:paraId="12A4D630">
            <w:pPr>
              <w:widowControl/>
              <w:jc w:val="center"/>
              <w:rPr>
                <w:rFonts w:ascii="宋体" w:hAnsi="宋体" w:cs="宋体"/>
                <w:color w:val="000000"/>
                <w:kern w:val="0"/>
                <w:sz w:val="18"/>
                <w:szCs w:val="18"/>
              </w:rPr>
            </w:pPr>
            <w:r>
              <w:rPr>
                <w:rFonts w:ascii="宋体" w:hAnsi="宋体" w:cs="宋体"/>
                <w:color w:val="000000"/>
                <w:kern w:val="0"/>
                <w:sz w:val="18"/>
                <w:szCs w:val="18"/>
              </w:rPr>
              <w:t>5.12</w:t>
            </w:r>
          </w:p>
        </w:tc>
        <w:tc>
          <w:tcPr>
            <w:tcW w:w="1677" w:type="dxa"/>
            <w:shd w:val="clear" w:color="auto" w:fill="auto"/>
            <w:vAlign w:val="center"/>
          </w:tcPr>
          <w:p w14:paraId="5CA77486">
            <w:pPr>
              <w:widowControl/>
              <w:jc w:val="center"/>
              <w:rPr>
                <w:rFonts w:ascii="宋体" w:hAnsi="宋体" w:cs="宋体"/>
                <w:color w:val="000000"/>
                <w:kern w:val="0"/>
                <w:sz w:val="18"/>
                <w:szCs w:val="18"/>
              </w:rPr>
            </w:pPr>
            <w:r>
              <w:rPr>
                <w:rFonts w:ascii="宋体" w:hAnsi="宋体" w:cs="宋体"/>
                <w:color w:val="000000"/>
                <w:kern w:val="0"/>
                <w:sz w:val="18"/>
                <w:szCs w:val="18"/>
              </w:rPr>
              <w:t>33.84%</w:t>
            </w:r>
          </w:p>
        </w:tc>
      </w:tr>
      <w:tr w14:paraId="71BD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30" w:type="dxa"/>
            <w:shd w:val="clear" w:color="auto" w:fill="auto"/>
            <w:noWrap/>
            <w:vAlign w:val="center"/>
          </w:tcPr>
          <w:p w14:paraId="26C0BC16">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560" w:type="dxa"/>
            <w:shd w:val="clear" w:color="auto" w:fill="auto"/>
            <w:vAlign w:val="center"/>
          </w:tcPr>
          <w:p w14:paraId="6CF13CB1">
            <w:pPr>
              <w:widowControl/>
              <w:jc w:val="center"/>
              <w:rPr>
                <w:rFonts w:ascii="宋体" w:hAnsi="宋体" w:cs="宋体"/>
                <w:color w:val="000000"/>
                <w:kern w:val="0"/>
                <w:sz w:val="18"/>
                <w:szCs w:val="18"/>
              </w:rPr>
            </w:pPr>
            <w:r>
              <w:rPr>
                <w:rFonts w:hint="eastAsia" w:ascii="宋体" w:hAnsi="宋体" w:cs="宋体"/>
                <w:color w:val="000000"/>
                <w:kern w:val="0"/>
                <w:sz w:val="18"/>
                <w:szCs w:val="18"/>
              </w:rPr>
              <w:t>17.77</w:t>
            </w:r>
          </w:p>
        </w:tc>
        <w:tc>
          <w:tcPr>
            <w:tcW w:w="3402" w:type="dxa"/>
            <w:shd w:val="clear" w:color="auto" w:fill="auto"/>
            <w:noWrap/>
            <w:vAlign w:val="center"/>
          </w:tcPr>
          <w:p w14:paraId="3098328B">
            <w:pPr>
              <w:widowControl/>
              <w:jc w:val="center"/>
              <w:rPr>
                <w:rFonts w:ascii="宋体" w:hAnsi="宋体" w:cs="宋体"/>
                <w:color w:val="000000"/>
                <w:kern w:val="0"/>
                <w:sz w:val="18"/>
                <w:szCs w:val="18"/>
              </w:rPr>
            </w:pPr>
            <w:r>
              <w:rPr>
                <w:rFonts w:ascii="宋体" w:hAnsi="宋体" w:cs="宋体"/>
                <w:color w:val="000000"/>
                <w:kern w:val="0"/>
                <w:sz w:val="18"/>
                <w:szCs w:val="18"/>
              </w:rPr>
              <w:t>8.12</w:t>
            </w:r>
          </w:p>
        </w:tc>
        <w:tc>
          <w:tcPr>
            <w:tcW w:w="1677" w:type="dxa"/>
            <w:shd w:val="clear" w:color="auto" w:fill="auto"/>
            <w:vAlign w:val="center"/>
          </w:tcPr>
          <w:p w14:paraId="29F868CD">
            <w:pPr>
              <w:widowControl/>
              <w:jc w:val="center"/>
              <w:rPr>
                <w:rFonts w:ascii="宋体" w:hAnsi="宋体" w:cs="宋体"/>
                <w:color w:val="000000"/>
                <w:kern w:val="0"/>
                <w:sz w:val="18"/>
                <w:szCs w:val="18"/>
              </w:rPr>
            </w:pPr>
            <w:r>
              <w:rPr>
                <w:rFonts w:ascii="宋体" w:hAnsi="宋体" w:cs="宋体"/>
                <w:color w:val="000000"/>
                <w:kern w:val="0"/>
                <w:sz w:val="18"/>
                <w:szCs w:val="18"/>
              </w:rPr>
              <w:t>45.69%</w:t>
            </w:r>
          </w:p>
        </w:tc>
      </w:tr>
      <w:tr w14:paraId="4C62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30" w:type="dxa"/>
            <w:shd w:val="clear" w:color="auto" w:fill="auto"/>
            <w:noWrap/>
            <w:vAlign w:val="center"/>
          </w:tcPr>
          <w:p w14:paraId="68210371">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560" w:type="dxa"/>
            <w:shd w:val="clear" w:color="auto" w:fill="auto"/>
            <w:vAlign w:val="center"/>
          </w:tcPr>
          <w:p w14:paraId="131BF0CA">
            <w:pPr>
              <w:widowControl/>
              <w:jc w:val="center"/>
              <w:rPr>
                <w:rFonts w:ascii="宋体" w:hAnsi="宋体" w:cs="宋体"/>
                <w:color w:val="000000"/>
                <w:kern w:val="0"/>
                <w:sz w:val="18"/>
                <w:szCs w:val="18"/>
              </w:rPr>
            </w:pPr>
            <w:r>
              <w:rPr>
                <w:rFonts w:hint="eastAsia" w:ascii="宋体" w:hAnsi="宋体" w:cs="宋体"/>
                <w:color w:val="000000"/>
                <w:kern w:val="0"/>
                <w:sz w:val="18"/>
                <w:szCs w:val="18"/>
              </w:rPr>
              <w:t>2.31</w:t>
            </w:r>
          </w:p>
        </w:tc>
        <w:tc>
          <w:tcPr>
            <w:tcW w:w="3402" w:type="dxa"/>
            <w:shd w:val="clear" w:color="auto" w:fill="auto"/>
            <w:noWrap/>
            <w:vAlign w:val="center"/>
          </w:tcPr>
          <w:p w14:paraId="528198EE">
            <w:pPr>
              <w:widowControl/>
              <w:jc w:val="center"/>
              <w:rPr>
                <w:rFonts w:ascii="宋体" w:hAnsi="宋体" w:cs="宋体"/>
                <w:color w:val="000000"/>
                <w:kern w:val="0"/>
                <w:sz w:val="18"/>
                <w:szCs w:val="18"/>
              </w:rPr>
            </w:pPr>
            <w:r>
              <w:rPr>
                <w:rFonts w:ascii="宋体" w:hAnsi="宋体" w:cs="宋体"/>
                <w:color w:val="000000"/>
                <w:kern w:val="0"/>
                <w:sz w:val="18"/>
                <w:szCs w:val="18"/>
              </w:rPr>
              <w:t>1.61</w:t>
            </w:r>
          </w:p>
        </w:tc>
        <w:tc>
          <w:tcPr>
            <w:tcW w:w="1677" w:type="dxa"/>
            <w:shd w:val="clear" w:color="auto" w:fill="auto"/>
            <w:vAlign w:val="center"/>
          </w:tcPr>
          <w:p w14:paraId="74EB1298">
            <w:pPr>
              <w:widowControl/>
              <w:jc w:val="center"/>
              <w:rPr>
                <w:rFonts w:ascii="宋体" w:hAnsi="宋体" w:cs="宋体"/>
                <w:color w:val="000000"/>
                <w:kern w:val="0"/>
                <w:sz w:val="18"/>
                <w:szCs w:val="18"/>
              </w:rPr>
            </w:pPr>
            <w:r>
              <w:rPr>
                <w:rFonts w:ascii="宋体" w:hAnsi="宋体" w:cs="宋体"/>
                <w:color w:val="000000"/>
                <w:kern w:val="0"/>
                <w:sz w:val="18"/>
                <w:szCs w:val="18"/>
              </w:rPr>
              <w:t>69.70%</w:t>
            </w:r>
          </w:p>
        </w:tc>
      </w:tr>
      <w:tr w14:paraId="083F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30" w:type="dxa"/>
            <w:shd w:val="clear" w:color="auto" w:fill="auto"/>
            <w:noWrap/>
            <w:vAlign w:val="center"/>
          </w:tcPr>
          <w:p w14:paraId="02FC05F1">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560" w:type="dxa"/>
            <w:shd w:val="clear" w:color="auto" w:fill="auto"/>
            <w:vAlign w:val="center"/>
          </w:tcPr>
          <w:p w14:paraId="27576E5D">
            <w:pPr>
              <w:widowControl/>
              <w:jc w:val="center"/>
              <w:rPr>
                <w:rFonts w:ascii="宋体" w:hAnsi="宋体" w:cs="宋体"/>
                <w:color w:val="000000"/>
                <w:kern w:val="0"/>
                <w:sz w:val="18"/>
                <w:szCs w:val="18"/>
              </w:rPr>
            </w:pPr>
            <w:r>
              <w:rPr>
                <w:rFonts w:hint="eastAsia" w:ascii="宋体" w:hAnsi="宋体" w:cs="宋体"/>
                <w:color w:val="000000"/>
                <w:kern w:val="0"/>
                <w:sz w:val="18"/>
                <w:szCs w:val="18"/>
              </w:rPr>
              <w:t>6.34</w:t>
            </w:r>
          </w:p>
        </w:tc>
        <w:tc>
          <w:tcPr>
            <w:tcW w:w="3402" w:type="dxa"/>
            <w:shd w:val="clear" w:color="auto" w:fill="auto"/>
            <w:noWrap/>
            <w:vAlign w:val="center"/>
          </w:tcPr>
          <w:p w14:paraId="11202195">
            <w:pPr>
              <w:widowControl/>
              <w:jc w:val="center"/>
              <w:rPr>
                <w:rFonts w:ascii="宋体" w:hAnsi="宋体" w:cs="宋体"/>
                <w:color w:val="000000"/>
                <w:kern w:val="0"/>
                <w:sz w:val="18"/>
                <w:szCs w:val="18"/>
              </w:rPr>
            </w:pPr>
            <w:r>
              <w:rPr>
                <w:rFonts w:ascii="宋体" w:hAnsi="宋体" w:cs="宋体"/>
                <w:color w:val="000000"/>
                <w:kern w:val="0"/>
                <w:sz w:val="18"/>
                <w:szCs w:val="18"/>
              </w:rPr>
              <w:t>0.98</w:t>
            </w:r>
          </w:p>
        </w:tc>
        <w:tc>
          <w:tcPr>
            <w:tcW w:w="1677" w:type="dxa"/>
            <w:shd w:val="clear" w:color="auto" w:fill="auto"/>
            <w:vAlign w:val="center"/>
          </w:tcPr>
          <w:p w14:paraId="23357B9A">
            <w:pPr>
              <w:widowControl/>
              <w:jc w:val="center"/>
              <w:rPr>
                <w:rFonts w:ascii="宋体" w:hAnsi="宋体" w:cs="宋体"/>
                <w:color w:val="000000"/>
                <w:kern w:val="0"/>
                <w:sz w:val="18"/>
                <w:szCs w:val="18"/>
              </w:rPr>
            </w:pPr>
            <w:r>
              <w:rPr>
                <w:rFonts w:ascii="宋体" w:hAnsi="宋体" w:cs="宋体"/>
                <w:color w:val="000000"/>
                <w:kern w:val="0"/>
                <w:sz w:val="18"/>
                <w:szCs w:val="18"/>
              </w:rPr>
              <w:t>15.46%</w:t>
            </w:r>
          </w:p>
        </w:tc>
      </w:tr>
      <w:tr w14:paraId="5CC5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30" w:type="dxa"/>
            <w:shd w:val="clear" w:color="auto" w:fill="auto"/>
            <w:noWrap/>
            <w:vAlign w:val="center"/>
          </w:tcPr>
          <w:p w14:paraId="474DECA7">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560" w:type="dxa"/>
            <w:shd w:val="clear" w:color="auto" w:fill="auto"/>
            <w:vAlign w:val="center"/>
          </w:tcPr>
          <w:p w14:paraId="0C02C57E">
            <w:pPr>
              <w:widowControl/>
              <w:jc w:val="center"/>
              <w:rPr>
                <w:rFonts w:ascii="宋体" w:hAnsi="宋体" w:cs="宋体"/>
                <w:color w:val="000000"/>
                <w:kern w:val="0"/>
                <w:sz w:val="18"/>
                <w:szCs w:val="18"/>
              </w:rPr>
            </w:pPr>
            <w:r>
              <w:rPr>
                <w:rFonts w:hint="eastAsia" w:ascii="宋体" w:hAnsi="宋体" w:cs="宋体"/>
                <w:color w:val="000000"/>
                <w:kern w:val="0"/>
                <w:sz w:val="18"/>
                <w:szCs w:val="18"/>
              </w:rPr>
              <w:t>410.48</w:t>
            </w:r>
          </w:p>
        </w:tc>
        <w:tc>
          <w:tcPr>
            <w:tcW w:w="3402" w:type="dxa"/>
            <w:shd w:val="clear" w:color="auto" w:fill="auto"/>
            <w:noWrap/>
            <w:vAlign w:val="center"/>
          </w:tcPr>
          <w:p w14:paraId="3D4439B6">
            <w:pPr>
              <w:widowControl/>
              <w:jc w:val="center"/>
              <w:rPr>
                <w:rFonts w:ascii="宋体" w:hAnsi="宋体" w:cs="宋体"/>
                <w:color w:val="000000"/>
                <w:kern w:val="0"/>
                <w:sz w:val="18"/>
                <w:szCs w:val="18"/>
              </w:rPr>
            </w:pPr>
            <w:r>
              <w:rPr>
                <w:rFonts w:hint="eastAsia" w:ascii="宋体" w:hAnsi="宋体" w:cs="宋体"/>
                <w:color w:val="000000"/>
                <w:kern w:val="0"/>
                <w:sz w:val="18"/>
                <w:szCs w:val="18"/>
              </w:rPr>
              <w:t>75.48</w:t>
            </w:r>
          </w:p>
        </w:tc>
        <w:tc>
          <w:tcPr>
            <w:tcW w:w="1677" w:type="dxa"/>
            <w:shd w:val="clear" w:color="auto" w:fill="auto"/>
            <w:vAlign w:val="center"/>
          </w:tcPr>
          <w:p w14:paraId="4DDD6805">
            <w:pPr>
              <w:widowControl/>
              <w:jc w:val="center"/>
              <w:rPr>
                <w:rFonts w:ascii="宋体" w:hAnsi="宋体" w:cs="宋体"/>
                <w:color w:val="000000"/>
                <w:kern w:val="0"/>
                <w:sz w:val="18"/>
                <w:szCs w:val="18"/>
              </w:rPr>
            </w:pPr>
            <w:r>
              <w:rPr>
                <w:rFonts w:ascii="宋体" w:hAnsi="宋体" w:cs="宋体"/>
                <w:color w:val="000000"/>
                <w:kern w:val="0"/>
                <w:sz w:val="18"/>
                <w:szCs w:val="18"/>
              </w:rPr>
              <w:t>18.39%</w:t>
            </w:r>
          </w:p>
        </w:tc>
      </w:tr>
    </w:tbl>
    <w:p w14:paraId="21A892EF">
      <w:pPr>
        <w:pStyle w:val="4"/>
        <w:spacing w:before="0" w:after="0" w:line="360" w:lineRule="auto"/>
        <w:ind w:firstLine="275" w:firstLineChars="98"/>
        <w:rPr>
          <w:rFonts w:ascii="仿宋_GB2312" w:hAnsi="宋体" w:eastAsia="仿宋_GB2312"/>
          <w:sz w:val="28"/>
          <w:szCs w:val="28"/>
        </w:rPr>
      </w:pPr>
      <w:r>
        <w:rPr>
          <w:rFonts w:ascii="仿宋_GB2312" w:hAnsi="宋体" w:eastAsia="仿宋_GB2312"/>
          <w:sz w:val="28"/>
          <w:szCs w:val="28"/>
        </w:rPr>
        <w:t>2</w:t>
      </w:r>
      <w:r>
        <w:rPr>
          <w:rFonts w:hint="eastAsia" w:ascii="仿宋_GB2312" w:hAnsi="宋体" w:eastAsia="仿宋_GB2312"/>
          <w:sz w:val="28"/>
          <w:szCs w:val="28"/>
        </w:rPr>
        <w:t>、耕地保有量实现情况</w:t>
      </w:r>
    </w:p>
    <w:p w14:paraId="58CDACBC">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昆明市下达东川区2020年耕地保有量指标为30200公顷。规划期内，东川区继续落实最严格的耕地保护制度，进一步强化对耕地的保护和管理，推进耕地保护由单纯数量保护向数量、质量和生态全面管护转变，并建立耕地保护责任考核制度。</w:t>
      </w:r>
    </w:p>
    <w:p w14:paraId="334772FD">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2014年，全区现状耕地面积32403.40公顷，现状耕地超出耕地保有量指标884.52公顷。按年平均增长法算，东川区2014年耕地阶段保护指标为31518.88公顷，全区耕地保护执行情况较好。各乡镇耕地面积均高于2014年阶段目标，执行情况较好。</w:t>
      </w:r>
    </w:p>
    <w:p w14:paraId="5FFAFF26">
      <w:pPr>
        <w:jc w:val="center"/>
        <w:outlineLvl w:val="4"/>
        <w:rPr>
          <w:rFonts w:ascii="宋体" w:hAnsi="宋体"/>
          <w:b/>
          <w:sz w:val="24"/>
        </w:rPr>
      </w:pPr>
      <w:r>
        <w:rPr>
          <w:rFonts w:hint="eastAsia" w:ascii="宋体" w:hAnsi="宋体"/>
          <w:b/>
          <w:sz w:val="24"/>
        </w:rPr>
        <w:t>表</w:t>
      </w:r>
      <w:r>
        <w:rPr>
          <w:rFonts w:ascii="宋体" w:hAnsi="宋体"/>
          <w:b/>
          <w:sz w:val="24"/>
        </w:rPr>
        <w:t>3-</w:t>
      </w:r>
      <w:r>
        <w:rPr>
          <w:rFonts w:hint="eastAsia" w:ascii="宋体" w:hAnsi="宋体"/>
          <w:b/>
          <w:sz w:val="24"/>
        </w:rPr>
        <w:t>8</w:t>
      </w:r>
      <w:r>
        <w:rPr>
          <w:rFonts w:ascii="宋体" w:hAnsi="宋体"/>
          <w:b/>
          <w:sz w:val="24"/>
        </w:rPr>
        <w:t xml:space="preserve"> </w:t>
      </w:r>
      <w:r>
        <w:rPr>
          <w:rFonts w:hint="eastAsia" w:ascii="宋体" w:hAnsi="宋体"/>
          <w:b/>
          <w:sz w:val="24"/>
        </w:rPr>
        <w:t xml:space="preserve"> 东川区耕地保有量实施情况</w:t>
      </w:r>
    </w:p>
    <w:p w14:paraId="74773364">
      <w:pPr>
        <w:spacing w:line="360" w:lineRule="auto"/>
        <w:ind w:firstLine="360" w:firstLineChars="200"/>
        <w:jc w:val="right"/>
        <w:rPr>
          <w:rFonts w:ascii="宋体" w:hAnsi="宋体" w:cs="宋体"/>
          <w:color w:val="000000"/>
          <w:kern w:val="0"/>
          <w:sz w:val="18"/>
          <w:szCs w:val="18"/>
        </w:rPr>
      </w:pPr>
      <w:r>
        <w:rPr>
          <w:rFonts w:hint="eastAsia" w:ascii="宋体" w:hAnsi="宋体" w:cs="宋体"/>
          <w:color w:val="000000"/>
          <w:kern w:val="0"/>
          <w:sz w:val="18"/>
          <w:szCs w:val="18"/>
        </w:rPr>
        <w:t>单位：公顷</w:t>
      </w:r>
    </w:p>
    <w:tbl>
      <w:tblPr>
        <w:tblStyle w:val="27"/>
        <w:tblW w:w="10098" w:type="dxa"/>
        <w:tblInd w:w="96" w:type="dxa"/>
        <w:tblLayout w:type="autofit"/>
        <w:tblCellMar>
          <w:top w:w="0" w:type="dxa"/>
          <w:left w:w="108" w:type="dxa"/>
          <w:bottom w:w="0" w:type="dxa"/>
          <w:right w:w="108" w:type="dxa"/>
        </w:tblCellMar>
      </w:tblPr>
      <w:tblGrid>
        <w:gridCol w:w="960"/>
        <w:gridCol w:w="1340"/>
        <w:gridCol w:w="1140"/>
        <w:gridCol w:w="1701"/>
        <w:gridCol w:w="1701"/>
        <w:gridCol w:w="2151"/>
        <w:gridCol w:w="1105"/>
      </w:tblGrid>
      <w:tr w14:paraId="7FE4D20C">
        <w:tblPrEx>
          <w:tblCellMar>
            <w:top w:w="0" w:type="dxa"/>
            <w:left w:w="108" w:type="dxa"/>
            <w:bottom w:w="0" w:type="dxa"/>
            <w:right w:w="108" w:type="dxa"/>
          </w:tblCellMar>
        </w:tblPrEx>
        <w:trPr>
          <w:trHeight w:val="300" w:hRule="atLeast"/>
        </w:trPr>
        <w:tc>
          <w:tcPr>
            <w:tcW w:w="96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4BA2D97">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行政区</w:t>
            </w:r>
          </w:p>
        </w:tc>
        <w:tc>
          <w:tcPr>
            <w:tcW w:w="13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7CE342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2009年</w:t>
            </w:r>
          </w:p>
        </w:tc>
        <w:tc>
          <w:tcPr>
            <w:tcW w:w="11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E5EBDE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下达指标</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C7AF822">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2014年阶段指标</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B336322">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2014年现状耕地</w:t>
            </w:r>
          </w:p>
        </w:tc>
        <w:tc>
          <w:tcPr>
            <w:tcW w:w="3256" w:type="dxa"/>
            <w:gridSpan w:val="2"/>
            <w:tcBorders>
              <w:top w:val="single" w:color="auto" w:sz="4" w:space="0"/>
              <w:left w:val="nil"/>
              <w:bottom w:val="single" w:color="auto" w:sz="4" w:space="0"/>
              <w:right w:val="single" w:color="auto" w:sz="4" w:space="0"/>
            </w:tcBorders>
            <w:shd w:val="clear" w:color="auto" w:fill="auto"/>
            <w:noWrap/>
            <w:vAlign w:val="center"/>
          </w:tcPr>
          <w:p w14:paraId="3F4E34D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阶段指标完成情况</w:t>
            </w:r>
          </w:p>
        </w:tc>
      </w:tr>
      <w:tr w14:paraId="7DDE6F04">
        <w:tblPrEx>
          <w:tblCellMar>
            <w:top w:w="0" w:type="dxa"/>
            <w:left w:w="108" w:type="dxa"/>
            <w:bottom w:w="0" w:type="dxa"/>
            <w:right w:w="108" w:type="dxa"/>
          </w:tblCellMar>
        </w:tblPrEx>
        <w:trPr>
          <w:trHeight w:val="288" w:hRule="atLeast"/>
        </w:trPr>
        <w:tc>
          <w:tcPr>
            <w:tcW w:w="960" w:type="dxa"/>
            <w:vMerge w:val="continue"/>
            <w:tcBorders>
              <w:top w:val="single" w:color="auto" w:sz="4" w:space="0"/>
              <w:left w:val="single" w:color="auto" w:sz="4" w:space="0"/>
              <w:bottom w:val="single" w:color="auto" w:sz="4" w:space="0"/>
              <w:right w:val="single" w:color="auto" w:sz="4" w:space="0"/>
            </w:tcBorders>
            <w:vAlign w:val="center"/>
          </w:tcPr>
          <w:p w14:paraId="13CEBB38">
            <w:pPr>
              <w:widowControl/>
              <w:jc w:val="center"/>
              <w:rPr>
                <w:rFonts w:ascii="宋体" w:hAnsi="宋体" w:cs="宋体"/>
                <w:b/>
                <w:color w:val="000000"/>
                <w:kern w:val="0"/>
                <w:sz w:val="18"/>
                <w:szCs w:val="18"/>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14:paraId="763637AA">
            <w:pPr>
              <w:widowControl/>
              <w:jc w:val="center"/>
              <w:rPr>
                <w:rFonts w:ascii="宋体" w:hAnsi="宋体" w:cs="宋体"/>
                <w:b/>
                <w:color w:val="000000"/>
                <w:kern w:val="0"/>
                <w:sz w:val="18"/>
                <w:szCs w:val="18"/>
              </w:rPr>
            </w:pPr>
          </w:p>
        </w:tc>
        <w:tc>
          <w:tcPr>
            <w:tcW w:w="1140" w:type="dxa"/>
            <w:vMerge w:val="continue"/>
            <w:tcBorders>
              <w:top w:val="single" w:color="auto" w:sz="4" w:space="0"/>
              <w:left w:val="single" w:color="auto" w:sz="4" w:space="0"/>
              <w:bottom w:val="single" w:color="auto" w:sz="4" w:space="0"/>
              <w:right w:val="single" w:color="auto" w:sz="4" w:space="0"/>
            </w:tcBorders>
            <w:vAlign w:val="center"/>
          </w:tcPr>
          <w:p w14:paraId="1B87936A">
            <w:pPr>
              <w:widowControl/>
              <w:jc w:val="center"/>
              <w:rPr>
                <w:rFonts w:ascii="宋体" w:hAnsi="宋体" w:cs="宋体"/>
                <w:b/>
                <w:color w:val="000000"/>
                <w:kern w:val="0"/>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72149E64">
            <w:pPr>
              <w:widowControl/>
              <w:jc w:val="center"/>
              <w:rPr>
                <w:rFonts w:ascii="宋体" w:hAnsi="宋体" w:cs="宋体"/>
                <w:b/>
                <w:color w:val="000000"/>
                <w:kern w:val="0"/>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7B76FC5F">
            <w:pPr>
              <w:widowControl/>
              <w:jc w:val="center"/>
              <w:rPr>
                <w:rFonts w:ascii="宋体" w:hAnsi="宋体" w:cs="宋体"/>
                <w:b/>
                <w:color w:val="000000"/>
                <w:kern w:val="0"/>
                <w:sz w:val="18"/>
                <w:szCs w:val="18"/>
              </w:rPr>
            </w:pPr>
          </w:p>
        </w:tc>
        <w:tc>
          <w:tcPr>
            <w:tcW w:w="2151" w:type="dxa"/>
            <w:tcBorders>
              <w:top w:val="nil"/>
              <w:left w:val="nil"/>
              <w:bottom w:val="single" w:color="auto" w:sz="4" w:space="0"/>
              <w:right w:val="single" w:color="auto" w:sz="4" w:space="0"/>
            </w:tcBorders>
            <w:shd w:val="clear" w:color="auto" w:fill="auto"/>
            <w:noWrap/>
            <w:vAlign w:val="center"/>
          </w:tcPr>
          <w:p w14:paraId="14948BE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2014年现状-阶段指标</w:t>
            </w:r>
          </w:p>
        </w:tc>
        <w:tc>
          <w:tcPr>
            <w:tcW w:w="1105" w:type="dxa"/>
            <w:tcBorders>
              <w:top w:val="nil"/>
              <w:left w:val="nil"/>
              <w:bottom w:val="single" w:color="auto" w:sz="4" w:space="0"/>
              <w:right w:val="single" w:color="auto" w:sz="4" w:space="0"/>
            </w:tcBorders>
            <w:shd w:val="clear" w:color="auto" w:fill="auto"/>
            <w:noWrap/>
            <w:vAlign w:val="center"/>
          </w:tcPr>
          <w:p w14:paraId="6DE59D7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完成情况</w:t>
            </w:r>
          </w:p>
        </w:tc>
      </w:tr>
      <w:tr w14:paraId="12C2887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7A2FAD6E">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340" w:type="dxa"/>
            <w:tcBorders>
              <w:top w:val="nil"/>
              <w:left w:val="nil"/>
              <w:bottom w:val="single" w:color="auto" w:sz="4" w:space="0"/>
              <w:right w:val="single" w:color="auto" w:sz="4" w:space="0"/>
            </w:tcBorders>
            <w:shd w:val="clear" w:color="auto" w:fill="auto"/>
            <w:noWrap/>
            <w:vAlign w:val="center"/>
          </w:tcPr>
          <w:p w14:paraId="58760C61">
            <w:pPr>
              <w:widowControl/>
              <w:jc w:val="center"/>
              <w:rPr>
                <w:rFonts w:ascii="宋体" w:hAnsi="宋体" w:cs="宋体"/>
                <w:color w:val="000000"/>
                <w:kern w:val="0"/>
                <w:sz w:val="18"/>
                <w:szCs w:val="18"/>
              </w:rPr>
            </w:pPr>
            <w:r>
              <w:rPr>
                <w:rFonts w:hint="eastAsia" w:ascii="宋体" w:hAnsi="宋体" w:cs="宋体"/>
                <w:color w:val="000000"/>
                <w:kern w:val="0"/>
                <w:sz w:val="18"/>
                <w:szCs w:val="18"/>
              </w:rPr>
              <w:t>6018.26</w:t>
            </w:r>
          </w:p>
        </w:tc>
        <w:tc>
          <w:tcPr>
            <w:tcW w:w="1140" w:type="dxa"/>
            <w:tcBorders>
              <w:top w:val="nil"/>
              <w:left w:val="nil"/>
              <w:bottom w:val="single" w:color="auto" w:sz="4" w:space="0"/>
              <w:right w:val="single" w:color="auto" w:sz="4" w:space="0"/>
            </w:tcBorders>
            <w:shd w:val="clear" w:color="auto" w:fill="auto"/>
            <w:noWrap/>
            <w:vAlign w:val="center"/>
          </w:tcPr>
          <w:p w14:paraId="6B77AAA8">
            <w:pPr>
              <w:widowControl/>
              <w:jc w:val="center"/>
              <w:rPr>
                <w:rFonts w:ascii="宋体" w:hAnsi="宋体" w:cs="宋体"/>
                <w:color w:val="000000"/>
                <w:kern w:val="0"/>
                <w:sz w:val="18"/>
                <w:szCs w:val="18"/>
              </w:rPr>
            </w:pPr>
            <w:r>
              <w:rPr>
                <w:rFonts w:hint="eastAsia" w:ascii="宋体" w:hAnsi="宋体" w:cs="宋体"/>
                <w:color w:val="000000"/>
                <w:kern w:val="0"/>
                <w:sz w:val="18"/>
                <w:szCs w:val="18"/>
              </w:rPr>
              <w:t>5665.84</w:t>
            </w:r>
          </w:p>
        </w:tc>
        <w:tc>
          <w:tcPr>
            <w:tcW w:w="1701" w:type="dxa"/>
            <w:tcBorders>
              <w:top w:val="nil"/>
              <w:left w:val="nil"/>
              <w:bottom w:val="single" w:color="auto" w:sz="4" w:space="0"/>
              <w:right w:val="single" w:color="auto" w:sz="4" w:space="0"/>
            </w:tcBorders>
            <w:shd w:val="clear" w:color="auto" w:fill="auto"/>
            <w:noWrap/>
            <w:vAlign w:val="center"/>
          </w:tcPr>
          <w:p w14:paraId="6D9409CB">
            <w:pPr>
              <w:widowControl/>
              <w:jc w:val="center"/>
              <w:rPr>
                <w:rFonts w:ascii="宋体" w:hAnsi="宋体" w:cs="宋体"/>
                <w:color w:val="000000"/>
                <w:kern w:val="0"/>
                <w:sz w:val="18"/>
                <w:szCs w:val="18"/>
              </w:rPr>
            </w:pPr>
            <w:r>
              <w:rPr>
                <w:rFonts w:hint="eastAsia" w:ascii="宋体" w:hAnsi="宋体" w:cs="宋体"/>
                <w:color w:val="000000"/>
                <w:kern w:val="0"/>
                <w:sz w:val="18"/>
                <w:szCs w:val="18"/>
              </w:rPr>
              <w:t>5858.07</w:t>
            </w:r>
          </w:p>
        </w:tc>
        <w:tc>
          <w:tcPr>
            <w:tcW w:w="1701" w:type="dxa"/>
            <w:tcBorders>
              <w:top w:val="nil"/>
              <w:left w:val="nil"/>
              <w:bottom w:val="single" w:color="auto" w:sz="4" w:space="0"/>
              <w:right w:val="single" w:color="auto" w:sz="4" w:space="0"/>
            </w:tcBorders>
            <w:shd w:val="clear" w:color="auto" w:fill="auto"/>
            <w:noWrap/>
            <w:vAlign w:val="center"/>
          </w:tcPr>
          <w:p w14:paraId="50FB592E">
            <w:pPr>
              <w:widowControl/>
              <w:jc w:val="center"/>
              <w:rPr>
                <w:rFonts w:ascii="宋体" w:hAnsi="宋体" w:cs="宋体"/>
                <w:color w:val="000000"/>
                <w:kern w:val="0"/>
                <w:sz w:val="18"/>
                <w:szCs w:val="18"/>
              </w:rPr>
            </w:pPr>
            <w:r>
              <w:rPr>
                <w:rFonts w:hint="eastAsia" w:ascii="宋体" w:hAnsi="宋体" w:cs="宋体"/>
                <w:color w:val="000000"/>
                <w:kern w:val="0"/>
                <w:sz w:val="18"/>
                <w:szCs w:val="18"/>
              </w:rPr>
              <w:t>6000.63</w:t>
            </w:r>
          </w:p>
        </w:tc>
        <w:tc>
          <w:tcPr>
            <w:tcW w:w="2151" w:type="dxa"/>
            <w:tcBorders>
              <w:top w:val="nil"/>
              <w:left w:val="nil"/>
              <w:bottom w:val="single" w:color="auto" w:sz="4" w:space="0"/>
              <w:right w:val="single" w:color="auto" w:sz="4" w:space="0"/>
            </w:tcBorders>
            <w:shd w:val="clear" w:color="auto" w:fill="auto"/>
            <w:noWrap/>
            <w:vAlign w:val="center"/>
          </w:tcPr>
          <w:p w14:paraId="391D6B0E">
            <w:pPr>
              <w:widowControl/>
              <w:jc w:val="center"/>
              <w:rPr>
                <w:rFonts w:ascii="宋体" w:hAnsi="宋体" w:cs="宋体"/>
                <w:color w:val="000000"/>
                <w:kern w:val="0"/>
                <w:sz w:val="18"/>
                <w:szCs w:val="18"/>
              </w:rPr>
            </w:pPr>
            <w:r>
              <w:rPr>
                <w:rFonts w:hint="eastAsia" w:ascii="宋体" w:hAnsi="宋体" w:cs="宋体"/>
                <w:color w:val="000000"/>
                <w:kern w:val="0"/>
                <w:sz w:val="18"/>
                <w:szCs w:val="18"/>
              </w:rPr>
              <w:t>142.56</w:t>
            </w:r>
          </w:p>
        </w:tc>
        <w:tc>
          <w:tcPr>
            <w:tcW w:w="1105" w:type="dxa"/>
            <w:tcBorders>
              <w:top w:val="nil"/>
              <w:left w:val="nil"/>
              <w:bottom w:val="single" w:color="auto" w:sz="4" w:space="0"/>
              <w:right w:val="single" w:color="auto" w:sz="4" w:space="0"/>
            </w:tcBorders>
            <w:shd w:val="clear" w:color="auto" w:fill="auto"/>
            <w:noWrap/>
            <w:vAlign w:val="center"/>
          </w:tcPr>
          <w:p w14:paraId="4872B97C">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r w14:paraId="1E99E13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59ACF75D">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340" w:type="dxa"/>
            <w:tcBorders>
              <w:top w:val="nil"/>
              <w:left w:val="nil"/>
              <w:bottom w:val="single" w:color="auto" w:sz="4" w:space="0"/>
              <w:right w:val="single" w:color="auto" w:sz="4" w:space="0"/>
            </w:tcBorders>
            <w:shd w:val="clear" w:color="auto" w:fill="auto"/>
            <w:noWrap/>
            <w:vAlign w:val="center"/>
          </w:tcPr>
          <w:p w14:paraId="1EC5E3B3">
            <w:pPr>
              <w:widowControl/>
              <w:jc w:val="center"/>
              <w:rPr>
                <w:rFonts w:ascii="宋体" w:hAnsi="宋体" w:cs="宋体"/>
                <w:color w:val="000000"/>
                <w:kern w:val="0"/>
                <w:sz w:val="18"/>
                <w:szCs w:val="18"/>
              </w:rPr>
            </w:pPr>
            <w:r>
              <w:rPr>
                <w:rFonts w:hint="eastAsia" w:ascii="宋体" w:hAnsi="宋体" w:cs="宋体"/>
                <w:color w:val="000000"/>
                <w:kern w:val="0"/>
                <w:sz w:val="18"/>
                <w:szCs w:val="18"/>
              </w:rPr>
              <w:t>7602.5</w:t>
            </w:r>
          </w:p>
        </w:tc>
        <w:tc>
          <w:tcPr>
            <w:tcW w:w="1140" w:type="dxa"/>
            <w:tcBorders>
              <w:top w:val="nil"/>
              <w:left w:val="nil"/>
              <w:bottom w:val="single" w:color="auto" w:sz="4" w:space="0"/>
              <w:right w:val="single" w:color="auto" w:sz="4" w:space="0"/>
            </w:tcBorders>
            <w:shd w:val="clear" w:color="auto" w:fill="auto"/>
            <w:noWrap/>
            <w:vAlign w:val="center"/>
          </w:tcPr>
          <w:p w14:paraId="351ED5A3">
            <w:pPr>
              <w:widowControl/>
              <w:jc w:val="center"/>
              <w:rPr>
                <w:rFonts w:ascii="宋体" w:hAnsi="宋体" w:cs="宋体"/>
                <w:color w:val="000000"/>
                <w:kern w:val="0"/>
                <w:sz w:val="18"/>
                <w:szCs w:val="18"/>
              </w:rPr>
            </w:pPr>
            <w:r>
              <w:rPr>
                <w:rFonts w:hint="eastAsia" w:ascii="宋体" w:hAnsi="宋体" w:cs="宋体"/>
                <w:color w:val="000000"/>
                <w:kern w:val="0"/>
                <w:sz w:val="18"/>
                <w:szCs w:val="18"/>
              </w:rPr>
              <w:t>6779.78</w:t>
            </w:r>
          </w:p>
        </w:tc>
        <w:tc>
          <w:tcPr>
            <w:tcW w:w="1701" w:type="dxa"/>
            <w:tcBorders>
              <w:top w:val="nil"/>
              <w:left w:val="nil"/>
              <w:bottom w:val="single" w:color="auto" w:sz="4" w:space="0"/>
              <w:right w:val="single" w:color="auto" w:sz="4" w:space="0"/>
            </w:tcBorders>
            <w:shd w:val="clear" w:color="auto" w:fill="auto"/>
            <w:noWrap/>
            <w:vAlign w:val="center"/>
          </w:tcPr>
          <w:p w14:paraId="36A69893">
            <w:pPr>
              <w:widowControl/>
              <w:jc w:val="center"/>
              <w:rPr>
                <w:rFonts w:ascii="宋体" w:hAnsi="宋体" w:cs="宋体"/>
                <w:color w:val="000000"/>
                <w:kern w:val="0"/>
                <w:sz w:val="18"/>
                <w:szCs w:val="18"/>
              </w:rPr>
            </w:pPr>
            <w:r>
              <w:rPr>
                <w:rFonts w:hint="eastAsia" w:ascii="宋体" w:hAnsi="宋体" w:cs="宋体"/>
                <w:color w:val="000000"/>
                <w:kern w:val="0"/>
                <w:sz w:val="18"/>
                <w:szCs w:val="18"/>
              </w:rPr>
              <w:t>7228.54</w:t>
            </w:r>
          </w:p>
        </w:tc>
        <w:tc>
          <w:tcPr>
            <w:tcW w:w="1701" w:type="dxa"/>
            <w:tcBorders>
              <w:top w:val="nil"/>
              <w:left w:val="nil"/>
              <w:bottom w:val="single" w:color="auto" w:sz="4" w:space="0"/>
              <w:right w:val="single" w:color="auto" w:sz="4" w:space="0"/>
            </w:tcBorders>
            <w:shd w:val="clear" w:color="auto" w:fill="auto"/>
            <w:noWrap/>
            <w:vAlign w:val="center"/>
          </w:tcPr>
          <w:p w14:paraId="4EFA531B">
            <w:pPr>
              <w:widowControl/>
              <w:jc w:val="center"/>
              <w:rPr>
                <w:rFonts w:ascii="宋体" w:hAnsi="宋体" w:cs="宋体"/>
                <w:color w:val="000000"/>
                <w:kern w:val="0"/>
                <w:sz w:val="18"/>
                <w:szCs w:val="18"/>
              </w:rPr>
            </w:pPr>
            <w:r>
              <w:rPr>
                <w:rFonts w:hint="eastAsia" w:ascii="宋体" w:hAnsi="宋体" w:cs="宋体"/>
                <w:color w:val="000000"/>
                <w:kern w:val="0"/>
                <w:sz w:val="18"/>
                <w:szCs w:val="18"/>
              </w:rPr>
              <w:t>7469.62</w:t>
            </w:r>
          </w:p>
        </w:tc>
        <w:tc>
          <w:tcPr>
            <w:tcW w:w="2151" w:type="dxa"/>
            <w:tcBorders>
              <w:top w:val="nil"/>
              <w:left w:val="nil"/>
              <w:bottom w:val="single" w:color="auto" w:sz="4" w:space="0"/>
              <w:right w:val="single" w:color="auto" w:sz="4" w:space="0"/>
            </w:tcBorders>
            <w:shd w:val="clear" w:color="auto" w:fill="auto"/>
            <w:noWrap/>
            <w:vAlign w:val="center"/>
          </w:tcPr>
          <w:p w14:paraId="350FC4DB">
            <w:pPr>
              <w:widowControl/>
              <w:jc w:val="center"/>
              <w:rPr>
                <w:rFonts w:ascii="宋体" w:hAnsi="宋体" w:cs="宋体"/>
                <w:color w:val="000000"/>
                <w:kern w:val="0"/>
                <w:sz w:val="18"/>
                <w:szCs w:val="18"/>
              </w:rPr>
            </w:pPr>
            <w:r>
              <w:rPr>
                <w:rFonts w:hint="eastAsia" w:ascii="宋体" w:hAnsi="宋体" w:cs="宋体"/>
                <w:color w:val="000000"/>
                <w:kern w:val="0"/>
                <w:sz w:val="18"/>
                <w:szCs w:val="18"/>
              </w:rPr>
              <w:t>241.08</w:t>
            </w:r>
          </w:p>
        </w:tc>
        <w:tc>
          <w:tcPr>
            <w:tcW w:w="1105" w:type="dxa"/>
            <w:tcBorders>
              <w:top w:val="nil"/>
              <w:left w:val="nil"/>
              <w:bottom w:val="single" w:color="auto" w:sz="4" w:space="0"/>
              <w:right w:val="single" w:color="auto" w:sz="4" w:space="0"/>
            </w:tcBorders>
            <w:shd w:val="clear" w:color="auto" w:fill="auto"/>
            <w:noWrap/>
            <w:vAlign w:val="center"/>
          </w:tcPr>
          <w:p w14:paraId="3716F786">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r w14:paraId="3843741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28F01E37">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340" w:type="dxa"/>
            <w:tcBorders>
              <w:top w:val="nil"/>
              <w:left w:val="nil"/>
              <w:bottom w:val="single" w:color="auto" w:sz="4" w:space="0"/>
              <w:right w:val="single" w:color="auto" w:sz="4" w:space="0"/>
            </w:tcBorders>
            <w:shd w:val="clear" w:color="auto" w:fill="auto"/>
            <w:noWrap/>
            <w:vAlign w:val="center"/>
          </w:tcPr>
          <w:p w14:paraId="70A09125">
            <w:pPr>
              <w:widowControl/>
              <w:jc w:val="center"/>
              <w:rPr>
                <w:rFonts w:ascii="宋体" w:hAnsi="宋体" w:cs="宋体"/>
                <w:color w:val="000000"/>
                <w:kern w:val="0"/>
                <w:sz w:val="18"/>
                <w:szCs w:val="18"/>
              </w:rPr>
            </w:pPr>
            <w:r>
              <w:rPr>
                <w:rFonts w:hint="eastAsia" w:ascii="宋体" w:hAnsi="宋体" w:cs="宋体"/>
                <w:color w:val="000000"/>
                <w:kern w:val="0"/>
                <w:sz w:val="18"/>
                <w:szCs w:val="18"/>
              </w:rPr>
              <w:t>3580.64</w:t>
            </w:r>
          </w:p>
        </w:tc>
        <w:tc>
          <w:tcPr>
            <w:tcW w:w="1140" w:type="dxa"/>
            <w:tcBorders>
              <w:top w:val="nil"/>
              <w:left w:val="nil"/>
              <w:bottom w:val="single" w:color="auto" w:sz="4" w:space="0"/>
              <w:right w:val="single" w:color="auto" w:sz="4" w:space="0"/>
            </w:tcBorders>
            <w:shd w:val="clear" w:color="auto" w:fill="auto"/>
            <w:noWrap/>
            <w:vAlign w:val="center"/>
          </w:tcPr>
          <w:p w14:paraId="5FEF2526">
            <w:pPr>
              <w:widowControl/>
              <w:jc w:val="center"/>
              <w:rPr>
                <w:rFonts w:ascii="宋体" w:hAnsi="宋体" w:cs="宋体"/>
                <w:color w:val="000000"/>
                <w:kern w:val="0"/>
                <w:sz w:val="18"/>
                <w:szCs w:val="18"/>
              </w:rPr>
            </w:pPr>
            <w:r>
              <w:rPr>
                <w:rFonts w:hint="eastAsia" w:ascii="宋体" w:hAnsi="宋体" w:cs="宋体"/>
                <w:color w:val="000000"/>
                <w:kern w:val="0"/>
                <w:sz w:val="18"/>
                <w:szCs w:val="18"/>
              </w:rPr>
              <w:t>3287.90</w:t>
            </w:r>
          </w:p>
        </w:tc>
        <w:tc>
          <w:tcPr>
            <w:tcW w:w="1701" w:type="dxa"/>
            <w:tcBorders>
              <w:top w:val="nil"/>
              <w:left w:val="nil"/>
              <w:bottom w:val="single" w:color="auto" w:sz="4" w:space="0"/>
              <w:right w:val="single" w:color="auto" w:sz="4" w:space="0"/>
            </w:tcBorders>
            <w:shd w:val="clear" w:color="auto" w:fill="auto"/>
            <w:noWrap/>
            <w:vAlign w:val="center"/>
          </w:tcPr>
          <w:p w14:paraId="3F3F06E6">
            <w:pPr>
              <w:widowControl/>
              <w:jc w:val="center"/>
              <w:rPr>
                <w:rFonts w:ascii="宋体" w:hAnsi="宋体" w:cs="宋体"/>
                <w:color w:val="000000"/>
                <w:kern w:val="0"/>
                <w:sz w:val="18"/>
                <w:szCs w:val="18"/>
              </w:rPr>
            </w:pPr>
            <w:r>
              <w:rPr>
                <w:rFonts w:hint="eastAsia" w:ascii="宋体" w:hAnsi="宋体" w:cs="宋体"/>
                <w:color w:val="000000"/>
                <w:kern w:val="0"/>
                <w:sz w:val="18"/>
                <w:szCs w:val="18"/>
              </w:rPr>
              <w:t>3447.58</w:t>
            </w:r>
          </w:p>
        </w:tc>
        <w:tc>
          <w:tcPr>
            <w:tcW w:w="1701" w:type="dxa"/>
            <w:tcBorders>
              <w:top w:val="nil"/>
              <w:left w:val="nil"/>
              <w:bottom w:val="single" w:color="auto" w:sz="4" w:space="0"/>
              <w:right w:val="single" w:color="auto" w:sz="4" w:space="0"/>
            </w:tcBorders>
            <w:shd w:val="clear" w:color="auto" w:fill="auto"/>
            <w:noWrap/>
            <w:vAlign w:val="center"/>
          </w:tcPr>
          <w:p w14:paraId="2F9A9D22">
            <w:pPr>
              <w:widowControl/>
              <w:jc w:val="center"/>
              <w:rPr>
                <w:rFonts w:ascii="宋体" w:hAnsi="宋体" w:cs="宋体"/>
                <w:color w:val="000000"/>
                <w:kern w:val="0"/>
                <w:sz w:val="18"/>
                <w:szCs w:val="18"/>
              </w:rPr>
            </w:pPr>
            <w:r>
              <w:rPr>
                <w:rFonts w:hint="eastAsia" w:ascii="宋体" w:hAnsi="宋体" w:cs="宋体"/>
                <w:color w:val="000000"/>
                <w:kern w:val="0"/>
                <w:sz w:val="18"/>
                <w:szCs w:val="18"/>
              </w:rPr>
              <w:t>3557.47</w:t>
            </w:r>
          </w:p>
        </w:tc>
        <w:tc>
          <w:tcPr>
            <w:tcW w:w="2151" w:type="dxa"/>
            <w:tcBorders>
              <w:top w:val="nil"/>
              <w:left w:val="nil"/>
              <w:bottom w:val="single" w:color="auto" w:sz="4" w:space="0"/>
              <w:right w:val="single" w:color="auto" w:sz="4" w:space="0"/>
            </w:tcBorders>
            <w:shd w:val="clear" w:color="auto" w:fill="auto"/>
            <w:noWrap/>
            <w:vAlign w:val="center"/>
          </w:tcPr>
          <w:p w14:paraId="705EFE42">
            <w:pPr>
              <w:widowControl/>
              <w:jc w:val="center"/>
              <w:rPr>
                <w:rFonts w:ascii="宋体" w:hAnsi="宋体" w:cs="宋体"/>
                <w:color w:val="000000"/>
                <w:kern w:val="0"/>
                <w:sz w:val="18"/>
                <w:szCs w:val="18"/>
              </w:rPr>
            </w:pPr>
            <w:r>
              <w:rPr>
                <w:rFonts w:hint="eastAsia" w:ascii="宋体" w:hAnsi="宋体" w:cs="宋体"/>
                <w:color w:val="000000"/>
                <w:kern w:val="0"/>
                <w:sz w:val="18"/>
                <w:szCs w:val="18"/>
              </w:rPr>
              <w:t>109.89</w:t>
            </w:r>
          </w:p>
        </w:tc>
        <w:tc>
          <w:tcPr>
            <w:tcW w:w="1105" w:type="dxa"/>
            <w:tcBorders>
              <w:top w:val="nil"/>
              <w:left w:val="nil"/>
              <w:bottom w:val="single" w:color="auto" w:sz="4" w:space="0"/>
              <w:right w:val="single" w:color="auto" w:sz="4" w:space="0"/>
            </w:tcBorders>
            <w:shd w:val="clear" w:color="auto" w:fill="auto"/>
            <w:noWrap/>
            <w:vAlign w:val="center"/>
          </w:tcPr>
          <w:p w14:paraId="1A07272D">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r w14:paraId="1924813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4913275D">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340" w:type="dxa"/>
            <w:tcBorders>
              <w:top w:val="nil"/>
              <w:left w:val="nil"/>
              <w:bottom w:val="single" w:color="auto" w:sz="4" w:space="0"/>
              <w:right w:val="single" w:color="auto" w:sz="4" w:space="0"/>
            </w:tcBorders>
            <w:shd w:val="clear" w:color="auto" w:fill="auto"/>
            <w:noWrap/>
            <w:vAlign w:val="center"/>
          </w:tcPr>
          <w:p w14:paraId="646CAA52">
            <w:pPr>
              <w:widowControl/>
              <w:jc w:val="center"/>
              <w:rPr>
                <w:rFonts w:ascii="宋体" w:hAnsi="宋体" w:cs="宋体"/>
                <w:color w:val="000000"/>
                <w:kern w:val="0"/>
                <w:sz w:val="18"/>
                <w:szCs w:val="18"/>
              </w:rPr>
            </w:pPr>
            <w:r>
              <w:rPr>
                <w:rFonts w:hint="eastAsia" w:ascii="宋体" w:hAnsi="宋体" w:cs="宋体"/>
                <w:color w:val="000000"/>
                <w:kern w:val="0"/>
                <w:sz w:val="18"/>
                <w:szCs w:val="18"/>
              </w:rPr>
              <w:t>5698.03</w:t>
            </w:r>
          </w:p>
        </w:tc>
        <w:tc>
          <w:tcPr>
            <w:tcW w:w="1140" w:type="dxa"/>
            <w:tcBorders>
              <w:top w:val="nil"/>
              <w:left w:val="nil"/>
              <w:bottom w:val="single" w:color="auto" w:sz="4" w:space="0"/>
              <w:right w:val="single" w:color="auto" w:sz="4" w:space="0"/>
            </w:tcBorders>
            <w:shd w:val="clear" w:color="auto" w:fill="auto"/>
            <w:noWrap/>
            <w:vAlign w:val="center"/>
          </w:tcPr>
          <w:p w14:paraId="59AD1616">
            <w:pPr>
              <w:widowControl/>
              <w:jc w:val="center"/>
              <w:rPr>
                <w:rFonts w:ascii="宋体" w:hAnsi="宋体" w:cs="宋体"/>
                <w:color w:val="000000"/>
                <w:kern w:val="0"/>
                <w:sz w:val="18"/>
                <w:szCs w:val="18"/>
              </w:rPr>
            </w:pPr>
            <w:r>
              <w:rPr>
                <w:rFonts w:hint="eastAsia" w:ascii="宋体" w:hAnsi="宋体" w:cs="宋体"/>
                <w:color w:val="000000"/>
                <w:kern w:val="0"/>
                <w:sz w:val="18"/>
                <w:szCs w:val="18"/>
              </w:rPr>
              <w:t>5238.95</w:t>
            </w:r>
          </w:p>
        </w:tc>
        <w:tc>
          <w:tcPr>
            <w:tcW w:w="1701" w:type="dxa"/>
            <w:tcBorders>
              <w:top w:val="nil"/>
              <w:left w:val="nil"/>
              <w:bottom w:val="single" w:color="auto" w:sz="4" w:space="0"/>
              <w:right w:val="single" w:color="auto" w:sz="4" w:space="0"/>
            </w:tcBorders>
            <w:shd w:val="clear" w:color="auto" w:fill="auto"/>
            <w:noWrap/>
            <w:vAlign w:val="center"/>
          </w:tcPr>
          <w:p w14:paraId="19DFDD9D">
            <w:pPr>
              <w:widowControl/>
              <w:jc w:val="center"/>
              <w:rPr>
                <w:rFonts w:ascii="宋体" w:hAnsi="宋体" w:cs="宋体"/>
                <w:color w:val="000000"/>
                <w:kern w:val="0"/>
                <w:sz w:val="18"/>
                <w:szCs w:val="18"/>
              </w:rPr>
            </w:pPr>
            <w:r>
              <w:rPr>
                <w:rFonts w:hint="eastAsia" w:ascii="宋体" w:hAnsi="宋体" w:cs="宋体"/>
                <w:color w:val="000000"/>
                <w:kern w:val="0"/>
                <w:sz w:val="18"/>
                <w:szCs w:val="18"/>
              </w:rPr>
              <w:t>5489.36</w:t>
            </w:r>
          </w:p>
        </w:tc>
        <w:tc>
          <w:tcPr>
            <w:tcW w:w="1701" w:type="dxa"/>
            <w:tcBorders>
              <w:top w:val="nil"/>
              <w:left w:val="nil"/>
              <w:bottom w:val="single" w:color="auto" w:sz="4" w:space="0"/>
              <w:right w:val="single" w:color="auto" w:sz="4" w:space="0"/>
            </w:tcBorders>
            <w:shd w:val="clear" w:color="auto" w:fill="auto"/>
            <w:noWrap/>
            <w:vAlign w:val="center"/>
          </w:tcPr>
          <w:p w14:paraId="73B0963C">
            <w:pPr>
              <w:widowControl/>
              <w:jc w:val="center"/>
              <w:rPr>
                <w:rFonts w:ascii="宋体" w:hAnsi="宋体" w:cs="宋体"/>
                <w:color w:val="000000"/>
                <w:kern w:val="0"/>
                <w:sz w:val="18"/>
                <w:szCs w:val="18"/>
              </w:rPr>
            </w:pPr>
            <w:r>
              <w:rPr>
                <w:rFonts w:hint="eastAsia" w:ascii="宋体" w:hAnsi="宋体" w:cs="宋体"/>
                <w:color w:val="000000"/>
                <w:kern w:val="0"/>
                <w:sz w:val="18"/>
                <w:szCs w:val="18"/>
              </w:rPr>
              <w:t>5689.07</w:t>
            </w:r>
          </w:p>
        </w:tc>
        <w:tc>
          <w:tcPr>
            <w:tcW w:w="2151" w:type="dxa"/>
            <w:tcBorders>
              <w:top w:val="nil"/>
              <w:left w:val="nil"/>
              <w:bottom w:val="single" w:color="auto" w:sz="4" w:space="0"/>
              <w:right w:val="single" w:color="auto" w:sz="4" w:space="0"/>
            </w:tcBorders>
            <w:shd w:val="clear" w:color="auto" w:fill="auto"/>
            <w:noWrap/>
            <w:vAlign w:val="center"/>
          </w:tcPr>
          <w:p w14:paraId="4F92DD06">
            <w:pPr>
              <w:widowControl/>
              <w:jc w:val="center"/>
              <w:rPr>
                <w:rFonts w:ascii="宋体" w:hAnsi="宋体" w:cs="宋体"/>
                <w:color w:val="000000"/>
                <w:kern w:val="0"/>
                <w:sz w:val="18"/>
                <w:szCs w:val="18"/>
              </w:rPr>
            </w:pPr>
            <w:r>
              <w:rPr>
                <w:rFonts w:hint="eastAsia" w:ascii="宋体" w:hAnsi="宋体" w:cs="宋体"/>
                <w:color w:val="000000"/>
                <w:kern w:val="0"/>
                <w:sz w:val="18"/>
                <w:szCs w:val="18"/>
              </w:rPr>
              <w:t>199.71</w:t>
            </w:r>
          </w:p>
        </w:tc>
        <w:tc>
          <w:tcPr>
            <w:tcW w:w="1105" w:type="dxa"/>
            <w:tcBorders>
              <w:top w:val="nil"/>
              <w:left w:val="nil"/>
              <w:bottom w:val="single" w:color="auto" w:sz="4" w:space="0"/>
              <w:right w:val="single" w:color="auto" w:sz="4" w:space="0"/>
            </w:tcBorders>
            <w:shd w:val="clear" w:color="auto" w:fill="auto"/>
            <w:noWrap/>
            <w:vAlign w:val="center"/>
          </w:tcPr>
          <w:p w14:paraId="210C4116">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r w14:paraId="5ACADD1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174F0D63">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340" w:type="dxa"/>
            <w:tcBorders>
              <w:top w:val="nil"/>
              <w:left w:val="nil"/>
              <w:bottom w:val="single" w:color="auto" w:sz="4" w:space="0"/>
              <w:right w:val="single" w:color="auto" w:sz="4" w:space="0"/>
            </w:tcBorders>
            <w:shd w:val="clear" w:color="auto" w:fill="auto"/>
            <w:noWrap/>
            <w:vAlign w:val="center"/>
          </w:tcPr>
          <w:p w14:paraId="6B9C60E2">
            <w:pPr>
              <w:widowControl/>
              <w:jc w:val="center"/>
              <w:rPr>
                <w:rFonts w:ascii="宋体" w:hAnsi="宋体" w:cs="宋体"/>
                <w:color w:val="000000"/>
                <w:kern w:val="0"/>
                <w:sz w:val="18"/>
                <w:szCs w:val="18"/>
              </w:rPr>
            </w:pPr>
            <w:r>
              <w:rPr>
                <w:rFonts w:hint="eastAsia" w:ascii="宋体" w:hAnsi="宋体" w:cs="宋体"/>
                <w:color w:val="000000"/>
                <w:kern w:val="0"/>
                <w:sz w:val="18"/>
                <w:szCs w:val="18"/>
              </w:rPr>
              <w:t>3751.85</w:t>
            </w:r>
          </w:p>
        </w:tc>
        <w:tc>
          <w:tcPr>
            <w:tcW w:w="1140" w:type="dxa"/>
            <w:tcBorders>
              <w:top w:val="nil"/>
              <w:left w:val="nil"/>
              <w:bottom w:val="single" w:color="auto" w:sz="4" w:space="0"/>
              <w:right w:val="single" w:color="auto" w:sz="4" w:space="0"/>
            </w:tcBorders>
            <w:shd w:val="clear" w:color="auto" w:fill="auto"/>
            <w:noWrap/>
            <w:vAlign w:val="center"/>
          </w:tcPr>
          <w:p w14:paraId="1298E44D">
            <w:pPr>
              <w:widowControl/>
              <w:jc w:val="center"/>
              <w:rPr>
                <w:rFonts w:ascii="宋体" w:hAnsi="宋体" w:cs="宋体"/>
                <w:color w:val="000000"/>
                <w:kern w:val="0"/>
                <w:sz w:val="18"/>
                <w:szCs w:val="18"/>
              </w:rPr>
            </w:pPr>
            <w:r>
              <w:rPr>
                <w:rFonts w:hint="eastAsia" w:ascii="宋体" w:hAnsi="宋体" w:cs="宋体"/>
                <w:color w:val="000000"/>
                <w:kern w:val="0"/>
                <w:sz w:val="18"/>
                <w:szCs w:val="18"/>
              </w:rPr>
              <w:t>3735.54</w:t>
            </w:r>
          </w:p>
        </w:tc>
        <w:tc>
          <w:tcPr>
            <w:tcW w:w="1701" w:type="dxa"/>
            <w:tcBorders>
              <w:top w:val="nil"/>
              <w:left w:val="nil"/>
              <w:bottom w:val="single" w:color="auto" w:sz="4" w:space="0"/>
              <w:right w:val="single" w:color="auto" w:sz="4" w:space="0"/>
            </w:tcBorders>
            <w:shd w:val="clear" w:color="auto" w:fill="auto"/>
            <w:noWrap/>
            <w:vAlign w:val="center"/>
          </w:tcPr>
          <w:p w14:paraId="22F881FA">
            <w:pPr>
              <w:widowControl/>
              <w:jc w:val="center"/>
              <w:rPr>
                <w:rFonts w:ascii="宋体" w:hAnsi="宋体" w:cs="宋体"/>
                <w:color w:val="000000"/>
                <w:kern w:val="0"/>
                <w:sz w:val="18"/>
                <w:szCs w:val="18"/>
              </w:rPr>
            </w:pPr>
            <w:r>
              <w:rPr>
                <w:rFonts w:hint="eastAsia" w:ascii="宋体" w:hAnsi="宋体" w:cs="宋体"/>
                <w:color w:val="000000"/>
                <w:kern w:val="0"/>
                <w:sz w:val="18"/>
                <w:szCs w:val="18"/>
              </w:rPr>
              <w:t>3744.44</w:t>
            </w:r>
          </w:p>
        </w:tc>
        <w:tc>
          <w:tcPr>
            <w:tcW w:w="1701" w:type="dxa"/>
            <w:tcBorders>
              <w:top w:val="nil"/>
              <w:left w:val="nil"/>
              <w:bottom w:val="single" w:color="auto" w:sz="4" w:space="0"/>
              <w:right w:val="single" w:color="auto" w:sz="4" w:space="0"/>
            </w:tcBorders>
            <w:shd w:val="clear" w:color="auto" w:fill="auto"/>
            <w:noWrap/>
            <w:vAlign w:val="center"/>
          </w:tcPr>
          <w:p w14:paraId="316FA484">
            <w:pPr>
              <w:widowControl/>
              <w:jc w:val="center"/>
              <w:rPr>
                <w:rFonts w:ascii="宋体" w:hAnsi="宋体" w:cs="宋体"/>
                <w:color w:val="000000"/>
                <w:kern w:val="0"/>
                <w:sz w:val="18"/>
                <w:szCs w:val="18"/>
              </w:rPr>
            </w:pPr>
            <w:r>
              <w:rPr>
                <w:rFonts w:hint="eastAsia" w:ascii="宋体" w:hAnsi="宋体" w:cs="宋体"/>
                <w:color w:val="000000"/>
                <w:kern w:val="0"/>
                <w:sz w:val="18"/>
                <w:szCs w:val="18"/>
              </w:rPr>
              <w:t>3745.54</w:t>
            </w:r>
          </w:p>
        </w:tc>
        <w:tc>
          <w:tcPr>
            <w:tcW w:w="2151" w:type="dxa"/>
            <w:tcBorders>
              <w:top w:val="nil"/>
              <w:left w:val="nil"/>
              <w:bottom w:val="single" w:color="auto" w:sz="4" w:space="0"/>
              <w:right w:val="single" w:color="auto" w:sz="4" w:space="0"/>
            </w:tcBorders>
            <w:shd w:val="clear" w:color="auto" w:fill="auto"/>
            <w:noWrap/>
            <w:vAlign w:val="center"/>
          </w:tcPr>
          <w:p w14:paraId="13B92FA6">
            <w:pPr>
              <w:widowControl/>
              <w:jc w:val="center"/>
              <w:rPr>
                <w:rFonts w:ascii="宋体" w:hAnsi="宋体" w:cs="宋体"/>
                <w:color w:val="000000"/>
                <w:kern w:val="0"/>
                <w:sz w:val="18"/>
                <w:szCs w:val="18"/>
              </w:rPr>
            </w:pPr>
            <w:r>
              <w:rPr>
                <w:rFonts w:hint="eastAsia" w:ascii="宋体" w:hAnsi="宋体" w:cs="宋体"/>
                <w:color w:val="000000"/>
                <w:kern w:val="0"/>
                <w:sz w:val="18"/>
                <w:szCs w:val="18"/>
              </w:rPr>
              <w:t>1.10</w:t>
            </w:r>
          </w:p>
        </w:tc>
        <w:tc>
          <w:tcPr>
            <w:tcW w:w="1105" w:type="dxa"/>
            <w:tcBorders>
              <w:top w:val="nil"/>
              <w:left w:val="nil"/>
              <w:bottom w:val="single" w:color="auto" w:sz="4" w:space="0"/>
              <w:right w:val="single" w:color="auto" w:sz="4" w:space="0"/>
            </w:tcBorders>
            <w:shd w:val="clear" w:color="auto" w:fill="auto"/>
            <w:noWrap/>
            <w:vAlign w:val="center"/>
          </w:tcPr>
          <w:p w14:paraId="41BDAFF9">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r w14:paraId="4C86AAB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6C5C7674">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340" w:type="dxa"/>
            <w:tcBorders>
              <w:top w:val="nil"/>
              <w:left w:val="nil"/>
              <w:bottom w:val="single" w:color="auto" w:sz="4" w:space="0"/>
              <w:right w:val="single" w:color="auto" w:sz="4" w:space="0"/>
            </w:tcBorders>
            <w:shd w:val="clear" w:color="auto" w:fill="auto"/>
            <w:noWrap/>
            <w:vAlign w:val="center"/>
          </w:tcPr>
          <w:p w14:paraId="48AE177F">
            <w:pPr>
              <w:widowControl/>
              <w:jc w:val="center"/>
              <w:rPr>
                <w:rFonts w:ascii="宋体" w:hAnsi="宋体" w:cs="宋体"/>
                <w:color w:val="000000"/>
                <w:kern w:val="0"/>
                <w:sz w:val="18"/>
                <w:szCs w:val="18"/>
              </w:rPr>
            </w:pPr>
            <w:r>
              <w:rPr>
                <w:rFonts w:hint="eastAsia" w:ascii="宋体" w:hAnsi="宋体" w:cs="宋体"/>
                <w:color w:val="000000"/>
                <w:kern w:val="0"/>
                <w:sz w:val="18"/>
                <w:szCs w:val="18"/>
              </w:rPr>
              <w:t>3950.02</w:t>
            </w:r>
          </w:p>
        </w:tc>
        <w:tc>
          <w:tcPr>
            <w:tcW w:w="1140" w:type="dxa"/>
            <w:tcBorders>
              <w:top w:val="nil"/>
              <w:left w:val="nil"/>
              <w:bottom w:val="single" w:color="auto" w:sz="4" w:space="0"/>
              <w:right w:val="single" w:color="auto" w:sz="4" w:space="0"/>
            </w:tcBorders>
            <w:shd w:val="clear" w:color="auto" w:fill="auto"/>
            <w:noWrap/>
            <w:vAlign w:val="center"/>
          </w:tcPr>
          <w:p w14:paraId="6A90A469">
            <w:pPr>
              <w:widowControl/>
              <w:jc w:val="center"/>
              <w:rPr>
                <w:rFonts w:ascii="宋体" w:hAnsi="宋体" w:cs="宋体"/>
                <w:color w:val="000000"/>
                <w:kern w:val="0"/>
                <w:sz w:val="18"/>
                <w:szCs w:val="18"/>
              </w:rPr>
            </w:pPr>
            <w:r>
              <w:rPr>
                <w:rFonts w:hint="eastAsia" w:ascii="宋体" w:hAnsi="宋体" w:cs="宋体"/>
                <w:color w:val="000000"/>
                <w:kern w:val="0"/>
                <w:sz w:val="18"/>
                <w:szCs w:val="18"/>
              </w:rPr>
              <w:t>3544.45</w:t>
            </w:r>
          </w:p>
        </w:tc>
        <w:tc>
          <w:tcPr>
            <w:tcW w:w="1701" w:type="dxa"/>
            <w:tcBorders>
              <w:top w:val="nil"/>
              <w:left w:val="nil"/>
              <w:bottom w:val="single" w:color="auto" w:sz="4" w:space="0"/>
              <w:right w:val="single" w:color="auto" w:sz="4" w:space="0"/>
            </w:tcBorders>
            <w:shd w:val="clear" w:color="auto" w:fill="auto"/>
            <w:noWrap/>
            <w:vAlign w:val="center"/>
          </w:tcPr>
          <w:p w14:paraId="761DD41E">
            <w:pPr>
              <w:widowControl/>
              <w:jc w:val="center"/>
              <w:rPr>
                <w:rFonts w:ascii="宋体" w:hAnsi="宋体" w:cs="宋体"/>
                <w:color w:val="000000"/>
                <w:kern w:val="0"/>
                <w:sz w:val="18"/>
                <w:szCs w:val="18"/>
              </w:rPr>
            </w:pPr>
            <w:r>
              <w:rPr>
                <w:rFonts w:hint="eastAsia" w:ascii="宋体" w:hAnsi="宋体" w:cs="宋体"/>
                <w:color w:val="000000"/>
                <w:kern w:val="0"/>
                <w:sz w:val="18"/>
                <w:szCs w:val="18"/>
              </w:rPr>
              <w:t>3765.67</w:t>
            </w:r>
          </w:p>
        </w:tc>
        <w:tc>
          <w:tcPr>
            <w:tcW w:w="1701" w:type="dxa"/>
            <w:tcBorders>
              <w:top w:val="nil"/>
              <w:left w:val="nil"/>
              <w:bottom w:val="single" w:color="auto" w:sz="4" w:space="0"/>
              <w:right w:val="single" w:color="auto" w:sz="4" w:space="0"/>
            </w:tcBorders>
            <w:shd w:val="clear" w:color="auto" w:fill="auto"/>
            <w:noWrap/>
            <w:vAlign w:val="center"/>
          </w:tcPr>
          <w:p w14:paraId="38A204A2">
            <w:pPr>
              <w:widowControl/>
              <w:jc w:val="center"/>
              <w:rPr>
                <w:rFonts w:ascii="宋体" w:hAnsi="宋体" w:cs="宋体"/>
                <w:color w:val="000000"/>
                <w:kern w:val="0"/>
                <w:sz w:val="18"/>
                <w:szCs w:val="18"/>
              </w:rPr>
            </w:pPr>
            <w:r>
              <w:rPr>
                <w:rFonts w:hint="eastAsia" w:ascii="宋体" w:hAnsi="宋体" w:cs="宋体"/>
                <w:color w:val="000000"/>
                <w:kern w:val="0"/>
                <w:sz w:val="18"/>
                <w:szCs w:val="18"/>
              </w:rPr>
              <w:t>3933.17</w:t>
            </w:r>
          </w:p>
        </w:tc>
        <w:tc>
          <w:tcPr>
            <w:tcW w:w="2151" w:type="dxa"/>
            <w:tcBorders>
              <w:top w:val="nil"/>
              <w:left w:val="nil"/>
              <w:bottom w:val="single" w:color="auto" w:sz="4" w:space="0"/>
              <w:right w:val="single" w:color="auto" w:sz="4" w:space="0"/>
            </w:tcBorders>
            <w:shd w:val="clear" w:color="auto" w:fill="auto"/>
            <w:noWrap/>
            <w:vAlign w:val="center"/>
          </w:tcPr>
          <w:p w14:paraId="4F702B41">
            <w:pPr>
              <w:widowControl/>
              <w:jc w:val="center"/>
              <w:rPr>
                <w:rFonts w:ascii="宋体" w:hAnsi="宋体" w:cs="宋体"/>
                <w:color w:val="000000"/>
                <w:kern w:val="0"/>
                <w:sz w:val="18"/>
                <w:szCs w:val="18"/>
              </w:rPr>
            </w:pPr>
            <w:r>
              <w:rPr>
                <w:rFonts w:hint="eastAsia" w:ascii="宋体" w:hAnsi="宋体" w:cs="宋体"/>
                <w:color w:val="000000"/>
                <w:kern w:val="0"/>
                <w:sz w:val="18"/>
                <w:szCs w:val="18"/>
              </w:rPr>
              <w:t>167.50</w:t>
            </w:r>
          </w:p>
        </w:tc>
        <w:tc>
          <w:tcPr>
            <w:tcW w:w="1105" w:type="dxa"/>
            <w:tcBorders>
              <w:top w:val="nil"/>
              <w:left w:val="nil"/>
              <w:bottom w:val="single" w:color="auto" w:sz="4" w:space="0"/>
              <w:right w:val="single" w:color="auto" w:sz="4" w:space="0"/>
            </w:tcBorders>
            <w:shd w:val="clear" w:color="auto" w:fill="auto"/>
            <w:noWrap/>
            <w:vAlign w:val="center"/>
          </w:tcPr>
          <w:p w14:paraId="55B05F51">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r w14:paraId="4F7C7AB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11718DD9">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340" w:type="dxa"/>
            <w:tcBorders>
              <w:top w:val="nil"/>
              <w:left w:val="nil"/>
              <w:bottom w:val="single" w:color="auto" w:sz="4" w:space="0"/>
              <w:right w:val="single" w:color="auto" w:sz="4" w:space="0"/>
            </w:tcBorders>
            <w:shd w:val="clear" w:color="auto" w:fill="auto"/>
            <w:noWrap/>
            <w:vAlign w:val="center"/>
          </w:tcPr>
          <w:p w14:paraId="286A3DBA">
            <w:pPr>
              <w:widowControl/>
              <w:jc w:val="center"/>
              <w:rPr>
                <w:rFonts w:ascii="宋体" w:hAnsi="宋体" w:cs="宋体"/>
                <w:color w:val="000000"/>
                <w:kern w:val="0"/>
                <w:sz w:val="18"/>
                <w:szCs w:val="18"/>
              </w:rPr>
            </w:pPr>
            <w:r>
              <w:rPr>
                <w:rFonts w:hint="eastAsia" w:ascii="宋体" w:hAnsi="宋体" w:cs="宋体"/>
                <w:color w:val="000000"/>
                <w:kern w:val="0"/>
                <w:sz w:val="18"/>
                <w:szCs w:val="18"/>
              </w:rPr>
              <w:t>958.78</w:t>
            </w:r>
          </w:p>
        </w:tc>
        <w:tc>
          <w:tcPr>
            <w:tcW w:w="1140" w:type="dxa"/>
            <w:tcBorders>
              <w:top w:val="nil"/>
              <w:left w:val="nil"/>
              <w:bottom w:val="single" w:color="auto" w:sz="4" w:space="0"/>
              <w:right w:val="single" w:color="auto" w:sz="4" w:space="0"/>
            </w:tcBorders>
            <w:shd w:val="clear" w:color="auto" w:fill="auto"/>
            <w:noWrap/>
            <w:vAlign w:val="center"/>
          </w:tcPr>
          <w:p w14:paraId="74510017">
            <w:pPr>
              <w:widowControl/>
              <w:jc w:val="center"/>
              <w:rPr>
                <w:rFonts w:ascii="宋体" w:hAnsi="宋体" w:cs="宋体"/>
                <w:color w:val="000000"/>
                <w:kern w:val="0"/>
                <w:sz w:val="18"/>
                <w:szCs w:val="18"/>
              </w:rPr>
            </w:pPr>
            <w:r>
              <w:rPr>
                <w:rFonts w:hint="eastAsia" w:ascii="宋体" w:hAnsi="宋体" w:cs="宋体"/>
                <w:color w:val="000000"/>
                <w:kern w:val="0"/>
                <w:sz w:val="18"/>
                <w:szCs w:val="18"/>
              </w:rPr>
              <w:t>923.46</w:t>
            </w:r>
          </w:p>
        </w:tc>
        <w:tc>
          <w:tcPr>
            <w:tcW w:w="1701" w:type="dxa"/>
            <w:tcBorders>
              <w:top w:val="nil"/>
              <w:left w:val="nil"/>
              <w:bottom w:val="single" w:color="auto" w:sz="4" w:space="0"/>
              <w:right w:val="single" w:color="auto" w:sz="4" w:space="0"/>
            </w:tcBorders>
            <w:shd w:val="clear" w:color="auto" w:fill="auto"/>
            <w:noWrap/>
            <w:vAlign w:val="center"/>
          </w:tcPr>
          <w:p w14:paraId="5C19ABDE">
            <w:pPr>
              <w:widowControl/>
              <w:jc w:val="center"/>
              <w:rPr>
                <w:rFonts w:ascii="宋体" w:hAnsi="宋体" w:cs="宋体"/>
                <w:color w:val="000000"/>
                <w:kern w:val="0"/>
                <w:sz w:val="18"/>
                <w:szCs w:val="18"/>
              </w:rPr>
            </w:pPr>
            <w:r>
              <w:rPr>
                <w:rFonts w:hint="eastAsia" w:ascii="宋体" w:hAnsi="宋体" w:cs="宋体"/>
                <w:color w:val="000000"/>
                <w:kern w:val="0"/>
                <w:sz w:val="18"/>
                <w:szCs w:val="18"/>
              </w:rPr>
              <w:t>942.73</w:t>
            </w:r>
          </w:p>
        </w:tc>
        <w:tc>
          <w:tcPr>
            <w:tcW w:w="1701" w:type="dxa"/>
            <w:tcBorders>
              <w:top w:val="nil"/>
              <w:left w:val="nil"/>
              <w:bottom w:val="single" w:color="auto" w:sz="4" w:space="0"/>
              <w:right w:val="single" w:color="auto" w:sz="4" w:space="0"/>
            </w:tcBorders>
            <w:shd w:val="clear" w:color="auto" w:fill="auto"/>
            <w:noWrap/>
            <w:vAlign w:val="center"/>
          </w:tcPr>
          <w:p w14:paraId="493A046A">
            <w:pPr>
              <w:widowControl/>
              <w:jc w:val="center"/>
              <w:rPr>
                <w:rFonts w:ascii="宋体" w:hAnsi="宋体" w:cs="宋体"/>
                <w:color w:val="000000"/>
                <w:kern w:val="0"/>
                <w:sz w:val="18"/>
                <w:szCs w:val="18"/>
              </w:rPr>
            </w:pPr>
            <w:r>
              <w:rPr>
                <w:rFonts w:hint="eastAsia" w:ascii="宋体" w:hAnsi="宋体" w:cs="宋体"/>
                <w:color w:val="000000"/>
                <w:kern w:val="0"/>
                <w:sz w:val="18"/>
                <w:szCs w:val="18"/>
              </w:rPr>
              <w:t>952.52</w:t>
            </w:r>
          </w:p>
        </w:tc>
        <w:tc>
          <w:tcPr>
            <w:tcW w:w="2151" w:type="dxa"/>
            <w:tcBorders>
              <w:top w:val="nil"/>
              <w:left w:val="nil"/>
              <w:bottom w:val="single" w:color="auto" w:sz="4" w:space="0"/>
              <w:right w:val="single" w:color="auto" w:sz="4" w:space="0"/>
            </w:tcBorders>
            <w:shd w:val="clear" w:color="auto" w:fill="auto"/>
            <w:noWrap/>
            <w:vAlign w:val="center"/>
          </w:tcPr>
          <w:p w14:paraId="645A69E6">
            <w:pPr>
              <w:widowControl/>
              <w:jc w:val="center"/>
              <w:rPr>
                <w:rFonts w:ascii="宋体" w:hAnsi="宋体" w:cs="宋体"/>
                <w:color w:val="000000"/>
                <w:kern w:val="0"/>
                <w:sz w:val="18"/>
                <w:szCs w:val="18"/>
              </w:rPr>
            </w:pPr>
            <w:r>
              <w:rPr>
                <w:rFonts w:hint="eastAsia" w:ascii="宋体" w:hAnsi="宋体" w:cs="宋体"/>
                <w:color w:val="000000"/>
                <w:kern w:val="0"/>
                <w:sz w:val="18"/>
                <w:szCs w:val="18"/>
              </w:rPr>
              <w:t>9.79</w:t>
            </w:r>
          </w:p>
        </w:tc>
        <w:tc>
          <w:tcPr>
            <w:tcW w:w="1105" w:type="dxa"/>
            <w:tcBorders>
              <w:top w:val="nil"/>
              <w:left w:val="nil"/>
              <w:bottom w:val="single" w:color="auto" w:sz="4" w:space="0"/>
              <w:right w:val="single" w:color="auto" w:sz="4" w:space="0"/>
            </w:tcBorders>
            <w:shd w:val="clear" w:color="auto" w:fill="auto"/>
            <w:noWrap/>
            <w:vAlign w:val="center"/>
          </w:tcPr>
          <w:p w14:paraId="57E2354E">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r w14:paraId="74E113E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7BE84A45">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340" w:type="dxa"/>
            <w:tcBorders>
              <w:top w:val="nil"/>
              <w:left w:val="nil"/>
              <w:bottom w:val="single" w:color="auto" w:sz="4" w:space="0"/>
              <w:right w:val="single" w:color="auto" w:sz="4" w:space="0"/>
            </w:tcBorders>
            <w:shd w:val="clear" w:color="auto" w:fill="auto"/>
            <w:noWrap/>
            <w:vAlign w:val="center"/>
          </w:tcPr>
          <w:p w14:paraId="45D5C990">
            <w:pPr>
              <w:widowControl/>
              <w:jc w:val="center"/>
              <w:rPr>
                <w:rFonts w:ascii="宋体" w:hAnsi="宋体" w:cs="宋体"/>
                <w:color w:val="000000"/>
                <w:kern w:val="0"/>
                <w:sz w:val="18"/>
                <w:szCs w:val="18"/>
              </w:rPr>
            </w:pPr>
            <w:r>
              <w:rPr>
                <w:rFonts w:hint="eastAsia" w:ascii="宋体" w:hAnsi="宋体" w:cs="宋体"/>
                <w:color w:val="000000"/>
                <w:kern w:val="0"/>
                <w:sz w:val="18"/>
                <w:szCs w:val="18"/>
              </w:rPr>
              <w:t>1057.87</w:t>
            </w:r>
          </w:p>
        </w:tc>
        <w:tc>
          <w:tcPr>
            <w:tcW w:w="1140" w:type="dxa"/>
            <w:tcBorders>
              <w:top w:val="nil"/>
              <w:left w:val="nil"/>
              <w:bottom w:val="single" w:color="auto" w:sz="4" w:space="0"/>
              <w:right w:val="single" w:color="auto" w:sz="4" w:space="0"/>
            </w:tcBorders>
            <w:shd w:val="clear" w:color="auto" w:fill="auto"/>
            <w:noWrap/>
            <w:vAlign w:val="center"/>
          </w:tcPr>
          <w:p w14:paraId="274A5579">
            <w:pPr>
              <w:widowControl/>
              <w:jc w:val="center"/>
              <w:rPr>
                <w:rFonts w:ascii="宋体" w:hAnsi="宋体" w:cs="宋体"/>
                <w:color w:val="000000"/>
                <w:kern w:val="0"/>
                <w:sz w:val="18"/>
                <w:szCs w:val="18"/>
              </w:rPr>
            </w:pPr>
            <w:r>
              <w:rPr>
                <w:rFonts w:hint="eastAsia" w:ascii="宋体" w:hAnsi="宋体" w:cs="宋体"/>
                <w:color w:val="000000"/>
                <w:kern w:val="0"/>
                <w:sz w:val="18"/>
                <w:szCs w:val="18"/>
              </w:rPr>
              <w:t>1024.07</w:t>
            </w:r>
          </w:p>
        </w:tc>
        <w:tc>
          <w:tcPr>
            <w:tcW w:w="1701" w:type="dxa"/>
            <w:tcBorders>
              <w:top w:val="nil"/>
              <w:left w:val="nil"/>
              <w:bottom w:val="single" w:color="auto" w:sz="4" w:space="0"/>
              <w:right w:val="single" w:color="auto" w:sz="4" w:space="0"/>
            </w:tcBorders>
            <w:shd w:val="clear" w:color="auto" w:fill="auto"/>
            <w:noWrap/>
            <w:vAlign w:val="center"/>
          </w:tcPr>
          <w:p w14:paraId="41857430">
            <w:pPr>
              <w:widowControl/>
              <w:jc w:val="center"/>
              <w:rPr>
                <w:rFonts w:ascii="宋体" w:hAnsi="宋体" w:cs="宋体"/>
                <w:color w:val="000000"/>
                <w:kern w:val="0"/>
                <w:sz w:val="18"/>
                <w:szCs w:val="18"/>
              </w:rPr>
            </w:pPr>
            <w:r>
              <w:rPr>
                <w:rFonts w:hint="eastAsia" w:ascii="宋体" w:hAnsi="宋体" w:cs="宋体"/>
                <w:color w:val="000000"/>
                <w:kern w:val="0"/>
                <w:sz w:val="18"/>
                <w:szCs w:val="18"/>
              </w:rPr>
              <w:t>1042.51</w:t>
            </w:r>
          </w:p>
        </w:tc>
        <w:tc>
          <w:tcPr>
            <w:tcW w:w="1701" w:type="dxa"/>
            <w:tcBorders>
              <w:top w:val="nil"/>
              <w:left w:val="nil"/>
              <w:bottom w:val="single" w:color="auto" w:sz="4" w:space="0"/>
              <w:right w:val="single" w:color="auto" w:sz="4" w:space="0"/>
            </w:tcBorders>
            <w:shd w:val="clear" w:color="auto" w:fill="auto"/>
            <w:noWrap/>
            <w:vAlign w:val="center"/>
          </w:tcPr>
          <w:p w14:paraId="2179645C">
            <w:pPr>
              <w:widowControl/>
              <w:jc w:val="center"/>
              <w:rPr>
                <w:rFonts w:ascii="宋体" w:hAnsi="宋体" w:cs="宋体"/>
                <w:color w:val="000000"/>
                <w:kern w:val="0"/>
                <w:sz w:val="18"/>
                <w:szCs w:val="18"/>
              </w:rPr>
            </w:pPr>
            <w:r>
              <w:rPr>
                <w:rFonts w:hint="eastAsia" w:ascii="宋体" w:hAnsi="宋体" w:cs="宋体"/>
                <w:color w:val="000000"/>
                <w:kern w:val="0"/>
                <w:sz w:val="18"/>
                <w:szCs w:val="18"/>
              </w:rPr>
              <w:t>1055.38</w:t>
            </w:r>
          </w:p>
        </w:tc>
        <w:tc>
          <w:tcPr>
            <w:tcW w:w="2151" w:type="dxa"/>
            <w:tcBorders>
              <w:top w:val="nil"/>
              <w:left w:val="nil"/>
              <w:bottom w:val="single" w:color="auto" w:sz="4" w:space="0"/>
              <w:right w:val="single" w:color="auto" w:sz="4" w:space="0"/>
            </w:tcBorders>
            <w:shd w:val="clear" w:color="auto" w:fill="auto"/>
            <w:noWrap/>
            <w:vAlign w:val="center"/>
          </w:tcPr>
          <w:p w14:paraId="7E46E440">
            <w:pPr>
              <w:widowControl/>
              <w:jc w:val="center"/>
              <w:rPr>
                <w:rFonts w:ascii="宋体" w:hAnsi="宋体" w:cs="宋体"/>
                <w:color w:val="000000"/>
                <w:kern w:val="0"/>
                <w:sz w:val="18"/>
                <w:szCs w:val="18"/>
              </w:rPr>
            </w:pPr>
            <w:r>
              <w:rPr>
                <w:rFonts w:hint="eastAsia" w:ascii="宋体" w:hAnsi="宋体" w:cs="宋体"/>
                <w:color w:val="000000"/>
                <w:kern w:val="0"/>
                <w:sz w:val="18"/>
                <w:szCs w:val="18"/>
              </w:rPr>
              <w:t>12.87</w:t>
            </w:r>
          </w:p>
        </w:tc>
        <w:tc>
          <w:tcPr>
            <w:tcW w:w="1105" w:type="dxa"/>
            <w:tcBorders>
              <w:top w:val="nil"/>
              <w:left w:val="nil"/>
              <w:bottom w:val="single" w:color="auto" w:sz="4" w:space="0"/>
              <w:right w:val="single" w:color="auto" w:sz="4" w:space="0"/>
            </w:tcBorders>
            <w:shd w:val="clear" w:color="auto" w:fill="auto"/>
            <w:noWrap/>
            <w:vAlign w:val="center"/>
          </w:tcPr>
          <w:p w14:paraId="55AAC1D4">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r w14:paraId="4F991D3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1937C1DC">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340" w:type="dxa"/>
            <w:tcBorders>
              <w:top w:val="nil"/>
              <w:left w:val="nil"/>
              <w:bottom w:val="single" w:color="auto" w:sz="4" w:space="0"/>
              <w:right w:val="single" w:color="auto" w:sz="4" w:space="0"/>
            </w:tcBorders>
            <w:shd w:val="clear" w:color="auto" w:fill="auto"/>
            <w:noWrap/>
            <w:vAlign w:val="center"/>
          </w:tcPr>
          <w:p w14:paraId="4E7CB915">
            <w:pPr>
              <w:widowControl/>
              <w:jc w:val="center"/>
              <w:rPr>
                <w:rFonts w:ascii="宋体" w:hAnsi="宋体" w:cs="宋体"/>
                <w:color w:val="000000"/>
                <w:kern w:val="0"/>
                <w:sz w:val="18"/>
                <w:szCs w:val="18"/>
              </w:rPr>
            </w:pPr>
            <w:r>
              <w:rPr>
                <w:rFonts w:hint="eastAsia" w:ascii="宋体" w:hAnsi="宋体" w:cs="宋体"/>
                <w:color w:val="000000"/>
                <w:kern w:val="0"/>
                <w:sz w:val="18"/>
                <w:szCs w:val="18"/>
              </w:rPr>
              <w:t>32617.95</w:t>
            </w:r>
          </w:p>
        </w:tc>
        <w:tc>
          <w:tcPr>
            <w:tcW w:w="1140" w:type="dxa"/>
            <w:tcBorders>
              <w:top w:val="nil"/>
              <w:left w:val="nil"/>
              <w:bottom w:val="single" w:color="auto" w:sz="4" w:space="0"/>
              <w:right w:val="single" w:color="auto" w:sz="4" w:space="0"/>
            </w:tcBorders>
            <w:shd w:val="clear" w:color="auto" w:fill="auto"/>
            <w:noWrap/>
            <w:vAlign w:val="center"/>
          </w:tcPr>
          <w:p w14:paraId="2F9F7CFD">
            <w:pPr>
              <w:widowControl/>
              <w:jc w:val="center"/>
              <w:rPr>
                <w:rFonts w:ascii="宋体" w:hAnsi="宋体" w:cs="宋体"/>
                <w:color w:val="000000"/>
                <w:kern w:val="0"/>
                <w:sz w:val="18"/>
                <w:szCs w:val="18"/>
              </w:rPr>
            </w:pPr>
            <w:r>
              <w:rPr>
                <w:rFonts w:hint="eastAsia" w:ascii="宋体" w:hAnsi="宋体" w:cs="宋体"/>
                <w:color w:val="000000"/>
                <w:kern w:val="0"/>
                <w:sz w:val="18"/>
                <w:szCs w:val="18"/>
              </w:rPr>
              <w:t>30200</w:t>
            </w:r>
          </w:p>
        </w:tc>
        <w:tc>
          <w:tcPr>
            <w:tcW w:w="1701" w:type="dxa"/>
            <w:tcBorders>
              <w:top w:val="nil"/>
              <w:left w:val="nil"/>
              <w:bottom w:val="single" w:color="auto" w:sz="4" w:space="0"/>
              <w:right w:val="single" w:color="auto" w:sz="4" w:space="0"/>
            </w:tcBorders>
            <w:shd w:val="clear" w:color="auto" w:fill="auto"/>
            <w:noWrap/>
            <w:vAlign w:val="center"/>
          </w:tcPr>
          <w:p w14:paraId="2B3C6D5A">
            <w:pPr>
              <w:widowControl/>
              <w:jc w:val="center"/>
              <w:rPr>
                <w:rFonts w:ascii="宋体" w:hAnsi="宋体" w:cs="宋体"/>
                <w:color w:val="000000"/>
                <w:kern w:val="0"/>
                <w:sz w:val="18"/>
                <w:szCs w:val="18"/>
              </w:rPr>
            </w:pPr>
            <w:r>
              <w:rPr>
                <w:rFonts w:hint="eastAsia" w:ascii="宋体" w:hAnsi="宋体" w:cs="宋体"/>
                <w:color w:val="000000"/>
                <w:kern w:val="0"/>
                <w:sz w:val="18"/>
                <w:szCs w:val="18"/>
              </w:rPr>
              <w:t>31518.88</w:t>
            </w:r>
          </w:p>
        </w:tc>
        <w:tc>
          <w:tcPr>
            <w:tcW w:w="1701" w:type="dxa"/>
            <w:tcBorders>
              <w:top w:val="nil"/>
              <w:left w:val="nil"/>
              <w:bottom w:val="single" w:color="auto" w:sz="4" w:space="0"/>
              <w:right w:val="single" w:color="auto" w:sz="4" w:space="0"/>
            </w:tcBorders>
            <w:shd w:val="clear" w:color="auto" w:fill="auto"/>
            <w:noWrap/>
            <w:vAlign w:val="center"/>
          </w:tcPr>
          <w:p w14:paraId="6EC7497B">
            <w:pPr>
              <w:widowControl/>
              <w:jc w:val="center"/>
              <w:rPr>
                <w:rFonts w:ascii="宋体" w:hAnsi="宋体" w:cs="宋体"/>
                <w:color w:val="000000"/>
                <w:kern w:val="0"/>
                <w:sz w:val="18"/>
                <w:szCs w:val="18"/>
              </w:rPr>
            </w:pPr>
            <w:r>
              <w:rPr>
                <w:rFonts w:hint="eastAsia" w:ascii="宋体" w:hAnsi="宋体" w:cs="宋体"/>
                <w:color w:val="000000"/>
                <w:kern w:val="0"/>
                <w:sz w:val="18"/>
                <w:szCs w:val="18"/>
              </w:rPr>
              <w:t>32403.4</w:t>
            </w:r>
          </w:p>
        </w:tc>
        <w:tc>
          <w:tcPr>
            <w:tcW w:w="2151" w:type="dxa"/>
            <w:tcBorders>
              <w:top w:val="nil"/>
              <w:left w:val="nil"/>
              <w:bottom w:val="single" w:color="auto" w:sz="4" w:space="0"/>
              <w:right w:val="single" w:color="auto" w:sz="4" w:space="0"/>
            </w:tcBorders>
            <w:shd w:val="clear" w:color="auto" w:fill="auto"/>
            <w:noWrap/>
            <w:vAlign w:val="center"/>
          </w:tcPr>
          <w:p w14:paraId="1E33E7F9">
            <w:pPr>
              <w:widowControl/>
              <w:jc w:val="center"/>
              <w:rPr>
                <w:rFonts w:ascii="宋体" w:hAnsi="宋体" w:cs="宋体"/>
                <w:color w:val="000000"/>
                <w:kern w:val="0"/>
                <w:sz w:val="18"/>
                <w:szCs w:val="18"/>
              </w:rPr>
            </w:pPr>
            <w:r>
              <w:rPr>
                <w:rFonts w:hint="eastAsia" w:ascii="宋体" w:hAnsi="宋体" w:cs="宋体"/>
                <w:color w:val="000000"/>
                <w:kern w:val="0"/>
                <w:sz w:val="18"/>
                <w:szCs w:val="18"/>
              </w:rPr>
              <w:t>884.52</w:t>
            </w:r>
          </w:p>
        </w:tc>
        <w:tc>
          <w:tcPr>
            <w:tcW w:w="1105" w:type="dxa"/>
            <w:tcBorders>
              <w:top w:val="nil"/>
              <w:left w:val="nil"/>
              <w:bottom w:val="single" w:color="auto" w:sz="4" w:space="0"/>
              <w:right w:val="single" w:color="auto" w:sz="4" w:space="0"/>
            </w:tcBorders>
            <w:shd w:val="clear" w:color="auto" w:fill="auto"/>
            <w:noWrap/>
            <w:vAlign w:val="center"/>
          </w:tcPr>
          <w:p w14:paraId="78F372A0">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bl>
    <w:p w14:paraId="6A43464F">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二、建设用地指标执行情况</w:t>
      </w:r>
    </w:p>
    <w:p w14:paraId="29584F35">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（一）新增建设用地</w:t>
      </w:r>
    </w:p>
    <w:p w14:paraId="07FF2AAF">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昆明市下达东川区2020年新增建设用地指标为653.38公顷，按照年平均增长法算，全区2014年新增建设用地阶段指标为296.99公顷。2014年全区新增建设用地实际规模288.34公顷，低于2020年上级下达指标365.04公顷，低于2014年阶段指标8.65公顷。从各街道的使用数量上看，铜都街道在规划实施期间新增建设用地191.36公顷，舍块乡新增建设用地仅2.07公顷，新增建设用地两极分化现象较为突出。</w:t>
      </w:r>
    </w:p>
    <w:p w14:paraId="54A051C5">
      <w:pPr>
        <w:jc w:val="center"/>
        <w:outlineLvl w:val="4"/>
        <w:rPr>
          <w:rFonts w:ascii="宋体" w:hAnsi="宋体"/>
          <w:b/>
          <w:sz w:val="24"/>
        </w:rPr>
      </w:pPr>
      <w:r>
        <w:rPr>
          <w:rFonts w:hint="eastAsia" w:ascii="宋体" w:hAnsi="宋体"/>
          <w:b/>
          <w:sz w:val="24"/>
        </w:rPr>
        <w:t>表</w:t>
      </w:r>
      <w:r>
        <w:rPr>
          <w:rFonts w:ascii="宋体" w:hAnsi="宋体"/>
          <w:b/>
          <w:sz w:val="24"/>
        </w:rPr>
        <w:t>3-</w:t>
      </w:r>
      <w:r>
        <w:rPr>
          <w:rFonts w:hint="eastAsia" w:ascii="宋体" w:hAnsi="宋体"/>
          <w:b/>
          <w:sz w:val="24"/>
        </w:rPr>
        <w:t xml:space="preserve">9 </w:t>
      </w:r>
      <w:r>
        <w:rPr>
          <w:rFonts w:ascii="宋体" w:hAnsi="宋体"/>
          <w:b/>
          <w:sz w:val="24"/>
        </w:rPr>
        <w:t xml:space="preserve"> </w:t>
      </w:r>
      <w:r>
        <w:rPr>
          <w:rFonts w:hint="eastAsia" w:ascii="宋体" w:hAnsi="宋体"/>
          <w:b/>
          <w:sz w:val="24"/>
        </w:rPr>
        <w:t>东川区新增建设用地指标情况评估表</w:t>
      </w:r>
    </w:p>
    <w:p w14:paraId="24A5B3F0">
      <w:pPr>
        <w:widowControl/>
        <w:jc w:val="right"/>
        <w:rPr>
          <w:rFonts w:ascii="宋体" w:hAnsi="宋体" w:cs="宋体"/>
          <w:color w:val="000000"/>
          <w:kern w:val="0"/>
          <w:sz w:val="18"/>
          <w:szCs w:val="18"/>
        </w:rPr>
      </w:pPr>
      <w:r>
        <w:rPr>
          <w:rFonts w:hint="eastAsia" w:ascii="宋体" w:hAnsi="宋体" w:cs="宋体"/>
          <w:color w:val="000000"/>
          <w:kern w:val="0"/>
          <w:sz w:val="18"/>
          <w:szCs w:val="18"/>
        </w:rPr>
        <w:t>单位：公顷</w:t>
      </w:r>
    </w:p>
    <w:tbl>
      <w:tblPr>
        <w:tblStyle w:val="27"/>
        <w:tblW w:w="9649" w:type="dxa"/>
        <w:tblInd w:w="96" w:type="dxa"/>
        <w:tblLayout w:type="autofit"/>
        <w:tblCellMar>
          <w:top w:w="0" w:type="dxa"/>
          <w:left w:w="108" w:type="dxa"/>
          <w:bottom w:w="0" w:type="dxa"/>
          <w:right w:w="108" w:type="dxa"/>
        </w:tblCellMar>
      </w:tblPr>
      <w:tblGrid>
        <w:gridCol w:w="1340"/>
        <w:gridCol w:w="1140"/>
        <w:gridCol w:w="2069"/>
        <w:gridCol w:w="1347"/>
        <w:gridCol w:w="2522"/>
        <w:gridCol w:w="1231"/>
      </w:tblGrid>
      <w:tr w14:paraId="08A6ED8B">
        <w:tblPrEx>
          <w:tblCellMar>
            <w:top w:w="0" w:type="dxa"/>
            <w:left w:w="108" w:type="dxa"/>
            <w:bottom w:w="0" w:type="dxa"/>
            <w:right w:w="108" w:type="dxa"/>
          </w:tblCellMar>
        </w:tblPrEx>
        <w:trPr>
          <w:trHeight w:val="288" w:hRule="atLeast"/>
        </w:trPr>
        <w:tc>
          <w:tcPr>
            <w:tcW w:w="13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DAEE61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行政区</w:t>
            </w:r>
          </w:p>
        </w:tc>
        <w:tc>
          <w:tcPr>
            <w:tcW w:w="11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259830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下达指标</w:t>
            </w:r>
          </w:p>
        </w:tc>
        <w:tc>
          <w:tcPr>
            <w:tcW w:w="206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21FC9B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2014年规划阶段指标</w:t>
            </w:r>
          </w:p>
        </w:tc>
        <w:tc>
          <w:tcPr>
            <w:tcW w:w="13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2C1FE9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2014年现状</w:t>
            </w:r>
          </w:p>
        </w:tc>
        <w:tc>
          <w:tcPr>
            <w:tcW w:w="3753" w:type="dxa"/>
            <w:gridSpan w:val="2"/>
            <w:tcBorders>
              <w:top w:val="single" w:color="auto" w:sz="4" w:space="0"/>
              <w:left w:val="nil"/>
              <w:bottom w:val="single" w:color="auto" w:sz="4" w:space="0"/>
              <w:right w:val="single" w:color="auto" w:sz="4" w:space="0"/>
            </w:tcBorders>
            <w:shd w:val="clear" w:color="auto" w:fill="auto"/>
            <w:noWrap/>
            <w:vAlign w:val="center"/>
          </w:tcPr>
          <w:p w14:paraId="2D4CD13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阶段指标完成情况</w:t>
            </w:r>
          </w:p>
        </w:tc>
      </w:tr>
      <w:tr w14:paraId="14C62EC8">
        <w:tblPrEx>
          <w:tblCellMar>
            <w:top w:w="0" w:type="dxa"/>
            <w:left w:w="108" w:type="dxa"/>
            <w:bottom w:w="0" w:type="dxa"/>
            <w:right w:w="108" w:type="dxa"/>
          </w:tblCellMar>
        </w:tblPrEx>
        <w:trPr>
          <w:trHeight w:val="288" w:hRule="atLeast"/>
        </w:trPr>
        <w:tc>
          <w:tcPr>
            <w:tcW w:w="1340" w:type="dxa"/>
            <w:vMerge w:val="continue"/>
            <w:tcBorders>
              <w:top w:val="single" w:color="auto" w:sz="4" w:space="0"/>
              <w:left w:val="single" w:color="auto" w:sz="4" w:space="0"/>
              <w:bottom w:val="single" w:color="auto" w:sz="4" w:space="0"/>
              <w:right w:val="single" w:color="auto" w:sz="4" w:space="0"/>
            </w:tcBorders>
            <w:vAlign w:val="center"/>
          </w:tcPr>
          <w:p w14:paraId="34000F0C">
            <w:pPr>
              <w:widowControl/>
              <w:jc w:val="center"/>
              <w:rPr>
                <w:rFonts w:ascii="宋体" w:hAnsi="宋体" w:cs="宋体"/>
                <w:b/>
                <w:color w:val="000000"/>
                <w:kern w:val="0"/>
                <w:sz w:val="18"/>
                <w:szCs w:val="18"/>
              </w:rPr>
            </w:pPr>
          </w:p>
        </w:tc>
        <w:tc>
          <w:tcPr>
            <w:tcW w:w="1140" w:type="dxa"/>
            <w:vMerge w:val="continue"/>
            <w:tcBorders>
              <w:top w:val="single" w:color="auto" w:sz="4" w:space="0"/>
              <w:left w:val="single" w:color="auto" w:sz="4" w:space="0"/>
              <w:bottom w:val="single" w:color="auto" w:sz="4" w:space="0"/>
              <w:right w:val="single" w:color="auto" w:sz="4" w:space="0"/>
            </w:tcBorders>
            <w:vAlign w:val="center"/>
          </w:tcPr>
          <w:p w14:paraId="391ECACD">
            <w:pPr>
              <w:widowControl/>
              <w:jc w:val="center"/>
              <w:rPr>
                <w:rFonts w:ascii="宋体" w:hAnsi="宋体" w:cs="宋体"/>
                <w:b/>
                <w:color w:val="000000"/>
                <w:kern w:val="0"/>
                <w:sz w:val="18"/>
                <w:szCs w:val="18"/>
              </w:rPr>
            </w:pPr>
          </w:p>
        </w:tc>
        <w:tc>
          <w:tcPr>
            <w:tcW w:w="2069" w:type="dxa"/>
            <w:vMerge w:val="continue"/>
            <w:tcBorders>
              <w:top w:val="single" w:color="auto" w:sz="4" w:space="0"/>
              <w:left w:val="single" w:color="auto" w:sz="4" w:space="0"/>
              <w:bottom w:val="single" w:color="auto" w:sz="4" w:space="0"/>
              <w:right w:val="single" w:color="auto" w:sz="4" w:space="0"/>
            </w:tcBorders>
            <w:vAlign w:val="center"/>
          </w:tcPr>
          <w:p w14:paraId="47CB1253">
            <w:pPr>
              <w:widowControl/>
              <w:jc w:val="center"/>
              <w:rPr>
                <w:rFonts w:ascii="宋体" w:hAnsi="宋体" w:cs="宋体"/>
                <w:b/>
                <w:color w:val="000000"/>
                <w:kern w:val="0"/>
                <w:sz w:val="18"/>
                <w:szCs w:val="18"/>
              </w:rPr>
            </w:pPr>
          </w:p>
        </w:tc>
        <w:tc>
          <w:tcPr>
            <w:tcW w:w="1347" w:type="dxa"/>
            <w:vMerge w:val="continue"/>
            <w:tcBorders>
              <w:top w:val="single" w:color="auto" w:sz="4" w:space="0"/>
              <w:left w:val="single" w:color="auto" w:sz="4" w:space="0"/>
              <w:bottom w:val="single" w:color="auto" w:sz="4" w:space="0"/>
              <w:right w:val="single" w:color="auto" w:sz="4" w:space="0"/>
            </w:tcBorders>
            <w:vAlign w:val="center"/>
          </w:tcPr>
          <w:p w14:paraId="4D43D3CA">
            <w:pPr>
              <w:widowControl/>
              <w:jc w:val="center"/>
              <w:rPr>
                <w:rFonts w:ascii="宋体" w:hAnsi="宋体" w:cs="宋体"/>
                <w:b/>
                <w:color w:val="000000"/>
                <w:kern w:val="0"/>
                <w:sz w:val="18"/>
                <w:szCs w:val="18"/>
              </w:rPr>
            </w:pPr>
          </w:p>
        </w:tc>
        <w:tc>
          <w:tcPr>
            <w:tcW w:w="2522" w:type="dxa"/>
            <w:tcBorders>
              <w:top w:val="nil"/>
              <w:left w:val="nil"/>
              <w:bottom w:val="single" w:color="auto" w:sz="4" w:space="0"/>
              <w:right w:val="single" w:color="auto" w:sz="4" w:space="0"/>
            </w:tcBorders>
            <w:shd w:val="clear" w:color="auto" w:fill="auto"/>
            <w:noWrap/>
            <w:vAlign w:val="center"/>
          </w:tcPr>
          <w:p w14:paraId="0D939293">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2014年现状-规划阶段指标</w:t>
            </w:r>
          </w:p>
        </w:tc>
        <w:tc>
          <w:tcPr>
            <w:tcW w:w="1231" w:type="dxa"/>
            <w:tcBorders>
              <w:top w:val="nil"/>
              <w:left w:val="nil"/>
              <w:bottom w:val="single" w:color="auto" w:sz="4" w:space="0"/>
              <w:right w:val="single" w:color="auto" w:sz="4" w:space="0"/>
            </w:tcBorders>
            <w:shd w:val="clear" w:color="auto" w:fill="auto"/>
            <w:noWrap/>
            <w:vAlign w:val="center"/>
          </w:tcPr>
          <w:p w14:paraId="0DA89EB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规划符合性</w:t>
            </w:r>
          </w:p>
        </w:tc>
      </w:tr>
      <w:tr w14:paraId="5AB8BAF2">
        <w:tblPrEx>
          <w:tblCellMar>
            <w:top w:w="0" w:type="dxa"/>
            <w:left w:w="108" w:type="dxa"/>
            <w:bottom w:w="0" w:type="dxa"/>
            <w:right w:w="108" w:type="dxa"/>
          </w:tblCellMar>
        </w:tblPrEx>
        <w:trPr>
          <w:trHeight w:val="300" w:hRule="atLeast"/>
        </w:trPr>
        <w:tc>
          <w:tcPr>
            <w:tcW w:w="1340" w:type="dxa"/>
            <w:tcBorders>
              <w:top w:val="nil"/>
              <w:left w:val="single" w:color="auto" w:sz="4" w:space="0"/>
              <w:bottom w:val="single" w:color="auto" w:sz="4" w:space="0"/>
              <w:right w:val="single" w:color="auto" w:sz="4" w:space="0"/>
            </w:tcBorders>
            <w:shd w:val="clear" w:color="auto" w:fill="auto"/>
            <w:noWrap/>
            <w:vAlign w:val="center"/>
          </w:tcPr>
          <w:p w14:paraId="2634D995">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140" w:type="dxa"/>
            <w:tcBorders>
              <w:top w:val="nil"/>
              <w:left w:val="nil"/>
              <w:bottom w:val="single" w:color="auto" w:sz="4" w:space="0"/>
              <w:right w:val="single" w:color="auto" w:sz="4" w:space="0"/>
            </w:tcBorders>
            <w:shd w:val="clear" w:color="auto" w:fill="auto"/>
            <w:noWrap/>
            <w:vAlign w:val="center"/>
          </w:tcPr>
          <w:p w14:paraId="1D36C895">
            <w:pPr>
              <w:widowControl/>
              <w:jc w:val="center"/>
              <w:rPr>
                <w:rFonts w:ascii="宋体" w:hAnsi="宋体" w:cs="宋体"/>
                <w:color w:val="000000"/>
                <w:kern w:val="0"/>
                <w:sz w:val="18"/>
                <w:szCs w:val="18"/>
              </w:rPr>
            </w:pPr>
            <w:r>
              <w:rPr>
                <w:rFonts w:hint="eastAsia" w:ascii="宋体" w:hAnsi="宋体" w:cs="宋体"/>
                <w:color w:val="000000"/>
                <w:kern w:val="0"/>
                <w:sz w:val="18"/>
                <w:szCs w:val="18"/>
              </w:rPr>
              <w:t>42.06</w:t>
            </w:r>
          </w:p>
        </w:tc>
        <w:tc>
          <w:tcPr>
            <w:tcW w:w="2069" w:type="dxa"/>
            <w:tcBorders>
              <w:top w:val="nil"/>
              <w:left w:val="nil"/>
              <w:bottom w:val="single" w:color="auto" w:sz="4" w:space="0"/>
              <w:right w:val="single" w:color="auto" w:sz="4" w:space="0"/>
            </w:tcBorders>
            <w:shd w:val="clear" w:color="auto" w:fill="auto"/>
            <w:noWrap/>
            <w:vAlign w:val="center"/>
          </w:tcPr>
          <w:p w14:paraId="33734DD8">
            <w:pPr>
              <w:widowControl/>
              <w:jc w:val="center"/>
              <w:rPr>
                <w:rFonts w:ascii="宋体" w:hAnsi="宋体" w:cs="宋体"/>
                <w:color w:val="000000"/>
                <w:kern w:val="0"/>
                <w:sz w:val="18"/>
                <w:szCs w:val="18"/>
              </w:rPr>
            </w:pPr>
            <w:r>
              <w:rPr>
                <w:rFonts w:hint="eastAsia" w:ascii="宋体" w:hAnsi="宋体" w:cs="宋体"/>
                <w:color w:val="000000"/>
                <w:kern w:val="0"/>
                <w:sz w:val="18"/>
                <w:szCs w:val="18"/>
              </w:rPr>
              <w:t>19.12</w:t>
            </w:r>
          </w:p>
        </w:tc>
        <w:tc>
          <w:tcPr>
            <w:tcW w:w="1347" w:type="dxa"/>
            <w:tcBorders>
              <w:top w:val="nil"/>
              <w:left w:val="nil"/>
              <w:bottom w:val="single" w:color="auto" w:sz="4" w:space="0"/>
              <w:right w:val="single" w:color="auto" w:sz="4" w:space="0"/>
            </w:tcBorders>
            <w:shd w:val="clear" w:color="auto" w:fill="auto"/>
            <w:noWrap/>
            <w:vAlign w:val="center"/>
          </w:tcPr>
          <w:p w14:paraId="48E2DA35">
            <w:pPr>
              <w:widowControl/>
              <w:jc w:val="center"/>
              <w:rPr>
                <w:rFonts w:ascii="宋体" w:hAnsi="宋体" w:cs="宋体"/>
                <w:color w:val="000000"/>
                <w:kern w:val="0"/>
                <w:sz w:val="18"/>
                <w:szCs w:val="18"/>
              </w:rPr>
            </w:pPr>
            <w:r>
              <w:rPr>
                <w:rFonts w:hint="eastAsia" w:ascii="宋体" w:hAnsi="宋体" w:cs="宋体"/>
                <w:color w:val="000000"/>
                <w:kern w:val="0"/>
                <w:sz w:val="18"/>
                <w:szCs w:val="18"/>
              </w:rPr>
              <w:t>21.53</w:t>
            </w:r>
          </w:p>
        </w:tc>
        <w:tc>
          <w:tcPr>
            <w:tcW w:w="2522" w:type="dxa"/>
            <w:tcBorders>
              <w:top w:val="nil"/>
              <w:left w:val="nil"/>
              <w:bottom w:val="single" w:color="auto" w:sz="4" w:space="0"/>
              <w:right w:val="single" w:color="auto" w:sz="4" w:space="0"/>
            </w:tcBorders>
            <w:shd w:val="clear" w:color="auto" w:fill="auto"/>
            <w:noWrap/>
            <w:vAlign w:val="center"/>
          </w:tcPr>
          <w:p w14:paraId="3BE84E67">
            <w:pPr>
              <w:widowControl/>
              <w:jc w:val="center"/>
              <w:rPr>
                <w:rFonts w:ascii="宋体" w:hAnsi="宋体" w:cs="宋体"/>
                <w:color w:val="000000"/>
                <w:kern w:val="0"/>
                <w:sz w:val="18"/>
                <w:szCs w:val="18"/>
              </w:rPr>
            </w:pPr>
            <w:r>
              <w:rPr>
                <w:rFonts w:hint="eastAsia" w:ascii="宋体" w:hAnsi="宋体" w:cs="宋体"/>
                <w:color w:val="000000"/>
                <w:kern w:val="0"/>
                <w:sz w:val="18"/>
                <w:szCs w:val="18"/>
              </w:rPr>
              <w:t>2.41</w:t>
            </w:r>
          </w:p>
        </w:tc>
        <w:tc>
          <w:tcPr>
            <w:tcW w:w="1231" w:type="dxa"/>
            <w:tcBorders>
              <w:top w:val="nil"/>
              <w:left w:val="nil"/>
              <w:bottom w:val="single" w:color="auto" w:sz="4" w:space="0"/>
              <w:right w:val="single" w:color="auto" w:sz="4" w:space="0"/>
            </w:tcBorders>
            <w:shd w:val="clear" w:color="auto" w:fill="auto"/>
            <w:vAlign w:val="center"/>
          </w:tcPr>
          <w:p w14:paraId="6F6693D9">
            <w:pPr>
              <w:widowControl/>
              <w:jc w:val="center"/>
              <w:rPr>
                <w:rFonts w:ascii="宋体" w:hAnsi="宋体" w:cs="宋体"/>
                <w:color w:val="000000"/>
                <w:kern w:val="0"/>
                <w:sz w:val="18"/>
                <w:szCs w:val="18"/>
              </w:rPr>
            </w:pPr>
            <w:r>
              <w:rPr>
                <w:rFonts w:hint="eastAsia" w:ascii="宋体" w:hAnsi="宋体" w:cs="宋体"/>
                <w:color w:val="000000"/>
                <w:kern w:val="0"/>
                <w:sz w:val="18"/>
                <w:szCs w:val="18"/>
              </w:rPr>
              <w:t>不符合</w:t>
            </w:r>
          </w:p>
        </w:tc>
      </w:tr>
      <w:tr w14:paraId="3B5B9468">
        <w:tblPrEx>
          <w:tblCellMar>
            <w:top w:w="0" w:type="dxa"/>
            <w:left w:w="108" w:type="dxa"/>
            <w:bottom w:w="0" w:type="dxa"/>
            <w:right w:w="108" w:type="dxa"/>
          </w:tblCellMar>
        </w:tblPrEx>
        <w:trPr>
          <w:trHeight w:val="300" w:hRule="atLeast"/>
        </w:trPr>
        <w:tc>
          <w:tcPr>
            <w:tcW w:w="1340" w:type="dxa"/>
            <w:tcBorders>
              <w:top w:val="nil"/>
              <w:left w:val="single" w:color="auto" w:sz="4" w:space="0"/>
              <w:bottom w:val="single" w:color="auto" w:sz="4" w:space="0"/>
              <w:right w:val="single" w:color="auto" w:sz="4" w:space="0"/>
            </w:tcBorders>
            <w:shd w:val="clear" w:color="auto" w:fill="auto"/>
            <w:noWrap/>
            <w:vAlign w:val="center"/>
          </w:tcPr>
          <w:p w14:paraId="12FE98CD">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140" w:type="dxa"/>
            <w:tcBorders>
              <w:top w:val="nil"/>
              <w:left w:val="nil"/>
              <w:bottom w:val="single" w:color="auto" w:sz="4" w:space="0"/>
              <w:right w:val="single" w:color="auto" w:sz="4" w:space="0"/>
            </w:tcBorders>
            <w:shd w:val="clear" w:color="auto" w:fill="auto"/>
            <w:noWrap/>
            <w:vAlign w:val="center"/>
          </w:tcPr>
          <w:p w14:paraId="4E2F126C">
            <w:pPr>
              <w:widowControl/>
              <w:jc w:val="center"/>
              <w:rPr>
                <w:rFonts w:ascii="宋体" w:hAnsi="宋体" w:cs="宋体"/>
                <w:color w:val="000000"/>
                <w:kern w:val="0"/>
                <w:sz w:val="18"/>
                <w:szCs w:val="18"/>
              </w:rPr>
            </w:pPr>
            <w:r>
              <w:rPr>
                <w:rFonts w:hint="eastAsia" w:ascii="宋体" w:hAnsi="宋体" w:cs="宋体"/>
                <w:color w:val="000000"/>
                <w:kern w:val="0"/>
                <w:sz w:val="18"/>
                <w:szCs w:val="18"/>
              </w:rPr>
              <w:t>354.18</w:t>
            </w:r>
          </w:p>
        </w:tc>
        <w:tc>
          <w:tcPr>
            <w:tcW w:w="2069" w:type="dxa"/>
            <w:tcBorders>
              <w:top w:val="nil"/>
              <w:left w:val="nil"/>
              <w:bottom w:val="single" w:color="auto" w:sz="4" w:space="0"/>
              <w:right w:val="single" w:color="auto" w:sz="4" w:space="0"/>
            </w:tcBorders>
            <w:shd w:val="clear" w:color="auto" w:fill="auto"/>
            <w:noWrap/>
            <w:vAlign w:val="center"/>
          </w:tcPr>
          <w:p w14:paraId="04F3DA02">
            <w:pPr>
              <w:widowControl/>
              <w:jc w:val="center"/>
              <w:rPr>
                <w:rFonts w:ascii="宋体" w:hAnsi="宋体" w:cs="宋体"/>
                <w:color w:val="000000"/>
                <w:kern w:val="0"/>
                <w:sz w:val="18"/>
                <w:szCs w:val="18"/>
              </w:rPr>
            </w:pPr>
            <w:r>
              <w:rPr>
                <w:rFonts w:hint="eastAsia" w:ascii="宋体" w:hAnsi="宋体" w:cs="宋体"/>
                <w:color w:val="000000"/>
                <w:kern w:val="0"/>
                <w:sz w:val="18"/>
                <w:szCs w:val="18"/>
              </w:rPr>
              <w:t>160.99</w:t>
            </w:r>
          </w:p>
        </w:tc>
        <w:tc>
          <w:tcPr>
            <w:tcW w:w="1347" w:type="dxa"/>
            <w:tcBorders>
              <w:top w:val="nil"/>
              <w:left w:val="nil"/>
              <w:bottom w:val="single" w:color="auto" w:sz="4" w:space="0"/>
              <w:right w:val="single" w:color="auto" w:sz="4" w:space="0"/>
            </w:tcBorders>
            <w:shd w:val="clear" w:color="auto" w:fill="auto"/>
            <w:noWrap/>
            <w:vAlign w:val="center"/>
          </w:tcPr>
          <w:p w14:paraId="0DD0A3A9">
            <w:pPr>
              <w:widowControl/>
              <w:jc w:val="center"/>
              <w:rPr>
                <w:rFonts w:ascii="宋体" w:hAnsi="宋体" w:cs="宋体"/>
                <w:color w:val="000000"/>
                <w:kern w:val="0"/>
                <w:sz w:val="18"/>
                <w:szCs w:val="18"/>
              </w:rPr>
            </w:pPr>
            <w:r>
              <w:rPr>
                <w:rFonts w:hint="eastAsia" w:ascii="宋体" w:hAnsi="宋体" w:cs="宋体"/>
                <w:color w:val="000000"/>
                <w:kern w:val="0"/>
                <w:sz w:val="18"/>
                <w:szCs w:val="18"/>
              </w:rPr>
              <w:t>191.36</w:t>
            </w:r>
          </w:p>
        </w:tc>
        <w:tc>
          <w:tcPr>
            <w:tcW w:w="2522" w:type="dxa"/>
            <w:tcBorders>
              <w:top w:val="nil"/>
              <w:left w:val="nil"/>
              <w:bottom w:val="single" w:color="auto" w:sz="4" w:space="0"/>
              <w:right w:val="single" w:color="auto" w:sz="4" w:space="0"/>
            </w:tcBorders>
            <w:shd w:val="clear" w:color="auto" w:fill="auto"/>
            <w:noWrap/>
            <w:vAlign w:val="center"/>
          </w:tcPr>
          <w:p w14:paraId="7C9920CA">
            <w:pPr>
              <w:widowControl/>
              <w:jc w:val="center"/>
              <w:rPr>
                <w:rFonts w:ascii="宋体" w:hAnsi="宋体" w:cs="宋体"/>
                <w:color w:val="000000"/>
                <w:kern w:val="0"/>
                <w:sz w:val="18"/>
                <w:szCs w:val="18"/>
              </w:rPr>
            </w:pPr>
            <w:r>
              <w:rPr>
                <w:rFonts w:hint="eastAsia" w:ascii="宋体" w:hAnsi="宋体" w:cs="宋体"/>
                <w:color w:val="000000"/>
                <w:kern w:val="0"/>
                <w:sz w:val="18"/>
                <w:szCs w:val="18"/>
              </w:rPr>
              <w:t>30.37</w:t>
            </w:r>
          </w:p>
        </w:tc>
        <w:tc>
          <w:tcPr>
            <w:tcW w:w="1231" w:type="dxa"/>
            <w:tcBorders>
              <w:top w:val="nil"/>
              <w:left w:val="nil"/>
              <w:bottom w:val="single" w:color="auto" w:sz="4" w:space="0"/>
              <w:right w:val="single" w:color="auto" w:sz="4" w:space="0"/>
            </w:tcBorders>
            <w:shd w:val="clear" w:color="auto" w:fill="auto"/>
            <w:vAlign w:val="center"/>
          </w:tcPr>
          <w:p w14:paraId="5C871C68">
            <w:pPr>
              <w:widowControl/>
              <w:jc w:val="center"/>
              <w:rPr>
                <w:rFonts w:ascii="宋体" w:hAnsi="宋体" w:cs="宋体"/>
                <w:color w:val="000000"/>
                <w:kern w:val="0"/>
                <w:sz w:val="18"/>
                <w:szCs w:val="18"/>
              </w:rPr>
            </w:pPr>
            <w:r>
              <w:rPr>
                <w:rFonts w:hint="eastAsia" w:ascii="宋体" w:hAnsi="宋体" w:cs="宋体"/>
                <w:color w:val="000000"/>
                <w:kern w:val="0"/>
                <w:sz w:val="18"/>
                <w:szCs w:val="18"/>
              </w:rPr>
              <w:t>不符合</w:t>
            </w:r>
          </w:p>
        </w:tc>
      </w:tr>
      <w:tr w14:paraId="089A85E8">
        <w:tblPrEx>
          <w:tblCellMar>
            <w:top w:w="0" w:type="dxa"/>
            <w:left w:w="108" w:type="dxa"/>
            <w:bottom w:w="0" w:type="dxa"/>
            <w:right w:w="108" w:type="dxa"/>
          </w:tblCellMar>
        </w:tblPrEx>
        <w:trPr>
          <w:trHeight w:val="300" w:hRule="atLeast"/>
        </w:trPr>
        <w:tc>
          <w:tcPr>
            <w:tcW w:w="1340" w:type="dxa"/>
            <w:tcBorders>
              <w:top w:val="nil"/>
              <w:left w:val="single" w:color="auto" w:sz="4" w:space="0"/>
              <w:bottom w:val="single" w:color="auto" w:sz="4" w:space="0"/>
              <w:right w:val="single" w:color="auto" w:sz="4" w:space="0"/>
            </w:tcBorders>
            <w:shd w:val="clear" w:color="auto" w:fill="auto"/>
            <w:noWrap/>
            <w:vAlign w:val="center"/>
          </w:tcPr>
          <w:p w14:paraId="4B781BCE">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140" w:type="dxa"/>
            <w:tcBorders>
              <w:top w:val="nil"/>
              <w:left w:val="nil"/>
              <w:bottom w:val="single" w:color="auto" w:sz="4" w:space="0"/>
              <w:right w:val="single" w:color="auto" w:sz="4" w:space="0"/>
            </w:tcBorders>
            <w:shd w:val="clear" w:color="auto" w:fill="auto"/>
            <w:noWrap/>
            <w:vAlign w:val="center"/>
          </w:tcPr>
          <w:p w14:paraId="4E694D2C">
            <w:pPr>
              <w:widowControl/>
              <w:jc w:val="center"/>
              <w:rPr>
                <w:rFonts w:ascii="宋体" w:hAnsi="宋体" w:cs="宋体"/>
                <w:color w:val="000000"/>
                <w:kern w:val="0"/>
                <w:sz w:val="18"/>
                <w:szCs w:val="18"/>
              </w:rPr>
            </w:pPr>
            <w:r>
              <w:rPr>
                <w:rFonts w:hint="eastAsia" w:ascii="宋体" w:hAnsi="宋体" w:cs="宋体"/>
                <w:color w:val="000000"/>
                <w:kern w:val="0"/>
                <w:sz w:val="18"/>
                <w:szCs w:val="18"/>
              </w:rPr>
              <w:t>54.34</w:t>
            </w:r>
          </w:p>
        </w:tc>
        <w:tc>
          <w:tcPr>
            <w:tcW w:w="2069" w:type="dxa"/>
            <w:tcBorders>
              <w:top w:val="nil"/>
              <w:left w:val="nil"/>
              <w:bottom w:val="single" w:color="auto" w:sz="4" w:space="0"/>
              <w:right w:val="single" w:color="auto" w:sz="4" w:space="0"/>
            </w:tcBorders>
            <w:shd w:val="clear" w:color="auto" w:fill="auto"/>
            <w:noWrap/>
            <w:vAlign w:val="center"/>
          </w:tcPr>
          <w:p w14:paraId="40D0B06B">
            <w:pPr>
              <w:widowControl/>
              <w:jc w:val="center"/>
              <w:rPr>
                <w:rFonts w:ascii="宋体" w:hAnsi="宋体" w:cs="宋体"/>
                <w:color w:val="000000"/>
                <w:kern w:val="0"/>
                <w:sz w:val="18"/>
                <w:szCs w:val="18"/>
              </w:rPr>
            </w:pPr>
            <w:r>
              <w:rPr>
                <w:rFonts w:hint="eastAsia" w:ascii="宋体" w:hAnsi="宋体" w:cs="宋体"/>
                <w:color w:val="000000"/>
                <w:kern w:val="0"/>
                <w:sz w:val="18"/>
                <w:szCs w:val="18"/>
              </w:rPr>
              <w:t>24.70</w:t>
            </w:r>
          </w:p>
        </w:tc>
        <w:tc>
          <w:tcPr>
            <w:tcW w:w="1347" w:type="dxa"/>
            <w:tcBorders>
              <w:top w:val="nil"/>
              <w:left w:val="nil"/>
              <w:bottom w:val="single" w:color="auto" w:sz="4" w:space="0"/>
              <w:right w:val="single" w:color="auto" w:sz="4" w:space="0"/>
            </w:tcBorders>
            <w:shd w:val="clear" w:color="auto" w:fill="auto"/>
            <w:noWrap/>
            <w:vAlign w:val="center"/>
          </w:tcPr>
          <w:p w14:paraId="28DEBD34">
            <w:pPr>
              <w:widowControl/>
              <w:jc w:val="center"/>
              <w:rPr>
                <w:rFonts w:ascii="宋体" w:hAnsi="宋体" w:cs="宋体"/>
                <w:color w:val="000000"/>
                <w:kern w:val="0"/>
                <w:sz w:val="18"/>
                <w:szCs w:val="18"/>
              </w:rPr>
            </w:pPr>
            <w:r>
              <w:rPr>
                <w:rFonts w:hint="eastAsia" w:ascii="宋体" w:hAnsi="宋体" w:cs="宋体"/>
                <w:color w:val="000000"/>
                <w:kern w:val="0"/>
                <w:sz w:val="18"/>
                <w:szCs w:val="18"/>
              </w:rPr>
              <w:t>23.97</w:t>
            </w:r>
          </w:p>
        </w:tc>
        <w:tc>
          <w:tcPr>
            <w:tcW w:w="2522" w:type="dxa"/>
            <w:tcBorders>
              <w:top w:val="nil"/>
              <w:left w:val="nil"/>
              <w:bottom w:val="single" w:color="auto" w:sz="4" w:space="0"/>
              <w:right w:val="single" w:color="auto" w:sz="4" w:space="0"/>
            </w:tcBorders>
            <w:shd w:val="clear" w:color="auto" w:fill="auto"/>
            <w:noWrap/>
            <w:vAlign w:val="center"/>
          </w:tcPr>
          <w:p w14:paraId="09DF98B6">
            <w:pPr>
              <w:widowControl/>
              <w:jc w:val="center"/>
              <w:rPr>
                <w:rFonts w:ascii="宋体" w:hAnsi="宋体" w:cs="宋体"/>
                <w:color w:val="000000"/>
                <w:kern w:val="0"/>
                <w:sz w:val="18"/>
                <w:szCs w:val="18"/>
              </w:rPr>
            </w:pPr>
            <w:r>
              <w:rPr>
                <w:rFonts w:hint="eastAsia" w:ascii="宋体" w:hAnsi="宋体" w:cs="宋体"/>
                <w:color w:val="000000"/>
                <w:kern w:val="0"/>
                <w:sz w:val="18"/>
                <w:szCs w:val="18"/>
              </w:rPr>
              <w:t>-0.73</w:t>
            </w:r>
          </w:p>
        </w:tc>
        <w:tc>
          <w:tcPr>
            <w:tcW w:w="1231" w:type="dxa"/>
            <w:tcBorders>
              <w:top w:val="nil"/>
              <w:left w:val="nil"/>
              <w:bottom w:val="single" w:color="auto" w:sz="4" w:space="0"/>
              <w:right w:val="single" w:color="auto" w:sz="4" w:space="0"/>
            </w:tcBorders>
            <w:shd w:val="clear" w:color="auto" w:fill="auto"/>
            <w:vAlign w:val="center"/>
          </w:tcPr>
          <w:p w14:paraId="2652C7F0">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7273ACDC">
        <w:tblPrEx>
          <w:tblCellMar>
            <w:top w:w="0" w:type="dxa"/>
            <w:left w:w="108" w:type="dxa"/>
            <w:bottom w:w="0" w:type="dxa"/>
            <w:right w:w="108" w:type="dxa"/>
          </w:tblCellMar>
        </w:tblPrEx>
        <w:trPr>
          <w:trHeight w:val="300" w:hRule="atLeast"/>
        </w:trPr>
        <w:tc>
          <w:tcPr>
            <w:tcW w:w="1340" w:type="dxa"/>
            <w:tcBorders>
              <w:top w:val="nil"/>
              <w:left w:val="single" w:color="auto" w:sz="4" w:space="0"/>
              <w:bottom w:val="single" w:color="auto" w:sz="4" w:space="0"/>
              <w:right w:val="single" w:color="auto" w:sz="4" w:space="0"/>
            </w:tcBorders>
            <w:shd w:val="clear" w:color="auto" w:fill="auto"/>
            <w:noWrap/>
            <w:vAlign w:val="center"/>
          </w:tcPr>
          <w:p w14:paraId="510E0286">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140" w:type="dxa"/>
            <w:tcBorders>
              <w:top w:val="nil"/>
              <w:left w:val="nil"/>
              <w:bottom w:val="single" w:color="auto" w:sz="4" w:space="0"/>
              <w:right w:val="single" w:color="auto" w:sz="4" w:space="0"/>
            </w:tcBorders>
            <w:shd w:val="clear" w:color="auto" w:fill="auto"/>
            <w:noWrap/>
            <w:vAlign w:val="center"/>
          </w:tcPr>
          <w:p w14:paraId="570380C0">
            <w:pPr>
              <w:widowControl/>
              <w:jc w:val="center"/>
              <w:rPr>
                <w:rFonts w:ascii="宋体" w:hAnsi="宋体" w:cs="宋体"/>
                <w:color w:val="000000"/>
                <w:kern w:val="0"/>
                <w:sz w:val="18"/>
                <w:szCs w:val="18"/>
              </w:rPr>
            </w:pPr>
            <w:r>
              <w:rPr>
                <w:rFonts w:hint="eastAsia" w:ascii="宋体" w:hAnsi="宋体" w:cs="宋体"/>
                <w:color w:val="000000"/>
                <w:kern w:val="0"/>
                <w:sz w:val="18"/>
                <w:szCs w:val="18"/>
              </w:rPr>
              <w:t>80.99</w:t>
            </w:r>
          </w:p>
        </w:tc>
        <w:tc>
          <w:tcPr>
            <w:tcW w:w="2069" w:type="dxa"/>
            <w:tcBorders>
              <w:top w:val="nil"/>
              <w:left w:val="nil"/>
              <w:bottom w:val="single" w:color="auto" w:sz="4" w:space="0"/>
              <w:right w:val="single" w:color="auto" w:sz="4" w:space="0"/>
            </w:tcBorders>
            <w:shd w:val="clear" w:color="auto" w:fill="auto"/>
            <w:noWrap/>
            <w:vAlign w:val="center"/>
          </w:tcPr>
          <w:p w14:paraId="5526F28E">
            <w:pPr>
              <w:widowControl/>
              <w:jc w:val="center"/>
              <w:rPr>
                <w:rFonts w:ascii="宋体" w:hAnsi="宋体" w:cs="宋体"/>
                <w:color w:val="000000"/>
                <w:kern w:val="0"/>
                <w:sz w:val="18"/>
                <w:szCs w:val="18"/>
              </w:rPr>
            </w:pPr>
            <w:r>
              <w:rPr>
                <w:rFonts w:hint="eastAsia" w:ascii="宋体" w:hAnsi="宋体" w:cs="宋体"/>
                <w:color w:val="000000"/>
                <w:kern w:val="0"/>
                <w:sz w:val="18"/>
                <w:szCs w:val="18"/>
              </w:rPr>
              <w:t>36.82</w:t>
            </w:r>
          </w:p>
        </w:tc>
        <w:tc>
          <w:tcPr>
            <w:tcW w:w="1347" w:type="dxa"/>
            <w:tcBorders>
              <w:top w:val="nil"/>
              <w:left w:val="nil"/>
              <w:bottom w:val="single" w:color="auto" w:sz="4" w:space="0"/>
              <w:right w:val="single" w:color="auto" w:sz="4" w:space="0"/>
            </w:tcBorders>
            <w:shd w:val="clear" w:color="auto" w:fill="auto"/>
            <w:noWrap/>
            <w:vAlign w:val="center"/>
          </w:tcPr>
          <w:p w14:paraId="4997A433">
            <w:pPr>
              <w:widowControl/>
              <w:jc w:val="center"/>
              <w:rPr>
                <w:rFonts w:ascii="宋体" w:hAnsi="宋体" w:cs="宋体"/>
                <w:color w:val="000000"/>
                <w:kern w:val="0"/>
                <w:sz w:val="18"/>
                <w:szCs w:val="18"/>
              </w:rPr>
            </w:pPr>
            <w:r>
              <w:rPr>
                <w:rFonts w:hint="eastAsia" w:ascii="宋体" w:hAnsi="宋体" w:cs="宋体"/>
                <w:color w:val="000000"/>
                <w:kern w:val="0"/>
                <w:sz w:val="18"/>
                <w:szCs w:val="18"/>
              </w:rPr>
              <w:t>8.15</w:t>
            </w:r>
          </w:p>
        </w:tc>
        <w:tc>
          <w:tcPr>
            <w:tcW w:w="2522" w:type="dxa"/>
            <w:tcBorders>
              <w:top w:val="nil"/>
              <w:left w:val="nil"/>
              <w:bottom w:val="single" w:color="auto" w:sz="4" w:space="0"/>
              <w:right w:val="single" w:color="auto" w:sz="4" w:space="0"/>
            </w:tcBorders>
            <w:shd w:val="clear" w:color="auto" w:fill="auto"/>
            <w:noWrap/>
            <w:vAlign w:val="center"/>
          </w:tcPr>
          <w:p w14:paraId="325E37B9">
            <w:pPr>
              <w:widowControl/>
              <w:jc w:val="center"/>
              <w:rPr>
                <w:rFonts w:ascii="宋体" w:hAnsi="宋体" w:cs="宋体"/>
                <w:color w:val="000000"/>
                <w:kern w:val="0"/>
                <w:sz w:val="18"/>
                <w:szCs w:val="18"/>
              </w:rPr>
            </w:pPr>
            <w:r>
              <w:rPr>
                <w:rFonts w:hint="eastAsia" w:ascii="宋体" w:hAnsi="宋体" w:cs="宋体"/>
                <w:color w:val="000000"/>
                <w:kern w:val="0"/>
                <w:sz w:val="18"/>
                <w:szCs w:val="18"/>
              </w:rPr>
              <w:t>-28.67</w:t>
            </w:r>
          </w:p>
        </w:tc>
        <w:tc>
          <w:tcPr>
            <w:tcW w:w="1231" w:type="dxa"/>
            <w:tcBorders>
              <w:top w:val="nil"/>
              <w:left w:val="nil"/>
              <w:bottom w:val="single" w:color="auto" w:sz="4" w:space="0"/>
              <w:right w:val="single" w:color="auto" w:sz="4" w:space="0"/>
            </w:tcBorders>
            <w:shd w:val="clear" w:color="auto" w:fill="auto"/>
            <w:vAlign w:val="center"/>
          </w:tcPr>
          <w:p w14:paraId="246B8712">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02946CB8">
        <w:tblPrEx>
          <w:tblCellMar>
            <w:top w:w="0" w:type="dxa"/>
            <w:left w:w="108" w:type="dxa"/>
            <w:bottom w:w="0" w:type="dxa"/>
            <w:right w:w="108" w:type="dxa"/>
          </w:tblCellMar>
        </w:tblPrEx>
        <w:trPr>
          <w:trHeight w:val="300" w:hRule="atLeast"/>
        </w:trPr>
        <w:tc>
          <w:tcPr>
            <w:tcW w:w="1340" w:type="dxa"/>
            <w:tcBorders>
              <w:top w:val="nil"/>
              <w:left w:val="single" w:color="auto" w:sz="4" w:space="0"/>
              <w:bottom w:val="single" w:color="auto" w:sz="4" w:space="0"/>
              <w:right w:val="single" w:color="auto" w:sz="4" w:space="0"/>
            </w:tcBorders>
            <w:shd w:val="clear" w:color="auto" w:fill="auto"/>
            <w:noWrap/>
            <w:vAlign w:val="center"/>
          </w:tcPr>
          <w:p w14:paraId="75B876C7">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140" w:type="dxa"/>
            <w:tcBorders>
              <w:top w:val="nil"/>
              <w:left w:val="nil"/>
              <w:bottom w:val="single" w:color="auto" w:sz="4" w:space="0"/>
              <w:right w:val="single" w:color="auto" w:sz="4" w:space="0"/>
            </w:tcBorders>
            <w:shd w:val="clear" w:color="auto" w:fill="auto"/>
            <w:noWrap/>
            <w:vAlign w:val="center"/>
          </w:tcPr>
          <w:p w14:paraId="257B98D8">
            <w:pPr>
              <w:widowControl/>
              <w:jc w:val="center"/>
              <w:rPr>
                <w:rFonts w:ascii="宋体" w:hAnsi="宋体" w:cs="宋体"/>
                <w:color w:val="000000"/>
                <w:kern w:val="0"/>
                <w:sz w:val="18"/>
                <w:szCs w:val="18"/>
              </w:rPr>
            </w:pPr>
            <w:r>
              <w:rPr>
                <w:rFonts w:hint="eastAsia" w:ascii="宋体" w:hAnsi="宋体" w:cs="宋体"/>
                <w:color w:val="000000"/>
                <w:kern w:val="0"/>
                <w:sz w:val="18"/>
                <w:szCs w:val="18"/>
              </w:rPr>
              <w:t>40.62</w:t>
            </w:r>
          </w:p>
        </w:tc>
        <w:tc>
          <w:tcPr>
            <w:tcW w:w="2069" w:type="dxa"/>
            <w:tcBorders>
              <w:top w:val="nil"/>
              <w:left w:val="nil"/>
              <w:bottom w:val="single" w:color="auto" w:sz="4" w:space="0"/>
              <w:right w:val="single" w:color="auto" w:sz="4" w:space="0"/>
            </w:tcBorders>
            <w:shd w:val="clear" w:color="auto" w:fill="auto"/>
            <w:noWrap/>
            <w:vAlign w:val="center"/>
          </w:tcPr>
          <w:p w14:paraId="0053D410">
            <w:pPr>
              <w:widowControl/>
              <w:jc w:val="center"/>
              <w:rPr>
                <w:rFonts w:ascii="宋体" w:hAnsi="宋体" w:cs="宋体"/>
                <w:color w:val="000000"/>
                <w:kern w:val="0"/>
                <w:sz w:val="18"/>
                <w:szCs w:val="18"/>
              </w:rPr>
            </w:pPr>
            <w:r>
              <w:rPr>
                <w:rFonts w:hint="eastAsia" w:ascii="宋体" w:hAnsi="宋体" w:cs="宋体"/>
                <w:color w:val="000000"/>
                <w:kern w:val="0"/>
                <w:sz w:val="18"/>
                <w:szCs w:val="18"/>
              </w:rPr>
              <w:t>18.46</w:t>
            </w:r>
          </w:p>
        </w:tc>
        <w:tc>
          <w:tcPr>
            <w:tcW w:w="1347" w:type="dxa"/>
            <w:tcBorders>
              <w:top w:val="nil"/>
              <w:left w:val="nil"/>
              <w:bottom w:val="single" w:color="auto" w:sz="4" w:space="0"/>
              <w:right w:val="single" w:color="auto" w:sz="4" w:space="0"/>
            </w:tcBorders>
            <w:shd w:val="clear" w:color="auto" w:fill="auto"/>
            <w:noWrap/>
            <w:vAlign w:val="center"/>
          </w:tcPr>
          <w:p w14:paraId="68D82969">
            <w:pPr>
              <w:widowControl/>
              <w:jc w:val="center"/>
              <w:rPr>
                <w:rFonts w:ascii="宋体" w:hAnsi="宋体" w:cs="宋体"/>
                <w:color w:val="000000"/>
                <w:kern w:val="0"/>
                <w:sz w:val="18"/>
                <w:szCs w:val="18"/>
              </w:rPr>
            </w:pPr>
            <w:r>
              <w:rPr>
                <w:rFonts w:hint="eastAsia" w:ascii="宋体" w:hAnsi="宋体" w:cs="宋体"/>
                <w:color w:val="000000"/>
                <w:kern w:val="0"/>
                <w:sz w:val="18"/>
                <w:szCs w:val="18"/>
              </w:rPr>
              <w:t>11.32</w:t>
            </w:r>
          </w:p>
        </w:tc>
        <w:tc>
          <w:tcPr>
            <w:tcW w:w="2522" w:type="dxa"/>
            <w:tcBorders>
              <w:top w:val="nil"/>
              <w:left w:val="nil"/>
              <w:bottom w:val="single" w:color="auto" w:sz="4" w:space="0"/>
              <w:right w:val="single" w:color="auto" w:sz="4" w:space="0"/>
            </w:tcBorders>
            <w:shd w:val="clear" w:color="auto" w:fill="auto"/>
            <w:noWrap/>
            <w:vAlign w:val="center"/>
          </w:tcPr>
          <w:p w14:paraId="052CD4DC">
            <w:pPr>
              <w:widowControl/>
              <w:jc w:val="center"/>
              <w:rPr>
                <w:rFonts w:ascii="宋体" w:hAnsi="宋体" w:cs="宋体"/>
                <w:color w:val="000000"/>
                <w:kern w:val="0"/>
                <w:sz w:val="18"/>
                <w:szCs w:val="18"/>
              </w:rPr>
            </w:pPr>
            <w:r>
              <w:rPr>
                <w:rFonts w:hint="eastAsia" w:ascii="宋体" w:hAnsi="宋体" w:cs="宋体"/>
                <w:color w:val="000000"/>
                <w:kern w:val="0"/>
                <w:sz w:val="18"/>
                <w:szCs w:val="18"/>
              </w:rPr>
              <w:t>-7.14</w:t>
            </w:r>
          </w:p>
        </w:tc>
        <w:tc>
          <w:tcPr>
            <w:tcW w:w="1231" w:type="dxa"/>
            <w:tcBorders>
              <w:top w:val="nil"/>
              <w:left w:val="nil"/>
              <w:bottom w:val="single" w:color="auto" w:sz="4" w:space="0"/>
              <w:right w:val="single" w:color="auto" w:sz="4" w:space="0"/>
            </w:tcBorders>
            <w:shd w:val="clear" w:color="auto" w:fill="auto"/>
            <w:vAlign w:val="center"/>
          </w:tcPr>
          <w:p w14:paraId="314F8BC2">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1E521128">
        <w:tblPrEx>
          <w:tblCellMar>
            <w:top w:w="0" w:type="dxa"/>
            <w:left w:w="108" w:type="dxa"/>
            <w:bottom w:w="0" w:type="dxa"/>
            <w:right w:w="108" w:type="dxa"/>
          </w:tblCellMar>
        </w:tblPrEx>
        <w:trPr>
          <w:trHeight w:val="300" w:hRule="atLeast"/>
        </w:trPr>
        <w:tc>
          <w:tcPr>
            <w:tcW w:w="1340" w:type="dxa"/>
            <w:tcBorders>
              <w:top w:val="nil"/>
              <w:left w:val="single" w:color="auto" w:sz="4" w:space="0"/>
              <w:bottom w:val="single" w:color="auto" w:sz="4" w:space="0"/>
              <w:right w:val="single" w:color="auto" w:sz="4" w:space="0"/>
            </w:tcBorders>
            <w:shd w:val="clear" w:color="auto" w:fill="auto"/>
            <w:noWrap/>
            <w:vAlign w:val="center"/>
          </w:tcPr>
          <w:p w14:paraId="040958E2">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140" w:type="dxa"/>
            <w:tcBorders>
              <w:top w:val="nil"/>
              <w:left w:val="nil"/>
              <w:bottom w:val="single" w:color="auto" w:sz="4" w:space="0"/>
              <w:right w:val="single" w:color="auto" w:sz="4" w:space="0"/>
            </w:tcBorders>
            <w:shd w:val="clear" w:color="auto" w:fill="auto"/>
            <w:noWrap/>
            <w:vAlign w:val="center"/>
          </w:tcPr>
          <w:p w14:paraId="3431799C">
            <w:pPr>
              <w:widowControl/>
              <w:jc w:val="center"/>
              <w:rPr>
                <w:rFonts w:ascii="宋体" w:hAnsi="宋体" w:cs="宋体"/>
                <w:color w:val="000000"/>
                <w:kern w:val="0"/>
                <w:sz w:val="18"/>
                <w:szCs w:val="18"/>
              </w:rPr>
            </w:pPr>
            <w:r>
              <w:rPr>
                <w:rFonts w:hint="eastAsia" w:ascii="宋体" w:hAnsi="宋体" w:cs="宋体"/>
                <w:color w:val="000000"/>
                <w:kern w:val="0"/>
                <w:sz w:val="18"/>
                <w:szCs w:val="18"/>
              </w:rPr>
              <w:t>32.86</w:t>
            </w:r>
          </w:p>
        </w:tc>
        <w:tc>
          <w:tcPr>
            <w:tcW w:w="2069" w:type="dxa"/>
            <w:tcBorders>
              <w:top w:val="nil"/>
              <w:left w:val="nil"/>
              <w:bottom w:val="single" w:color="auto" w:sz="4" w:space="0"/>
              <w:right w:val="single" w:color="auto" w:sz="4" w:space="0"/>
            </w:tcBorders>
            <w:shd w:val="clear" w:color="auto" w:fill="auto"/>
            <w:noWrap/>
            <w:vAlign w:val="center"/>
          </w:tcPr>
          <w:p w14:paraId="7B550431">
            <w:pPr>
              <w:widowControl/>
              <w:jc w:val="center"/>
              <w:rPr>
                <w:rFonts w:ascii="宋体" w:hAnsi="宋体" w:cs="宋体"/>
                <w:color w:val="000000"/>
                <w:kern w:val="0"/>
                <w:sz w:val="18"/>
                <w:szCs w:val="18"/>
              </w:rPr>
            </w:pPr>
            <w:r>
              <w:rPr>
                <w:rFonts w:hint="eastAsia" w:ascii="宋体" w:hAnsi="宋体" w:cs="宋体"/>
                <w:color w:val="000000"/>
                <w:kern w:val="0"/>
                <w:sz w:val="18"/>
                <w:szCs w:val="18"/>
              </w:rPr>
              <w:t>14.94</w:t>
            </w:r>
          </w:p>
        </w:tc>
        <w:tc>
          <w:tcPr>
            <w:tcW w:w="1347" w:type="dxa"/>
            <w:tcBorders>
              <w:top w:val="nil"/>
              <w:left w:val="nil"/>
              <w:bottom w:val="single" w:color="auto" w:sz="4" w:space="0"/>
              <w:right w:val="single" w:color="auto" w:sz="4" w:space="0"/>
            </w:tcBorders>
            <w:shd w:val="clear" w:color="auto" w:fill="auto"/>
            <w:noWrap/>
            <w:vAlign w:val="center"/>
          </w:tcPr>
          <w:p w14:paraId="3D48CFCD">
            <w:pPr>
              <w:widowControl/>
              <w:jc w:val="center"/>
              <w:rPr>
                <w:rFonts w:ascii="宋体" w:hAnsi="宋体" w:cs="宋体"/>
                <w:color w:val="000000"/>
                <w:kern w:val="0"/>
                <w:sz w:val="18"/>
                <w:szCs w:val="18"/>
              </w:rPr>
            </w:pPr>
            <w:r>
              <w:rPr>
                <w:rFonts w:hint="eastAsia" w:ascii="宋体" w:hAnsi="宋体" w:cs="宋体"/>
                <w:color w:val="000000"/>
                <w:kern w:val="0"/>
                <w:sz w:val="18"/>
                <w:szCs w:val="18"/>
              </w:rPr>
              <w:t>20.19</w:t>
            </w:r>
          </w:p>
        </w:tc>
        <w:tc>
          <w:tcPr>
            <w:tcW w:w="2522" w:type="dxa"/>
            <w:tcBorders>
              <w:top w:val="nil"/>
              <w:left w:val="nil"/>
              <w:bottom w:val="single" w:color="auto" w:sz="4" w:space="0"/>
              <w:right w:val="single" w:color="auto" w:sz="4" w:space="0"/>
            </w:tcBorders>
            <w:shd w:val="clear" w:color="auto" w:fill="auto"/>
            <w:noWrap/>
            <w:vAlign w:val="center"/>
          </w:tcPr>
          <w:p w14:paraId="3529CC60">
            <w:pPr>
              <w:widowControl/>
              <w:jc w:val="center"/>
              <w:rPr>
                <w:rFonts w:ascii="宋体" w:hAnsi="宋体" w:cs="宋体"/>
                <w:color w:val="000000"/>
                <w:kern w:val="0"/>
                <w:sz w:val="18"/>
                <w:szCs w:val="18"/>
              </w:rPr>
            </w:pPr>
            <w:r>
              <w:rPr>
                <w:rFonts w:hint="eastAsia" w:ascii="宋体" w:hAnsi="宋体" w:cs="宋体"/>
                <w:color w:val="000000"/>
                <w:kern w:val="0"/>
                <w:sz w:val="18"/>
                <w:szCs w:val="18"/>
              </w:rPr>
              <w:t>5.25</w:t>
            </w:r>
          </w:p>
        </w:tc>
        <w:tc>
          <w:tcPr>
            <w:tcW w:w="1231" w:type="dxa"/>
            <w:tcBorders>
              <w:top w:val="nil"/>
              <w:left w:val="nil"/>
              <w:bottom w:val="single" w:color="auto" w:sz="4" w:space="0"/>
              <w:right w:val="single" w:color="auto" w:sz="4" w:space="0"/>
            </w:tcBorders>
            <w:shd w:val="clear" w:color="auto" w:fill="auto"/>
            <w:vAlign w:val="center"/>
          </w:tcPr>
          <w:p w14:paraId="0080F4D9">
            <w:pPr>
              <w:widowControl/>
              <w:jc w:val="center"/>
              <w:rPr>
                <w:rFonts w:ascii="宋体" w:hAnsi="宋体" w:cs="宋体"/>
                <w:color w:val="000000"/>
                <w:kern w:val="0"/>
                <w:sz w:val="18"/>
                <w:szCs w:val="18"/>
              </w:rPr>
            </w:pPr>
            <w:r>
              <w:rPr>
                <w:rFonts w:hint="eastAsia" w:ascii="宋体" w:hAnsi="宋体" w:cs="宋体"/>
                <w:color w:val="000000"/>
                <w:kern w:val="0"/>
                <w:sz w:val="18"/>
                <w:szCs w:val="18"/>
              </w:rPr>
              <w:t>不符合</w:t>
            </w:r>
          </w:p>
        </w:tc>
      </w:tr>
      <w:tr w14:paraId="4F28A219">
        <w:tblPrEx>
          <w:tblCellMar>
            <w:top w:w="0" w:type="dxa"/>
            <w:left w:w="108" w:type="dxa"/>
            <w:bottom w:w="0" w:type="dxa"/>
            <w:right w:w="108" w:type="dxa"/>
          </w:tblCellMar>
        </w:tblPrEx>
        <w:trPr>
          <w:trHeight w:val="300" w:hRule="atLeast"/>
        </w:trPr>
        <w:tc>
          <w:tcPr>
            <w:tcW w:w="1340" w:type="dxa"/>
            <w:tcBorders>
              <w:top w:val="nil"/>
              <w:left w:val="single" w:color="auto" w:sz="4" w:space="0"/>
              <w:bottom w:val="single" w:color="auto" w:sz="4" w:space="0"/>
              <w:right w:val="single" w:color="auto" w:sz="4" w:space="0"/>
            </w:tcBorders>
            <w:shd w:val="clear" w:color="auto" w:fill="auto"/>
            <w:noWrap/>
            <w:vAlign w:val="center"/>
          </w:tcPr>
          <w:p w14:paraId="1E9BC488">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140" w:type="dxa"/>
            <w:tcBorders>
              <w:top w:val="nil"/>
              <w:left w:val="nil"/>
              <w:bottom w:val="single" w:color="auto" w:sz="4" w:space="0"/>
              <w:right w:val="single" w:color="auto" w:sz="4" w:space="0"/>
            </w:tcBorders>
            <w:shd w:val="clear" w:color="auto" w:fill="auto"/>
            <w:noWrap/>
            <w:vAlign w:val="center"/>
          </w:tcPr>
          <w:p w14:paraId="139156BB">
            <w:pPr>
              <w:widowControl/>
              <w:jc w:val="center"/>
              <w:rPr>
                <w:rFonts w:ascii="宋体" w:hAnsi="宋体" w:cs="宋体"/>
                <w:color w:val="000000"/>
                <w:kern w:val="0"/>
                <w:sz w:val="18"/>
                <w:szCs w:val="18"/>
              </w:rPr>
            </w:pPr>
            <w:r>
              <w:rPr>
                <w:rFonts w:hint="eastAsia" w:ascii="宋体" w:hAnsi="宋体" w:cs="宋体"/>
                <w:color w:val="000000"/>
                <w:kern w:val="0"/>
                <w:sz w:val="18"/>
                <w:szCs w:val="18"/>
              </w:rPr>
              <w:t>21.52</w:t>
            </w:r>
          </w:p>
        </w:tc>
        <w:tc>
          <w:tcPr>
            <w:tcW w:w="2069" w:type="dxa"/>
            <w:tcBorders>
              <w:top w:val="nil"/>
              <w:left w:val="nil"/>
              <w:bottom w:val="single" w:color="auto" w:sz="4" w:space="0"/>
              <w:right w:val="single" w:color="auto" w:sz="4" w:space="0"/>
            </w:tcBorders>
            <w:shd w:val="clear" w:color="auto" w:fill="auto"/>
            <w:noWrap/>
            <w:vAlign w:val="center"/>
          </w:tcPr>
          <w:p w14:paraId="790F9F77">
            <w:pPr>
              <w:widowControl/>
              <w:jc w:val="center"/>
              <w:rPr>
                <w:rFonts w:ascii="宋体" w:hAnsi="宋体" w:cs="宋体"/>
                <w:color w:val="000000"/>
                <w:kern w:val="0"/>
                <w:sz w:val="18"/>
                <w:szCs w:val="18"/>
              </w:rPr>
            </w:pPr>
            <w:r>
              <w:rPr>
                <w:rFonts w:hint="eastAsia" w:ascii="宋体" w:hAnsi="宋体" w:cs="宋体"/>
                <w:color w:val="000000"/>
                <w:kern w:val="0"/>
                <w:sz w:val="18"/>
                <w:szCs w:val="18"/>
              </w:rPr>
              <w:t>9.78</w:t>
            </w:r>
          </w:p>
        </w:tc>
        <w:tc>
          <w:tcPr>
            <w:tcW w:w="1347" w:type="dxa"/>
            <w:tcBorders>
              <w:top w:val="nil"/>
              <w:left w:val="nil"/>
              <w:bottom w:val="single" w:color="auto" w:sz="4" w:space="0"/>
              <w:right w:val="single" w:color="auto" w:sz="4" w:space="0"/>
            </w:tcBorders>
            <w:shd w:val="clear" w:color="auto" w:fill="auto"/>
            <w:noWrap/>
            <w:vAlign w:val="center"/>
          </w:tcPr>
          <w:p w14:paraId="0405EA9E">
            <w:pPr>
              <w:widowControl/>
              <w:jc w:val="center"/>
              <w:rPr>
                <w:rFonts w:ascii="宋体" w:hAnsi="宋体" w:cs="宋体"/>
                <w:color w:val="000000"/>
                <w:kern w:val="0"/>
                <w:sz w:val="18"/>
                <w:szCs w:val="18"/>
              </w:rPr>
            </w:pPr>
            <w:r>
              <w:rPr>
                <w:rFonts w:hint="eastAsia" w:ascii="宋体" w:hAnsi="宋体" w:cs="宋体"/>
                <w:color w:val="000000"/>
                <w:kern w:val="0"/>
                <w:sz w:val="18"/>
                <w:szCs w:val="18"/>
              </w:rPr>
              <w:t>9.75</w:t>
            </w:r>
          </w:p>
        </w:tc>
        <w:tc>
          <w:tcPr>
            <w:tcW w:w="2522" w:type="dxa"/>
            <w:tcBorders>
              <w:top w:val="nil"/>
              <w:left w:val="nil"/>
              <w:bottom w:val="single" w:color="auto" w:sz="4" w:space="0"/>
              <w:right w:val="single" w:color="auto" w:sz="4" w:space="0"/>
            </w:tcBorders>
            <w:shd w:val="clear" w:color="auto" w:fill="auto"/>
            <w:noWrap/>
            <w:vAlign w:val="center"/>
          </w:tcPr>
          <w:p w14:paraId="2071275A">
            <w:pPr>
              <w:widowControl/>
              <w:jc w:val="center"/>
              <w:rPr>
                <w:rFonts w:ascii="宋体" w:hAnsi="宋体" w:cs="宋体"/>
                <w:color w:val="000000"/>
                <w:kern w:val="0"/>
                <w:sz w:val="18"/>
                <w:szCs w:val="18"/>
              </w:rPr>
            </w:pPr>
            <w:r>
              <w:rPr>
                <w:rFonts w:hint="eastAsia" w:ascii="宋体" w:hAnsi="宋体" w:cs="宋体"/>
                <w:color w:val="000000"/>
                <w:kern w:val="0"/>
                <w:sz w:val="18"/>
                <w:szCs w:val="18"/>
              </w:rPr>
              <w:t>-0.03</w:t>
            </w:r>
          </w:p>
        </w:tc>
        <w:tc>
          <w:tcPr>
            <w:tcW w:w="1231" w:type="dxa"/>
            <w:tcBorders>
              <w:top w:val="nil"/>
              <w:left w:val="nil"/>
              <w:bottom w:val="single" w:color="auto" w:sz="4" w:space="0"/>
              <w:right w:val="single" w:color="auto" w:sz="4" w:space="0"/>
            </w:tcBorders>
            <w:shd w:val="clear" w:color="auto" w:fill="auto"/>
            <w:vAlign w:val="center"/>
          </w:tcPr>
          <w:p w14:paraId="1B73113A">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4B410694">
        <w:tblPrEx>
          <w:tblCellMar>
            <w:top w:w="0" w:type="dxa"/>
            <w:left w:w="108" w:type="dxa"/>
            <w:bottom w:w="0" w:type="dxa"/>
            <w:right w:w="108" w:type="dxa"/>
          </w:tblCellMar>
        </w:tblPrEx>
        <w:trPr>
          <w:trHeight w:val="300" w:hRule="atLeast"/>
        </w:trPr>
        <w:tc>
          <w:tcPr>
            <w:tcW w:w="1340" w:type="dxa"/>
            <w:tcBorders>
              <w:top w:val="nil"/>
              <w:left w:val="single" w:color="auto" w:sz="4" w:space="0"/>
              <w:bottom w:val="single" w:color="auto" w:sz="4" w:space="0"/>
              <w:right w:val="single" w:color="auto" w:sz="4" w:space="0"/>
            </w:tcBorders>
            <w:shd w:val="clear" w:color="auto" w:fill="auto"/>
            <w:noWrap/>
            <w:vAlign w:val="center"/>
          </w:tcPr>
          <w:p w14:paraId="2BB760A1">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140" w:type="dxa"/>
            <w:tcBorders>
              <w:top w:val="nil"/>
              <w:left w:val="nil"/>
              <w:bottom w:val="single" w:color="auto" w:sz="4" w:space="0"/>
              <w:right w:val="single" w:color="auto" w:sz="4" w:space="0"/>
            </w:tcBorders>
            <w:shd w:val="clear" w:color="auto" w:fill="auto"/>
            <w:noWrap/>
            <w:vAlign w:val="center"/>
          </w:tcPr>
          <w:p w14:paraId="66DD7ACF">
            <w:pPr>
              <w:widowControl/>
              <w:jc w:val="center"/>
              <w:rPr>
                <w:rFonts w:ascii="宋体" w:hAnsi="宋体" w:cs="宋体"/>
                <w:color w:val="000000"/>
                <w:kern w:val="0"/>
                <w:sz w:val="18"/>
                <w:szCs w:val="18"/>
              </w:rPr>
            </w:pPr>
            <w:r>
              <w:rPr>
                <w:rFonts w:hint="eastAsia" w:ascii="宋体" w:hAnsi="宋体" w:cs="宋体"/>
                <w:color w:val="000000"/>
                <w:kern w:val="0"/>
                <w:sz w:val="18"/>
                <w:szCs w:val="18"/>
              </w:rPr>
              <w:t>26.81</w:t>
            </w:r>
          </w:p>
        </w:tc>
        <w:tc>
          <w:tcPr>
            <w:tcW w:w="2069" w:type="dxa"/>
            <w:tcBorders>
              <w:top w:val="nil"/>
              <w:left w:val="nil"/>
              <w:bottom w:val="single" w:color="auto" w:sz="4" w:space="0"/>
              <w:right w:val="single" w:color="auto" w:sz="4" w:space="0"/>
            </w:tcBorders>
            <w:shd w:val="clear" w:color="auto" w:fill="auto"/>
            <w:noWrap/>
            <w:vAlign w:val="center"/>
          </w:tcPr>
          <w:p w14:paraId="5B87FF53">
            <w:pPr>
              <w:widowControl/>
              <w:jc w:val="center"/>
              <w:rPr>
                <w:rFonts w:ascii="宋体" w:hAnsi="宋体" w:cs="宋体"/>
                <w:color w:val="000000"/>
                <w:kern w:val="0"/>
                <w:sz w:val="18"/>
                <w:szCs w:val="18"/>
              </w:rPr>
            </w:pPr>
            <w:r>
              <w:rPr>
                <w:rFonts w:hint="eastAsia" w:ascii="宋体" w:hAnsi="宋体" w:cs="宋体"/>
                <w:color w:val="000000"/>
                <w:kern w:val="0"/>
                <w:sz w:val="18"/>
                <w:szCs w:val="18"/>
              </w:rPr>
              <w:t>12.19</w:t>
            </w:r>
          </w:p>
        </w:tc>
        <w:tc>
          <w:tcPr>
            <w:tcW w:w="1347" w:type="dxa"/>
            <w:tcBorders>
              <w:top w:val="nil"/>
              <w:left w:val="nil"/>
              <w:bottom w:val="single" w:color="auto" w:sz="4" w:space="0"/>
              <w:right w:val="single" w:color="auto" w:sz="4" w:space="0"/>
            </w:tcBorders>
            <w:shd w:val="clear" w:color="auto" w:fill="auto"/>
            <w:noWrap/>
            <w:vAlign w:val="center"/>
          </w:tcPr>
          <w:p w14:paraId="0895A39E">
            <w:pPr>
              <w:widowControl/>
              <w:jc w:val="center"/>
              <w:rPr>
                <w:rFonts w:ascii="宋体" w:hAnsi="宋体" w:cs="宋体"/>
                <w:color w:val="000000"/>
                <w:kern w:val="0"/>
                <w:sz w:val="18"/>
                <w:szCs w:val="18"/>
              </w:rPr>
            </w:pPr>
            <w:r>
              <w:rPr>
                <w:rFonts w:hint="eastAsia" w:ascii="宋体" w:hAnsi="宋体" w:cs="宋体"/>
                <w:color w:val="000000"/>
                <w:kern w:val="0"/>
                <w:sz w:val="18"/>
                <w:szCs w:val="18"/>
              </w:rPr>
              <w:t>2.07</w:t>
            </w:r>
          </w:p>
        </w:tc>
        <w:tc>
          <w:tcPr>
            <w:tcW w:w="2522" w:type="dxa"/>
            <w:tcBorders>
              <w:top w:val="nil"/>
              <w:left w:val="nil"/>
              <w:bottom w:val="single" w:color="auto" w:sz="4" w:space="0"/>
              <w:right w:val="single" w:color="auto" w:sz="4" w:space="0"/>
            </w:tcBorders>
            <w:shd w:val="clear" w:color="auto" w:fill="auto"/>
            <w:noWrap/>
            <w:vAlign w:val="center"/>
          </w:tcPr>
          <w:p w14:paraId="56FA9A1A">
            <w:pPr>
              <w:widowControl/>
              <w:jc w:val="center"/>
              <w:rPr>
                <w:rFonts w:ascii="宋体" w:hAnsi="宋体" w:cs="宋体"/>
                <w:color w:val="000000"/>
                <w:kern w:val="0"/>
                <w:sz w:val="18"/>
                <w:szCs w:val="18"/>
              </w:rPr>
            </w:pPr>
            <w:r>
              <w:rPr>
                <w:rFonts w:hint="eastAsia" w:ascii="宋体" w:hAnsi="宋体" w:cs="宋体"/>
                <w:color w:val="000000"/>
                <w:kern w:val="0"/>
                <w:sz w:val="18"/>
                <w:szCs w:val="18"/>
              </w:rPr>
              <w:t>-10.12</w:t>
            </w:r>
          </w:p>
        </w:tc>
        <w:tc>
          <w:tcPr>
            <w:tcW w:w="1231" w:type="dxa"/>
            <w:tcBorders>
              <w:top w:val="nil"/>
              <w:left w:val="nil"/>
              <w:bottom w:val="single" w:color="auto" w:sz="4" w:space="0"/>
              <w:right w:val="single" w:color="auto" w:sz="4" w:space="0"/>
            </w:tcBorders>
            <w:shd w:val="clear" w:color="auto" w:fill="auto"/>
            <w:vAlign w:val="center"/>
          </w:tcPr>
          <w:p w14:paraId="56E8753D">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r w14:paraId="45ACB378">
        <w:tblPrEx>
          <w:tblCellMar>
            <w:top w:w="0" w:type="dxa"/>
            <w:left w:w="108" w:type="dxa"/>
            <w:bottom w:w="0" w:type="dxa"/>
            <w:right w:w="108" w:type="dxa"/>
          </w:tblCellMar>
        </w:tblPrEx>
        <w:trPr>
          <w:trHeight w:val="300" w:hRule="atLeast"/>
        </w:trPr>
        <w:tc>
          <w:tcPr>
            <w:tcW w:w="1340" w:type="dxa"/>
            <w:tcBorders>
              <w:top w:val="nil"/>
              <w:left w:val="single" w:color="auto" w:sz="4" w:space="0"/>
              <w:bottom w:val="single" w:color="auto" w:sz="4" w:space="0"/>
              <w:right w:val="single" w:color="auto" w:sz="4" w:space="0"/>
            </w:tcBorders>
            <w:shd w:val="clear" w:color="auto" w:fill="auto"/>
            <w:noWrap/>
            <w:vAlign w:val="center"/>
          </w:tcPr>
          <w:p w14:paraId="63F94CEE">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140" w:type="dxa"/>
            <w:tcBorders>
              <w:top w:val="nil"/>
              <w:left w:val="nil"/>
              <w:bottom w:val="single" w:color="auto" w:sz="4" w:space="0"/>
              <w:right w:val="single" w:color="auto" w:sz="4" w:space="0"/>
            </w:tcBorders>
            <w:shd w:val="clear" w:color="auto" w:fill="auto"/>
            <w:noWrap/>
            <w:vAlign w:val="center"/>
          </w:tcPr>
          <w:p w14:paraId="720A3503">
            <w:pPr>
              <w:widowControl/>
              <w:jc w:val="center"/>
              <w:rPr>
                <w:rFonts w:ascii="宋体" w:hAnsi="宋体" w:cs="宋体"/>
                <w:color w:val="000000"/>
                <w:kern w:val="0"/>
                <w:sz w:val="18"/>
                <w:szCs w:val="18"/>
              </w:rPr>
            </w:pPr>
            <w:r>
              <w:rPr>
                <w:rFonts w:hint="eastAsia" w:ascii="宋体" w:hAnsi="宋体" w:cs="宋体"/>
                <w:color w:val="000000"/>
                <w:kern w:val="0"/>
                <w:sz w:val="18"/>
                <w:szCs w:val="18"/>
              </w:rPr>
              <w:t>653.38</w:t>
            </w:r>
          </w:p>
        </w:tc>
        <w:tc>
          <w:tcPr>
            <w:tcW w:w="2069" w:type="dxa"/>
            <w:tcBorders>
              <w:top w:val="nil"/>
              <w:left w:val="nil"/>
              <w:bottom w:val="single" w:color="auto" w:sz="4" w:space="0"/>
              <w:right w:val="single" w:color="auto" w:sz="4" w:space="0"/>
            </w:tcBorders>
            <w:shd w:val="clear" w:color="auto" w:fill="auto"/>
            <w:noWrap/>
            <w:vAlign w:val="center"/>
          </w:tcPr>
          <w:p w14:paraId="5141E65F">
            <w:pPr>
              <w:widowControl/>
              <w:jc w:val="center"/>
              <w:rPr>
                <w:rFonts w:ascii="宋体" w:hAnsi="宋体" w:cs="宋体"/>
                <w:color w:val="000000"/>
                <w:kern w:val="0"/>
                <w:sz w:val="18"/>
                <w:szCs w:val="18"/>
              </w:rPr>
            </w:pPr>
            <w:r>
              <w:rPr>
                <w:rFonts w:hint="eastAsia" w:ascii="宋体" w:hAnsi="宋体" w:cs="宋体"/>
                <w:color w:val="000000"/>
                <w:kern w:val="0"/>
                <w:sz w:val="18"/>
                <w:szCs w:val="18"/>
              </w:rPr>
              <w:t>296.99</w:t>
            </w:r>
          </w:p>
        </w:tc>
        <w:tc>
          <w:tcPr>
            <w:tcW w:w="1347" w:type="dxa"/>
            <w:tcBorders>
              <w:top w:val="nil"/>
              <w:left w:val="nil"/>
              <w:bottom w:val="single" w:color="auto" w:sz="4" w:space="0"/>
              <w:right w:val="single" w:color="auto" w:sz="4" w:space="0"/>
            </w:tcBorders>
            <w:shd w:val="clear" w:color="auto" w:fill="auto"/>
            <w:noWrap/>
            <w:vAlign w:val="center"/>
          </w:tcPr>
          <w:p w14:paraId="093D9326">
            <w:pPr>
              <w:widowControl/>
              <w:jc w:val="center"/>
              <w:rPr>
                <w:rFonts w:ascii="宋体" w:hAnsi="宋体" w:cs="宋体"/>
                <w:color w:val="000000"/>
                <w:kern w:val="0"/>
                <w:sz w:val="18"/>
                <w:szCs w:val="18"/>
              </w:rPr>
            </w:pPr>
            <w:r>
              <w:rPr>
                <w:rFonts w:hint="eastAsia" w:ascii="宋体" w:hAnsi="宋体" w:cs="宋体"/>
                <w:color w:val="000000"/>
                <w:kern w:val="0"/>
                <w:sz w:val="18"/>
                <w:szCs w:val="18"/>
              </w:rPr>
              <w:t>288.34</w:t>
            </w:r>
          </w:p>
        </w:tc>
        <w:tc>
          <w:tcPr>
            <w:tcW w:w="2522" w:type="dxa"/>
            <w:tcBorders>
              <w:top w:val="nil"/>
              <w:left w:val="nil"/>
              <w:bottom w:val="single" w:color="auto" w:sz="4" w:space="0"/>
              <w:right w:val="single" w:color="auto" w:sz="4" w:space="0"/>
            </w:tcBorders>
            <w:shd w:val="clear" w:color="auto" w:fill="auto"/>
            <w:noWrap/>
            <w:vAlign w:val="center"/>
          </w:tcPr>
          <w:p w14:paraId="675DF46B">
            <w:pPr>
              <w:widowControl/>
              <w:jc w:val="center"/>
              <w:rPr>
                <w:rFonts w:ascii="宋体" w:hAnsi="宋体" w:cs="宋体"/>
                <w:color w:val="000000"/>
                <w:kern w:val="0"/>
                <w:sz w:val="18"/>
                <w:szCs w:val="18"/>
              </w:rPr>
            </w:pPr>
            <w:r>
              <w:rPr>
                <w:rFonts w:hint="eastAsia" w:ascii="宋体" w:hAnsi="宋体" w:cs="宋体"/>
                <w:color w:val="000000"/>
                <w:kern w:val="0"/>
                <w:sz w:val="18"/>
                <w:szCs w:val="18"/>
              </w:rPr>
              <w:t>-8.65</w:t>
            </w:r>
          </w:p>
        </w:tc>
        <w:tc>
          <w:tcPr>
            <w:tcW w:w="1231" w:type="dxa"/>
            <w:tcBorders>
              <w:top w:val="nil"/>
              <w:left w:val="nil"/>
              <w:bottom w:val="single" w:color="auto" w:sz="4" w:space="0"/>
              <w:right w:val="single" w:color="auto" w:sz="4" w:space="0"/>
            </w:tcBorders>
            <w:shd w:val="clear" w:color="auto" w:fill="auto"/>
            <w:vAlign w:val="center"/>
          </w:tcPr>
          <w:p w14:paraId="02E73D8D">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w:t>
            </w:r>
          </w:p>
        </w:tc>
      </w:tr>
    </w:tbl>
    <w:p w14:paraId="653167F9">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（二）城乡建设用地</w:t>
      </w:r>
    </w:p>
    <w:p w14:paraId="7E0360B9">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昆明市下达东川区2020年城乡建设用地规模指标为3677.25公顷，按照年平均增长法算，全区2014年城乡建设用地阶段指标为4275.67公顷。2014年全区城乡建设用地实际规模5055.54公顷，比2020年上级下达指标多1378.29公顷，比2014年阶段指标多779.87公顷。从各乡镇的执行情况上看，均超出阶段目标，城乡建设用地规模执行情况较差。</w:t>
      </w:r>
    </w:p>
    <w:p w14:paraId="09AB6DCD">
      <w:pPr>
        <w:jc w:val="center"/>
        <w:outlineLvl w:val="4"/>
        <w:rPr>
          <w:rFonts w:ascii="宋体" w:cs="宋体"/>
          <w:b/>
          <w:kern w:val="0"/>
          <w:sz w:val="24"/>
        </w:rPr>
      </w:pPr>
      <w:r>
        <w:rPr>
          <w:rFonts w:hint="eastAsia" w:ascii="宋体" w:hAnsi="宋体"/>
          <w:b/>
          <w:sz w:val="24"/>
        </w:rPr>
        <w:t>表</w:t>
      </w:r>
      <w:r>
        <w:rPr>
          <w:rFonts w:ascii="宋体" w:hAnsi="宋体"/>
          <w:b/>
          <w:sz w:val="24"/>
        </w:rPr>
        <w:t>3-</w:t>
      </w:r>
      <w:r>
        <w:rPr>
          <w:rFonts w:hint="eastAsia" w:ascii="宋体" w:hAnsi="宋体"/>
          <w:b/>
          <w:sz w:val="24"/>
        </w:rPr>
        <w:t xml:space="preserve">10 </w:t>
      </w:r>
      <w:r>
        <w:rPr>
          <w:rFonts w:ascii="宋体" w:hAnsi="宋体"/>
          <w:b/>
          <w:sz w:val="24"/>
        </w:rPr>
        <w:t xml:space="preserve"> </w:t>
      </w:r>
      <w:r>
        <w:rPr>
          <w:rFonts w:hint="eastAsia" w:ascii="宋体" w:hAnsi="宋体"/>
          <w:b/>
          <w:sz w:val="24"/>
        </w:rPr>
        <w:t>东川区城乡建设用地实施情况评估表</w:t>
      </w:r>
    </w:p>
    <w:p w14:paraId="3DE8204C">
      <w:pPr>
        <w:widowControl/>
        <w:jc w:val="right"/>
        <w:rPr>
          <w:rFonts w:ascii="宋体" w:hAnsi="宋体" w:cs="宋体"/>
          <w:color w:val="000000"/>
          <w:kern w:val="0"/>
          <w:sz w:val="18"/>
          <w:szCs w:val="18"/>
        </w:rPr>
      </w:pPr>
      <w:r>
        <w:rPr>
          <w:rFonts w:hint="eastAsia" w:ascii="宋体" w:hAnsi="宋体" w:cs="宋体"/>
          <w:color w:val="000000"/>
          <w:kern w:val="0"/>
          <w:sz w:val="18"/>
          <w:szCs w:val="18"/>
        </w:rPr>
        <w:t>单位：公顷</w:t>
      </w:r>
    </w:p>
    <w:tbl>
      <w:tblPr>
        <w:tblStyle w:val="27"/>
        <w:tblW w:w="10194" w:type="dxa"/>
        <w:tblInd w:w="96" w:type="dxa"/>
        <w:tblLayout w:type="autofit"/>
        <w:tblCellMar>
          <w:top w:w="0" w:type="dxa"/>
          <w:left w:w="108" w:type="dxa"/>
          <w:bottom w:w="0" w:type="dxa"/>
          <w:right w:w="108" w:type="dxa"/>
        </w:tblCellMar>
      </w:tblPr>
      <w:tblGrid>
        <w:gridCol w:w="960"/>
        <w:gridCol w:w="1340"/>
        <w:gridCol w:w="1140"/>
        <w:gridCol w:w="1347"/>
        <w:gridCol w:w="1347"/>
        <w:gridCol w:w="2742"/>
        <w:gridCol w:w="1318"/>
      </w:tblGrid>
      <w:tr w14:paraId="5F8EE731">
        <w:tblPrEx>
          <w:tblCellMar>
            <w:top w:w="0" w:type="dxa"/>
            <w:left w:w="108" w:type="dxa"/>
            <w:bottom w:w="0" w:type="dxa"/>
            <w:right w:w="108" w:type="dxa"/>
          </w:tblCellMar>
        </w:tblPrEx>
        <w:trPr>
          <w:trHeight w:val="288" w:hRule="atLeast"/>
        </w:trPr>
        <w:tc>
          <w:tcPr>
            <w:tcW w:w="96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0E6BED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行政区</w:t>
            </w:r>
          </w:p>
        </w:tc>
        <w:tc>
          <w:tcPr>
            <w:tcW w:w="13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C0ABEE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2009年</w:t>
            </w:r>
          </w:p>
        </w:tc>
        <w:tc>
          <w:tcPr>
            <w:tcW w:w="11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D835D8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下达指标</w:t>
            </w:r>
          </w:p>
        </w:tc>
        <w:tc>
          <w:tcPr>
            <w:tcW w:w="13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1C5F1D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2014年规划</w:t>
            </w:r>
          </w:p>
          <w:p w14:paraId="345A433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阶段指标</w:t>
            </w:r>
          </w:p>
        </w:tc>
        <w:tc>
          <w:tcPr>
            <w:tcW w:w="13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2A5170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2014年现状</w:t>
            </w:r>
          </w:p>
        </w:tc>
        <w:tc>
          <w:tcPr>
            <w:tcW w:w="4060" w:type="dxa"/>
            <w:gridSpan w:val="2"/>
            <w:tcBorders>
              <w:top w:val="single" w:color="auto" w:sz="4" w:space="0"/>
              <w:left w:val="nil"/>
              <w:bottom w:val="single" w:color="auto" w:sz="4" w:space="0"/>
              <w:right w:val="single" w:color="auto" w:sz="4" w:space="0"/>
            </w:tcBorders>
            <w:shd w:val="clear" w:color="auto" w:fill="auto"/>
            <w:noWrap/>
            <w:vAlign w:val="center"/>
          </w:tcPr>
          <w:p w14:paraId="1F1D70F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阶段指标完成情况</w:t>
            </w:r>
          </w:p>
        </w:tc>
      </w:tr>
      <w:tr w14:paraId="07F562BB">
        <w:tblPrEx>
          <w:tblCellMar>
            <w:top w:w="0" w:type="dxa"/>
            <w:left w:w="108" w:type="dxa"/>
            <w:bottom w:w="0" w:type="dxa"/>
            <w:right w:w="108" w:type="dxa"/>
          </w:tblCellMar>
        </w:tblPrEx>
        <w:trPr>
          <w:trHeight w:val="288" w:hRule="atLeast"/>
        </w:trPr>
        <w:tc>
          <w:tcPr>
            <w:tcW w:w="960" w:type="dxa"/>
            <w:vMerge w:val="continue"/>
            <w:tcBorders>
              <w:top w:val="single" w:color="auto" w:sz="4" w:space="0"/>
              <w:left w:val="single" w:color="auto" w:sz="4" w:space="0"/>
              <w:bottom w:val="single" w:color="auto" w:sz="4" w:space="0"/>
              <w:right w:val="single" w:color="auto" w:sz="4" w:space="0"/>
            </w:tcBorders>
            <w:vAlign w:val="center"/>
          </w:tcPr>
          <w:p w14:paraId="751CC8A9">
            <w:pPr>
              <w:widowControl/>
              <w:jc w:val="left"/>
              <w:rPr>
                <w:rFonts w:ascii="宋体" w:hAnsi="宋体" w:cs="宋体"/>
                <w:b/>
                <w:bCs/>
                <w:color w:val="000000"/>
                <w:kern w:val="0"/>
                <w:sz w:val="18"/>
                <w:szCs w:val="18"/>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14:paraId="50FB648C">
            <w:pPr>
              <w:widowControl/>
              <w:jc w:val="left"/>
              <w:rPr>
                <w:rFonts w:ascii="宋体" w:hAnsi="宋体" w:cs="宋体"/>
                <w:b/>
                <w:bCs/>
                <w:color w:val="000000"/>
                <w:kern w:val="0"/>
                <w:sz w:val="18"/>
                <w:szCs w:val="18"/>
              </w:rPr>
            </w:pPr>
          </w:p>
        </w:tc>
        <w:tc>
          <w:tcPr>
            <w:tcW w:w="1140" w:type="dxa"/>
            <w:vMerge w:val="continue"/>
            <w:tcBorders>
              <w:top w:val="single" w:color="auto" w:sz="4" w:space="0"/>
              <w:left w:val="single" w:color="auto" w:sz="4" w:space="0"/>
              <w:bottom w:val="single" w:color="auto" w:sz="4" w:space="0"/>
              <w:right w:val="single" w:color="auto" w:sz="4" w:space="0"/>
            </w:tcBorders>
            <w:vAlign w:val="center"/>
          </w:tcPr>
          <w:p w14:paraId="4951C62A">
            <w:pPr>
              <w:widowControl/>
              <w:jc w:val="left"/>
              <w:rPr>
                <w:rFonts w:ascii="宋体" w:hAnsi="宋体" w:cs="宋体"/>
                <w:b/>
                <w:bCs/>
                <w:color w:val="000000"/>
                <w:kern w:val="0"/>
                <w:sz w:val="18"/>
                <w:szCs w:val="18"/>
              </w:rPr>
            </w:pPr>
          </w:p>
        </w:tc>
        <w:tc>
          <w:tcPr>
            <w:tcW w:w="1347" w:type="dxa"/>
            <w:vMerge w:val="continue"/>
            <w:tcBorders>
              <w:top w:val="single" w:color="auto" w:sz="4" w:space="0"/>
              <w:left w:val="single" w:color="auto" w:sz="4" w:space="0"/>
              <w:bottom w:val="single" w:color="auto" w:sz="4" w:space="0"/>
              <w:right w:val="single" w:color="auto" w:sz="4" w:space="0"/>
            </w:tcBorders>
            <w:vAlign w:val="center"/>
          </w:tcPr>
          <w:p w14:paraId="3596EEED">
            <w:pPr>
              <w:widowControl/>
              <w:jc w:val="left"/>
              <w:rPr>
                <w:rFonts w:ascii="宋体" w:hAnsi="宋体" w:cs="宋体"/>
                <w:b/>
                <w:bCs/>
                <w:color w:val="000000"/>
                <w:kern w:val="0"/>
                <w:sz w:val="18"/>
                <w:szCs w:val="18"/>
              </w:rPr>
            </w:pPr>
          </w:p>
        </w:tc>
        <w:tc>
          <w:tcPr>
            <w:tcW w:w="1347" w:type="dxa"/>
            <w:vMerge w:val="continue"/>
            <w:tcBorders>
              <w:top w:val="single" w:color="auto" w:sz="4" w:space="0"/>
              <w:left w:val="single" w:color="auto" w:sz="4" w:space="0"/>
              <w:bottom w:val="single" w:color="auto" w:sz="4" w:space="0"/>
              <w:right w:val="single" w:color="auto" w:sz="4" w:space="0"/>
            </w:tcBorders>
            <w:vAlign w:val="center"/>
          </w:tcPr>
          <w:p w14:paraId="09A9FBEE">
            <w:pPr>
              <w:widowControl/>
              <w:jc w:val="left"/>
              <w:rPr>
                <w:rFonts w:ascii="宋体" w:hAnsi="宋体" w:cs="宋体"/>
                <w:b/>
                <w:bCs/>
                <w:color w:val="000000"/>
                <w:kern w:val="0"/>
                <w:sz w:val="18"/>
                <w:szCs w:val="18"/>
              </w:rPr>
            </w:pPr>
          </w:p>
        </w:tc>
        <w:tc>
          <w:tcPr>
            <w:tcW w:w="2742" w:type="dxa"/>
            <w:tcBorders>
              <w:top w:val="nil"/>
              <w:left w:val="nil"/>
              <w:bottom w:val="single" w:color="auto" w:sz="4" w:space="0"/>
              <w:right w:val="single" w:color="auto" w:sz="4" w:space="0"/>
            </w:tcBorders>
            <w:shd w:val="clear" w:color="auto" w:fill="auto"/>
            <w:noWrap/>
            <w:vAlign w:val="center"/>
          </w:tcPr>
          <w:p w14:paraId="4455700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2014年现状-规划阶段指标</w:t>
            </w:r>
          </w:p>
        </w:tc>
        <w:tc>
          <w:tcPr>
            <w:tcW w:w="1318" w:type="dxa"/>
            <w:tcBorders>
              <w:top w:val="nil"/>
              <w:left w:val="nil"/>
              <w:bottom w:val="single" w:color="auto" w:sz="4" w:space="0"/>
              <w:right w:val="single" w:color="auto" w:sz="4" w:space="0"/>
            </w:tcBorders>
            <w:shd w:val="clear" w:color="auto" w:fill="auto"/>
            <w:noWrap/>
            <w:vAlign w:val="center"/>
          </w:tcPr>
          <w:p w14:paraId="5131CF7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完成情况</w:t>
            </w:r>
          </w:p>
        </w:tc>
      </w:tr>
      <w:tr w14:paraId="34C14AE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0C674F7D">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340" w:type="dxa"/>
            <w:tcBorders>
              <w:top w:val="nil"/>
              <w:left w:val="nil"/>
              <w:bottom w:val="single" w:color="auto" w:sz="4" w:space="0"/>
              <w:right w:val="single" w:color="auto" w:sz="4" w:space="0"/>
            </w:tcBorders>
            <w:shd w:val="clear" w:color="auto" w:fill="auto"/>
            <w:noWrap/>
            <w:vAlign w:val="center"/>
          </w:tcPr>
          <w:p w14:paraId="7B1AAEF7">
            <w:pPr>
              <w:widowControl/>
              <w:jc w:val="center"/>
              <w:rPr>
                <w:rFonts w:ascii="宋体" w:hAnsi="宋体" w:cs="宋体"/>
                <w:color w:val="000000"/>
                <w:kern w:val="0"/>
                <w:sz w:val="18"/>
                <w:szCs w:val="18"/>
              </w:rPr>
            </w:pPr>
            <w:r>
              <w:rPr>
                <w:rFonts w:hint="eastAsia" w:ascii="宋体" w:hAnsi="宋体" w:cs="宋体"/>
                <w:color w:val="000000"/>
                <w:kern w:val="0"/>
                <w:sz w:val="18"/>
                <w:szCs w:val="18"/>
              </w:rPr>
              <w:t>459.29</w:t>
            </w:r>
          </w:p>
        </w:tc>
        <w:tc>
          <w:tcPr>
            <w:tcW w:w="1140" w:type="dxa"/>
            <w:tcBorders>
              <w:top w:val="nil"/>
              <w:left w:val="nil"/>
              <w:bottom w:val="single" w:color="auto" w:sz="4" w:space="0"/>
              <w:right w:val="single" w:color="auto" w:sz="4" w:space="0"/>
            </w:tcBorders>
            <w:shd w:val="clear" w:color="auto" w:fill="auto"/>
            <w:noWrap/>
            <w:vAlign w:val="center"/>
          </w:tcPr>
          <w:p w14:paraId="37F2820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328.14 </w:t>
            </w:r>
          </w:p>
        </w:tc>
        <w:tc>
          <w:tcPr>
            <w:tcW w:w="1347" w:type="dxa"/>
            <w:tcBorders>
              <w:top w:val="nil"/>
              <w:left w:val="nil"/>
              <w:bottom w:val="single" w:color="auto" w:sz="4" w:space="0"/>
              <w:right w:val="single" w:color="auto" w:sz="4" w:space="0"/>
            </w:tcBorders>
            <w:shd w:val="clear" w:color="auto" w:fill="auto"/>
            <w:noWrap/>
            <w:vAlign w:val="center"/>
          </w:tcPr>
          <w:p w14:paraId="488D69E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447.89 </w:t>
            </w:r>
          </w:p>
        </w:tc>
        <w:tc>
          <w:tcPr>
            <w:tcW w:w="1347" w:type="dxa"/>
            <w:tcBorders>
              <w:top w:val="nil"/>
              <w:left w:val="nil"/>
              <w:bottom w:val="single" w:color="auto" w:sz="4" w:space="0"/>
              <w:right w:val="single" w:color="auto" w:sz="4" w:space="0"/>
            </w:tcBorders>
            <w:shd w:val="clear" w:color="auto" w:fill="auto"/>
            <w:noWrap/>
            <w:vAlign w:val="center"/>
          </w:tcPr>
          <w:p w14:paraId="4E0EE7E9">
            <w:pPr>
              <w:widowControl/>
              <w:jc w:val="center"/>
              <w:rPr>
                <w:rFonts w:ascii="宋体" w:hAnsi="宋体" w:cs="宋体"/>
                <w:color w:val="000000"/>
                <w:kern w:val="0"/>
                <w:sz w:val="18"/>
                <w:szCs w:val="18"/>
              </w:rPr>
            </w:pPr>
            <w:r>
              <w:rPr>
                <w:rFonts w:hint="eastAsia" w:ascii="宋体" w:hAnsi="宋体" w:cs="宋体"/>
                <w:color w:val="000000"/>
                <w:kern w:val="0"/>
                <w:sz w:val="18"/>
                <w:szCs w:val="18"/>
              </w:rPr>
              <w:t>479.97</w:t>
            </w:r>
          </w:p>
        </w:tc>
        <w:tc>
          <w:tcPr>
            <w:tcW w:w="2742" w:type="dxa"/>
            <w:tcBorders>
              <w:top w:val="nil"/>
              <w:left w:val="nil"/>
              <w:bottom w:val="single" w:color="auto" w:sz="4" w:space="0"/>
              <w:right w:val="single" w:color="auto" w:sz="4" w:space="0"/>
            </w:tcBorders>
            <w:shd w:val="clear" w:color="auto" w:fill="auto"/>
            <w:noWrap/>
            <w:vAlign w:val="center"/>
          </w:tcPr>
          <w:p w14:paraId="5B025B6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32.08 </w:t>
            </w:r>
          </w:p>
        </w:tc>
        <w:tc>
          <w:tcPr>
            <w:tcW w:w="1318" w:type="dxa"/>
            <w:tcBorders>
              <w:top w:val="nil"/>
              <w:left w:val="nil"/>
              <w:bottom w:val="single" w:color="auto" w:sz="4" w:space="0"/>
              <w:right w:val="single" w:color="auto" w:sz="4" w:space="0"/>
            </w:tcBorders>
            <w:shd w:val="clear" w:color="auto" w:fill="auto"/>
            <w:vAlign w:val="center"/>
          </w:tcPr>
          <w:p w14:paraId="2D79857B">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w:t>
            </w:r>
          </w:p>
        </w:tc>
      </w:tr>
      <w:tr w14:paraId="7BEC19F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1887B7B9">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340" w:type="dxa"/>
            <w:tcBorders>
              <w:top w:val="nil"/>
              <w:left w:val="nil"/>
              <w:bottom w:val="single" w:color="auto" w:sz="4" w:space="0"/>
              <w:right w:val="single" w:color="auto" w:sz="4" w:space="0"/>
            </w:tcBorders>
            <w:shd w:val="clear" w:color="auto" w:fill="auto"/>
            <w:noWrap/>
            <w:vAlign w:val="center"/>
          </w:tcPr>
          <w:p w14:paraId="7166C054">
            <w:pPr>
              <w:widowControl/>
              <w:jc w:val="center"/>
              <w:rPr>
                <w:rFonts w:ascii="宋体" w:hAnsi="宋体" w:cs="宋体"/>
                <w:color w:val="000000"/>
                <w:kern w:val="0"/>
                <w:sz w:val="18"/>
                <w:szCs w:val="18"/>
              </w:rPr>
            </w:pPr>
            <w:r>
              <w:rPr>
                <w:rFonts w:hint="eastAsia" w:ascii="宋体" w:hAnsi="宋体" w:cs="宋体"/>
                <w:color w:val="000000"/>
                <w:kern w:val="0"/>
                <w:sz w:val="18"/>
                <w:szCs w:val="18"/>
              </w:rPr>
              <w:t>1985.36</w:t>
            </w:r>
          </w:p>
        </w:tc>
        <w:tc>
          <w:tcPr>
            <w:tcW w:w="1140" w:type="dxa"/>
            <w:tcBorders>
              <w:top w:val="nil"/>
              <w:left w:val="nil"/>
              <w:bottom w:val="single" w:color="auto" w:sz="4" w:space="0"/>
              <w:right w:val="single" w:color="auto" w:sz="4" w:space="0"/>
            </w:tcBorders>
            <w:shd w:val="clear" w:color="auto" w:fill="auto"/>
            <w:noWrap/>
            <w:vAlign w:val="center"/>
          </w:tcPr>
          <w:p w14:paraId="355E9FE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1888.17 </w:t>
            </w:r>
          </w:p>
        </w:tc>
        <w:tc>
          <w:tcPr>
            <w:tcW w:w="1347" w:type="dxa"/>
            <w:tcBorders>
              <w:top w:val="nil"/>
              <w:left w:val="nil"/>
              <w:bottom w:val="single" w:color="auto" w:sz="4" w:space="0"/>
              <w:right w:val="single" w:color="auto" w:sz="4" w:space="0"/>
            </w:tcBorders>
            <w:shd w:val="clear" w:color="auto" w:fill="auto"/>
            <w:noWrap/>
            <w:vAlign w:val="center"/>
          </w:tcPr>
          <w:p w14:paraId="0AEAE55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1976.91 </w:t>
            </w:r>
          </w:p>
        </w:tc>
        <w:tc>
          <w:tcPr>
            <w:tcW w:w="1347" w:type="dxa"/>
            <w:tcBorders>
              <w:top w:val="nil"/>
              <w:left w:val="nil"/>
              <w:bottom w:val="single" w:color="auto" w:sz="4" w:space="0"/>
              <w:right w:val="single" w:color="auto" w:sz="4" w:space="0"/>
            </w:tcBorders>
            <w:shd w:val="clear" w:color="auto" w:fill="auto"/>
            <w:noWrap/>
            <w:vAlign w:val="center"/>
          </w:tcPr>
          <w:p w14:paraId="6022EE34">
            <w:pPr>
              <w:widowControl/>
              <w:jc w:val="center"/>
              <w:rPr>
                <w:rFonts w:ascii="宋体" w:hAnsi="宋体" w:cs="宋体"/>
                <w:color w:val="000000"/>
                <w:kern w:val="0"/>
                <w:sz w:val="18"/>
                <w:szCs w:val="18"/>
              </w:rPr>
            </w:pPr>
            <w:r>
              <w:rPr>
                <w:rFonts w:hint="eastAsia" w:ascii="宋体" w:hAnsi="宋体" w:cs="宋体"/>
                <w:color w:val="000000"/>
                <w:kern w:val="0"/>
                <w:sz w:val="18"/>
                <w:szCs w:val="18"/>
              </w:rPr>
              <w:t>2172.81</w:t>
            </w:r>
          </w:p>
        </w:tc>
        <w:tc>
          <w:tcPr>
            <w:tcW w:w="2742" w:type="dxa"/>
            <w:tcBorders>
              <w:top w:val="nil"/>
              <w:left w:val="nil"/>
              <w:bottom w:val="single" w:color="auto" w:sz="4" w:space="0"/>
              <w:right w:val="single" w:color="auto" w:sz="4" w:space="0"/>
            </w:tcBorders>
            <w:shd w:val="clear" w:color="auto" w:fill="auto"/>
            <w:noWrap/>
            <w:vAlign w:val="center"/>
          </w:tcPr>
          <w:p w14:paraId="6C4202E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195.90 </w:t>
            </w:r>
          </w:p>
        </w:tc>
        <w:tc>
          <w:tcPr>
            <w:tcW w:w="1318" w:type="dxa"/>
            <w:tcBorders>
              <w:top w:val="nil"/>
              <w:left w:val="nil"/>
              <w:bottom w:val="single" w:color="auto" w:sz="4" w:space="0"/>
              <w:right w:val="single" w:color="auto" w:sz="4" w:space="0"/>
            </w:tcBorders>
            <w:shd w:val="clear" w:color="auto" w:fill="auto"/>
          </w:tcPr>
          <w:p w14:paraId="63FA6DC1">
            <w:pPr>
              <w:jc w:val="center"/>
            </w:pPr>
            <w:r>
              <w:rPr>
                <w:rFonts w:hint="eastAsia" w:ascii="宋体" w:hAnsi="宋体" w:cs="宋体"/>
                <w:color w:val="000000"/>
                <w:kern w:val="0"/>
                <w:sz w:val="18"/>
                <w:szCs w:val="18"/>
              </w:rPr>
              <w:t>未完成</w:t>
            </w:r>
          </w:p>
        </w:tc>
      </w:tr>
      <w:tr w14:paraId="2F6B273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112065B4">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340" w:type="dxa"/>
            <w:tcBorders>
              <w:top w:val="nil"/>
              <w:left w:val="nil"/>
              <w:bottom w:val="single" w:color="auto" w:sz="4" w:space="0"/>
              <w:right w:val="single" w:color="auto" w:sz="4" w:space="0"/>
            </w:tcBorders>
            <w:shd w:val="clear" w:color="auto" w:fill="auto"/>
            <w:noWrap/>
            <w:vAlign w:val="center"/>
          </w:tcPr>
          <w:p w14:paraId="687ED1C2">
            <w:pPr>
              <w:widowControl/>
              <w:jc w:val="center"/>
              <w:rPr>
                <w:rFonts w:ascii="宋体" w:hAnsi="宋体" w:cs="宋体"/>
                <w:color w:val="000000"/>
                <w:kern w:val="0"/>
                <w:sz w:val="18"/>
                <w:szCs w:val="18"/>
              </w:rPr>
            </w:pPr>
            <w:r>
              <w:rPr>
                <w:rFonts w:hint="eastAsia" w:ascii="宋体" w:hAnsi="宋体" w:cs="宋体"/>
                <w:color w:val="000000"/>
                <w:kern w:val="0"/>
                <w:sz w:val="18"/>
                <w:szCs w:val="18"/>
              </w:rPr>
              <w:t>380.46</w:t>
            </w:r>
          </w:p>
        </w:tc>
        <w:tc>
          <w:tcPr>
            <w:tcW w:w="1140" w:type="dxa"/>
            <w:tcBorders>
              <w:top w:val="nil"/>
              <w:left w:val="nil"/>
              <w:bottom w:val="single" w:color="auto" w:sz="4" w:space="0"/>
              <w:right w:val="single" w:color="auto" w:sz="4" w:space="0"/>
            </w:tcBorders>
            <w:shd w:val="clear" w:color="auto" w:fill="auto"/>
            <w:noWrap/>
            <w:vAlign w:val="center"/>
          </w:tcPr>
          <w:p w14:paraId="357C2E3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352.22 </w:t>
            </w:r>
          </w:p>
        </w:tc>
        <w:tc>
          <w:tcPr>
            <w:tcW w:w="1347" w:type="dxa"/>
            <w:tcBorders>
              <w:top w:val="nil"/>
              <w:left w:val="nil"/>
              <w:bottom w:val="single" w:color="auto" w:sz="4" w:space="0"/>
              <w:right w:val="single" w:color="auto" w:sz="4" w:space="0"/>
            </w:tcBorders>
            <w:shd w:val="clear" w:color="auto" w:fill="auto"/>
            <w:noWrap/>
            <w:vAlign w:val="center"/>
          </w:tcPr>
          <w:p w14:paraId="22307AA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378.00 </w:t>
            </w:r>
          </w:p>
        </w:tc>
        <w:tc>
          <w:tcPr>
            <w:tcW w:w="1347" w:type="dxa"/>
            <w:tcBorders>
              <w:top w:val="nil"/>
              <w:left w:val="nil"/>
              <w:bottom w:val="single" w:color="auto" w:sz="4" w:space="0"/>
              <w:right w:val="single" w:color="auto" w:sz="4" w:space="0"/>
            </w:tcBorders>
            <w:shd w:val="clear" w:color="auto" w:fill="auto"/>
            <w:noWrap/>
            <w:vAlign w:val="center"/>
          </w:tcPr>
          <w:p w14:paraId="1FB57584">
            <w:pPr>
              <w:widowControl/>
              <w:jc w:val="center"/>
              <w:rPr>
                <w:rFonts w:ascii="宋体" w:hAnsi="宋体" w:cs="宋体"/>
                <w:color w:val="000000"/>
                <w:kern w:val="0"/>
                <w:sz w:val="18"/>
                <w:szCs w:val="18"/>
              </w:rPr>
            </w:pPr>
            <w:r>
              <w:rPr>
                <w:rFonts w:hint="eastAsia" w:ascii="宋体" w:hAnsi="宋体" w:cs="宋体"/>
                <w:color w:val="000000"/>
                <w:kern w:val="0"/>
                <w:sz w:val="18"/>
                <w:szCs w:val="18"/>
              </w:rPr>
              <w:t>404.33</w:t>
            </w:r>
          </w:p>
        </w:tc>
        <w:tc>
          <w:tcPr>
            <w:tcW w:w="2742" w:type="dxa"/>
            <w:tcBorders>
              <w:top w:val="nil"/>
              <w:left w:val="nil"/>
              <w:bottom w:val="single" w:color="auto" w:sz="4" w:space="0"/>
              <w:right w:val="single" w:color="auto" w:sz="4" w:space="0"/>
            </w:tcBorders>
            <w:shd w:val="clear" w:color="auto" w:fill="auto"/>
            <w:noWrap/>
            <w:vAlign w:val="center"/>
          </w:tcPr>
          <w:p w14:paraId="5A246BF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26.33 </w:t>
            </w:r>
          </w:p>
        </w:tc>
        <w:tc>
          <w:tcPr>
            <w:tcW w:w="1318" w:type="dxa"/>
            <w:tcBorders>
              <w:top w:val="nil"/>
              <w:left w:val="nil"/>
              <w:bottom w:val="single" w:color="auto" w:sz="4" w:space="0"/>
              <w:right w:val="single" w:color="auto" w:sz="4" w:space="0"/>
            </w:tcBorders>
            <w:shd w:val="clear" w:color="auto" w:fill="auto"/>
          </w:tcPr>
          <w:p w14:paraId="3884FC7D">
            <w:pPr>
              <w:jc w:val="center"/>
            </w:pPr>
            <w:r>
              <w:rPr>
                <w:rFonts w:hint="eastAsia" w:ascii="宋体" w:hAnsi="宋体" w:cs="宋体"/>
                <w:color w:val="000000"/>
                <w:kern w:val="0"/>
                <w:sz w:val="18"/>
                <w:szCs w:val="18"/>
              </w:rPr>
              <w:t>未完成</w:t>
            </w:r>
          </w:p>
        </w:tc>
      </w:tr>
      <w:tr w14:paraId="5330291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4A362CD9">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340" w:type="dxa"/>
            <w:tcBorders>
              <w:top w:val="nil"/>
              <w:left w:val="nil"/>
              <w:bottom w:val="single" w:color="auto" w:sz="4" w:space="0"/>
              <w:right w:val="single" w:color="auto" w:sz="4" w:space="0"/>
            </w:tcBorders>
            <w:shd w:val="clear" w:color="auto" w:fill="auto"/>
            <w:noWrap/>
            <w:vAlign w:val="center"/>
          </w:tcPr>
          <w:p w14:paraId="655F317B">
            <w:pPr>
              <w:widowControl/>
              <w:jc w:val="center"/>
              <w:rPr>
                <w:rFonts w:ascii="宋体" w:hAnsi="宋体" w:cs="宋体"/>
                <w:color w:val="000000"/>
                <w:kern w:val="0"/>
                <w:sz w:val="18"/>
                <w:szCs w:val="18"/>
              </w:rPr>
            </w:pPr>
            <w:r>
              <w:rPr>
                <w:rFonts w:hint="eastAsia" w:ascii="宋体" w:hAnsi="宋体" w:cs="宋体"/>
                <w:color w:val="000000"/>
                <w:kern w:val="0"/>
                <w:sz w:val="18"/>
                <w:szCs w:val="18"/>
              </w:rPr>
              <w:t>334.85</w:t>
            </w:r>
          </w:p>
        </w:tc>
        <w:tc>
          <w:tcPr>
            <w:tcW w:w="1140" w:type="dxa"/>
            <w:tcBorders>
              <w:top w:val="nil"/>
              <w:left w:val="nil"/>
              <w:bottom w:val="single" w:color="auto" w:sz="4" w:space="0"/>
              <w:right w:val="single" w:color="auto" w:sz="4" w:space="0"/>
            </w:tcBorders>
            <w:shd w:val="clear" w:color="auto" w:fill="auto"/>
            <w:noWrap/>
            <w:vAlign w:val="center"/>
          </w:tcPr>
          <w:p w14:paraId="4528CDD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241.55 </w:t>
            </w:r>
          </w:p>
        </w:tc>
        <w:tc>
          <w:tcPr>
            <w:tcW w:w="1347" w:type="dxa"/>
            <w:tcBorders>
              <w:top w:val="nil"/>
              <w:left w:val="nil"/>
              <w:bottom w:val="single" w:color="auto" w:sz="4" w:space="0"/>
              <w:right w:val="single" w:color="auto" w:sz="4" w:space="0"/>
            </w:tcBorders>
            <w:shd w:val="clear" w:color="auto" w:fill="auto"/>
            <w:noWrap/>
            <w:vAlign w:val="center"/>
          </w:tcPr>
          <w:p w14:paraId="21F22E9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326.74 </w:t>
            </w:r>
          </w:p>
        </w:tc>
        <w:tc>
          <w:tcPr>
            <w:tcW w:w="1347" w:type="dxa"/>
            <w:tcBorders>
              <w:top w:val="nil"/>
              <w:left w:val="nil"/>
              <w:bottom w:val="single" w:color="auto" w:sz="4" w:space="0"/>
              <w:right w:val="single" w:color="auto" w:sz="4" w:space="0"/>
            </w:tcBorders>
            <w:shd w:val="clear" w:color="auto" w:fill="auto"/>
            <w:noWrap/>
            <w:vAlign w:val="center"/>
          </w:tcPr>
          <w:p w14:paraId="3830D099">
            <w:pPr>
              <w:widowControl/>
              <w:jc w:val="center"/>
              <w:rPr>
                <w:rFonts w:ascii="宋体" w:hAnsi="宋体" w:cs="宋体"/>
                <w:color w:val="000000"/>
                <w:kern w:val="0"/>
                <w:sz w:val="18"/>
                <w:szCs w:val="18"/>
              </w:rPr>
            </w:pPr>
            <w:r>
              <w:rPr>
                <w:rFonts w:hint="eastAsia" w:ascii="宋体" w:hAnsi="宋体" w:cs="宋体"/>
                <w:color w:val="000000"/>
                <w:kern w:val="0"/>
                <w:sz w:val="18"/>
                <w:szCs w:val="18"/>
              </w:rPr>
              <w:t>342.35</w:t>
            </w:r>
          </w:p>
        </w:tc>
        <w:tc>
          <w:tcPr>
            <w:tcW w:w="2742" w:type="dxa"/>
            <w:tcBorders>
              <w:top w:val="nil"/>
              <w:left w:val="nil"/>
              <w:bottom w:val="single" w:color="auto" w:sz="4" w:space="0"/>
              <w:right w:val="single" w:color="auto" w:sz="4" w:space="0"/>
            </w:tcBorders>
            <w:shd w:val="clear" w:color="auto" w:fill="auto"/>
            <w:noWrap/>
            <w:vAlign w:val="center"/>
          </w:tcPr>
          <w:p w14:paraId="1EE0450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15.61 </w:t>
            </w:r>
          </w:p>
        </w:tc>
        <w:tc>
          <w:tcPr>
            <w:tcW w:w="1318" w:type="dxa"/>
            <w:tcBorders>
              <w:top w:val="nil"/>
              <w:left w:val="nil"/>
              <w:bottom w:val="single" w:color="auto" w:sz="4" w:space="0"/>
              <w:right w:val="single" w:color="auto" w:sz="4" w:space="0"/>
            </w:tcBorders>
            <w:shd w:val="clear" w:color="auto" w:fill="auto"/>
          </w:tcPr>
          <w:p w14:paraId="71E9CD1D">
            <w:pPr>
              <w:jc w:val="center"/>
            </w:pPr>
            <w:r>
              <w:rPr>
                <w:rFonts w:hint="eastAsia" w:ascii="宋体" w:hAnsi="宋体" w:cs="宋体"/>
                <w:color w:val="000000"/>
                <w:kern w:val="0"/>
                <w:sz w:val="18"/>
                <w:szCs w:val="18"/>
              </w:rPr>
              <w:t>未完成</w:t>
            </w:r>
          </w:p>
        </w:tc>
      </w:tr>
      <w:tr w14:paraId="39AC6BE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71E6E1F3">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340" w:type="dxa"/>
            <w:tcBorders>
              <w:top w:val="nil"/>
              <w:left w:val="nil"/>
              <w:bottom w:val="single" w:color="auto" w:sz="4" w:space="0"/>
              <w:right w:val="single" w:color="auto" w:sz="4" w:space="0"/>
            </w:tcBorders>
            <w:shd w:val="clear" w:color="auto" w:fill="auto"/>
            <w:noWrap/>
            <w:vAlign w:val="center"/>
          </w:tcPr>
          <w:p w14:paraId="01AC03C3">
            <w:pPr>
              <w:widowControl/>
              <w:jc w:val="center"/>
              <w:rPr>
                <w:rFonts w:ascii="宋体" w:hAnsi="宋体" w:cs="宋体"/>
                <w:color w:val="000000"/>
                <w:kern w:val="0"/>
                <w:sz w:val="18"/>
                <w:szCs w:val="18"/>
              </w:rPr>
            </w:pPr>
            <w:r>
              <w:rPr>
                <w:rFonts w:hint="eastAsia" w:ascii="宋体" w:hAnsi="宋体" w:cs="宋体"/>
                <w:color w:val="000000"/>
                <w:kern w:val="0"/>
                <w:sz w:val="18"/>
                <w:szCs w:val="18"/>
              </w:rPr>
              <w:t>826.16</w:t>
            </w:r>
          </w:p>
        </w:tc>
        <w:tc>
          <w:tcPr>
            <w:tcW w:w="1140" w:type="dxa"/>
            <w:tcBorders>
              <w:top w:val="nil"/>
              <w:left w:val="nil"/>
              <w:bottom w:val="single" w:color="auto" w:sz="4" w:space="0"/>
              <w:right w:val="single" w:color="auto" w:sz="4" w:space="0"/>
            </w:tcBorders>
            <w:shd w:val="clear" w:color="auto" w:fill="auto"/>
            <w:noWrap/>
            <w:vAlign w:val="center"/>
          </w:tcPr>
          <w:p w14:paraId="74588F3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441.31 </w:t>
            </w:r>
          </w:p>
        </w:tc>
        <w:tc>
          <w:tcPr>
            <w:tcW w:w="1347" w:type="dxa"/>
            <w:tcBorders>
              <w:top w:val="nil"/>
              <w:left w:val="nil"/>
              <w:bottom w:val="single" w:color="auto" w:sz="4" w:space="0"/>
              <w:right w:val="single" w:color="auto" w:sz="4" w:space="0"/>
            </w:tcBorders>
            <w:shd w:val="clear" w:color="auto" w:fill="auto"/>
            <w:noWrap/>
            <w:vAlign w:val="center"/>
          </w:tcPr>
          <w:p w14:paraId="6C4CB68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792.69 </w:t>
            </w:r>
          </w:p>
        </w:tc>
        <w:tc>
          <w:tcPr>
            <w:tcW w:w="1347" w:type="dxa"/>
            <w:tcBorders>
              <w:top w:val="nil"/>
              <w:left w:val="nil"/>
              <w:bottom w:val="single" w:color="auto" w:sz="4" w:space="0"/>
              <w:right w:val="single" w:color="auto" w:sz="4" w:space="0"/>
            </w:tcBorders>
            <w:shd w:val="clear" w:color="auto" w:fill="auto"/>
            <w:noWrap/>
            <w:vAlign w:val="center"/>
          </w:tcPr>
          <w:p w14:paraId="3059D92D">
            <w:pPr>
              <w:widowControl/>
              <w:jc w:val="center"/>
              <w:rPr>
                <w:rFonts w:ascii="宋体" w:hAnsi="宋体" w:cs="宋体"/>
                <w:color w:val="000000"/>
                <w:kern w:val="0"/>
                <w:sz w:val="18"/>
                <w:szCs w:val="18"/>
              </w:rPr>
            </w:pPr>
            <w:r>
              <w:rPr>
                <w:rFonts w:hint="eastAsia" w:ascii="宋体" w:hAnsi="宋体" w:cs="宋体"/>
                <w:color w:val="000000"/>
                <w:kern w:val="0"/>
                <w:sz w:val="18"/>
                <w:szCs w:val="18"/>
              </w:rPr>
              <w:t>837.48</w:t>
            </w:r>
          </w:p>
        </w:tc>
        <w:tc>
          <w:tcPr>
            <w:tcW w:w="2742" w:type="dxa"/>
            <w:tcBorders>
              <w:top w:val="nil"/>
              <w:left w:val="nil"/>
              <w:bottom w:val="single" w:color="auto" w:sz="4" w:space="0"/>
              <w:right w:val="single" w:color="auto" w:sz="4" w:space="0"/>
            </w:tcBorders>
            <w:shd w:val="clear" w:color="auto" w:fill="auto"/>
            <w:noWrap/>
            <w:vAlign w:val="center"/>
          </w:tcPr>
          <w:p w14:paraId="7D62D08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44.79 </w:t>
            </w:r>
          </w:p>
        </w:tc>
        <w:tc>
          <w:tcPr>
            <w:tcW w:w="1318" w:type="dxa"/>
            <w:tcBorders>
              <w:top w:val="nil"/>
              <w:left w:val="nil"/>
              <w:bottom w:val="single" w:color="auto" w:sz="4" w:space="0"/>
              <w:right w:val="single" w:color="auto" w:sz="4" w:space="0"/>
            </w:tcBorders>
            <w:shd w:val="clear" w:color="auto" w:fill="auto"/>
          </w:tcPr>
          <w:p w14:paraId="39C8D09B">
            <w:pPr>
              <w:jc w:val="center"/>
            </w:pPr>
            <w:r>
              <w:rPr>
                <w:rFonts w:hint="eastAsia" w:ascii="宋体" w:hAnsi="宋体" w:cs="宋体"/>
                <w:color w:val="000000"/>
                <w:kern w:val="0"/>
                <w:sz w:val="18"/>
                <w:szCs w:val="18"/>
              </w:rPr>
              <w:t>未完成</w:t>
            </w:r>
          </w:p>
        </w:tc>
      </w:tr>
      <w:tr w14:paraId="5C468B3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0686CACA">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340" w:type="dxa"/>
            <w:tcBorders>
              <w:top w:val="nil"/>
              <w:left w:val="nil"/>
              <w:bottom w:val="single" w:color="auto" w:sz="4" w:space="0"/>
              <w:right w:val="single" w:color="auto" w:sz="4" w:space="0"/>
            </w:tcBorders>
            <w:shd w:val="clear" w:color="auto" w:fill="auto"/>
            <w:noWrap/>
            <w:vAlign w:val="center"/>
          </w:tcPr>
          <w:p w14:paraId="7292F242">
            <w:pPr>
              <w:widowControl/>
              <w:jc w:val="center"/>
              <w:rPr>
                <w:rFonts w:ascii="宋体" w:hAnsi="宋体" w:cs="宋体"/>
                <w:color w:val="000000"/>
                <w:kern w:val="0"/>
                <w:sz w:val="18"/>
                <w:szCs w:val="18"/>
              </w:rPr>
            </w:pPr>
            <w:r>
              <w:rPr>
                <w:rFonts w:hint="eastAsia" w:ascii="宋体" w:hAnsi="宋体" w:cs="宋体"/>
                <w:color w:val="000000"/>
                <w:kern w:val="0"/>
                <w:sz w:val="18"/>
                <w:szCs w:val="18"/>
              </w:rPr>
              <w:t>442.73</w:t>
            </w:r>
          </w:p>
        </w:tc>
        <w:tc>
          <w:tcPr>
            <w:tcW w:w="1140" w:type="dxa"/>
            <w:tcBorders>
              <w:top w:val="nil"/>
              <w:left w:val="nil"/>
              <w:bottom w:val="single" w:color="auto" w:sz="4" w:space="0"/>
              <w:right w:val="single" w:color="auto" w:sz="4" w:space="0"/>
            </w:tcBorders>
            <w:shd w:val="clear" w:color="auto" w:fill="auto"/>
            <w:noWrap/>
            <w:vAlign w:val="center"/>
          </w:tcPr>
          <w:p w14:paraId="179E7F6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254.16 </w:t>
            </w:r>
          </w:p>
        </w:tc>
        <w:tc>
          <w:tcPr>
            <w:tcW w:w="1347" w:type="dxa"/>
            <w:tcBorders>
              <w:top w:val="nil"/>
              <w:left w:val="nil"/>
              <w:bottom w:val="single" w:color="auto" w:sz="4" w:space="0"/>
              <w:right w:val="single" w:color="auto" w:sz="4" w:space="0"/>
            </w:tcBorders>
            <w:shd w:val="clear" w:color="auto" w:fill="auto"/>
            <w:noWrap/>
            <w:vAlign w:val="center"/>
          </w:tcPr>
          <w:p w14:paraId="35EB448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426.33 </w:t>
            </w:r>
          </w:p>
        </w:tc>
        <w:tc>
          <w:tcPr>
            <w:tcW w:w="1347" w:type="dxa"/>
            <w:tcBorders>
              <w:top w:val="nil"/>
              <w:left w:val="nil"/>
              <w:bottom w:val="single" w:color="auto" w:sz="4" w:space="0"/>
              <w:right w:val="single" w:color="auto" w:sz="4" w:space="0"/>
            </w:tcBorders>
            <w:shd w:val="clear" w:color="auto" w:fill="auto"/>
            <w:noWrap/>
            <w:vAlign w:val="center"/>
          </w:tcPr>
          <w:p w14:paraId="32D64CBC">
            <w:pPr>
              <w:widowControl/>
              <w:jc w:val="center"/>
              <w:rPr>
                <w:rFonts w:ascii="宋体" w:hAnsi="宋体" w:cs="宋体"/>
                <w:color w:val="000000"/>
                <w:kern w:val="0"/>
                <w:sz w:val="18"/>
                <w:szCs w:val="18"/>
              </w:rPr>
            </w:pPr>
            <w:r>
              <w:rPr>
                <w:rFonts w:hint="eastAsia" w:ascii="宋体" w:hAnsi="宋体" w:cs="宋体"/>
                <w:color w:val="000000"/>
                <w:kern w:val="0"/>
                <w:sz w:val="18"/>
                <w:szCs w:val="18"/>
              </w:rPr>
              <w:t>461.46</w:t>
            </w:r>
          </w:p>
        </w:tc>
        <w:tc>
          <w:tcPr>
            <w:tcW w:w="2742" w:type="dxa"/>
            <w:tcBorders>
              <w:top w:val="nil"/>
              <w:left w:val="nil"/>
              <w:bottom w:val="single" w:color="auto" w:sz="4" w:space="0"/>
              <w:right w:val="single" w:color="auto" w:sz="4" w:space="0"/>
            </w:tcBorders>
            <w:shd w:val="clear" w:color="auto" w:fill="auto"/>
            <w:noWrap/>
            <w:vAlign w:val="center"/>
          </w:tcPr>
          <w:p w14:paraId="3B84916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35.13 </w:t>
            </w:r>
          </w:p>
        </w:tc>
        <w:tc>
          <w:tcPr>
            <w:tcW w:w="1318" w:type="dxa"/>
            <w:tcBorders>
              <w:top w:val="nil"/>
              <w:left w:val="nil"/>
              <w:bottom w:val="single" w:color="auto" w:sz="4" w:space="0"/>
              <w:right w:val="single" w:color="auto" w:sz="4" w:space="0"/>
            </w:tcBorders>
            <w:shd w:val="clear" w:color="auto" w:fill="auto"/>
          </w:tcPr>
          <w:p w14:paraId="7FD8B213">
            <w:pPr>
              <w:jc w:val="center"/>
            </w:pPr>
            <w:r>
              <w:rPr>
                <w:rFonts w:hint="eastAsia" w:ascii="宋体" w:hAnsi="宋体" w:cs="宋体"/>
                <w:color w:val="000000"/>
                <w:kern w:val="0"/>
                <w:sz w:val="18"/>
                <w:szCs w:val="18"/>
              </w:rPr>
              <w:t>未完成</w:t>
            </w:r>
          </w:p>
        </w:tc>
      </w:tr>
      <w:tr w14:paraId="4C67FAA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0D605002">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340" w:type="dxa"/>
            <w:tcBorders>
              <w:top w:val="nil"/>
              <w:left w:val="nil"/>
              <w:bottom w:val="single" w:color="auto" w:sz="4" w:space="0"/>
              <w:right w:val="single" w:color="auto" w:sz="4" w:space="0"/>
            </w:tcBorders>
            <w:shd w:val="clear" w:color="auto" w:fill="auto"/>
            <w:noWrap/>
            <w:vAlign w:val="center"/>
          </w:tcPr>
          <w:p w14:paraId="5E677A7C">
            <w:pPr>
              <w:widowControl/>
              <w:jc w:val="center"/>
              <w:rPr>
                <w:rFonts w:ascii="宋体" w:hAnsi="宋体" w:cs="宋体"/>
                <w:color w:val="000000"/>
                <w:kern w:val="0"/>
                <w:sz w:val="18"/>
                <w:szCs w:val="18"/>
              </w:rPr>
            </w:pPr>
            <w:r>
              <w:rPr>
                <w:rFonts w:hint="eastAsia" w:ascii="宋体" w:hAnsi="宋体" w:cs="宋体"/>
                <w:color w:val="000000"/>
                <w:kern w:val="0"/>
                <w:sz w:val="18"/>
                <w:szCs w:val="18"/>
              </w:rPr>
              <w:t>235.33</w:t>
            </w:r>
          </w:p>
        </w:tc>
        <w:tc>
          <w:tcPr>
            <w:tcW w:w="1140" w:type="dxa"/>
            <w:tcBorders>
              <w:top w:val="nil"/>
              <w:left w:val="nil"/>
              <w:bottom w:val="single" w:color="auto" w:sz="4" w:space="0"/>
              <w:right w:val="single" w:color="auto" w:sz="4" w:space="0"/>
            </w:tcBorders>
            <w:shd w:val="clear" w:color="auto" w:fill="auto"/>
            <w:noWrap/>
            <w:vAlign w:val="center"/>
          </w:tcPr>
          <w:p w14:paraId="5B7C387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111.57 </w:t>
            </w:r>
          </w:p>
        </w:tc>
        <w:tc>
          <w:tcPr>
            <w:tcW w:w="1347" w:type="dxa"/>
            <w:tcBorders>
              <w:top w:val="nil"/>
              <w:left w:val="nil"/>
              <w:bottom w:val="single" w:color="auto" w:sz="4" w:space="0"/>
              <w:right w:val="single" w:color="auto" w:sz="4" w:space="0"/>
            </w:tcBorders>
            <w:shd w:val="clear" w:color="auto" w:fill="auto"/>
            <w:noWrap/>
            <w:vAlign w:val="center"/>
          </w:tcPr>
          <w:p w14:paraId="676811E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224.57 </w:t>
            </w:r>
          </w:p>
        </w:tc>
        <w:tc>
          <w:tcPr>
            <w:tcW w:w="1347" w:type="dxa"/>
            <w:tcBorders>
              <w:top w:val="nil"/>
              <w:left w:val="nil"/>
              <w:bottom w:val="single" w:color="auto" w:sz="4" w:space="0"/>
              <w:right w:val="single" w:color="auto" w:sz="4" w:space="0"/>
            </w:tcBorders>
            <w:shd w:val="clear" w:color="auto" w:fill="auto"/>
            <w:noWrap/>
            <w:vAlign w:val="center"/>
          </w:tcPr>
          <w:p w14:paraId="2699EC7C">
            <w:pPr>
              <w:widowControl/>
              <w:jc w:val="center"/>
              <w:rPr>
                <w:rFonts w:ascii="宋体" w:hAnsi="宋体" w:cs="宋体"/>
                <w:color w:val="000000"/>
                <w:kern w:val="0"/>
                <w:sz w:val="18"/>
                <w:szCs w:val="18"/>
              </w:rPr>
            </w:pPr>
            <w:r>
              <w:rPr>
                <w:rFonts w:hint="eastAsia" w:ascii="宋体" w:hAnsi="宋体" w:cs="宋体"/>
                <w:color w:val="000000"/>
                <w:kern w:val="0"/>
                <w:sz w:val="18"/>
                <w:szCs w:val="18"/>
              </w:rPr>
              <w:t>245.08</w:t>
            </w:r>
          </w:p>
        </w:tc>
        <w:tc>
          <w:tcPr>
            <w:tcW w:w="2742" w:type="dxa"/>
            <w:tcBorders>
              <w:top w:val="nil"/>
              <w:left w:val="nil"/>
              <w:bottom w:val="single" w:color="auto" w:sz="4" w:space="0"/>
              <w:right w:val="single" w:color="auto" w:sz="4" w:space="0"/>
            </w:tcBorders>
            <w:shd w:val="clear" w:color="auto" w:fill="auto"/>
            <w:noWrap/>
            <w:vAlign w:val="center"/>
          </w:tcPr>
          <w:p w14:paraId="7849046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20.51 </w:t>
            </w:r>
          </w:p>
        </w:tc>
        <w:tc>
          <w:tcPr>
            <w:tcW w:w="1318" w:type="dxa"/>
            <w:tcBorders>
              <w:top w:val="nil"/>
              <w:left w:val="nil"/>
              <w:bottom w:val="single" w:color="auto" w:sz="4" w:space="0"/>
              <w:right w:val="single" w:color="auto" w:sz="4" w:space="0"/>
            </w:tcBorders>
            <w:shd w:val="clear" w:color="auto" w:fill="auto"/>
          </w:tcPr>
          <w:p w14:paraId="35C558CA">
            <w:pPr>
              <w:jc w:val="center"/>
            </w:pPr>
            <w:r>
              <w:rPr>
                <w:rFonts w:hint="eastAsia" w:ascii="宋体" w:hAnsi="宋体" w:cs="宋体"/>
                <w:color w:val="000000"/>
                <w:kern w:val="0"/>
                <w:sz w:val="18"/>
                <w:szCs w:val="18"/>
              </w:rPr>
              <w:t>未完成</w:t>
            </w:r>
          </w:p>
        </w:tc>
      </w:tr>
      <w:tr w14:paraId="1740CD8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58C54C6E">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340" w:type="dxa"/>
            <w:tcBorders>
              <w:top w:val="nil"/>
              <w:left w:val="nil"/>
              <w:bottom w:val="single" w:color="auto" w:sz="4" w:space="0"/>
              <w:right w:val="single" w:color="auto" w:sz="4" w:space="0"/>
            </w:tcBorders>
            <w:shd w:val="clear" w:color="auto" w:fill="auto"/>
            <w:noWrap/>
            <w:vAlign w:val="center"/>
          </w:tcPr>
          <w:p w14:paraId="255B18E0">
            <w:pPr>
              <w:widowControl/>
              <w:jc w:val="center"/>
              <w:rPr>
                <w:rFonts w:ascii="宋体" w:hAnsi="宋体" w:cs="宋体"/>
                <w:color w:val="000000"/>
                <w:kern w:val="0"/>
                <w:sz w:val="18"/>
                <w:szCs w:val="18"/>
              </w:rPr>
            </w:pPr>
            <w:r>
              <w:rPr>
                <w:rFonts w:hint="eastAsia" w:ascii="宋体" w:hAnsi="宋体" w:cs="宋体"/>
                <w:color w:val="000000"/>
                <w:kern w:val="0"/>
                <w:sz w:val="18"/>
                <w:szCs w:val="18"/>
              </w:rPr>
              <w:t>110.18</w:t>
            </w:r>
          </w:p>
        </w:tc>
        <w:tc>
          <w:tcPr>
            <w:tcW w:w="1140" w:type="dxa"/>
            <w:tcBorders>
              <w:top w:val="nil"/>
              <w:left w:val="nil"/>
              <w:bottom w:val="single" w:color="auto" w:sz="4" w:space="0"/>
              <w:right w:val="single" w:color="auto" w:sz="4" w:space="0"/>
            </w:tcBorders>
            <w:shd w:val="clear" w:color="auto" w:fill="auto"/>
            <w:noWrap/>
            <w:vAlign w:val="center"/>
          </w:tcPr>
          <w:p w14:paraId="766B4C2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60.12 </w:t>
            </w:r>
          </w:p>
        </w:tc>
        <w:tc>
          <w:tcPr>
            <w:tcW w:w="1347" w:type="dxa"/>
            <w:tcBorders>
              <w:top w:val="nil"/>
              <w:left w:val="nil"/>
              <w:bottom w:val="single" w:color="auto" w:sz="4" w:space="0"/>
              <w:right w:val="single" w:color="auto" w:sz="4" w:space="0"/>
            </w:tcBorders>
            <w:shd w:val="clear" w:color="auto" w:fill="auto"/>
            <w:noWrap/>
            <w:vAlign w:val="center"/>
          </w:tcPr>
          <w:p w14:paraId="69E45F4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105.83 </w:t>
            </w:r>
          </w:p>
        </w:tc>
        <w:tc>
          <w:tcPr>
            <w:tcW w:w="1347" w:type="dxa"/>
            <w:tcBorders>
              <w:top w:val="nil"/>
              <w:left w:val="nil"/>
              <w:bottom w:val="single" w:color="auto" w:sz="4" w:space="0"/>
              <w:right w:val="single" w:color="auto" w:sz="4" w:space="0"/>
            </w:tcBorders>
            <w:shd w:val="clear" w:color="auto" w:fill="auto"/>
            <w:noWrap/>
            <w:vAlign w:val="center"/>
          </w:tcPr>
          <w:p w14:paraId="527A8984">
            <w:pPr>
              <w:widowControl/>
              <w:jc w:val="center"/>
              <w:rPr>
                <w:rFonts w:ascii="宋体" w:hAnsi="宋体" w:cs="宋体"/>
                <w:color w:val="000000"/>
                <w:kern w:val="0"/>
                <w:sz w:val="18"/>
                <w:szCs w:val="18"/>
              </w:rPr>
            </w:pPr>
            <w:r>
              <w:rPr>
                <w:rFonts w:hint="eastAsia" w:ascii="宋体" w:hAnsi="宋体" w:cs="宋体"/>
                <w:color w:val="000000"/>
                <w:kern w:val="0"/>
                <w:sz w:val="18"/>
                <w:szCs w:val="18"/>
              </w:rPr>
              <w:t>112.25</w:t>
            </w:r>
          </w:p>
        </w:tc>
        <w:tc>
          <w:tcPr>
            <w:tcW w:w="2742" w:type="dxa"/>
            <w:tcBorders>
              <w:top w:val="nil"/>
              <w:left w:val="nil"/>
              <w:bottom w:val="single" w:color="auto" w:sz="4" w:space="0"/>
              <w:right w:val="single" w:color="auto" w:sz="4" w:space="0"/>
            </w:tcBorders>
            <w:shd w:val="clear" w:color="auto" w:fill="auto"/>
            <w:noWrap/>
            <w:vAlign w:val="center"/>
          </w:tcPr>
          <w:p w14:paraId="2B78AC9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6.42 </w:t>
            </w:r>
          </w:p>
        </w:tc>
        <w:tc>
          <w:tcPr>
            <w:tcW w:w="1318" w:type="dxa"/>
            <w:tcBorders>
              <w:top w:val="nil"/>
              <w:left w:val="nil"/>
              <w:bottom w:val="single" w:color="auto" w:sz="4" w:space="0"/>
              <w:right w:val="single" w:color="auto" w:sz="4" w:space="0"/>
            </w:tcBorders>
            <w:shd w:val="clear" w:color="auto" w:fill="auto"/>
          </w:tcPr>
          <w:p w14:paraId="6BB9BA00">
            <w:pPr>
              <w:jc w:val="center"/>
            </w:pPr>
            <w:r>
              <w:rPr>
                <w:rFonts w:hint="eastAsia" w:ascii="宋体" w:hAnsi="宋体" w:cs="宋体"/>
                <w:color w:val="000000"/>
                <w:kern w:val="0"/>
                <w:sz w:val="18"/>
                <w:szCs w:val="18"/>
              </w:rPr>
              <w:t>未完成</w:t>
            </w:r>
          </w:p>
        </w:tc>
      </w:tr>
      <w:tr w14:paraId="13D7047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14:paraId="6CB50850">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340" w:type="dxa"/>
            <w:tcBorders>
              <w:top w:val="nil"/>
              <w:left w:val="nil"/>
              <w:bottom w:val="single" w:color="auto" w:sz="4" w:space="0"/>
              <w:right w:val="single" w:color="auto" w:sz="4" w:space="0"/>
            </w:tcBorders>
            <w:shd w:val="clear" w:color="auto" w:fill="auto"/>
            <w:noWrap/>
            <w:vAlign w:val="center"/>
          </w:tcPr>
          <w:p w14:paraId="6A75B009">
            <w:pPr>
              <w:widowControl/>
              <w:jc w:val="center"/>
              <w:rPr>
                <w:rFonts w:ascii="宋体" w:hAnsi="宋体" w:cs="宋体"/>
                <w:color w:val="000000"/>
                <w:kern w:val="0"/>
                <w:sz w:val="18"/>
                <w:szCs w:val="18"/>
              </w:rPr>
            </w:pPr>
            <w:r>
              <w:rPr>
                <w:rFonts w:hint="eastAsia" w:ascii="宋体" w:hAnsi="宋体" w:cs="宋体"/>
                <w:color w:val="000000"/>
                <w:kern w:val="0"/>
                <w:sz w:val="18"/>
                <w:szCs w:val="18"/>
              </w:rPr>
              <w:t>4774.36</w:t>
            </w:r>
          </w:p>
        </w:tc>
        <w:tc>
          <w:tcPr>
            <w:tcW w:w="1140" w:type="dxa"/>
            <w:tcBorders>
              <w:top w:val="nil"/>
              <w:left w:val="nil"/>
              <w:bottom w:val="single" w:color="auto" w:sz="4" w:space="0"/>
              <w:right w:val="single" w:color="auto" w:sz="4" w:space="0"/>
            </w:tcBorders>
            <w:shd w:val="clear" w:color="auto" w:fill="auto"/>
            <w:noWrap/>
            <w:vAlign w:val="center"/>
          </w:tcPr>
          <w:p w14:paraId="2F050523">
            <w:pPr>
              <w:widowControl/>
              <w:jc w:val="center"/>
              <w:rPr>
                <w:rFonts w:ascii="宋体" w:hAnsi="宋体" w:cs="宋体"/>
                <w:color w:val="000000"/>
                <w:kern w:val="0"/>
                <w:sz w:val="18"/>
                <w:szCs w:val="18"/>
              </w:rPr>
            </w:pPr>
            <w:r>
              <w:rPr>
                <w:rFonts w:hint="eastAsia" w:ascii="宋体" w:hAnsi="宋体" w:cs="宋体"/>
                <w:color w:val="000000"/>
                <w:kern w:val="0"/>
                <w:sz w:val="18"/>
                <w:szCs w:val="18"/>
              </w:rPr>
              <w:t>3677.25</w:t>
            </w:r>
          </w:p>
        </w:tc>
        <w:tc>
          <w:tcPr>
            <w:tcW w:w="1347" w:type="dxa"/>
            <w:tcBorders>
              <w:top w:val="nil"/>
              <w:left w:val="nil"/>
              <w:bottom w:val="single" w:color="auto" w:sz="4" w:space="0"/>
              <w:right w:val="single" w:color="auto" w:sz="4" w:space="0"/>
            </w:tcBorders>
            <w:shd w:val="clear" w:color="auto" w:fill="auto"/>
            <w:noWrap/>
            <w:vAlign w:val="center"/>
          </w:tcPr>
          <w:p w14:paraId="395997E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4678.96 </w:t>
            </w:r>
          </w:p>
        </w:tc>
        <w:tc>
          <w:tcPr>
            <w:tcW w:w="1347" w:type="dxa"/>
            <w:tcBorders>
              <w:top w:val="nil"/>
              <w:left w:val="nil"/>
              <w:bottom w:val="single" w:color="auto" w:sz="4" w:space="0"/>
              <w:right w:val="single" w:color="auto" w:sz="4" w:space="0"/>
            </w:tcBorders>
            <w:shd w:val="clear" w:color="auto" w:fill="auto"/>
            <w:noWrap/>
            <w:vAlign w:val="center"/>
          </w:tcPr>
          <w:p w14:paraId="0552C29D">
            <w:pPr>
              <w:widowControl/>
              <w:jc w:val="center"/>
              <w:rPr>
                <w:rFonts w:ascii="宋体" w:hAnsi="宋体" w:cs="宋体"/>
                <w:color w:val="000000"/>
                <w:kern w:val="0"/>
                <w:sz w:val="18"/>
                <w:szCs w:val="18"/>
              </w:rPr>
            </w:pPr>
            <w:r>
              <w:rPr>
                <w:rFonts w:hint="eastAsia" w:ascii="宋体" w:hAnsi="宋体" w:cs="宋体"/>
                <w:color w:val="000000"/>
                <w:kern w:val="0"/>
                <w:sz w:val="18"/>
                <w:szCs w:val="18"/>
              </w:rPr>
              <w:t>5055.54</w:t>
            </w:r>
          </w:p>
        </w:tc>
        <w:tc>
          <w:tcPr>
            <w:tcW w:w="2742" w:type="dxa"/>
            <w:tcBorders>
              <w:top w:val="nil"/>
              <w:left w:val="nil"/>
              <w:bottom w:val="single" w:color="auto" w:sz="4" w:space="0"/>
              <w:right w:val="single" w:color="auto" w:sz="4" w:space="0"/>
            </w:tcBorders>
            <w:shd w:val="clear" w:color="auto" w:fill="auto"/>
            <w:noWrap/>
            <w:vAlign w:val="center"/>
          </w:tcPr>
          <w:p w14:paraId="52B1DCB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376.58 </w:t>
            </w:r>
          </w:p>
        </w:tc>
        <w:tc>
          <w:tcPr>
            <w:tcW w:w="1318" w:type="dxa"/>
            <w:tcBorders>
              <w:top w:val="nil"/>
              <w:left w:val="nil"/>
              <w:bottom w:val="single" w:color="auto" w:sz="4" w:space="0"/>
              <w:right w:val="single" w:color="auto" w:sz="4" w:space="0"/>
            </w:tcBorders>
            <w:shd w:val="clear" w:color="auto" w:fill="auto"/>
          </w:tcPr>
          <w:p w14:paraId="7A3F1EE8">
            <w:pPr>
              <w:jc w:val="center"/>
            </w:pPr>
            <w:r>
              <w:rPr>
                <w:rFonts w:hint="eastAsia" w:ascii="宋体" w:hAnsi="宋体" w:cs="宋体"/>
                <w:color w:val="000000"/>
                <w:kern w:val="0"/>
                <w:sz w:val="18"/>
                <w:szCs w:val="18"/>
              </w:rPr>
              <w:t>未完成</w:t>
            </w:r>
          </w:p>
        </w:tc>
      </w:tr>
    </w:tbl>
    <w:p w14:paraId="3987C34F">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（三）建设用地总规模</w:t>
      </w:r>
    </w:p>
    <w:p w14:paraId="6991BC67">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昆明市下达东川区2020年建设用地规模指标为5147.39公顷，按照年平均增长法算，全区2014年建设用地阶段指标为5354.90公顷。2014年全区建设用地实际规模5816.16公顷，比2020年上级下达指标多668.77公顷，比2014年阶段指标多461.26公顷。全区建设用地总规模执行情况较差，除红土地镇和舍块乡建设用地总规模低于规划阶段目标以外，其他乡镇均超出规划阶段目标。</w:t>
      </w:r>
    </w:p>
    <w:p w14:paraId="06958E7F">
      <w:pPr>
        <w:jc w:val="center"/>
        <w:outlineLvl w:val="4"/>
        <w:rPr>
          <w:rFonts w:ascii="宋体" w:hAnsi="宋体"/>
          <w:b/>
          <w:sz w:val="24"/>
        </w:rPr>
      </w:pPr>
      <w:r>
        <w:rPr>
          <w:rFonts w:hint="eastAsia" w:ascii="宋体" w:hAnsi="宋体"/>
          <w:b/>
          <w:sz w:val="24"/>
        </w:rPr>
        <w:t>表</w:t>
      </w:r>
      <w:r>
        <w:rPr>
          <w:rFonts w:ascii="宋体" w:hAnsi="宋体"/>
          <w:b/>
          <w:sz w:val="24"/>
        </w:rPr>
        <w:t>3-</w:t>
      </w:r>
      <w:r>
        <w:rPr>
          <w:rFonts w:hint="eastAsia" w:ascii="宋体" w:hAnsi="宋体"/>
          <w:b/>
          <w:sz w:val="24"/>
        </w:rPr>
        <w:t xml:space="preserve">11 </w:t>
      </w:r>
      <w:r>
        <w:rPr>
          <w:rFonts w:ascii="宋体" w:hAnsi="宋体"/>
          <w:b/>
          <w:sz w:val="24"/>
        </w:rPr>
        <w:t xml:space="preserve"> </w:t>
      </w:r>
      <w:r>
        <w:rPr>
          <w:rFonts w:hint="eastAsia" w:ascii="宋体" w:hAnsi="宋体"/>
          <w:b/>
          <w:sz w:val="24"/>
        </w:rPr>
        <w:t>东川区建设用地总规模实施情况评估表</w:t>
      </w:r>
    </w:p>
    <w:p w14:paraId="5558F5FA">
      <w:pPr>
        <w:widowControl/>
        <w:jc w:val="right"/>
        <w:rPr>
          <w:rFonts w:ascii="宋体" w:hAnsi="宋体" w:cs="宋体"/>
          <w:color w:val="000000"/>
          <w:kern w:val="0"/>
          <w:sz w:val="18"/>
          <w:szCs w:val="18"/>
        </w:rPr>
      </w:pPr>
      <w:r>
        <w:rPr>
          <w:rFonts w:hint="eastAsia" w:ascii="宋体" w:hAnsi="宋体" w:cs="宋体"/>
          <w:color w:val="000000"/>
          <w:kern w:val="0"/>
          <w:sz w:val="18"/>
          <w:szCs w:val="18"/>
        </w:rPr>
        <w:t>单位：公顷</w:t>
      </w:r>
    </w:p>
    <w:tbl>
      <w:tblPr>
        <w:tblStyle w:val="27"/>
        <w:tblW w:w="9441" w:type="dxa"/>
        <w:jc w:val="center"/>
        <w:tblLayout w:type="autofit"/>
        <w:tblCellMar>
          <w:top w:w="0" w:type="dxa"/>
          <w:left w:w="108" w:type="dxa"/>
          <w:bottom w:w="0" w:type="dxa"/>
          <w:right w:w="108" w:type="dxa"/>
        </w:tblCellMar>
      </w:tblPr>
      <w:tblGrid>
        <w:gridCol w:w="960"/>
        <w:gridCol w:w="1026"/>
        <w:gridCol w:w="1140"/>
        <w:gridCol w:w="1347"/>
        <w:gridCol w:w="1341"/>
        <w:gridCol w:w="2511"/>
        <w:gridCol w:w="1116"/>
      </w:tblGrid>
      <w:tr w14:paraId="00580CA4">
        <w:tblPrEx>
          <w:tblCellMar>
            <w:top w:w="0" w:type="dxa"/>
            <w:left w:w="108" w:type="dxa"/>
            <w:bottom w:w="0" w:type="dxa"/>
            <w:right w:w="108" w:type="dxa"/>
          </w:tblCellMar>
        </w:tblPrEx>
        <w:trPr>
          <w:trHeight w:val="288" w:hRule="atLeast"/>
          <w:jc w:val="center"/>
        </w:trPr>
        <w:tc>
          <w:tcPr>
            <w:tcW w:w="96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4AD64B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行政区</w:t>
            </w:r>
          </w:p>
        </w:tc>
        <w:tc>
          <w:tcPr>
            <w:tcW w:w="102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8153F8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2009年</w:t>
            </w:r>
          </w:p>
        </w:tc>
        <w:tc>
          <w:tcPr>
            <w:tcW w:w="11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BA3EA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下达指标</w:t>
            </w:r>
          </w:p>
        </w:tc>
        <w:tc>
          <w:tcPr>
            <w:tcW w:w="1347" w:type="dxa"/>
            <w:vMerge w:val="restart"/>
            <w:tcBorders>
              <w:top w:val="single" w:color="auto" w:sz="4" w:space="0"/>
              <w:left w:val="nil"/>
              <w:right w:val="single" w:color="auto" w:sz="4" w:space="0"/>
            </w:tcBorders>
            <w:shd w:val="clear" w:color="auto" w:fill="auto"/>
            <w:noWrap/>
            <w:vAlign w:val="center"/>
          </w:tcPr>
          <w:p w14:paraId="365D205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2014年规划</w:t>
            </w:r>
          </w:p>
          <w:p w14:paraId="3DD0BDB2">
            <w:pPr>
              <w:jc w:val="center"/>
              <w:rPr>
                <w:rFonts w:ascii="宋体" w:hAnsi="宋体" w:cs="宋体"/>
                <w:b/>
                <w:color w:val="000000"/>
                <w:kern w:val="0"/>
                <w:sz w:val="18"/>
                <w:szCs w:val="18"/>
              </w:rPr>
            </w:pPr>
            <w:r>
              <w:rPr>
                <w:rFonts w:hint="eastAsia" w:ascii="宋体" w:hAnsi="宋体" w:cs="宋体"/>
                <w:b/>
                <w:color w:val="000000"/>
                <w:kern w:val="0"/>
                <w:sz w:val="18"/>
                <w:szCs w:val="18"/>
              </w:rPr>
              <w:t>阶段指标</w:t>
            </w:r>
          </w:p>
        </w:tc>
        <w:tc>
          <w:tcPr>
            <w:tcW w:w="134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1F5B3A7">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2014年现状</w:t>
            </w:r>
          </w:p>
        </w:tc>
        <w:tc>
          <w:tcPr>
            <w:tcW w:w="3627" w:type="dxa"/>
            <w:gridSpan w:val="2"/>
            <w:tcBorders>
              <w:top w:val="single" w:color="auto" w:sz="4" w:space="0"/>
              <w:left w:val="nil"/>
              <w:bottom w:val="single" w:color="auto" w:sz="4" w:space="0"/>
              <w:right w:val="single" w:color="auto" w:sz="4" w:space="0"/>
            </w:tcBorders>
            <w:shd w:val="clear" w:color="auto" w:fill="auto"/>
            <w:noWrap/>
            <w:vAlign w:val="center"/>
          </w:tcPr>
          <w:p w14:paraId="3430CCA5">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阶段指标完成情况</w:t>
            </w:r>
          </w:p>
        </w:tc>
      </w:tr>
      <w:tr w14:paraId="48CF8D46">
        <w:tblPrEx>
          <w:tblCellMar>
            <w:top w:w="0" w:type="dxa"/>
            <w:left w:w="108" w:type="dxa"/>
            <w:bottom w:w="0" w:type="dxa"/>
            <w:right w:w="108" w:type="dxa"/>
          </w:tblCellMar>
        </w:tblPrEx>
        <w:trPr>
          <w:trHeight w:val="288" w:hRule="atLeast"/>
          <w:jc w:val="center"/>
        </w:trPr>
        <w:tc>
          <w:tcPr>
            <w:tcW w:w="960" w:type="dxa"/>
            <w:vMerge w:val="continue"/>
            <w:tcBorders>
              <w:top w:val="single" w:color="auto" w:sz="4" w:space="0"/>
              <w:left w:val="single" w:color="auto" w:sz="4" w:space="0"/>
              <w:bottom w:val="single" w:color="auto" w:sz="4" w:space="0"/>
              <w:right w:val="single" w:color="auto" w:sz="4" w:space="0"/>
            </w:tcBorders>
            <w:vAlign w:val="center"/>
          </w:tcPr>
          <w:p w14:paraId="36D65103">
            <w:pPr>
              <w:widowControl/>
              <w:jc w:val="center"/>
              <w:rPr>
                <w:rFonts w:ascii="宋体" w:hAnsi="宋体" w:cs="宋体"/>
                <w:b/>
                <w:color w:val="000000"/>
                <w:kern w:val="0"/>
                <w:sz w:val="18"/>
                <w:szCs w:val="18"/>
              </w:rPr>
            </w:pPr>
          </w:p>
        </w:tc>
        <w:tc>
          <w:tcPr>
            <w:tcW w:w="1026" w:type="dxa"/>
            <w:vMerge w:val="continue"/>
            <w:tcBorders>
              <w:top w:val="single" w:color="auto" w:sz="4" w:space="0"/>
              <w:left w:val="single" w:color="auto" w:sz="4" w:space="0"/>
              <w:bottom w:val="single" w:color="auto" w:sz="4" w:space="0"/>
              <w:right w:val="single" w:color="auto" w:sz="4" w:space="0"/>
            </w:tcBorders>
            <w:vAlign w:val="center"/>
          </w:tcPr>
          <w:p w14:paraId="0DEBF4D7">
            <w:pPr>
              <w:widowControl/>
              <w:jc w:val="center"/>
              <w:rPr>
                <w:rFonts w:ascii="宋体" w:hAnsi="宋体" w:cs="宋体"/>
                <w:b/>
                <w:color w:val="000000"/>
                <w:kern w:val="0"/>
                <w:sz w:val="18"/>
                <w:szCs w:val="18"/>
              </w:rPr>
            </w:pPr>
          </w:p>
        </w:tc>
        <w:tc>
          <w:tcPr>
            <w:tcW w:w="1140" w:type="dxa"/>
            <w:vMerge w:val="continue"/>
            <w:tcBorders>
              <w:top w:val="single" w:color="auto" w:sz="4" w:space="0"/>
              <w:left w:val="single" w:color="auto" w:sz="4" w:space="0"/>
              <w:bottom w:val="single" w:color="auto" w:sz="4" w:space="0"/>
              <w:right w:val="single" w:color="auto" w:sz="4" w:space="0"/>
            </w:tcBorders>
            <w:vAlign w:val="center"/>
          </w:tcPr>
          <w:p w14:paraId="00534DAB">
            <w:pPr>
              <w:widowControl/>
              <w:jc w:val="center"/>
              <w:rPr>
                <w:rFonts w:ascii="宋体" w:hAnsi="宋体" w:cs="宋体"/>
                <w:b/>
                <w:color w:val="000000"/>
                <w:kern w:val="0"/>
                <w:sz w:val="18"/>
                <w:szCs w:val="18"/>
              </w:rPr>
            </w:pPr>
          </w:p>
        </w:tc>
        <w:tc>
          <w:tcPr>
            <w:tcW w:w="1347" w:type="dxa"/>
            <w:vMerge w:val="continue"/>
            <w:tcBorders>
              <w:left w:val="nil"/>
              <w:bottom w:val="single" w:color="auto" w:sz="4" w:space="0"/>
              <w:right w:val="single" w:color="auto" w:sz="4" w:space="0"/>
            </w:tcBorders>
            <w:shd w:val="clear" w:color="auto" w:fill="auto"/>
            <w:noWrap/>
            <w:vAlign w:val="center"/>
          </w:tcPr>
          <w:p w14:paraId="04281F24">
            <w:pPr>
              <w:widowControl/>
              <w:jc w:val="center"/>
              <w:rPr>
                <w:rFonts w:ascii="宋体" w:hAnsi="宋体" w:cs="宋体"/>
                <w:b/>
                <w:color w:val="000000"/>
                <w:kern w:val="0"/>
                <w:sz w:val="18"/>
                <w:szCs w:val="18"/>
              </w:rPr>
            </w:pPr>
          </w:p>
        </w:tc>
        <w:tc>
          <w:tcPr>
            <w:tcW w:w="1341" w:type="dxa"/>
            <w:vMerge w:val="continue"/>
            <w:tcBorders>
              <w:top w:val="single" w:color="auto" w:sz="4" w:space="0"/>
              <w:left w:val="single" w:color="auto" w:sz="4" w:space="0"/>
              <w:bottom w:val="single" w:color="auto" w:sz="4" w:space="0"/>
              <w:right w:val="single" w:color="auto" w:sz="4" w:space="0"/>
            </w:tcBorders>
            <w:vAlign w:val="center"/>
          </w:tcPr>
          <w:p w14:paraId="49D16017">
            <w:pPr>
              <w:widowControl/>
              <w:jc w:val="center"/>
              <w:rPr>
                <w:rFonts w:ascii="宋体" w:hAnsi="宋体" w:cs="宋体"/>
                <w:b/>
                <w:color w:val="000000"/>
                <w:kern w:val="0"/>
                <w:sz w:val="18"/>
                <w:szCs w:val="18"/>
              </w:rPr>
            </w:pPr>
          </w:p>
        </w:tc>
        <w:tc>
          <w:tcPr>
            <w:tcW w:w="2511" w:type="dxa"/>
            <w:tcBorders>
              <w:top w:val="nil"/>
              <w:left w:val="nil"/>
              <w:bottom w:val="single" w:color="auto" w:sz="4" w:space="0"/>
              <w:right w:val="single" w:color="auto" w:sz="4" w:space="0"/>
            </w:tcBorders>
            <w:shd w:val="clear" w:color="auto" w:fill="auto"/>
            <w:noWrap/>
            <w:vAlign w:val="center"/>
          </w:tcPr>
          <w:p w14:paraId="014F3D1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2014年现状-规划阶段指标</w:t>
            </w:r>
          </w:p>
        </w:tc>
        <w:tc>
          <w:tcPr>
            <w:tcW w:w="1116" w:type="dxa"/>
            <w:tcBorders>
              <w:top w:val="nil"/>
              <w:left w:val="nil"/>
              <w:bottom w:val="single" w:color="auto" w:sz="4" w:space="0"/>
              <w:right w:val="single" w:color="auto" w:sz="4" w:space="0"/>
            </w:tcBorders>
            <w:shd w:val="clear" w:color="auto" w:fill="auto"/>
            <w:noWrap/>
            <w:vAlign w:val="center"/>
          </w:tcPr>
          <w:p w14:paraId="5632CF5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完成情况</w:t>
            </w:r>
          </w:p>
        </w:tc>
      </w:tr>
      <w:tr w14:paraId="28EDB095">
        <w:tblPrEx>
          <w:tblCellMar>
            <w:top w:w="0" w:type="dxa"/>
            <w:left w:w="108" w:type="dxa"/>
            <w:bottom w:w="0" w:type="dxa"/>
            <w:right w:w="108" w:type="dxa"/>
          </w:tblCellMar>
        </w:tblPrEx>
        <w:trPr>
          <w:trHeight w:val="300" w:hRule="atLeast"/>
          <w:jc w:val="center"/>
        </w:trPr>
        <w:tc>
          <w:tcPr>
            <w:tcW w:w="960" w:type="dxa"/>
            <w:tcBorders>
              <w:top w:val="nil"/>
              <w:left w:val="single" w:color="auto" w:sz="4" w:space="0"/>
              <w:bottom w:val="single" w:color="auto" w:sz="4" w:space="0"/>
              <w:right w:val="single" w:color="auto" w:sz="4" w:space="0"/>
            </w:tcBorders>
            <w:shd w:val="clear" w:color="auto" w:fill="auto"/>
            <w:noWrap/>
            <w:vAlign w:val="center"/>
          </w:tcPr>
          <w:p w14:paraId="729CA747">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026" w:type="dxa"/>
            <w:tcBorders>
              <w:top w:val="nil"/>
              <w:left w:val="nil"/>
              <w:bottom w:val="single" w:color="auto" w:sz="4" w:space="0"/>
              <w:right w:val="single" w:color="auto" w:sz="4" w:space="0"/>
            </w:tcBorders>
            <w:shd w:val="clear" w:color="auto" w:fill="auto"/>
            <w:noWrap/>
            <w:vAlign w:val="center"/>
          </w:tcPr>
          <w:p w14:paraId="2E52A2A9">
            <w:pPr>
              <w:widowControl/>
              <w:jc w:val="center"/>
              <w:rPr>
                <w:rFonts w:ascii="宋体" w:hAnsi="宋体" w:cs="宋体"/>
                <w:color w:val="000000"/>
                <w:kern w:val="0"/>
                <w:sz w:val="18"/>
                <w:szCs w:val="18"/>
              </w:rPr>
            </w:pPr>
            <w:r>
              <w:rPr>
                <w:rFonts w:hint="eastAsia" w:ascii="宋体" w:hAnsi="宋体" w:cs="宋体"/>
                <w:color w:val="000000"/>
                <w:kern w:val="0"/>
                <w:sz w:val="18"/>
                <w:szCs w:val="18"/>
              </w:rPr>
              <w:t>603.37</w:t>
            </w:r>
          </w:p>
        </w:tc>
        <w:tc>
          <w:tcPr>
            <w:tcW w:w="1140" w:type="dxa"/>
            <w:tcBorders>
              <w:top w:val="nil"/>
              <w:left w:val="nil"/>
              <w:bottom w:val="single" w:color="auto" w:sz="4" w:space="0"/>
              <w:right w:val="single" w:color="auto" w:sz="4" w:space="0"/>
            </w:tcBorders>
            <w:shd w:val="clear" w:color="auto" w:fill="auto"/>
            <w:noWrap/>
            <w:vAlign w:val="center"/>
          </w:tcPr>
          <w:p w14:paraId="443E308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510.74 </w:t>
            </w:r>
          </w:p>
        </w:tc>
        <w:tc>
          <w:tcPr>
            <w:tcW w:w="1347" w:type="dxa"/>
            <w:tcBorders>
              <w:top w:val="nil"/>
              <w:left w:val="nil"/>
              <w:bottom w:val="single" w:color="auto" w:sz="4" w:space="0"/>
              <w:right w:val="single" w:color="auto" w:sz="4" w:space="0"/>
            </w:tcBorders>
            <w:shd w:val="clear" w:color="auto" w:fill="auto"/>
            <w:noWrap/>
            <w:vAlign w:val="center"/>
          </w:tcPr>
          <w:p w14:paraId="571768E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561.26 </w:t>
            </w:r>
          </w:p>
        </w:tc>
        <w:tc>
          <w:tcPr>
            <w:tcW w:w="1341" w:type="dxa"/>
            <w:tcBorders>
              <w:top w:val="nil"/>
              <w:left w:val="nil"/>
              <w:bottom w:val="single" w:color="auto" w:sz="4" w:space="0"/>
              <w:right w:val="single" w:color="auto" w:sz="4" w:space="0"/>
            </w:tcBorders>
            <w:shd w:val="clear" w:color="auto" w:fill="auto"/>
            <w:noWrap/>
            <w:vAlign w:val="center"/>
          </w:tcPr>
          <w:p w14:paraId="3C0A5ABB">
            <w:pPr>
              <w:widowControl/>
              <w:jc w:val="center"/>
              <w:rPr>
                <w:rFonts w:ascii="宋体" w:hAnsi="宋体" w:cs="宋体"/>
                <w:color w:val="000000"/>
                <w:kern w:val="0"/>
                <w:sz w:val="18"/>
                <w:szCs w:val="18"/>
              </w:rPr>
            </w:pPr>
            <w:r>
              <w:rPr>
                <w:rFonts w:hint="eastAsia" w:ascii="宋体" w:hAnsi="宋体" w:cs="宋体"/>
                <w:color w:val="000000"/>
                <w:kern w:val="0"/>
                <w:sz w:val="18"/>
                <w:szCs w:val="18"/>
              </w:rPr>
              <w:t>624.9</w:t>
            </w:r>
          </w:p>
        </w:tc>
        <w:tc>
          <w:tcPr>
            <w:tcW w:w="2511" w:type="dxa"/>
            <w:tcBorders>
              <w:top w:val="nil"/>
              <w:left w:val="nil"/>
              <w:bottom w:val="single" w:color="auto" w:sz="4" w:space="0"/>
              <w:right w:val="single" w:color="auto" w:sz="4" w:space="0"/>
            </w:tcBorders>
            <w:shd w:val="clear" w:color="auto" w:fill="auto"/>
            <w:noWrap/>
            <w:vAlign w:val="center"/>
          </w:tcPr>
          <w:p w14:paraId="1C9962B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63.64 </w:t>
            </w:r>
          </w:p>
        </w:tc>
        <w:tc>
          <w:tcPr>
            <w:tcW w:w="1116" w:type="dxa"/>
            <w:tcBorders>
              <w:top w:val="nil"/>
              <w:left w:val="nil"/>
              <w:bottom w:val="single" w:color="auto" w:sz="4" w:space="0"/>
              <w:right w:val="single" w:color="auto" w:sz="4" w:space="0"/>
            </w:tcBorders>
            <w:shd w:val="clear" w:color="auto" w:fill="auto"/>
            <w:vAlign w:val="center"/>
          </w:tcPr>
          <w:p w14:paraId="6BC85FE2">
            <w:pPr>
              <w:jc w:val="center"/>
              <w:rPr>
                <w:rFonts w:ascii="宋体" w:hAnsi="宋体" w:cs="宋体"/>
                <w:color w:val="000000"/>
                <w:sz w:val="18"/>
                <w:szCs w:val="18"/>
              </w:rPr>
            </w:pPr>
            <w:r>
              <w:rPr>
                <w:rFonts w:hint="eastAsia"/>
                <w:color w:val="000000"/>
                <w:sz w:val="18"/>
                <w:szCs w:val="18"/>
              </w:rPr>
              <w:t>未完成</w:t>
            </w:r>
          </w:p>
        </w:tc>
      </w:tr>
      <w:tr w14:paraId="4945B697">
        <w:tblPrEx>
          <w:tblCellMar>
            <w:top w:w="0" w:type="dxa"/>
            <w:left w:w="108" w:type="dxa"/>
            <w:bottom w:w="0" w:type="dxa"/>
            <w:right w:w="108" w:type="dxa"/>
          </w:tblCellMar>
        </w:tblPrEx>
        <w:trPr>
          <w:trHeight w:val="300" w:hRule="atLeast"/>
          <w:jc w:val="center"/>
        </w:trPr>
        <w:tc>
          <w:tcPr>
            <w:tcW w:w="960" w:type="dxa"/>
            <w:tcBorders>
              <w:top w:val="nil"/>
              <w:left w:val="single" w:color="auto" w:sz="4" w:space="0"/>
              <w:bottom w:val="single" w:color="auto" w:sz="4" w:space="0"/>
              <w:right w:val="single" w:color="auto" w:sz="4" w:space="0"/>
            </w:tcBorders>
            <w:shd w:val="clear" w:color="auto" w:fill="auto"/>
            <w:noWrap/>
            <w:vAlign w:val="center"/>
          </w:tcPr>
          <w:p w14:paraId="11FBB2F8">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026" w:type="dxa"/>
            <w:tcBorders>
              <w:top w:val="nil"/>
              <w:left w:val="nil"/>
              <w:bottom w:val="single" w:color="auto" w:sz="4" w:space="0"/>
              <w:right w:val="single" w:color="auto" w:sz="4" w:space="0"/>
            </w:tcBorders>
            <w:shd w:val="clear" w:color="auto" w:fill="auto"/>
            <w:noWrap/>
            <w:vAlign w:val="center"/>
          </w:tcPr>
          <w:p w14:paraId="5D87B636">
            <w:pPr>
              <w:widowControl/>
              <w:jc w:val="center"/>
              <w:rPr>
                <w:rFonts w:ascii="宋体" w:hAnsi="宋体" w:cs="宋体"/>
                <w:color w:val="000000"/>
                <w:kern w:val="0"/>
                <w:sz w:val="18"/>
                <w:szCs w:val="18"/>
              </w:rPr>
            </w:pPr>
            <w:r>
              <w:rPr>
                <w:rFonts w:hint="eastAsia" w:ascii="宋体" w:hAnsi="宋体" w:cs="宋体"/>
                <w:color w:val="000000"/>
                <w:kern w:val="0"/>
                <w:sz w:val="18"/>
                <w:szCs w:val="18"/>
              </w:rPr>
              <w:t>2190.77</w:t>
            </w:r>
          </w:p>
        </w:tc>
        <w:tc>
          <w:tcPr>
            <w:tcW w:w="1140" w:type="dxa"/>
            <w:tcBorders>
              <w:top w:val="nil"/>
              <w:left w:val="nil"/>
              <w:bottom w:val="single" w:color="auto" w:sz="4" w:space="0"/>
              <w:right w:val="single" w:color="auto" w:sz="4" w:space="0"/>
            </w:tcBorders>
            <w:shd w:val="clear" w:color="auto" w:fill="auto"/>
            <w:noWrap/>
            <w:vAlign w:val="center"/>
          </w:tcPr>
          <w:p w14:paraId="204839D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2409.21 </w:t>
            </w:r>
          </w:p>
        </w:tc>
        <w:tc>
          <w:tcPr>
            <w:tcW w:w="1347" w:type="dxa"/>
            <w:tcBorders>
              <w:top w:val="nil"/>
              <w:left w:val="nil"/>
              <w:bottom w:val="single" w:color="auto" w:sz="4" w:space="0"/>
              <w:right w:val="single" w:color="auto" w:sz="4" w:space="0"/>
            </w:tcBorders>
            <w:shd w:val="clear" w:color="auto" w:fill="auto"/>
            <w:noWrap/>
            <w:vAlign w:val="center"/>
          </w:tcPr>
          <w:p w14:paraId="26695B6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2290.06 </w:t>
            </w:r>
          </w:p>
        </w:tc>
        <w:tc>
          <w:tcPr>
            <w:tcW w:w="1341" w:type="dxa"/>
            <w:tcBorders>
              <w:top w:val="nil"/>
              <w:left w:val="nil"/>
              <w:bottom w:val="single" w:color="auto" w:sz="4" w:space="0"/>
              <w:right w:val="single" w:color="auto" w:sz="4" w:space="0"/>
            </w:tcBorders>
            <w:shd w:val="clear" w:color="auto" w:fill="auto"/>
            <w:noWrap/>
            <w:vAlign w:val="center"/>
          </w:tcPr>
          <w:p w14:paraId="7091354F">
            <w:pPr>
              <w:widowControl/>
              <w:jc w:val="center"/>
              <w:rPr>
                <w:rFonts w:ascii="宋体" w:hAnsi="宋体" w:cs="宋体"/>
                <w:color w:val="000000"/>
                <w:kern w:val="0"/>
                <w:sz w:val="18"/>
                <w:szCs w:val="18"/>
              </w:rPr>
            </w:pPr>
            <w:r>
              <w:rPr>
                <w:rFonts w:hint="eastAsia" w:ascii="宋体" w:hAnsi="宋体" w:cs="宋体"/>
                <w:color w:val="000000"/>
                <w:kern w:val="0"/>
                <w:sz w:val="18"/>
                <w:szCs w:val="18"/>
              </w:rPr>
              <w:t>2382.13</w:t>
            </w:r>
          </w:p>
        </w:tc>
        <w:tc>
          <w:tcPr>
            <w:tcW w:w="2511" w:type="dxa"/>
            <w:tcBorders>
              <w:top w:val="nil"/>
              <w:left w:val="nil"/>
              <w:bottom w:val="single" w:color="auto" w:sz="4" w:space="0"/>
              <w:right w:val="single" w:color="auto" w:sz="4" w:space="0"/>
            </w:tcBorders>
            <w:shd w:val="clear" w:color="auto" w:fill="auto"/>
            <w:noWrap/>
            <w:vAlign w:val="center"/>
          </w:tcPr>
          <w:p w14:paraId="42372D8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92.07 </w:t>
            </w:r>
          </w:p>
        </w:tc>
        <w:tc>
          <w:tcPr>
            <w:tcW w:w="1116" w:type="dxa"/>
            <w:tcBorders>
              <w:top w:val="nil"/>
              <w:left w:val="nil"/>
              <w:bottom w:val="single" w:color="auto" w:sz="4" w:space="0"/>
              <w:right w:val="single" w:color="auto" w:sz="4" w:space="0"/>
            </w:tcBorders>
            <w:shd w:val="clear" w:color="auto" w:fill="auto"/>
          </w:tcPr>
          <w:p w14:paraId="20BA0277">
            <w:pPr>
              <w:jc w:val="center"/>
              <w:rPr>
                <w:rFonts w:ascii="宋体" w:hAnsi="宋体" w:cs="宋体"/>
                <w:color w:val="000000"/>
                <w:sz w:val="18"/>
                <w:szCs w:val="18"/>
              </w:rPr>
            </w:pPr>
            <w:r>
              <w:rPr>
                <w:rFonts w:hint="eastAsia"/>
                <w:color w:val="000000"/>
                <w:sz w:val="18"/>
                <w:szCs w:val="18"/>
              </w:rPr>
              <w:t>未完成</w:t>
            </w:r>
          </w:p>
        </w:tc>
      </w:tr>
      <w:tr w14:paraId="3B3F9BFD">
        <w:tblPrEx>
          <w:tblCellMar>
            <w:top w:w="0" w:type="dxa"/>
            <w:left w:w="108" w:type="dxa"/>
            <w:bottom w:w="0" w:type="dxa"/>
            <w:right w:w="108" w:type="dxa"/>
          </w:tblCellMar>
        </w:tblPrEx>
        <w:trPr>
          <w:trHeight w:val="300" w:hRule="atLeast"/>
          <w:jc w:val="center"/>
        </w:trPr>
        <w:tc>
          <w:tcPr>
            <w:tcW w:w="960" w:type="dxa"/>
            <w:tcBorders>
              <w:top w:val="nil"/>
              <w:left w:val="single" w:color="auto" w:sz="4" w:space="0"/>
              <w:bottom w:val="single" w:color="auto" w:sz="4" w:space="0"/>
              <w:right w:val="single" w:color="auto" w:sz="4" w:space="0"/>
            </w:tcBorders>
            <w:shd w:val="clear" w:color="auto" w:fill="auto"/>
            <w:noWrap/>
            <w:vAlign w:val="center"/>
          </w:tcPr>
          <w:p w14:paraId="5CECFD5D">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026" w:type="dxa"/>
            <w:tcBorders>
              <w:top w:val="nil"/>
              <w:left w:val="nil"/>
              <w:bottom w:val="single" w:color="auto" w:sz="4" w:space="0"/>
              <w:right w:val="single" w:color="auto" w:sz="4" w:space="0"/>
            </w:tcBorders>
            <w:shd w:val="clear" w:color="auto" w:fill="auto"/>
            <w:noWrap/>
            <w:vAlign w:val="center"/>
          </w:tcPr>
          <w:p w14:paraId="21B16753">
            <w:pPr>
              <w:widowControl/>
              <w:jc w:val="center"/>
              <w:rPr>
                <w:rFonts w:ascii="宋体" w:hAnsi="宋体" w:cs="宋体"/>
                <w:color w:val="000000"/>
                <w:kern w:val="0"/>
                <w:sz w:val="18"/>
                <w:szCs w:val="18"/>
              </w:rPr>
            </w:pPr>
            <w:r>
              <w:rPr>
                <w:rFonts w:hint="eastAsia" w:ascii="宋体" w:hAnsi="宋体" w:cs="宋体"/>
                <w:color w:val="000000"/>
                <w:kern w:val="0"/>
                <w:sz w:val="18"/>
                <w:szCs w:val="18"/>
              </w:rPr>
              <w:t>515.41</w:t>
            </w:r>
          </w:p>
        </w:tc>
        <w:tc>
          <w:tcPr>
            <w:tcW w:w="1140" w:type="dxa"/>
            <w:tcBorders>
              <w:top w:val="nil"/>
              <w:left w:val="nil"/>
              <w:bottom w:val="single" w:color="auto" w:sz="4" w:space="0"/>
              <w:right w:val="single" w:color="auto" w:sz="4" w:space="0"/>
            </w:tcBorders>
            <w:shd w:val="clear" w:color="auto" w:fill="auto"/>
            <w:noWrap/>
            <w:vAlign w:val="center"/>
          </w:tcPr>
          <w:p w14:paraId="4710B66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506.49 </w:t>
            </w:r>
          </w:p>
        </w:tc>
        <w:tc>
          <w:tcPr>
            <w:tcW w:w="1347" w:type="dxa"/>
            <w:tcBorders>
              <w:top w:val="nil"/>
              <w:left w:val="nil"/>
              <w:bottom w:val="single" w:color="auto" w:sz="4" w:space="0"/>
              <w:right w:val="single" w:color="auto" w:sz="4" w:space="0"/>
            </w:tcBorders>
            <w:shd w:val="clear" w:color="auto" w:fill="auto"/>
            <w:noWrap/>
            <w:vAlign w:val="center"/>
          </w:tcPr>
          <w:p w14:paraId="60252CF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511.35 </w:t>
            </w:r>
          </w:p>
        </w:tc>
        <w:tc>
          <w:tcPr>
            <w:tcW w:w="1341" w:type="dxa"/>
            <w:tcBorders>
              <w:top w:val="nil"/>
              <w:left w:val="nil"/>
              <w:bottom w:val="single" w:color="auto" w:sz="4" w:space="0"/>
              <w:right w:val="single" w:color="auto" w:sz="4" w:space="0"/>
            </w:tcBorders>
            <w:shd w:val="clear" w:color="auto" w:fill="auto"/>
            <w:noWrap/>
            <w:vAlign w:val="center"/>
          </w:tcPr>
          <w:p w14:paraId="5D1A3C51">
            <w:pPr>
              <w:widowControl/>
              <w:jc w:val="center"/>
              <w:rPr>
                <w:rFonts w:ascii="宋体" w:hAnsi="宋体" w:cs="宋体"/>
                <w:color w:val="000000"/>
                <w:kern w:val="0"/>
                <w:sz w:val="18"/>
                <w:szCs w:val="18"/>
              </w:rPr>
            </w:pPr>
            <w:r>
              <w:rPr>
                <w:rFonts w:hint="eastAsia" w:ascii="宋体" w:hAnsi="宋体" w:cs="宋体"/>
                <w:color w:val="000000"/>
                <w:kern w:val="0"/>
                <w:sz w:val="18"/>
                <w:szCs w:val="18"/>
              </w:rPr>
              <w:t>539.38</w:t>
            </w:r>
          </w:p>
        </w:tc>
        <w:tc>
          <w:tcPr>
            <w:tcW w:w="2511" w:type="dxa"/>
            <w:tcBorders>
              <w:top w:val="nil"/>
              <w:left w:val="nil"/>
              <w:bottom w:val="single" w:color="auto" w:sz="4" w:space="0"/>
              <w:right w:val="single" w:color="auto" w:sz="4" w:space="0"/>
            </w:tcBorders>
            <w:shd w:val="clear" w:color="auto" w:fill="auto"/>
            <w:noWrap/>
            <w:vAlign w:val="center"/>
          </w:tcPr>
          <w:p w14:paraId="1A0B8BD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28.03 </w:t>
            </w:r>
          </w:p>
        </w:tc>
        <w:tc>
          <w:tcPr>
            <w:tcW w:w="1116" w:type="dxa"/>
            <w:tcBorders>
              <w:top w:val="nil"/>
              <w:left w:val="nil"/>
              <w:bottom w:val="single" w:color="auto" w:sz="4" w:space="0"/>
              <w:right w:val="single" w:color="auto" w:sz="4" w:space="0"/>
            </w:tcBorders>
            <w:shd w:val="clear" w:color="auto" w:fill="auto"/>
          </w:tcPr>
          <w:p w14:paraId="69ABC2FB">
            <w:pPr>
              <w:jc w:val="center"/>
              <w:rPr>
                <w:rFonts w:ascii="宋体" w:hAnsi="宋体" w:cs="宋体"/>
                <w:color w:val="000000"/>
                <w:sz w:val="18"/>
                <w:szCs w:val="18"/>
              </w:rPr>
            </w:pPr>
            <w:r>
              <w:rPr>
                <w:rFonts w:hint="eastAsia"/>
                <w:color w:val="000000"/>
                <w:sz w:val="18"/>
                <w:szCs w:val="18"/>
              </w:rPr>
              <w:t>未完成</w:t>
            </w:r>
          </w:p>
        </w:tc>
      </w:tr>
      <w:tr w14:paraId="76D382E7">
        <w:tblPrEx>
          <w:tblCellMar>
            <w:top w:w="0" w:type="dxa"/>
            <w:left w:w="108" w:type="dxa"/>
            <w:bottom w:w="0" w:type="dxa"/>
            <w:right w:w="108" w:type="dxa"/>
          </w:tblCellMar>
        </w:tblPrEx>
        <w:trPr>
          <w:trHeight w:val="300" w:hRule="atLeast"/>
          <w:jc w:val="center"/>
        </w:trPr>
        <w:tc>
          <w:tcPr>
            <w:tcW w:w="960" w:type="dxa"/>
            <w:tcBorders>
              <w:top w:val="nil"/>
              <w:left w:val="single" w:color="auto" w:sz="4" w:space="0"/>
              <w:bottom w:val="single" w:color="auto" w:sz="4" w:space="0"/>
              <w:right w:val="single" w:color="auto" w:sz="4" w:space="0"/>
            </w:tcBorders>
            <w:shd w:val="clear" w:color="auto" w:fill="auto"/>
            <w:noWrap/>
            <w:vAlign w:val="center"/>
          </w:tcPr>
          <w:p w14:paraId="161C40E8">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026" w:type="dxa"/>
            <w:tcBorders>
              <w:top w:val="nil"/>
              <w:left w:val="nil"/>
              <w:bottom w:val="single" w:color="auto" w:sz="4" w:space="0"/>
              <w:right w:val="single" w:color="auto" w:sz="4" w:space="0"/>
            </w:tcBorders>
            <w:shd w:val="clear" w:color="auto" w:fill="auto"/>
            <w:noWrap/>
            <w:vAlign w:val="center"/>
          </w:tcPr>
          <w:p w14:paraId="575578EC">
            <w:pPr>
              <w:widowControl/>
              <w:jc w:val="center"/>
              <w:rPr>
                <w:rFonts w:ascii="宋体" w:hAnsi="宋体" w:cs="宋体"/>
                <w:color w:val="000000"/>
                <w:kern w:val="0"/>
                <w:sz w:val="18"/>
                <w:szCs w:val="18"/>
              </w:rPr>
            </w:pPr>
            <w:r>
              <w:rPr>
                <w:rFonts w:hint="eastAsia" w:ascii="宋体" w:hAnsi="宋体" w:cs="宋体"/>
                <w:color w:val="000000"/>
                <w:kern w:val="0"/>
                <w:sz w:val="18"/>
                <w:szCs w:val="18"/>
              </w:rPr>
              <w:t>393.76</w:t>
            </w:r>
          </w:p>
        </w:tc>
        <w:tc>
          <w:tcPr>
            <w:tcW w:w="1140" w:type="dxa"/>
            <w:tcBorders>
              <w:top w:val="nil"/>
              <w:left w:val="nil"/>
              <w:bottom w:val="single" w:color="auto" w:sz="4" w:space="0"/>
              <w:right w:val="single" w:color="auto" w:sz="4" w:space="0"/>
            </w:tcBorders>
            <w:shd w:val="clear" w:color="auto" w:fill="auto"/>
            <w:noWrap/>
            <w:vAlign w:val="center"/>
          </w:tcPr>
          <w:p w14:paraId="56DB723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474.36 </w:t>
            </w:r>
          </w:p>
        </w:tc>
        <w:tc>
          <w:tcPr>
            <w:tcW w:w="1347" w:type="dxa"/>
            <w:tcBorders>
              <w:top w:val="nil"/>
              <w:left w:val="nil"/>
              <w:bottom w:val="single" w:color="auto" w:sz="4" w:space="0"/>
              <w:right w:val="single" w:color="auto" w:sz="4" w:space="0"/>
            </w:tcBorders>
            <w:shd w:val="clear" w:color="auto" w:fill="auto"/>
            <w:noWrap/>
            <w:vAlign w:val="center"/>
          </w:tcPr>
          <w:p w14:paraId="56FD224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430.40 </w:t>
            </w:r>
          </w:p>
        </w:tc>
        <w:tc>
          <w:tcPr>
            <w:tcW w:w="1341" w:type="dxa"/>
            <w:tcBorders>
              <w:top w:val="nil"/>
              <w:left w:val="nil"/>
              <w:bottom w:val="single" w:color="auto" w:sz="4" w:space="0"/>
              <w:right w:val="single" w:color="auto" w:sz="4" w:space="0"/>
            </w:tcBorders>
            <w:shd w:val="clear" w:color="auto" w:fill="auto"/>
            <w:noWrap/>
            <w:vAlign w:val="center"/>
          </w:tcPr>
          <w:p w14:paraId="44502E27">
            <w:pPr>
              <w:widowControl/>
              <w:jc w:val="center"/>
              <w:rPr>
                <w:rFonts w:ascii="宋体" w:hAnsi="宋体" w:cs="宋体"/>
                <w:color w:val="000000"/>
                <w:kern w:val="0"/>
                <w:sz w:val="18"/>
                <w:szCs w:val="18"/>
              </w:rPr>
            </w:pPr>
            <w:r>
              <w:rPr>
                <w:rFonts w:hint="eastAsia" w:ascii="宋体" w:hAnsi="宋体" w:cs="宋体"/>
                <w:color w:val="000000"/>
                <w:kern w:val="0"/>
                <w:sz w:val="18"/>
                <w:szCs w:val="18"/>
              </w:rPr>
              <w:t>401.91</w:t>
            </w:r>
          </w:p>
        </w:tc>
        <w:tc>
          <w:tcPr>
            <w:tcW w:w="2511" w:type="dxa"/>
            <w:tcBorders>
              <w:top w:val="nil"/>
              <w:left w:val="nil"/>
              <w:bottom w:val="single" w:color="auto" w:sz="4" w:space="0"/>
              <w:right w:val="single" w:color="auto" w:sz="4" w:space="0"/>
            </w:tcBorders>
            <w:shd w:val="clear" w:color="auto" w:fill="auto"/>
            <w:noWrap/>
            <w:vAlign w:val="center"/>
          </w:tcPr>
          <w:p w14:paraId="347999A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-28.49 </w:t>
            </w:r>
          </w:p>
        </w:tc>
        <w:tc>
          <w:tcPr>
            <w:tcW w:w="1116" w:type="dxa"/>
            <w:tcBorders>
              <w:top w:val="nil"/>
              <w:left w:val="nil"/>
              <w:bottom w:val="single" w:color="auto" w:sz="4" w:space="0"/>
              <w:right w:val="single" w:color="auto" w:sz="4" w:space="0"/>
            </w:tcBorders>
            <w:shd w:val="clear" w:color="auto" w:fill="auto"/>
          </w:tcPr>
          <w:p w14:paraId="7BC52FC1">
            <w:pPr>
              <w:jc w:val="center"/>
              <w:rPr>
                <w:rFonts w:ascii="宋体" w:hAnsi="宋体" w:cs="宋体"/>
                <w:color w:val="000000"/>
                <w:sz w:val="18"/>
                <w:szCs w:val="18"/>
              </w:rPr>
            </w:pPr>
            <w:r>
              <w:rPr>
                <w:rFonts w:hint="eastAsia"/>
                <w:color w:val="000000"/>
                <w:sz w:val="18"/>
                <w:szCs w:val="18"/>
              </w:rPr>
              <w:t>完成</w:t>
            </w:r>
          </w:p>
        </w:tc>
      </w:tr>
      <w:tr w14:paraId="22F6B134">
        <w:tblPrEx>
          <w:tblCellMar>
            <w:top w:w="0" w:type="dxa"/>
            <w:left w:w="108" w:type="dxa"/>
            <w:bottom w:w="0" w:type="dxa"/>
            <w:right w:w="108" w:type="dxa"/>
          </w:tblCellMar>
        </w:tblPrEx>
        <w:trPr>
          <w:trHeight w:val="300" w:hRule="atLeast"/>
          <w:jc w:val="center"/>
        </w:trPr>
        <w:tc>
          <w:tcPr>
            <w:tcW w:w="960" w:type="dxa"/>
            <w:tcBorders>
              <w:top w:val="nil"/>
              <w:left w:val="single" w:color="auto" w:sz="4" w:space="0"/>
              <w:bottom w:val="single" w:color="auto" w:sz="4" w:space="0"/>
              <w:right w:val="single" w:color="auto" w:sz="4" w:space="0"/>
            </w:tcBorders>
            <w:shd w:val="clear" w:color="auto" w:fill="auto"/>
            <w:noWrap/>
            <w:vAlign w:val="center"/>
          </w:tcPr>
          <w:p w14:paraId="25B22A6C">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026" w:type="dxa"/>
            <w:tcBorders>
              <w:top w:val="nil"/>
              <w:left w:val="nil"/>
              <w:bottom w:val="single" w:color="auto" w:sz="4" w:space="0"/>
              <w:right w:val="single" w:color="auto" w:sz="4" w:space="0"/>
            </w:tcBorders>
            <w:shd w:val="clear" w:color="auto" w:fill="auto"/>
            <w:noWrap/>
            <w:vAlign w:val="center"/>
          </w:tcPr>
          <w:p w14:paraId="3962D85B">
            <w:pPr>
              <w:widowControl/>
              <w:jc w:val="center"/>
              <w:rPr>
                <w:rFonts w:ascii="宋体" w:hAnsi="宋体" w:cs="宋体"/>
                <w:color w:val="000000"/>
                <w:kern w:val="0"/>
                <w:sz w:val="18"/>
                <w:szCs w:val="18"/>
              </w:rPr>
            </w:pPr>
            <w:r>
              <w:rPr>
                <w:rFonts w:hint="eastAsia" w:ascii="宋体" w:hAnsi="宋体" w:cs="宋体"/>
                <w:color w:val="000000"/>
                <w:kern w:val="0"/>
                <w:sz w:val="18"/>
                <w:szCs w:val="18"/>
              </w:rPr>
              <w:t>923.39</w:t>
            </w:r>
          </w:p>
        </w:tc>
        <w:tc>
          <w:tcPr>
            <w:tcW w:w="1140" w:type="dxa"/>
            <w:tcBorders>
              <w:top w:val="nil"/>
              <w:left w:val="nil"/>
              <w:bottom w:val="single" w:color="auto" w:sz="4" w:space="0"/>
              <w:right w:val="single" w:color="auto" w:sz="4" w:space="0"/>
            </w:tcBorders>
            <w:shd w:val="clear" w:color="auto" w:fill="auto"/>
            <w:noWrap/>
            <w:vAlign w:val="center"/>
          </w:tcPr>
          <w:p w14:paraId="3DCEACE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591.94 </w:t>
            </w:r>
          </w:p>
        </w:tc>
        <w:tc>
          <w:tcPr>
            <w:tcW w:w="1347" w:type="dxa"/>
            <w:tcBorders>
              <w:top w:val="nil"/>
              <w:left w:val="nil"/>
              <w:bottom w:val="single" w:color="auto" w:sz="4" w:space="0"/>
              <w:right w:val="single" w:color="auto" w:sz="4" w:space="0"/>
            </w:tcBorders>
            <w:shd w:val="clear" w:color="auto" w:fill="auto"/>
            <w:noWrap/>
            <w:vAlign w:val="center"/>
          </w:tcPr>
          <w:p w14:paraId="7C93BE7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772.73 </w:t>
            </w:r>
          </w:p>
        </w:tc>
        <w:tc>
          <w:tcPr>
            <w:tcW w:w="1341" w:type="dxa"/>
            <w:tcBorders>
              <w:top w:val="nil"/>
              <w:left w:val="nil"/>
              <w:bottom w:val="single" w:color="auto" w:sz="4" w:space="0"/>
              <w:right w:val="single" w:color="auto" w:sz="4" w:space="0"/>
            </w:tcBorders>
            <w:shd w:val="clear" w:color="auto" w:fill="auto"/>
            <w:noWrap/>
            <w:vAlign w:val="center"/>
          </w:tcPr>
          <w:p w14:paraId="4ED6EA13">
            <w:pPr>
              <w:widowControl/>
              <w:jc w:val="center"/>
              <w:rPr>
                <w:rFonts w:ascii="宋体" w:hAnsi="宋体" w:cs="宋体"/>
                <w:color w:val="000000"/>
                <w:kern w:val="0"/>
                <w:sz w:val="18"/>
                <w:szCs w:val="18"/>
              </w:rPr>
            </w:pPr>
            <w:r>
              <w:rPr>
                <w:rFonts w:hint="eastAsia" w:ascii="宋体" w:hAnsi="宋体" w:cs="宋体"/>
                <w:color w:val="000000"/>
                <w:kern w:val="0"/>
                <w:sz w:val="18"/>
                <w:szCs w:val="18"/>
              </w:rPr>
              <w:t>934.71</w:t>
            </w:r>
          </w:p>
        </w:tc>
        <w:tc>
          <w:tcPr>
            <w:tcW w:w="2511" w:type="dxa"/>
            <w:tcBorders>
              <w:top w:val="nil"/>
              <w:left w:val="nil"/>
              <w:bottom w:val="single" w:color="auto" w:sz="4" w:space="0"/>
              <w:right w:val="single" w:color="auto" w:sz="4" w:space="0"/>
            </w:tcBorders>
            <w:shd w:val="clear" w:color="auto" w:fill="auto"/>
            <w:noWrap/>
            <w:vAlign w:val="center"/>
          </w:tcPr>
          <w:p w14:paraId="2BA82FF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161.98 </w:t>
            </w:r>
          </w:p>
        </w:tc>
        <w:tc>
          <w:tcPr>
            <w:tcW w:w="1116" w:type="dxa"/>
            <w:tcBorders>
              <w:top w:val="nil"/>
              <w:left w:val="nil"/>
              <w:bottom w:val="single" w:color="auto" w:sz="4" w:space="0"/>
              <w:right w:val="single" w:color="auto" w:sz="4" w:space="0"/>
            </w:tcBorders>
            <w:shd w:val="clear" w:color="auto" w:fill="auto"/>
          </w:tcPr>
          <w:p w14:paraId="458FB2DB">
            <w:pPr>
              <w:jc w:val="center"/>
              <w:rPr>
                <w:rFonts w:ascii="宋体" w:hAnsi="宋体" w:cs="宋体"/>
                <w:color w:val="000000"/>
                <w:sz w:val="18"/>
                <w:szCs w:val="18"/>
              </w:rPr>
            </w:pPr>
            <w:r>
              <w:rPr>
                <w:rFonts w:hint="eastAsia"/>
                <w:color w:val="000000"/>
                <w:sz w:val="18"/>
                <w:szCs w:val="18"/>
              </w:rPr>
              <w:t>未完成</w:t>
            </w:r>
          </w:p>
        </w:tc>
      </w:tr>
      <w:tr w14:paraId="49C62CEE">
        <w:tblPrEx>
          <w:tblCellMar>
            <w:top w:w="0" w:type="dxa"/>
            <w:left w:w="108" w:type="dxa"/>
            <w:bottom w:w="0" w:type="dxa"/>
            <w:right w:w="108" w:type="dxa"/>
          </w:tblCellMar>
        </w:tblPrEx>
        <w:trPr>
          <w:trHeight w:val="300" w:hRule="atLeast"/>
          <w:jc w:val="center"/>
        </w:trPr>
        <w:tc>
          <w:tcPr>
            <w:tcW w:w="960" w:type="dxa"/>
            <w:tcBorders>
              <w:top w:val="nil"/>
              <w:left w:val="single" w:color="auto" w:sz="4" w:space="0"/>
              <w:bottom w:val="single" w:color="auto" w:sz="4" w:space="0"/>
              <w:right w:val="single" w:color="auto" w:sz="4" w:space="0"/>
            </w:tcBorders>
            <w:shd w:val="clear" w:color="auto" w:fill="auto"/>
            <w:noWrap/>
            <w:vAlign w:val="center"/>
          </w:tcPr>
          <w:p w14:paraId="5C1232A8">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026" w:type="dxa"/>
            <w:tcBorders>
              <w:top w:val="nil"/>
              <w:left w:val="nil"/>
              <w:bottom w:val="single" w:color="auto" w:sz="4" w:space="0"/>
              <w:right w:val="single" w:color="auto" w:sz="4" w:space="0"/>
            </w:tcBorders>
            <w:shd w:val="clear" w:color="auto" w:fill="auto"/>
            <w:noWrap/>
            <w:vAlign w:val="center"/>
          </w:tcPr>
          <w:p w14:paraId="6A3356D1">
            <w:pPr>
              <w:widowControl/>
              <w:jc w:val="center"/>
              <w:rPr>
                <w:rFonts w:ascii="宋体" w:hAnsi="宋体" w:cs="宋体"/>
                <w:color w:val="000000"/>
                <w:kern w:val="0"/>
                <w:sz w:val="18"/>
                <w:szCs w:val="18"/>
              </w:rPr>
            </w:pPr>
            <w:r>
              <w:rPr>
                <w:rFonts w:hint="eastAsia" w:ascii="宋体" w:hAnsi="宋体" w:cs="宋体"/>
                <w:color w:val="000000"/>
                <w:kern w:val="0"/>
                <w:sz w:val="18"/>
                <w:szCs w:val="18"/>
              </w:rPr>
              <w:t>522.92</w:t>
            </w:r>
          </w:p>
        </w:tc>
        <w:tc>
          <w:tcPr>
            <w:tcW w:w="1140" w:type="dxa"/>
            <w:tcBorders>
              <w:top w:val="nil"/>
              <w:left w:val="nil"/>
              <w:bottom w:val="single" w:color="auto" w:sz="4" w:space="0"/>
              <w:right w:val="single" w:color="auto" w:sz="4" w:space="0"/>
            </w:tcBorders>
            <w:shd w:val="clear" w:color="auto" w:fill="auto"/>
            <w:noWrap/>
            <w:vAlign w:val="center"/>
          </w:tcPr>
          <w:p w14:paraId="2917C77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365.43 </w:t>
            </w:r>
          </w:p>
        </w:tc>
        <w:tc>
          <w:tcPr>
            <w:tcW w:w="1347" w:type="dxa"/>
            <w:tcBorders>
              <w:top w:val="nil"/>
              <w:left w:val="nil"/>
              <w:bottom w:val="single" w:color="auto" w:sz="4" w:space="0"/>
              <w:right w:val="single" w:color="auto" w:sz="4" w:space="0"/>
            </w:tcBorders>
            <w:shd w:val="clear" w:color="auto" w:fill="auto"/>
            <w:noWrap/>
            <w:vAlign w:val="center"/>
          </w:tcPr>
          <w:p w14:paraId="1108AF5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451.33 </w:t>
            </w:r>
          </w:p>
        </w:tc>
        <w:tc>
          <w:tcPr>
            <w:tcW w:w="1341" w:type="dxa"/>
            <w:tcBorders>
              <w:top w:val="nil"/>
              <w:left w:val="nil"/>
              <w:bottom w:val="single" w:color="auto" w:sz="4" w:space="0"/>
              <w:right w:val="single" w:color="auto" w:sz="4" w:space="0"/>
            </w:tcBorders>
            <w:shd w:val="clear" w:color="auto" w:fill="auto"/>
            <w:noWrap/>
            <w:vAlign w:val="center"/>
          </w:tcPr>
          <w:p w14:paraId="31F9380D">
            <w:pPr>
              <w:widowControl/>
              <w:jc w:val="center"/>
              <w:rPr>
                <w:rFonts w:ascii="宋体" w:hAnsi="宋体" w:cs="宋体"/>
                <w:color w:val="000000"/>
                <w:kern w:val="0"/>
                <w:sz w:val="18"/>
                <w:szCs w:val="18"/>
              </w:rPr>
            </w:pPr>
            <w:r>
              <w:rPr>
                <w:rFonts w:hint="eastAsia" w:ascii="宋体" w:hAnsi="宋体" w:cs="宋体"/>
                <w:color w:val="000000"/>
                <w:kern w:val="0"/>
                <w:sz w:val="18"/>
                <w:szCs w:val="18"/>
              </w:rPr>
              <w:t>543.29</w:t>
            </w:r>
          </w:p>
        </w:tc>
        <w:tc>
          <w:tcPr>
            <w:tcW w:w="2511" w:type="dxa"/>
            <w:tcBorders>
              <w:top w:val="nil"/>
              <w:left w:val="nil"/>
              <w:bottom w:val="single" w:color="auto" w:sz="4" w:space="0"/>
              <w:right w:val="single" w:color="auto" w:sz="4" w:space="0"/>
            </w:tcBorders>
            <w:shd w:val="clear" w:color="auto" w:fill="auto"/>
            <w:noWrap/>
            <w:vAlign w:val="center"/>
          </w:tcPr>
          <w:p w14:paraId="453260E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91.96 </w:t>
            </w:r>
          </w:p>
        </w:tc>
        <w:tc>
          <w:tcPr>
            <w:tcW w:w="1116" w:type="dxa"/>
            <w:tcBorders>
              <w:top w:val="nil"/>
              <w:left w:val="nil"/>
              <w:bottom w:val="single" w:color="auto" w:sz="4" w:space="0"/>
              <w:right w:val="single" w:color="auto" w:sz="4" w:space="0"/>
            </w:tcBorders>
            <w:shd w:val="clear" w:color="auto" w:fill="auto"/>
          </w:tcPr>
          <w:p w14:paraId="3C237235">
            <w:pPr>
              <w:jc w:val="center"/>
              <w:rPr>
                <w:rFonts w:ascii="宋体" w:hAnsi="宋体" w:cs="宋体"/>
                <w:color w:val="000000"/>
                <w:sz w:val="18"/>
                <w:szCs w:val="18"/>
              </w:rPr>
            </w:pPr>
            <w:r>
              <w:rPr>
                <w:rFonts w:hint="eastAsia"/>
                <w:color w:val="000000"/>
                <w:sz w:val="18"/>
                <w:szCs w:val="18"/>
              </w:rPr>
              <w:t>未完成</w:t>
            </w:r>
          </w:p>
        </w:tc>
      </w:tr>
      <w:tr w14:paraId="2F04951C">
        <w:tblPrEx>
          <w:tblCellMar>
            <w:top w:w="0" w:type="dxa"/>
            <w:left w:w="108" w:type="dxa"/>
            <w:bottom w:w="0" w:type="dxa"/>
            <w:right w:w="108" w:type="dxa"/>
          </w:tblCellMar>
        </w:tblPrEx>
        <w:trPr>
          <w:trHeight w:val="300" w:hRule="atLeast"/>
          <w:jc w:val="center"/>
        </w:trPr>
        <w:tc>
          <w:tcPr>
            <w:tcW w:w="960" w:type="dxa"/>
            <w:tcBorders>
              <w:top w:val="nil"/>
              <w:left w:val="single" w:color="auto" w:sz="4" w:space="0"/>
              <w:bottom w:val="single" w:color="auto" w:sz="4" w:space="0"/>
              <w:right w:val="single" w:color="auto" w:sz="4" w:space="0"/>
            </w:tcBorders>
            <w:shd w:val="clear" w:color="auto" w:fill="auto"/>
            <w:noWrap/>
            <w:vAlign w:val="center"/>
          </w:tcPr>
          <w:p w14:paraId="29955992">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026" w:type="dxa"/>
            <w:tcBorders>
              <w:top w:val="nil"/>
              <w:left w:val="nil"/>
              <w:bottom w:val="single" w:color="auto" w:sz="4" w:space="0"/>
              <w:right w:val="single" w:color="auto" w:sz="4" w:space="0"/>
            </w:tcBorders>
            <w:shd w:val="clear" w:color="auto" w:fill="auto"/>
            <w:noWrap/>
            <w:vAlign w:val="center"/>
          </w:tcPr>
          <w:p w14:paraId="622DDE75">
            <w:pPr>
              <w:widowControl/>
              <w:jc w:val="center"/>
              <w:rPr>
                <w:rFonts w:ascii="宋体" w:hAnsi="宋体" w:cs="宋体"/>
                <w:color w:val="000000"/>
                <w:kern w:val="0"/>
                <w:sz w:val="18"/>
                <w:szCs w:val="18"/>
              </w:rPr>
            </w:pPr>
            <w:r>
              <w:rPr>
                <w:rFonts w:hint="eastAsia" w:ascii="宋体" w:hAnsi="宋体" w:cs="宋体"/>
                <w:color w:val="000000"/>
                <w:kern w:val="0"/>
                <w:sz w:val="18"/>
                <w:szCs w:val="18"/>
              </w:rPr>
              <w:t>251.59</w:t>
            </w:r>
          </w:p>
        </w:tc>
        <w:tc>
          <w:tcPr>
            <w:tcW w:w="1140" w:type="dxa"/>
            <w:tcBorders>
              <w:top w:val="nil"/>
              <w:left w:val="nil"/>
              <w:bottom w:val="single" w:color="auto" w:sz="4" w:space="0"/>
              <w:right w:val="single" w:color="auto" w:sz="4" w:space="0"/>
            </w:tcBorders>
            <w:shd w:val="clear" w:color="auto" w:fill="auto"/>
            <w:noWrap/>
            <w:vAlign w:val="center"/>
          </w:tcPr>
          <w:p w14:paraId="363F8C1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155.58 </w:t>
            </w:r>
          </w:p>
        </w:tc>
        <w:tc>
          <w:tcPr>
            <w:tcW w:w="1347" w:type="dxa"/>
            <w:tcBorders>
              <w:top w:val="nil"/>
              <w:left w:val="nil"/>
              <w:bottom w:val="single" w:color="auto" w:sz="4" w:space="0"/>
              <w:right w:val="single" w:color="auto" w:sz="4" w:space="0"/>
            </w:tcBorders>
            <w:shd w:val="clear" w:color="auto" w:fill="auto"/>
            <w:noWrap/>
            <w:vAlign w:val="center"/>
          </w:tcPr>
          <w:p w14:paraId="1657425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207.95 </w:t>
            </w:r>
          </w:p>
        </w:tc>
        <w:tc>
          <w:tcPr>
            <w:tcW w:w="1341" w:type="dxa"/>
            <w:tcBorders>
              <w:top w:val="nil"/>
              <w:left w:val="nil"/>
              <w:bottom w:val="single" w:color="auto" w:sz="4" w:space="0"/>
              <w:right w:val="single" w:color="auto" w:sz="4" w:space="0"/>
            </w:tcBorders>
            <w:shd w:val="clear" w:color="auto" w:fill="auto"/>
            <w:noWrap/>
            <w:vAlign w:val="center"/>
          </w:tcPr>
          <w:p w14:paraId="362B91FB">
            <w:pPr>
              <w:widowControl/>
              <w:jc w:val="center"/>
              <w:rPr>
                <w:rFonts w:ascii="宋体" w:hAnsi="宋体" w:cs="宋体"/>
                <w:color w:val="000000"/>
                <w:kern w:val="0"/>
                <w:sz w:val="18"/>
                <w:szCs w:val="18"/>
              </w:rPr>
            </w:pPr>
            <w:r>
              <w:rPr>
                <w:rFonts w:hint="eastAsia" w:ascii="宋体" w:hAnsi="宋体" w:cs="宋体"/>
                <w:color w:val="000000"/>
                <w:kern w:val="0"/>
                <w:sz w:val="18"/>
                <w:szCs w:val="18"/>
              </w:rPr>
              <w:t>261.34</w:t>
            </w:r>
          </w:p>
        </w:tc>
        <w:tc>
          <w:tcPr>
            <w:tcW w:w="2511" w:type="dxa"/>
            <w:tcBorders>
              <w:top w:val="nil"/>
              <w:left w:val="nil"/>
              <w:bottom w:val="single" w:color="auto" w:sz="4" w:space="0"/>
              <w:right w:val="single" w:color="auto" w:sz="4" w:space="0"/>
            </w:tcBorders>
            <w:shd w:val="clear" w:color="auto" w:fill="auto"/>
            <w:noWrap/>
            <w:vAlign w:val="center"/>
          </w:tcPr>
          <w:p w14:paraId="36DB790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53.39 </w:t>
            </w:r>
          </w:p>
        </w:tc>
        <w:tc>
          <w:tcPr>
            <w:tcW w:w="1116" w:type="dxa"/>
            <w:tcBorders>
              <w:top w:val="nil"/>
              <w:left w:val="nil"/>
              <w:bottom w:val="single" w:color="auto" w:sz="4" w:space="0"/>
              <w:right w:val="single" w:color="auto" w:sz="4" w:space="0"/>
            </w:tcBorders>
            <w:shd w:val="clear" w:color="auto" w:fill="auto"/>
          </w:tcPr>
          <w:p w14:paraId="4F041F20">
            <w:pPr>
              <w:jc w:val="center"/>
              <w:rPr>
                <w:rFonts w:ascii="宋体" w:hAnsi="宋体" w:cs="宋体"/>
                <w:color w:val="000000"/>
                <w:sz w:val="18"/>
                <w:szCs w:val="18"/>
              </w:rPr>
            </w:pPr>
            <w:r>
              <w:rPr>
                <w:rFonts w:hint="eastAsia"/>
                <w:color w:val="000000"/>
                <w:sz w:val="18"/>
                <w:szCs w:val="18"/>
              </w:rPr>
              <w:t>未完成</w:t>
            </w:r>
          </w:p>
        </w:tc>
      </w:tr>
      <w:tr w14:paraId="6C3B43DC">
        <w:tblPrEx>
          <w:tblCellMar>
            <w:top w:w="0" w:type="dxa"/>
            <w:left w:w="108" w:type="dxa"/>
            <w:bottom w:w="0" w:type="dxa"/>
            <w:right w:w="108" w:type="dxa"/>
          </w:tblCellMar>
        </w:tblPrEx>
        <w:trPr>
          <w:trHeight w:val="300" w:hRule="atLeast"/>
          <w:jc w:val="center"/>
        </w:trPr>
        <w:tc>
          <w:tcPr>
            <w:tcW w:w="960" w:type="dxa"/>
            <w:tcBorders>
              <w:top w:val="nil"/>
              <w:left w:val="single" w:color="auto" w:sz="4" w:space="0"/>
              <w:bottom w:val="single" w:color="auto" w:sz="4" w:space="0"/>
              <w:right w:val="single" w:color="auto" w:sz="4" w:space="0"/>
            </w:tcBorders>
            <w:shd w:val="clear" w:color="auto" w:fill="auto"/>
            <w:noWrap/>
            <w:vAlign w:val="center"/>
          </w:tcPr>
          <w:p w14:paraId="34981265">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026" w:type="dxa"/>
            <w:tcBorders>
              <w:top w:val="nil"/>
              <w:left w:val="nil"/>
              <w:bottom w:val="single" w:color="auto" w:sz="4" w:space="0"/>
              <w:right w:val="single" w:color="auto" w:sz="4" w:space="0"/>
            </w:tcBorders>
            <w:shd w:val="clear" w:color="auto" w:fill="auto"/>
            <w:noWrap/>
            <w:vAlign w:val="center"/>
          </w:tcPr>
          <w:p w14:paraId="5C43F82C">
            <w:pPr>
              <w:widowControl/>
              <w:jc w:val="center"/>
              <w:rPr>
                <w:rFonts w:ascii="宋体" w:hAnsi="宋体" w:cs="宋体"/>
                <w:color w:val="000000"/>
                <w:kern w:val="0"/>
                <w:sz w:val="18"/>
                <w:szCs w:val="18"/>
              </w:rPr>
            </w:pPr>
            <w:r>
              <w:rPr>
                <w:rFonts w:hint="eastAsia" w:ascii="宋体" w:hAnsi="宋体" w:cs="宋体"/>
                <w:color w:val="000000"/>
                <w:kern w:val="0"/>
                <w:sz w:val="18"/>
                <w:szCs w:val="18"/>
              </w:rPr>
              <w:t>126.61</w:t>
            </w:r>
          </w:p>
        </w:tc>
        <w:tc>
          <w:tcPr>
            <w:tcW w:w="1140" w:type="dxa"/>
            <w:tcBorders>
              <w:top w:val="nil"/>
              <w:left w:val="nil"/>
              <w:bottom w:val="single" w:color="auto" w:sz="4" w:space="0"/>
              <w:right w:val="single" w:color="auto" w:sz="4" w:space="0"/>
            </w:tcBorders>
            <w:shd w:val="clear" w:color="auto" w:fill="auto"/>
            <w:noWrap/>
            <w:vAlign w:val="center"/>
          </w:tcPr>
          <w:p w14:paraId="7739618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133.65 </w:t>
            </w:r>
          </w:p>
        </w:tc>
        <w:tc>
          <w:tcPr>
            <w:tcW w:w="1347" w:type="dxa"/>
            <w:tcBorders>
              <w:top w:val="nil"/>
              <w:left w:val="nil"/>
              <w:bottom w:val="single" w:color="auto" w:sz="4" w:space="0"/>
              <w:right w:val="single" w:color="auto" w:sz="4" w:space="0"/>
            </w:tcBorders>
            <w:shd w:val="clear" w:color="auto" w:fill="auto"/>
            <w:noWrap/>
            <w:vAlign w:val="center"/>
          </w:tcPr>
          <w:p w14:paraId="4E49D3E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129.81 </w:t>
            </w:r>
          </w:p>
        </w:tc>
        <w:tc>
          <w:tcPr>
            <w:tcW w:w="1341" w:type="dxa"/>
            <w:tcBorders>
              <w:top w:val="nil"/>
              <w:left w:val="nil"/>
              <w:bottom w:val="single" w:color="auto" w:sz="4" w:space="0"/>
              <w:right w:val="single" w:color="auto" w:sz="4" w:space="0"/>
            </w:tcBorders>
            <w:shd w:val="clear" w:color="auto" w:fill="auto"/>
            <w:noWrap/>
            <w:vAlign w:val="center"/>
          </w:tcPr>
          <w:p w14:paraId="249EFF0F">
            <w:pPr>
              <w:widowControl/>
              <w:jc w:val="center"/>
              <w:rPr>
                <w:rFonts w:ascii="宋体" w:hAnsi="宋体" w:cs="宋体"/>
                <w:color w:val="000000"/>
                <w:kern w:val="0"/>
                <w:sz w:val="18"/>
                <w:szCs w:val="18"/>
              </w:rPr>
            </w:pPr>
            <w:r>
              <w:rPr>
                <w:rFonts w:hint="eastAsia" w:ascii="宋体" w:hAnsi="宋体" w:cs="宋体"/>
                <w:color w:val="000000"/>
                <w:kern w:val="0"/>
                <w:sz w:val="18"/>
                <w:szCs w:val="18"/>
              </w:rPr>
              <w:t>128.5</w:t>
            </w:r>
          </w:p>
        </w:tc>
        <w:tc>
          <w:tcPr>
            <w:tcW w:w="2511" w:type="dxa"/>
            <w:tcBorders>
              <w:top w:val="nil"/>
              <w:left w:val="nil"/>
              <w:bottom w:val="single" w:color="auto" w:sz="4" w:space="0"/>
              <w:right w:val="single" w:color="auto" w:sz="4" w:space="0"/>
            </w:tcBorders>
            <w:shd w:val="clear" w:color="auto" w:fill="auto"/>
            <w:noWrap/>
            <w:vAlign w:val="center"/>
          </w:tcPr>
          <w:p w14:paraId="0C22855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-1.31 </w:t>
            </w:r>
          </w:p>
        </w:tc>
        <w:tc>
          <w:tcPr>
            <w:tcW w:w="1116" w:type="dxa"/>
            <w:tcBorders>
              <w:top w:val="nil"/>
              <w:left w:val="nil"/>
              <w:bottom w:val="single" w:color="auto" w:sz="4" w:space="0"/>
              <w:right w:val="single" w:color="auto" w:sz="4" w:space="0"/>
            </w:tcBorders>
            <w:shd w:val="clear" w:color="auto" w:fill="auto"/>
          </w:tcPr>
          <w:p w14:paraId="31217F6E">
            <w:pPr>
              <w:jc w:val="center"/>
              <w:rPr>
                <w:rFonts w:ascii="宋体" w:hAnsi="宋体" w:cs="宋体"/>
                <w:color w:val="000000"/>
                <w:sz w:val="18"/>
                <w:szCs w:val="18"/>
              </w:rPr>
            </w:pPr>
            <w:r>
              <w:rPr>
                <w:rFonts w:hint="eastAsia"/>
                <w:color w:val="000000"/>
                <w:sz w:val="18"/>
                <w:szCs w:val="18"/>
              </w:rPr>
              <w:t>完成</w:t>
            </w:r>
          </w:p>
        </w:tc>
      </w:tr>
      <w:tr w14:paraId="6DE0FB27">
        <w:tblPrEx>
          <w:tblCellMar>
            <w:top w:w="0" w:type="dxa"/>
            <w:left w:w="108" w:type="dxa"/>
            <w:bottom w:w="0" w:type="dxa"/>
            <w:right w:w="108" w:type="dxa"/>
          </w:tblCellMar>
        </w:tblPrEx>
        <w:trPr>
          <w:trHeight w:val="300" w:hRule="atLeast"/>
          <w:jc w:val="center"/>
        </w:trPr>
        <w:tc>
          <w:tcPr>
            <w:tcW w:w="960" w:type="dxa"/>
            <w:tcBorders>
              <w:top w:val="nil"/>
              <w:left w:val="single" w:color="auto" w:sz="4" w:space="0"/>
              <w:bottom w:val="single" w:color="auto" w:sz="4" w:space="0"/>
              <w:right w:val="single" w:color="auto" w:sz="4" w:space="0"/>
            </w:tcBorders>
            <w:shd w:val="clear" w:color="auto" w:fill="auto"/>
            <w:noWrap/>
            <w:vAlign w:val="center"/>
          </w:tcPr>
          <w:p w14:paraId="643E746E">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026" w:type="dxa"/>
            <w:tcBorders>
              <w:top w:val="nil"/>
              <w:left w:val="nil"/>
              <w:bottom w:val="single" w:color="auto" w:sz="4" w:space="0"/>
              <w:right w:val="single" w:color="auto" w:sz="4" w:space="0"/>
            </w:tcBorders>
            <w:shd w:val="clear" w:color="auto" w:fill="auto"/>
            <w:noWrap/>
            <w:vAlign w:val="center"/>
          </w:tcPr>
          <w:p w14:paraId="536B1F10">
            <w:pPr>
              <w:widowControl/>
              <w:jc w:val="center"/>
              <w:rPr>
                <w:rFonts w:ascii="宋体" w:hAnsi="宋体" w:cs="宋体"/>
                <w:color w:val="000000"/>
                <w:kern w:val="0"/>
                <w:sz w:val="18"/>
                <w:szCs w:val="18"/>
              </w:rPr>
            </w:pPr>
            <w:r>
              <w:rPr>
                <w:rFonts w:hint="eastAsia" w:ascii="宋体" w:hAnsi="宋体" w:cs="宋体"/>
                <w:color w:val="000000"/>
                <w:kern w:val="0"/>
                <w:sz w:val="18"/>
                <w:szCs w:val="18"/>
              </w:rPr>
              <w:t>5527.82</w:t>
            </w:r>
          </w:p>
        </w:tc>
        <w:tc>
          <w:tcPr>
            <w:tcW w:w="1140" w:type="dxa"/>
            <w:tcBorders>
              <w:top w:val="nil"/>
              <w:left w:val="nil"/>
              <w:bottom w:val="single" w:color="auto" w:sz="4" w:space="0"/>
              <w:right w:val="single" w:color="auto" w:sz="4" w:space="0"/>
            </w:tcBorders>
            <w:shd w:val="clear" w:color="auto" w:fill="auto"/>
            <w:noWrap/>
            <w:vAlign w:val="center"/>
          </w:tcPr>
          <w:p w14:paraId="0B2F47B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5147.39 </w:t>
            </w:r>
          </w:p>
        </w:tc>
        <w:tc>
          <w:tcPr>
            <w:tcW w:w="1347" w:type="dxa"/>
            <w:tcBorders>
              <w:top w:val="nil"/>
              <w:left w:val="nil"/>
              <w:bottom w:val="single" w:color="auto" w:sz="4" w:space="0"/>
              <w:right w:val="single" w:color="auto" w:sz="4" w:space="0"/>
            </w:tcBorders>
            <w:shd w:val="clear" w:color="auto" w:fill="auto"/>
            <w:noWrap/>
            <w:vAlign w:val="center"/>
          </w:tcPr>
          <w:p w14:paraId="5B86EC1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5354.90 </w:t>
            </w:r>
          </w:p>
        </w:tc>
        <w:tc>
          <w:tcPr>
            <w:tcW w:w="1341" w:type="dxa"/>
            <w:tcBorders>
              <w:top w:val="nil"/>
              <w:left w:val="nil"/>
              <w:bottom w:val="single" w:color="auto" w:sz="4" w:space="0"/>
              <w:right w:val="single" w:color="auto" w:sz="4" w:space="0"/>
            </w:tcBorders>
            <w:shd w:val="clear" w:color="auto" w:fill="auto"/>
            <w:noWrap/>
            <w:vAlign w:val="center"/>
          </w:tcPr>
          <w:p w14:paraId="7E71B8C2">
            <w:pPr>
              <w:widowControl/>
              <w:jc w:val="center"/>
              <w:rPr>
                <w:rFonts w:ascii="宋体" w:hAnsi="宋体" w:cs="宋体"/>
                <w:color w:val="000000"/>
                <w:kern w:val="0"/>
                <w:sz w:val="18"/>
                <w:szCs w:val="18"/>
              </w:rPr>
            </w:pPr>
            <w:r>
              <w:rPr>
                <w:rFonts w:hint="eastAsia" w:ascii="宋体" w:hAnsi="宋体" w:cs="宋体"/>
                <w:color w:val="000000"/>
                <w:kern w:val="0"/>
                <w:sz w:val="18"/>
                <w:szCs w:val="18"/>
              </w:rPr>
              <w:t>5816.16</w:t>
            </w:r>
          </w:p>
        </w:tc>
        <w:tc>
          <w:tcPr>
            <w:tcW w:w="2511" w:type="dxa"/>
            <w:tcBorders>
              <w:top w:val="nil"/>
              <w:left w:val="nil"/>
              <w:bottom w:val="single" w:color="auto" w:sz="4" w:space="0"/>
              <w:right w:val="single" w:color="auto" w:sz="4" w:space="0"/>
            </w:tcBorders>
            <w:shd w:val="clear" w:color="auto" w:fill="auto"/>
            <w:noWrap/>
            <w:vAlign w:val="center"/>
          </w:tcPr>
          <w:p w14:paraId="25B4AC0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461.26 </w:t>
            </w:r>
          </w:p>
        </w:tc>
        <w:tc>
          <w:tcPr>
            <w:tcW w:w="1116" w:type="dxa"/>
            <w:tcBorders>
              <w:top w:val="nil"/>
              <w:left w:val="nil"/>
              <w:bottom w:val="single" w:color="auto" w:sz="4" w:space="0"/>
              <w:right w:val="single" w:color="auto" w:sz="4" w:space="0"/>
            </w:tcBorders>
            <w:shd w:val="clear" w:color="auto" w:fill="auto"/>
          </w:tcPr>
          <w:p w14:paraId="003EC63A">
            <w:pPr>
              <w:jc w:val="center"/>
              <w:rPr>
                <w:rFonts w:ascii="宋体" w:hAnsi="宋体" w:cs="宋体"/>
                <w:color w:val="000000"/>
                <w:sz w:val="18"/>
                <w:szCs w:val="18"/>
              </w:rPr>
            </w:pPr>
            <w:r>
              <w:rPr>
                <w:rFonts w:hint="eastAsia"/>
                <w:color w:val="000000"/>
                <w:sz w:val="18"/>
                <w:szCs w:val="18"/>
              </w:rPr>
              <w:t>未完成</w:t>
            </w:r>
          </w:p>
        </w:tc>
      </w:tr>
    </w:tbl>
    <w:p w14:paraId="6357E34F">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（四）剩余指标情况</w:t>
      </w:r>
    </w:p>
    <w:p w14:paraId="67194755">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昆明市下达东川区至</w:t>
      </w:r>
      <w:r>
        <w:rPr>
          <w:rFonts w:ascii="仿宋_GB2312" w:hAnsi="宋体" w:eastAsia="仿宋_GB2312"/>
          <w:sz w:val="28"/>
          <w:szCs w:val="28"/>
        </w:rPr>
        <w:t xml:space="preserve"> 2020 </w:t>
      </w:r>
      <w:r>
        <w:rPr>
          <w:rFonts w:hint="eastAsia" w:ascii="仿宋_GB2312" w:hAnsi="宋体" w:eastAsia="仿宋_GB2312"/>
          <w:sz w:val="28"/>
          <w:szCs w:val="28"/>
        </w:rPr>
        <w:t>年规划新增建设用地指标为653.38公顷。</w:t>
      </w:r>
      <w:r>
        <w:rPr>
          <w:rFonts w:ascii="仿宋_GB2312" w:hAnsi="宋体" w:eastAsia="仿宋_GB2312"/>
          <w:sz w:val="28"/>
          <w:szCs w:val="28"/>
        </w:rPr>
        <w:t>2010-2014</w:t>
      </w:r>
      <w:r>
        <w:rPr>
          <w:rFonts w:hint="eastAsia" w:ascii="仿宋_GB2312" w:hAnsi="宋体" w:eastAsia="仿宋_GB2312"/>
          <w:sz w:val="28"/>
          <w:szCs w:val="28"/>
        </w:rPr>
        <w:t>年间全区实际新增建设用地288.34</w:t>
      </w:r>
      <w:r>
        <w:rPr>
          <w:rFonts w:ascii="仿宋_GB2312" w:hAnsi="宋体" w:eastAsia="仿宋_GB2312"/>
          <w:sz w:val="28"/>
          <w:szCs w:val="28"/>
        </w:rPr>
        <w:t xml:space="preserve"> </w:t>
      </w:r>
      <w:r>
        <w:rPr>
          <w:rFonts w:hint="eastAsia" w:ascii="仿宋_GB2312" w:hAnsi="宋体" w:eastAsia="仿宋_GB2312"/>
          <w:sz w:val="28"/>
          <w:szCs w:val="28"/>
        </w:rPr>
        <w:t>公顷，全区新增建设用地指标使用进度仅为44.13</w:t>
      </w:r>
      <w:r>
        <w:rPr>
          <w:rFonts w:ascii="仿宋_GB2312" w:hAnsi="宋体" w:eastAsia="仿宋_GB2312"/>
          <w:sz w:val="28"/>
          <w:szCs w:val="28"/>
        </w:rPr>
        <w:t>%</w:t>
      </w:r>
      <w:r>
        <w:rPr>
          <w:rFonts w:hint="eastAsia" w:ascii="仿宋_GB2312" w:hAnsi="宋体" w:eastAsia="仿宋_GB2312"/>
          <w:sz w:val="28"/>
          <w:szCs w:val="28"/>
        </w:rPr>
        <w:t>，规划新增建设用地指标剩余365.04</w:t>
      </w:r>
      <w:r>
        <w:rPr>
          <w:rFonts w:ascii="仿宋_GB2312" w:hAnsi="宋体" w:eastAsia="仿宋_GB2312"/>
          <w:sz w:val="28"/>
          <w:szCs w:val="28"/>
        </w:rPr>
        <w:t xml:space="preserve"> </w:t>
      </w:r>
      <w:r>
        <w:rPr>
          <w:rFonts w:hint="eastAsia" w:ascii="仿宋_GB2312" w:hAnsi="宋体" w:eastAsia="仿宋_GB2312"/>
          <w:sz w:val="28"/>
          <w:szCs w:val="28"/>
        </w:rPr>
        <w:t>公顷。</w:t>
      </w:r>
    </w:p>
    <w:p w14:paraId="16F1BCE1">
      <w:pPr>
        <w:jc w:val="center"/>
        <w:outlineLvl w:val="4"/>
        <w:rPr>
          <w:rFonts w:ascii="宋体" w:hAnsi="宋体"/>
          <w:b/>
          <w:sz w:val="24"/>
        </w:rPr>
      </w:pPr>
      <w:r>
        <w:rPr>
          <w:rFonts w:hint="eastAsia" w:ascii="宋体" w:hAnsi="宋体"/>
          <w:b/>
          <w:sz w:val="24"/>
        </w:rPr>
        <w:t>表</w:t>
      </w:r>
      <w:r>
        <w:rPr>
          <w:rFonts w:ascii="宋体" w:hAnsi="宋体"/>
          <w:b/>
          <w:sz w:val="24"/>
        </w:rPr>
        <w:t>3-</w:t>
      </w:r>
      <w:r>
        <w:rPr>
          <w:rFonts w:hint="eastAsia" w:ascii="宋体" w:hAnsi="宋体"/>
          <w:b/>
          <w:sz w:val="24"/>
        </w:rPr>
        <w:t xml:space="preserve">12 </w:t>
      </w:r>
      <w:r>
        <w:rPr>
          <w:rFonts w:ascii="宋体" w:hAnsi="宋体"/>
          <w:b/>
          <w:sz w:val="24"/>
        </w:rPr>
        <w:t xml:space="preserve"> </w:t>
      </w:r>
      <w:r>
        <w:rPr>
          <w:rFonts w:hint="eastAsia" w:ascii="宋体" w:hAnsi="宋体"/>
          <w:b/>
          <w:sz w:val="24"/>
        </w:rPr>
        <w:t>东川区新增建设用地指标使用进度表</w:t>
      </w:r>
    </w:p>
    <w:p w14:paraId="27001A80">
      <w:pPr>
        <w:widowControl/>
        <w:jc w:val="right"/>
        <w:rPr>
          <w:rFonts w:ascii="宋体" w:hAnsi="宋体" w:cs="宋体"/>
          <w:color w:val="000000"/>
          <w:kern w:val="0"/>
          <w:sz w:val="18"/>
          <w:szCs w:val="18"/>
        </w:rPr>
      </w:pPr>
      <w:r>
        <w:rPr>
          <w:rFonts w:hint="eastAsia" w:ascii="宋体" w:hAnsi="宋体" w:cs="宋体"/>
          <w:color w:val="000000"/>
          <w:kern w:val="0"/>
          <w:sz w:val="18"/>
          <w:szCs w:val="18"/>
        </w:rPr>
        <w:t>单位：公顷</w:t>
      </w:r>
    </w:p>
    <w:tbl>
      <w:tblPr>
        <w:tblStyle w:val="27"/>
        <w:tblW w:w="7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140"/>
        <w:gridCol w:w="2523"/>
        <w:gridCol w:w="1481"/>
        <w:gridCol w:w="1481"/>
      </w:tblGrid>
      <w:tr w14:paraId="2DE9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40" w:type="dxa"/>
            <w:shd w:val="clear" w:color="auto" w:fill="auto"/>
            <w:noWrap/>
            <w:vAlign w:val="center"/>
          </w:tcPr>
          <w:p w14:paraId="775EF4EB">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行政区</w:t>
            </w:r>
          </w:p>
        </w:tc>
        <w:tc>
          <w:tcPr>
            <w:tcW w:w="1140" w:type="dxa"/>
            <w:shd w:val="clear" w:color="auto" w:fill="auto"/>
            <w:noWrap/>
            <w:vAlign w:val="center"/>
          </w:tcPr>
          <w:p w14:paraId="5006BE23">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下达指标</w:t>
            </w:r>
          </w:p>
        </w:tc>
        <w:tc>
          <w:tcPr>
            <w:tcW w:w="2523" w:type="dxa"/>
            <w:shd w:val="clear" w:color="auto" w:fill="auto"/>
            <w:noWrap/>
            <w:vAlign w:val="center"/>
          </w:tcPr>
          <w:p w14:paraId="4CFAE6E2">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2010-2014年新增建设用地</w:t>
            </w:r>
          </w:p>
        </w:tc>
        <w:tc>
          <w:tcPr>
            <w:tcW w:w="1481" w:type="dxa"/>
            <w:shd w:val="clear" w:color="auto" w:fill="auto"/>
            <w:noWrap/>
            <w:vAlign w:val="center"/>
          </w:tcPr>
          <w:p w14:paraId="4CA8BF2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剩余指标情况</w:t>
            </w:r>
          </w:p>
        </w:tc>
        <w:tc>
          <w:tcPr>
            <w:tcW w:w="1481" w:type="dxa"/>
            <w:vAlign w:val="center"/>
          </w:tcPr>
          <w:p w14:paraId="7E2ED76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指标使用进度</w:t>
            </w:r>
          </w:p>
        </w:tc>
      </w:tr>
      <w:tr w14:paraId="253C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40" w:type="dxa"/>
            <w:shd w:val="clear" w:color="auto" w:fill="auto"/>
            <w:noWrap/>
            <w:vAlign w:val="center"/>
          </w:tcPr>
          <w:p w14:paraId="2117D714">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140" w:type="dxa"/>
            <w:shd w:val="clear" w:color="auto" w:fill="auto"/>
            <w:noWrap/>
            <w:vAlign w:val="center"/>
          </w:tcPr>
          <w:p w14:paraId="4822604E">
            <w:pPr>
              <w:widowControl/>
              <w:jc w:val="center"/>
              <w:rPr>
                <w:rFonts w:ascii="宋体" w:hAnsi="宋体" w:cs="宋体"/>
                <w:color w:val="000000"/>
                <w:kern w:val="0"/>
                <w:sz w:val="18"/>
                <w:szCs w:val="18"/>
              </w:rPr>
            </w:pPr>
            <w:r>
              <w:rPr>
                <w:rFonts w:hint="eastAsia" w:ascii="宋体" w:hAnsi="宋体" w:cs="宋体"/>
                <w:color w:val="000000"/>
                <w:kern w:val="0"/>
                <w:sz w:val="18"/>
                <w:szCs w:val="18"/>
              </w:rPr>
              <w:t>42.06</w:t>
            </w:r>
          </w:p>
        </w:tc>
        <w:tc>
          <w:tcPr>
            <w:tcW w:w="2523" w:type="dxa"/>
            <w:shd w:val="clear" w:color="auto" w:fill="auto"/>
            <w:noWrap/>
            <w:vAlign w:val="center"/>
          </w:tcPr>
          <w:p w14:paraId="3A869ADB">
            <w:pPr>
              <w:widowControl/>
              <w:jc w:val="center"/>
              <w:rPr>
                <w:rFonts w:ascii="宋体" w:hAnsi="宋体" w:cs="宋体"/>
                <w:color w:val="000000"/>
                <w:kern w:val="0"/>
                <w:sz w:val="18"/>
                <w:szCs w:val="18"/>
              </w:rPr>
            </w:pPr>
            <w:r>
              <w:rPr>
                <w:rFonts w:hint="eastAsia" w:ascii="宋体" w:hAnsi="宋体" w:cs="宋体"/>
                <w:color w:val="000000"/>
                <w:kern w:val="0"/>
                <w:sz w:val="18"/>
                <w:szCs w:val="18"/>
              </w:rPr>
              <w:t>21.53</w:t>
            </w:r>
          </w:p>
        </w:tc>
        <w:tc>
          <w:tcPr>
            <w:tcW w:w="1481" w:type="dxa"/>
            <w:shd w:val="clear" w:color="auto" w:fill="auto"/>
            <w:noWrap/>
            <w:vAlign w:val="center"/>
          </w:tcPr>
          <w:p w14:paraId="6005BC5A">
            <w:pPr>
              <w:widowControl/>
              <w:jc w:val="center"/>
              <w:rPr>
                <w:rFonts w:ascii="宋体" w:hAnsi="宋体" w:cs="宋体"/>
                <w:color w:val="000000"/>
                <w:kern w:val="0"/>
                <w:sz w:val="18"/>
                <w:szCs w:val="18"/>
              </w:rPr>
            </w:pPr>
            <w:r>
              <w:rPr>
                <w:rFonts w:hint="eastAsia" w:ascii="宋体" w:hAnsi="宋体" w:cs="宋体"/>
                <w:color w:val="000000"/>
                <w:kern w:val="0"/>
                <w:sz w:val="18"/>
                <w:szCs w:val="18"/>
              </w:rPr>
              <w:t>20.53</w:t>
            </w:r>
          </w:p>
        </w:tc>
        <w:tc>
          <w:tcPr>
            <w:tcW w:w="1481" w:type="dxa"/>
            <w:vAlign w:val="center"/>
          </w:tcPr>
          <w:p w14:paraId="51789351">
            <w:pPr>
              <w:widowControl/>
              <w:jc w:val="center"/>
              <w:rPr>
                <w:rFonts w:ascii="宋体" w:hAnsi="宋体" w:cs="宋体"/>
                <w:color w:val="000000"/>
                <w:kern w:val="0"/>
                <w:sz w:val="18"/>
                <w:szCs w:val="18"/>
              </w:rPr>
            </w:pPr>
            <w:r>
              <w:rPr>
                <w:rFonts w:hint="eastAsia" w:ascii="宋体" w:hAnsi="宋体" w:cs="宋体"/>
                <w:color w:val="000000"/>
                <w:kern w:val="0"/>
                <w:sz w:val="18"/>
                <w:szCs w:val="18"/>
              </w:rPr>
              <w:t>51.19%</w:t>
            </w:r>
          </w:p>
        </w:tc>
      </w:tr>
      <w:tr w14:paraId="1DB5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40" w:type="dxa"/>
            <w:shd w:val="clear" w:color="auto" w:fill="auto"/>
            <w:noWrap/>
            <w:vAlign w:val="center"/>
          </w:tcPr>
          <w:p w14:paraId="66CE053E">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140" w:type="dxa"/>
            <w:shd w:val="clear" w:color="auto" w:fill="auto"/>
            <w:noWrap/>
            <w:vAlign w:val="center"/>
          </w:tcPr>
          <w:p w14:paraId="6F78ECA6">
            <w:pPr>
              <w:widowControl/>
              <w:jc w:val="center"/>
              <w:rPr>
                <w:rFonts w:ascii="宋体" w:hAnsi="宋体" w:cs="宋体"/>
                <w:color w:val="000000"/>
                <w:kern w:val="0"/>
                <w:sz w:val="18"/>
                <w:szCs w:val="18"/>
              </w:rPr>
            </w:pPr>
            <w:r>
              <w:rPr>
                <w:rFonts w:hint="eastAsia" w:ascii="宋体" w:hAnsi="宋体" w:cs="宋体"/>
                <w:color w:val="000000"/>
                <w:kern w:val="0"/>
                <w:sz w:val="18"/>
                <w:szCs w:val="18"/>
              </w:rPr>
              <w:t>354.18</w:t>
            </w:r>
          </w:p>
        </w:tc>
        <w:tc>
          <w:tcPr>
            <w:tcW w:w="2523" w:type="dxa"/>
            <w:shd w:val="clear" w:color="auto" w:fill="auto"/>
            <w:noWrap/>
            <w:vAlign w:val="center"/>
          </w:tcPr>
          <w:p w14:paraId="7CFC919D">
            <w:pPr>
              <w:widowControl/>
              <w:jc w:val="center"/>
              <w:rPr>
                <w:rFonts w:ascii="宋体" w:hAnsi="宋体" w:cs="宋体"/>
                <w:color w:val="000000"/>
                <w:kern w:val="0"/>
                <w:sz w:val="18"/>
                <w:szCs w:val="18"/>
              </w:rPr>
            </w:pPr>
            <w:r>
              <w:rPr>
                <w:rFonts w:hint="eastAsia" w:ascii="宋体" w:hAnsi="宋体" w:cs="宋体"/>
                <w:color w:val="000000"/>
                <w:kern w:val="0"/>
                <w:sz w:val="18"/>
                <w:szCs w:val="18"/>
              </w:rPr>
              <w:t>191.36</w:t>
            </w:r>
          </w:p>
        </w:tc>
        <w:tc>
          <w:tcPr>
            <w:tcW w:w="1481" w:type="dxa"/>
            <w:shd w:val="clear" w:color="auto" w:fill="auto"/>
            <w:noWrap/>
            <w:vAlign w:val="center"/>
          </w:tcPr>
          <w:p w14:paraId="21B582CD">
            <w:pPr>
              <w:widowControl/>
              <w:jc w:val="center"/>
              <w:rPr>
                <w:rFonts w:ascii="宋体" w:hAnsi="宋体" w:cs="宋体"/>
                <w:color w:val="000000"/>
                <w:kern w:val="0"/>
                <w:sz w:val="18"/>
                <w:szCs w:val="18"/>
              </w:rPr>
            </w:pPr>
            <w:r>
              <w:rPr>
                <w:rFonts w:hint="eastAsia" w:ascii="宋体" w:hAnsi="宋体" w:cs="宋体"/>
                <w:color w:val="000000"/>
                <w:kern w:val="0"/>
                <w:sz w:val="18"/>
                <w:szCs w:val="18"/>
              </w:rPr>
              <w:t>162.82</w:t>
            </w:r>
          </w:p>
        </w:tc>
        <w:tc>
          <w:tcPr>
            <w:tcW w:w="1481" w:type="dxa"/>
            <w:vAlign w:val="center"/>
          </w:tcPr>
          <w:p w14:paraId="3935522D">
            <w:pPr>
              <w:widowControl/>
              <w:jc w:val="center"/>
              <w:rPr>
                <w:rFonts w:ascii="宋体" w:hAnsi="宋体" w:cs="宋体"/>
                <w:color w:val="000000"/>
                <w:kern w:val="0"/>
                <w:sz w:val="18"/>
                <w:szCs w:val="18"/>
              </w:rPr>
            </w:pPr>
            <w:r>
              <w:rPr>
                <w:rFonts w:hint="eastAsia" w:ascii="宋体" w:hAnsi="宋体" w:cs="宋体"/>
                <w:color w:val="000000"/>
                <w:kern w:val="0"/>
                <w:sz w:val="18"/>
                <w:szCs w:val="18"/>
              </w:rPr>
              <w:t>54.03%</w:t>
            </w:r>
          </w:p>
        </w:tc>
      </w:tr>
      <w:tr w14:paraId="66F6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40" w:type="dxa"/>
            <w:shd w:val="clear" w:color="auto" w:fill="auto"/>
            <w:noWrap/>
            <w:vAlign w:val="center"/>
          </w:tcPr>
          <w:p w14:paraId="7B2C37A7">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140" w:type="dxa"/>
            <w:shd w:val="clear" w:color="auto" w:fill="auto"/>
            <w:noWrap/>
            <w:vAlign w:val="center"/>
          </w:tcPr>
          <w:p w14:paraId="319906E6">
            <w:pPr>
              <w:widowControl/>
              <w:jc w:val="center"/>
              <w:rPr>
                <w:rFonts w:ascii="宋体" w:hAnsi="宋体" w:cs="宋体"/>
                <w:color w:val="000000"/>
                <w:kern w:val="0"/>
                <w:sz w:val="18"/>
                <w:szCs w:val="18"/>
              </w:rPr>
            </w:pPr>
            <w:r>
              <w:rPr>
                <w:rFonts w:hint="eastAsia" w:ascii="宋体" w:hAnsi="宋体" w:cs="宋体"/>
                <w:color w:val="000000"/>
                <w:kern w:val="0"/>
                <w:sz w:val="18"/>
                <w:szCs w:val="18"/>
              </w:rPr>
              <w:t>54.34</w:t>
            </w:r>
          </w:p>
        </w:tc>
        <w:tc>
          <w:tcPr>
            <w:tcW w:w="2523" w:type="dxa"/>
            <w:shd w:val="clear" w:color="auto" w:fill="auto"/>
            <w:noWrap/>
            <w:vAlign w:val="center"/>
          </w:tcPr>
          <w:p w14:paraId="6951D676">
            <w:pPr>
              <w:widowControl/>
              <w:jc w:val="center"/>
              <w:rPr>
                <w:rFonts w:ascii="宋体" w:hAnsi="宋体" w:cs="宋体"/>
                <w:color w:val="000000"/>
                <w:kern w:val="0"/>
                <w:sz w:val="18"/>
                <w:szCs w:val="18"/>
              </w:rPr>
            </w:pPr>
            <w:r>
              <w:rPr>
                <w:rFonts w:hint="eastAsia" w:ascii="宋体" w:hAnsi="宋体" w:cs="宋体"/>
                <w:color w:val="000000"/>
                <w:kern w:val="0"/>
                <w:sz w:val="18"/>
                <w:szCs w:val="18"/>
              </w:rPr>
              <w:t>23.97</w:t>
            </w:r>
          </w:p>
        </w:tc>
        <w:tc>
          <w:tcPr>
            <w:tcW w:w="1481" w:type="dxa"/>
            <w:shd w:val="clear" w:color="auto" w:fill="auto"/>
            <w:noWrap/>
            <w:vAlign w:val="center"/>
          </w:tcPr>
          <w:p w14:paraId="1F480DE6">
            <w:pPr>
              <w:widowControl/>
              <w:jc w:val="center"/>
              <w:rPr>
                <w:rFonts w:ascii="宋体" w:hAnsi="宋体" w:cs="宋体"/>
                <w:color w:val="000000"/>
                <w:kern w:val="0"/>
                <w:sz w:val="18"/>
                <w:szCs w:val="18"/>
              </w:rPr>
            </w:pPr>
            <w:r>
              <w:rPr>
                <w:rFonts w:hint="eastAsia" w:ascii="宋体" w:hAnsi="宋体" w:cs="宋体"/>
                <w:color w:val="000000"/>
                <w:kern w:val="0"/>
                <w:sz w:val="18"/>
                <w:szCs w:val="18"/>
              </w:rPr>
              <w:t>30.37</w:t>
            </w:r>
          </w:p>
        </w:tc>
        <w:tc>
          <w:tcPr>
            <w:tcW w:w="1481" w:type="dxa"/>
            <w:vAlign w:val="center"/>
          </w:tcPr>
          <w:p w14:paraId="1A7080A1">
            <w:pPr>
              <w:widowControl/>
              <w:jc w:val="center"/>
              <w:rPr>
                <w:rFonts w:ascii="宋体" w:hAnsi="宋体" w:cs="宋体"/>
                <w:color w:val="000000"/>
                <w:kern w:val="0"/>
                <w:sz w:val="18"/>
                <w:szCs w:val="18"/>
              </w:rPr>
            </w:pPr>
            <w:r>
              <w:rPr>
                <w:rFonts w:hint="eastAsia" w:ascii="宋体" w:hAnsi="宋体" w:cs="宋体"/>
                <w:color w:val="000000"/>
                <w:kern w:val="0"/>
                <w:sz w:val="18"/>
                <w:szCs w:val="18"/>
              </w:rPr>
              <w:t>44.11%</w:t>
            </w:r>
          </w:p>
        </w:tc>
      </w:tr>
      <w:tr w14:paraId="058B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40" w:type="dxa"/>
            <w:shd w:val="clear" w:color="auto" w:fill="auto"/>
            <w:noWrap/>
            <w:vAlign w:val="center"/>
          </w:tcPr>
          <w:p w14:paraId="2DAADDEB">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140" w:type="dxa"/>
            <w:shd w:val="clear" w:color="auto" w:fill="auto"/>
            <w:noWrap/>
            <w:vAlign w:val="center"/>
          </w:tcPr>
          <w:p w14:paraId="3FE9967F">
            <w:pPr>
              <w:widowControl/>
              <w:jc w:val="center"/>
              <w:rPr>
                <w:rFonts w:ascii="宋体" w:hAnsi="宋体" w:cs="宋体"/>
                <w:color w:val="000000"/>
                <w:kern w:val="0"/>
                <w:sz w:val="18"/>
                <w:szCs w:val="18"/>
              </w:rPr>
            </w:pPr>
            <w:r>
              <w:rPr>
                <w:rFonts w:hint="eastAsia" w:ascii="宋体" w:hAnsi="宋体" w:cs="宋体"/>
                <w:color w:val="000000"/>
                <w:kern w:val="0"/>
                <w:sz w:val="18"/>
                <w:szCs w:val="18"/>
              </w:rPr>
              <w:t>80.99</w:t>
            </w:r>
          </w:p>
        </w:tc>
        <w:tc>
          <w:tcPr>
            <w:tcW w:w="2523" w:type="dxa"/>
            <w:shd w:val="clear" w:color="auto" w:fill="auto"/>
            <w:noWrap/>
            <w:vAlign w:val="center"/>
          </w:tcPr>
          <w:p w14:paraId="48BDF296">
            <w:pPr>
              <w:widowControl/>
              <w:jc w:val="center"/>
              <w:rPr>
                <w:rFonts w:ascii="宋体" w:hAnsi="宋体" w:cs="宋体"/>
                <w:color w:val="000000"/>
                <w:kern w:val="0"/>
                <w:sz w:val="18"/>
                <w:szCs w:val="18"/>
              </w:rPr>
            </w:pPr>
            <w:r>
              <w:rPr>
                <w:rFonts w:hint="eastAsia" w:ascii="宋体" w:hAnsi="宋体" w:cs="宋体"/>
                <w:color w:val="000000"/>
                <w:kern w:val="0"/>
                <w:sz w:val="18"/>
                <w:szCs w:val="18"/>
              </w:rPr>
              <w:t>8.15</w:t>
            </w:r>
          </w:p>
        </w:tc>
        <w:tc>
          <w:tcPr>
            <w:tcW w:w="1481" w:type="dxa"/>
            <w:shd w:val="clear" w:color="auto" w:fill="auto"/>
            <w:noWrap/>
            <w:vAlign w:val="center"/>
          </w:tcPr>
          <w:p w14:paraId="17DBAFBC">
            <w:pPr>
              <w:widowControl/>
              <w:jc w:val="center"/>
              <w:rPr>
                <w:rFonts w:ascii="宋体" w:hAnsi="宋体" w:cs="宋体"/>
                <w:color w:val="000000"/>
                <w:kern w:val="0"/>
                <w:sz w:val="18"/>
                <w:szCs w:val="18"/>
              </w:rPr>
            </w:pPr>
            <w:r>
              <w:rPr>
                <w:rFonts w:hint="eastAsia" w:ascii="宋体" w:hAnsi="宋体" w:cs="宋体"/>
                <w:color w:val="000000"/>
                <w:kern w:val="0"/>
                <w:sz w:val="18"/>
                <w:szCs w:val="18"/>
              </w:rPr>
              <w:t>72.84</w:t>
            </w:r>
          </w:p>
        </w:tc>
        <w:tc>
          <w:tcPr>
            <w:tcW w:w="1481" w:type="dxa"/>
            <w:vAlign w:val="center"/>
          </w:tcPr>
          <w:p w14:paraId="2BE8925F">
            <w:pPr>
              <w:widowControl/>
              <w:jc w:val="center"/>
              <w:rPr>
                <w:rFonts w:ascii="宋体" w:hAnsi="宋体" w:cs="宋体"/>
                <w:color w:val="000000"/>
                <w:kern w:val="0"/>
                <w:sz w:val="18"/>
                <w:szCs w:val="18"/>
              </w:rPr>
            </w:pPr>
            <w:r>
              <w:rPr>
                <w:rFonts w:hint="eastAsia" w:ascii="宋体" w:hAnsi="宋体" w:cs="宋体"/>
                <w:color w:val="000000"/>
                <w:kern w:val="0"/>
                <w:sz w:val="18"/>
                <w:szCs w:val="18"/>
              </w:rPr>
              <w:t>10.06%</w:t>
            </w:r>
          </w:p>
        </w:tc>
      </w:tr>
      <w:tr w14:paraId="6333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40" w:type="dxa"/>
            <w:shd w:val="clear" w:color="auto" w:fill="auto"/>
            <w:noWrap/>
            <w:vAlign w:val="center"/>
          </w:tcPr>
          <w:p w14:paraId="44158F0E">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140" w:type="dxa"/>
            <w:shd w:val="clear" w:color="auto" w:fill="auto"/>
            <w:noWrap/>
            <w:vAlign w:val="center"/>
          </w:tcPr>
          <w:p w14:paraId="000E31BE">
            <w:pPr>
              <w:widowControl/>
              <w:jc w:val="center"/>
              <w:rPr>
                <w:rFonts w:ascii="宋体" w:hAnsi="宋体" w:cs="宋体"/>
                <w:color w:val="000000"/>
                <w:kern w:val="0"/>
                <w:sz w:val="18"/>
                <w:szCs w:val="18"/>
              </w:rPr>
            </w:pPr>
            <w:r>
              <w:rPr>
                <w:rFonts w:hint="eastAsia" w:ascii="宋体" w:hAnsi="宋体" w:cs="宋体"/>
                <w:color w:val="000000"/>
                <w:kern w:val="0"/>
                <w:sz w:val="18"/>
                <w:szCs w:val="18"/>
              </w:rPr>
              <w:t>40.62</w:t>
            </w:r>
          </w:p>
        </w:tc>
        <w:tc>
          <w:tcPr>
            <w:tcW w:w="2523" w:type="dxa"/>
            <w:shd w:val="clear" w:color="auto" w:fill="auto"/>
            <w:noWrap/>
            <w:vAlign w:val="center"/>
          </w:tcPr>
          <w:p w14:paraId="0A551869">
            <w:pPr>
              <w:widowControl/>
              <w:jc w:val="center"/>
              <w:rPr>
                <w:rFonts w:ascii="宋体" w:hAnsi="宋体" w:cs="宋体"/>
                <w:color w:val="000000"/>
                <w:kern w:val="0"/>
                <w:sz w:val="18"/>
                <w:szCs w:val="18"/>
              </w:rPr>
            </w:pPr>
            <w:r>
              <w:rPr>
                <w:rFonts w:hint="eastAsia" w:ascii="宋体" w:hAnsi="宋体" w:cs="宋体"/>
                <w:color w:val="000000"/>
                <w:kern w:val="0"/>
                <w:sz w:val="18"/>
                <w:szCs w:val="18"/>
              </w:rPr>
              <w:t>11.32</w:t>
            </w:r>
          </w:p>
        </w:tc>
        <w:tc>
          <w:tcPr>
            <w:tcW w:w="1481" w:type="dxa"/>
            <w:shd w:val="clear" w:color="auto" w:fill="auto"/>
            <w:noWrap/>
            <w:vAlign w:val="center"/>
          </w:tcPr>
          <w:p w14:paraId="6C7BC14F">
            <w:pPr>
              <w:widowControl/>
              <w:jc w:val="center"/>
              <w:rPr>
                <w:rFonts w:ascii="宋体" w:hAnsi="宋体" w:cs="宋体"/>
                <w:color w:val="000000"/>
                <w:kern w:val="0"/>
                <w:sz w:val="18"/>
                <w:szCs w:val="18"/>
              </w:rPr>
            </w:pPr>
            <w:r>
              <w:rPr>
                <w:rFonts w:hint="eastAsia" w:ascii="宋体" w:hAnsi="宋体" w:cs="宋体"/>
                <w:color w:val="000000"/>
                <w:kern w:val="0"/>
                <w:sz w:val="18"/>
                <w:szCs w:val="18"/>
              </w:rPr>
              <w:t>29.3</w:t>
            </w:r>
          </w:p>
        </w:tc>
        <w:tc>
          <w:tcPr>
            <w:tcW w:w="1481" w:type="dxa"/>
            <w:vAlign w:val="center"/>
          </w:tcPr>
          <w:p w14:paraId="1D5FC066">
            <w:pPr>
              <w:widowControl/>
              <w:jc w:val="center"/>
              <w:rPr>
                <w:rFonts w:ascii="宋体" w:hAnsi="宋体" w:cs="宋体"/>
                <w:color w:val="000000"/>
                <w:kern w:val="0"/>
                <w:sz w:val="18"/>
                <w:szCs w:val="18"/>
              </w:rPr>
            </w:pPr>
            <w:r>
              <w:rPr>
                <w:rFonts w:hint="eastAsia" w:ascii="宋体" w:hAnsi="宋体" w:cs="宋体"/>
                <w:color w:val="000000"/>
                <w:kern w:val="0"/>
                <w:sz w:val="18"/>
                <w:szCs w:val="18"/>
              </w:rPr>
              <w:t>27.87%</w:t>
            </w:r>
          </w:p>
        </w:tc>
      </w:tr>
      <w:tr w14:paraId="5E2D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40" w:type="dxa"/>
            <w:shd w:val="clear" w:color="auto" w:fill="auto"/>
            <w:noWrap/>
            <w:vAlign w:val="center"/>
          </w:tcPr>
          <w:p w14:paraId="5628FAE4">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140" w:type="dxa"/>
            <w:shd w:val="clear" w:color="auto" w:fill="auto"/>
            <w:noWrap/>
            <w:vAlign w:val="center"/>
          </w:tcPr>
          <w:p w14:paraId="7C78E991">
            <w:pPr>
              <w:widowControl/>
              <w:jc w:val="center"/>
              <w:rPr>
                <w:rFonts w:ascii="宋体" w:hAnsi="宋体" w:cs="宋体"/>
                <w:color w:val="000000"/>
                <w:kern w:val="0"/>
                <w:sz w:val="18"/>
                <w:szCs w:val="18"/>
              </w:rPr>
            </w:pPr>
            <w:r>
              <w:rPr>
                <w:rFonts w:hint="eastAsia" w:ascii="宋体" w:hAnsi="宋体" w:cs="宋体"/>
                <w:color w:val="000000"/>
                <w:kern w:val="0"/>
                <w:sz w:val="18"/>
                <w:szCs w:val="18"/>
              </w:rPr>
              <w:t>32.86</w:t>
            </w:r>
          </w:p>
        </w:tc>
        <w:tc>
          <w:tcPr>
            <w:tcW w:w="2523" w:type="dxa"/>
            <w:shd w:val="clear" w:color="auto" w:fill="auto"/>
            <w:noWrap/>
            <w:vAlign w:val="center"/>
          </w:tcPr>
          <w:p w14:paraId="28B8D23D">
            <w:pPr>
              <w:widowControl/>
              <w:jc w:val="center"/>
              <w:rPr>
                <w:rFonts w:ascii="宋体" w:hAnsi="宋体" w:cs="宋体"/>
                <w:color w:val="000000"/>
                <w:kern w:val="0"/>
                <w:sz w:val="18"/>
                <w:szCs w:val="18"/>
              </w:rPr>
            </w:pPr>
            <w:r>
              <w:rPr>
                <w:rFonts w:hint="eastAsia" w:ascii="宋体" w:hAnsi="宋体" w:cs="宋体"/>
                <w:color w:val="000000"/>
                <w:kern w:val="0"/>
                <w:sz w:val="18"/>
                <w:szCs w:val="18"/>
              </w:rPr>
              <w:t>20.19</w:t>
            </w:r>
          </w:p>
        </w:tc>
        <w:tc>
          <w:tcPr>
            <w:tcW w:w="1481" w:type="dxa"/>
            <w:shd w:val="clear" w:color="auto" w:fill="auto"/>
            <w:noWrap/>
            <w:vAlign w:val="center"/>
          </w:tcPr>
          <w:p w14:paraId="200A816E">
            <w:pPr>
              <w:widowControl/>
              <w:jc w:val="center"/>
              <w:rPr>
                <w:rFonts w:ascii="宋体" w:hAnsi="宋体" w:cs="宋体"/>
                <w:color w:val="000000"/>
                <w:kern w:val="0"/>
                <w:sz w:val="18"/>
                <w:szCs w:val="18"/>
              </w:rPr>
            </w:pPr>
            <w:r>
              <w:rPr>
                <w:rFonts w:hint="eastAsia" w:ascii="宋体" w:hAnsi="宋体" w:cs="宋体"/>
                <w:color w:val="000000"/>
                <w:kern w:val="0"/>
                <w:sz w:val="18"/>
                <w:szCs w:val="18"/>
              </w:rPr>
              <w:t>12.67</w:t>
            </w:r>
          </w:p>
        </w:tc>
        <w:tc>
          <w:tcPr>
            <w:tcW w:w="1481" w:type="dxa"/>
            <w:vAlign w:val="center"/>
          </w:tcPr>
          <w:p w14:paraId="57B0120A">
            <w:pPr>
              <w:widowControl/>
              <w:jc w:val="center"/>
              <w:rPr>
                <w:rFonts w:ascii="宋体" w:hAnsi="宋体" w:cs="宋体"/>
                <w:color w:val="000000"/>
                <w:kern w:val="0"/>
                <w:sz w:val="18"/>
                <w:szCs w:val="18"/>
              </w:rPr>
            </w:pPr>
            <w:r>
              <w:rPr>
                <w:rFonts w:hint="eastAsia" w:ascii="宋体" w:hAnsi="宋体" w:cs="宋体"/>
                <w:color w:val="000000"/>
                <w:kern w:val="0"/>
                <w:sz w:val="18"/>
                <w:szCs w:val="18"/>
              </w:rPr>
              <w:t>61.44%</w:t>
            </w:r>
          </w:p>
        </w:tc>
      </w:tr>
      <w:tr w14:paraId="1839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40" w:type="dxa"/>
            <w:shd w:val="clear" w:color="auto" w:fill="auto"/>
            <w:noWrap/>
            <w:vAlign w:val="center"/>
          </w:tcPr>
          <w:p w14:paraId="5E853DBB">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140" w:type="dxa"/>
            <w:shd w:val="clear" w:color="auto" w:fill="auto"/>
            <w:noWrap/>
            <w:vAlign w:val="center"/>
          </w:tcPr>
          <w:p w14:paraId="6CBD4D34">
            <w:pPr>
              <w:widowControl/>
              <w:jc w:val="center"/>
              <w:rPr>
                <w:rFonts w:ascii="宋体" w:hAnsi="宋体" w:cs="宋体"/>
                <w:color w:val="000000"/>
                <w:kern w:val="0"/>
                <w:sz w:val="18"/>
                <w:szCs w:val="18"/>
              </w:rPr>
            </w:pPr>
            <w:r>
              <w:rPr>
                <w:rFonts w:hint="eastAsia" w:ascii="宋体" w:hAnsi="宋体" w:cs="宋体"/>
                <w:color w:val="000000"/>
                <w:kern w:val="0"/>
                <w:sz w:val="18"/>
                <w:szCs w:val="18"/>
              </w:rPr>
              <w:t>21.52</w:t>
            </w:r>
          </w:p>
        </w:tc>
        <w:tc>
          <w:tcPr>
            <w:tcW w:w="2523" w:type="dxa"/>
            <w:shd w:val="clear" w:color="auto" w:fill="auto"/>
            <w:noWrap/>
            <w:vAlign w:val="center"/>
          </w:tcPr>
          <w:p w14:paraId="37D257D3">
            <w:pPr>
              <w:widowControl/>
              <w:jc w:val="center"/>
              <w:rPr>
                <w:rFonts w:ascii="宋体" w:hAnsi="宋体" w:cs="宋体"/>
                <w:color w:val="000000"/>
                <w:kern w:val="0"/>
                <w:sz w:val="18"/>
                <w:szCs w:val="18"/>
              </w:rPr>
            </w:pPr>
            <w:r>
              <w:rPr>
                <w:rFonts w:hint="eastAsia" w:ascii="宋体" w:hAnsi="宋体" w:cs="宋体"/>
                <w:color w:val="000000"/>
                <w:kern w:val="0"/>
                <w:sz w:val="18"/>
                <w:szCs w:val="18"/>
              </w:rPr>
              <w:t>9.75</w:t>
            </w:r>
          </w:p>
        </w:tc>
        <w:tc>
          <w:tcPr>
            <w:tcW w:w="1481" w:type="dxa"/>
            <w:shd w:val="clear" w:color="auto" w:fill="auto"/>
            <w:noWrap/>
            <w:vAlign w:val="center"/>
          </w:tcPr>
          <w:p w14:paraId="40A8FBF8">
            <w:pPr>
              <w:widowControl/>
              <w:jc w:val="center"/>
              <w:rPr>
                <w:rFonts w:ascii="宋体" w:hAnsi="宋体" w:cs="宋体"/>
                <w:color w:val="000000"/>
                <w:kern w:val="0"/>
                <w:sz w:val="18"/>
                <w:szCs w:val="18"/>
              </w:rPr>
            </w:pPr>
            <w:r>
              <w:rPr>
                <w:rFonts w:hint="eastAsia" w:ascii="宋体" w:hAnsi="宋体" w:cs="宋体"/>
                <w:color w:val="000000"/>
                <w:kern w:val="0"/>
                <w:sz w:val="18"/>
                <w:szCs w:val="18"/>
              </w:rPr>
              <w:t>11.77</w:t>
            </w:r>
          </w:p>
        </w:tc>
        <w:tc>
          <w:tcPr>
            <w:tcW w:w="1481" w:type="dxa"/>
            <w:vAlign w:val="center"/>
          </w:tcPr>
          <w:p w14:paraId="43A634FD">
            <w:pPr>
              <w:widowControl/>
              <w:jc w:val="center"/>
              <w:rPr>
                <w:rFonts w:ascii="宋体" w:hAnsi="宋体" w:cs="宋体"/>
                <w:color w:val="000000"/>
                <w:kern w:val="0"/>
                <w:sz w:val="18"/>
                <w:szCs w:val="18"/>
              </w:rPr>
            </w:pPr>
            <w:r>
              <w:rPr>
                <w:rFonts w:hint="eastAsia" w:ascii="宋体" w:hAnsi="宋体" w:cs="宋体"/>
                <w:color w:val="000000"/>
                <w:kern w:val="0"/>
                <w:sz w:val="18"/>
                <w:szCs w:val="18"/>
              </w:rPr>
              <w:t>45.31%</w:t>
            </w:r>
          </w:p>
        </w:tc>
      </w:tr>
      <w:tr w14:paraId="23DF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40" w:type="dxa"/>
            <w:shd w:val="clear" w:color="auto" w:fill="auto"/>
            <w:noWrap/>
            <w:vAlign w:val="center"/>
          </w:tcPr>
          <w:p w14:paraId="320699E6">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140" w:type="dxa"/>
            <w:shd w:val="clear" w:color="auto" w:fill="auto"/>
            <w:noWrap/>
            <w:vAlign w:val="center"/>
          </w:tcPr>
          <w:p w14:paraId="46A808AA">
            <w:pPr>
              <w:widowControl/>
              <w:jc w:val="center"/>
              <w:rPr>
                <w:rFonts w:ascii="宋体" w:hAnsi="宋体" w:cs="宋体"/>
                <w:color w:val="000000"/>
                <w:kern w:val="0"/>
                <w:sz w:val="18"/>
                <w:szCs w:val="18"/>
              </w:rPr>
            </w:pPr>
            <w:r>
              <w:rPr>
                <w:rFonts w:hint="eastAsia" w:ascii="宋体" w:hAnsi="宋体" w:cs="宋体"/>
                <w:color w:val="000000"/>
                <w:kern w:val="0"/>
                <w:sz w:val="18"/>
                <w:szCs w:val="18"/>
              </w:rPr>
              <w:t>26.81</w:t>
            </w:r>
          </w:p>
        </w:tc>
        <w:tc>
          <w:tcPr>
            <w:tcW w:w="2523" w:type="dxa"/>
            <w:shd w:val="clear" w:color="auto" w:fill="auto"/>
            <w:noWrap/>
            <w:vAlign w:val="center"/>
          </w:tcPr>
          <w:p w14:paraId="411845F0">
            <w:pPr>
              <w:widowControl/>
              <w:jc w:val="center"/>
              <w:rPr>
                <w:rFonts w:ascii="宋体" w:hAnsi="宋体" w:cs="宋体"/>
                <w:color w:val="000000"/>
                <w:kern w:val="0"/>
                <w:sz w:val="18"/>
                <w:szCs w:val="18"/>
              </w:rPr>
            </w:pPr>
            <w:r>
              <w:rPr>
                <w:rFonts w:hint="eastAsia" w:ascii="宋体" w:hAnsi="宋体" w:cs="宋体"/>
                <w:color w:val="000000"/>
                <w:kern w:val="0"/>
                <w:sz w:val="18"/>
                <w:szCs w:val="18"/>
              </w:rPr>
              <w:t>2.07</w:t>
            </w:r>
          </w:p>
        </w:tc>
        <w:tc>
          <w:tcPr>
            <w:tcW w:w="1481" w:type="dxa"/>
            <w:shd w:val="clear" w:color="auto" w:fill="auto"/>
            <w:noWrap/>
            <w:vAlign w:val="center"/>
          </w:tcPr>
          <w:p w14:paraId="48F50A89">
            <w:pPr>
              <w:widowControl/>
              <w:jc w:val="center"/>
              <w:rPr>
                <w:rFonts w:ascii="宋体" w:hAnsi="宋体" w:cs="宋体"/>
                <w:color w:val="000000"/>
                <w:kern w:val="0"/>
                <w:sz w:val="18"/>
                <w:szCs w:val="18"/>
              </w:rPr>
            </w:pPr>
            <w:r>
              <w:rPr>
                <w:rFonts w:hint="eastAsia" w:ascii="宋体" w:hAnsi="宋体" w:cs="宋体"/>
                <w:color w:val="000000"/>
                <w:kern w:val="0"/>
                <w:sz w:val="18"/>
                <w:szCs w:val="18"/>
              </w:rPr>
              <w:t>24.74</w:t>
            </w:r>
          </w:p>
        </w:tc>
        <w:tc>
          <w:tcPr>
            <w:tcW w:w="1481" w:type="dxa"/>
            <w:vAlign w:val="center"/>
          </w:tcPr>
          <w:p w14:paraId="479ABFEF">
            <w:pPr>
              <w:widowControl/>
              <w:jc w:val="center"/>
              <w:rPr>
                <w:rFonts w:ascii="宋体" w:hAnsi="宋体" w:cs="宋体"/>
                <w:color w:val="000000"/>
                <w:kern w:val="0"/>
                <w:sz w:val="18"/>
                <w:szCs w:val="18"/>
              </w:rPr>
            </w:pPr>
            <w:r>
              <w:rPr>
                <w:rFonts w:hint="eastAsia" w:ascii="宋体" w:hAnsi="宋体" w:cs="宋体"/>
                <w:color w:val="000000"/>
                <w:kern w:val="0"/>
                <w:sz w:val="18"/>
                <w:szCs w:val="18"/>
              </w:rPr>
              <w:t>7.72%</w:t>
            </w:r>
          </w:p>
        </w:tc>
      </w:tr>
      <w:tr w14:paraId="588D7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40" w:type="dxa"/>
            <w:shd w:val="clear" w:color="auto" w:fill="auto"/>
            <w:noWrap/>
            <w:vAlign w:val="center"/>
          </w:tcPr>
          <w:p w14:paraId="7B56A89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行政区</w:t>
            </w:r>
          </w:p>
        </w:tc>
        <w:tc>
          <w:tcPr>
            <w:tcW w:w="1140" w:type="dxa"/>
            <w:shd w:val="clear" w:color="auto" w:fill="auto"/>
            <w:noWrap/>
            <w:vAlign w:val="center"/>
          </w:tcPr>
          <w:p w14:paraId="3685E49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下达指标</w:t>
            </w:r>
          </w:p>
        </w:tc>
        <w:tc>
          <w:tcPr>
            <w:tcW w:w="2523" w:type="dxa"/>
            <w:shd w:val="clear" w:color="auto" w:fill="auto"/>
            <w:noWrap/>
            <w:vAlign w:val="center"/>
          </w:tcPr>
          <w:p w14:paraId="7576E2A7">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2010-2014年新增建设用地</w:t>
            </w:r>
          </w:p>
        </w:tc>
        <w:tc>
          <w:tcPr>
            <w:tcW w:w="1481" w:type="dxa"/>
            <w:shd w:val="clear" w:color="auto" w:fill="auto"/>
            <w:noWrap/>
            <w:vAlign w:val="center"/>
          </w:tcPr>
          <w:p w14:paraId="5B4EE42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剩余指标情况</w:t>
            </w:r>
          </w:p>
        </w:tc>
        <w:tc>
          <w:tcPr>
            <w:tcW w:w="1481" w:type="dxa"/>
            <w:vAlign w:val="center"/>
          </w:tcPr>
          <w:p w14:paraId="3C30D92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指标使用进度</w:t>
            </w:r>
          </w:p>
        </w:tc>
      </w:tr>
      <w:tr w14:paraId="66C0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40" w:type="dxa"/>
            <w:shd w:val="clear" w:color="auto" w:fill="auto"/>
            <w:noWrap/>
            <w:vAlign w:val="center"/>
          </w:tcPr>
          <w:p w14:paraId="1AADDF85">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140" w:type="dxa"/>
            <w:shd w:val="clear" w:color="auto" w:fill="auto"/>
            <w:noWrap/>
            <w:vAlign w:val="center"/>
          </w:tcPr>
          <w:p w14:paraId="451E4F03">
            <w:pPr>
              <w:widowControl/>
              <w:jc w:val="center"/>
              <w:rPr>
                <w:rFonts w:ascii="宋体" w:hAnsi="宋体" w:cs="宋体"/>
                <w:color w:val="000000"/>
                <w:kern w:val="0"/>
                <w:sz w:val="18"/>
                <w:szCs w:val="18"/>
              </w:rPr>
            </w:pPr>
            <w:r>
              <w:rPr>
                <w:rFonts w:hint="eastAsia" w:ascii="宋体" w:hAnsi="宋体" w:cs="宋体"/>
                <w:color w:val="000000"/>
                <w:kern w:val="0"/>
                <w:sz w:val="18"/>
                <w:szCs w:val="18"/>
              </w:rPr>
              <w:t>653.38</w:t>
            </w:r>
          </w:p>
        </w:tc>
        <w:tc>
          <w:tcPr>
            <w:tcW w:w="2523" w:type="dxa"/>
            <w:shd w:val="clear" w:color="auto" w:fill="auto"/>
            <w:noWrap/>
            <w:vAlign w:val="center"/>
          </w:tcPr>
          <w:p w14:paraId="273BDCA0">
            <w:pPr>
              <w:widowControl/>
              <w:jc w:val="center"/>
              <w:rPr>
                <w:rFonts w:ascii="宋体" w:hAnsi="宋体" w:cs="宋体"/>
                <w:color w:val="000000"/>
                <w:kern w:val="0"/>
                <w:sz w:val="18"/>
                <w:szCs w:val="18"/>
              </w:rPr>
            </w:pPr>
            <w:r>
              <w:rPr>
                <w:rFonts w:hint="eastAsia" w:ascii="宋体" w:hAnsi="宋体" w:cs="宋体"/>
                <w:color w:val="000000"/>
                <w:kern w:val="0"/>
                <w:sz w:val="18"/>
                <w:szCs w:val="18"/>
              </w:rPr>
              <w:t>288.34</w:t>
            </w:r>
          </w:p>
        </w:tc>
        <w:tc>
          <w:tcPr>
            <w:tcW w:w="1481" w:type="dxa"/>
            <w:shd w:val="clear" w:color="auto" w:fill="auto"/>
            <w:noWrap/>
            <w:vAlign w:val="center"/>
          </w:tcPr>
          <w:p w14:paraId="11F14DD7">
            <w:pPr>
              <w:widowControl/>
              <w:jc w:val="center"/>
              <w:rPr>
                <w:rFonts w:ascii="宋体" w:hAnsi="宋体" w:cs="宋体"/>
                <w:color w:val="000000"/>
                <w:kern w:val="0"/>
                <w:sz w:val="18"/>
                <w:szCs w:val="18"/>
              </w:rPr>
            </w:pPr>
            <w:r>
              <w:rPr>
                <w:rFonts w:hint="eastAsia" w:ascii="宋体" w:hAnsi="宋体" w:cs="宋体"/>
                <w:color w:val="000000"/>
                <w:kern w:val="0"/>
                <w:sz w:val="18"/>
                <w:szCs w:val="18"/>
              </w:rPr>
              <w:t>365.04</w:t>
            </w:r>
          </w:p>
        </w:tc>
        <w:tc>
          <w:tcPr>
            <w:tcW w:w="1481" w:type="dxa"/>
            <w:vAlign w:val="center"/>
          </w:tcPr>
          <w:p w14:paraId="496D47C7">
            <w:pPr>
              <w:widowControl/>
              <w:jc w:val="center"/>
              <w:rPr>
                <w:rFonts w:ascii="宋体" w:hAnsi="宋体" w:cs="宋体"/>
                <w:color w:val="000000"/>
                <w:kern w:val="0"/>
                <w:sz w:val="18"/>
                <w:szCs w:val="18"/>
              </w:rPr>
            </w:pPr>
            <w:r>
              <w:rPr>
                <w:rFonts w:hint="eastAsia" w:ascii="宋体" w:hAnsi="宋体" w:cs="宋体"/>
                <w:color w:val="000000"/>
                <w:kern w:val="0"/>
                <w:sz w:val="18"/>
                <w:szCs w:val="18"/>
              </w:rPr>
              <w:t>44.13%</w:t>
            </w:r>
          </w:p>
        </w:tc>
      </w:tr>
    </w:tbl>
    <w:p w14:paraId="4E2783AF">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三、人均城镇工矿用地</w:t>
      </w:r>
    </w:p>
    <w:p w14:paraId="6FF565AC">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2014年，全区人均城镇工矿用地为123.90平方米/人，与2020年目标比较，高于规划目标8.86平方米/人。与2014年目标比较，低于阶段目标值51.84平方米/人。规划实施以来，东川区完成了人均城镇工矿用地的阶段控制目标。</w:t>
      </w:r>
    </w:p>
    <w:p w14:paraId="25CB50EE">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四、坝区主要控制指标实施情况</w:t>
      </w:r>
    </w:p>
    <w:p w14:paraId="63B50C62">
      <w:pPr>
        <w:spacing w:line="360" w:lineRule="auto"/>
        <w:ind w:firstLine="560" w:firstLineChars="200"/>
        <w:jc w:val="left"/>
        <w:rPr>
          <w:rFonts w:ascii="仿宋_GB2312" w:hAnsi="宋体" w:eastAsia="仿宋_GB2312"/>
          <w:sz w:val="28"/>
          <w:szCs w:val="28"/>
        </w:rPr>
      </w:pPr>
      <w:bookmarkStart w:id="72" w:name="OLE_LINK9"/>
      <w:bookmarkStart w:id="73" w:name="OLE_LINK8"/>
      <w:r>
        <w:rPr>
          <w:rFonts w:hint="eastAsia" w:ascii="仿宋_GB2312" w:hAnsi="宋体" w:eastAsia="仿宋_GB2312"/>
          <w:sz w:val="28"/>
          <w:szCs w:val="28"/>
        </w:rPr>
        <w:t>以全国第二次土地利用调查为依据，经云南省国土资源厅认定的范围作为东川区的坝区范围。东川区坝区面积</w:t>
      </w:r>
      <w:r>
        <w:rPr>
          <w:rFonts w:hint="eastAsia" w:ascii="仿宋_GB2312" w:eastAsia="仿宋_GB2312"/>
          <w:sz w:val="28"/>
          <w:szCs w:val="28"/>
        </w:rPr>
        <w:t>4133.08</w:t>
      </w:r>
      <w:r>
        <w:rPr>
          <w:rFonts w:hint="eastAsia" w:ascii="仿宋_GB2312" w:hAnsi="宋体" w:eastAsia="仿宋_GB2312"/>
          <w:sz w:val="28"/>
          <w:szCs w:val="28"/>
        </w:rPr>
        <w:t>公顷，占全区土地总面积的2.22%，全区共有坝子6个。</w:t>
      </w:r>
    </w:p>
    <w:p w14:paraId="317D43E3">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规划至2020年，东川区坝区耕地保有量1329.32公顷，按照年平均增长法，2014年东川区坝区耕地应为1365.53公顷。2014年，东川区坝区实际耕地保有量为1348.44公顷，低于2014年阶段目标0.38公顷，与2020年规划目标相比，高出19.12公顷，坝区耕地保有量执行情况良好。</w:t>
      </w:r>
    </w:p>
    <w:p w14:paraId="74050C04">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东川区2014年坝区耕地划入基本农田面积为1117.36公顷，坝区耕地划入基本农田的比例为82.86%。坝区耕地划入基本农田保护情况执行较好。</w:t>
      </w:r>
    </w:p>
    <w:p w14:paraId="4F00E94A">
      <w:pPr>
        <w:spacing w:line="360" w:lineRule="auto"/>
        <w:ind w:firstLine="560" w:firstLineChars="200"/>
        <w:jc w:val="left"/>
        <w:rPr>
          <w:rFonts w:ascii="仿宋_GB2312" w:hAnsi="宋体" w:eastAsia="仿宋_GB2312"/>
          <w:sz w:val="28"/>
          <w:szCs w:val="28"/>
        </w:rPr>
      </w:pPr>
      <w:r>
        <w:rPr>
          <w:rFonts w:hint="eastAsia" w:ascii="仿宋_GB2312" w:hAnsi="宋体" w:eastAsia="仿宋_GB2312"/>
          <w:sz w:val="28"/>
          <w:szCs w:val="28"/>
        </w:rPr>
        <w:t>东川区2014年新增建设用地布局在坝区的面积为11.86公顷，高于规划阶段目标，但布局在坝区的新增建设用地占区域新增建设用地的比例为4.11%，低于规划目标11.13%，规划实施期间，东川区建设用地上山工作成效明显。</w:t>
      </w:r>
      <w:bookmarkEnd w:id="72"/>
      <w:bookmarkEnd w:id="73"/>
    </w:p>
    <w:p w14:paraId="0F690219">
      <w:pPr>
        <w:spacing w:line="360" w:lineRule="auto"/>
        <w:ind w:firstLine="560" w:firstLineChars="200"/>
        <w:jc w:val="left"/>
        <w:rPr>
          <w:rFonts w:ascii="仿宋_GB2312" w:hAnsi="宋体" w:eastAsia="仿宋_GB2312"/>
          <w:sz w:val="28"/>
          <w:szCs w:val="28"/>
        </w:rPr>
      </w:pPr>
    </w:p>
    <w:p w14:paraId="2E2AC964">
      <w:pPr>
        <w:spacing w:line="360" w:lineRule="auto"/>
        <w:ind w:firstLine="560" w:firstLineChars="200"/>
        <w:jc w:val="left"/>
        <w:rPr>
          <w:rFonts w:ascii="仿宋_GB2312" w:hAnsi="宋体" w:eastAsia="仿宋_GB2312"/>
          <w:sz w:val="28"/>
          <w:szCs w:val="28"/>
        </w:rPr>
      </w:pPr>
    </w:p>
    <w:p w14:paraId="7CE412B0">
      <w:pPr>
        <w:spacing w:line="360" w:lineRule="auto"/>
        <w:ind w:firstLine="560" w:firstLineChars="200"/>
        <w:jc w:val="left"/>
        <w:rPr>
          <w:rFonts w:ascii="仿宋_GB2312" w:hAnsi="宋体" w:eastAsia="仿宋_GB2312"/>
          <w:sz w:val="28"/>
          <w:szCs w:val="28"/>
        </w:rPr>
      </w:pPr>
    </w:p>
    <w:p w14:paraId="5F615E9E">
      <w:pPr>
        <w:spacing w:line="360" w:lineRule="auto"/>
        <w:ind w:firstLine="560" w:firstLineChars="200"/>
        <w:jc w:val="left"/>
        <w:rPr>
          <w:rFonts w:ascii="仿宋_GB2312" w:hAnsi="宋体" w:eastAsia="仿宋_GB2312"/>
          <w:sz w:val="28"/>
          <w:szCs w:val="28"/>
        </w:rPr>
      </w:pPr>
    </w:p>
    <w:p w14:paraId="2CC95E24">
      <w:pPr>
        <w:jc w:val="center"/>
        <w:outlineLvl w:val="4"/>
        <w:rPr>
          <w:rFonts w:ascii="宋体" w:hAnsi="宋体"/>
          <w:b/>
          <w:sz w:val="24"/>
        </w:rPr>
      </w:pPr>
      <w:r>
        <w:rPr>
          <w:rFonts w:hint="eastAsia" w:ascii="宋体" w:hAnsi="宋体"/>
          <w:b/>
          <w:sz w:val="24"/>
        </w:rPr>
        <w:t>表3-13  坝区各项指标执行情况表</w:t>
      </w:r>
    </w:p>
    <w:p w14:paraId="657365A3">
      <w:pPr>
        <w:ind w:firstLine="482"/>
        <w:jc w:val="right"/>
        <w:rPr>
          <w:rFonts w:ascii="宋体" w:hAnsi="宋体"/>
          <w:kern w:val="0"/>
          <w:sz w:val="18"/>
          <w:szCs w:val="18"/>
        </w:rPr>
      </w:pPr>
      <w:r>
        <w:rPr>
          <w:rFonts w:hint="eastAsia" w:ascii="宋体" w:hAnsi="宋体"/>
          <w:kern w:val="0"/>
          <w:sz w:val="18"/>
          <w:szCs w:val="18"/>
        </w:rPr>
        <w:t>单位：公顷</w:t>
      </w:r>
    </w:p>
    <w:tbl>
      <w:tblPr>
        <w:tblStyle w:val="27"/>
        <w:tblW w:w="10067" w:type="dxa"/>
        <w:jc w:val="center"/>
        <w:tblLayout w:type="autofit"/>
        <w:tblCellMar>
          <w:top w:w="0" w:type="dxa"/>
          <w:left w:w="108" w:type="dxa"/>
          <w:bottom w:w="0" w:type="dxa"/>
          <w:right w:w="108" w:type="dxa"/>
        </w:tblCellMar>
      </w:tblPr>
      <w:tblGrid>
        <w:gridCol w:w="2480"/>
        <w:gridCol w:w="960"/>
        <w:gridCol w:w="1119"/>
        <w:gridCol w:w="960"/>
        <w:gridCol w:w="960"/>
        <w:gridCol w:w="1196"/>
        <w:gridCol w:w="1432"/>
        <w:gridCol w:w="960"/>
      </w:tblGrid>
      <w:tr w14:paraId="648EE4DA">
        <w:tblPrEx>
          <w:tblCellMar>
            <w:top w:w="0" w:type="dxa"/>
            <w:left w:w="108" w:type="dxa"/>
            <w:bottom w:w="0" w:type="dxa"/>
            <w:right w:w="108" w:type="dxa"/>
          </w:tblCellMar>
        </w:tblPrEx>
        <w:trPr>
          <w:trHeight w:val="284" w:hRule="atLeast"/>
          <w:jc w:val="center"/>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14:paraId="1DB669DC">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w:t>
            </w:r>
          </w:p>
        </w:tc>
        <w:tc>
          <w:tcPr>
            <w:tcW w:w="960" w:type="dxa"/>
            <w:tcBorders>
              <w:top w:val="single" w:color="auto" w:sz="4" w:space="0"/>
              <w:left w:val="nil"/>
              <w:bottom w:val="single" w:color="auto" w:sz="4" w:space="0"/>
              <w:right w:val="single" w:color="auto" w:sz="4" w:space="0"/>
            </w:tcBorders>
            <w:shd w:val="clear" w:color="auto" w:fill="auto"/>
            <w:vAlign w:val="center"/>
          </w:tcPr>
          <w:p w14:paraId="31D573F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2009年</w:t>
            </w:r>
          </w:p>
        </w:tc>
        <w:tc>
          <w:tcPr>
            <w:tcW w:w="1119" w:type="dxa"/>
            <w:tcBorders>
              <w:top w:val="single" w:color="auto" w:sz="4" w:space="0"/>
              <w:left w:val="nil"/>
              <w:bottom w:val="single" w:color="auto" w:sz="4" w:space="0"/>
              <w:right w:val="single" w:color="auto" w:sz="4" w:space="0"/>
            </w:tcBorders>
            <w:shd w:val="clear" w:color="auto" w:fill="auto"/>
            <w:vAlign w:val="center"/>
          </w:tcPr>
          <w:p w14:paraId="6FD8C83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2020年</w:t>
            </w:r>
          </w:p>
          <w:p w14:paraId="44643B4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规划目标</w:t>
            </w:r>
          </w:p>
        </w:tc>
        <w:tc>
          <w:tcPr>
            <w:tcW w:w="960" w:type="dxa"/>
            <w:tcBorders>
              <w:top w:val="single" w:color="auto" w:sz="4" w:space="0"/>
              <w:left w:val="nil"/>
              <w:bottom w:val="single" w:color="auto" w:sz="4" w:space="0"/>
              <w:right w:val="single" w:color="auto" w:sz="4" w:space="0"/>
            </w:tcBorders>
            <w:shd w:val="clear" w:color="auto" w:fill="auto"/>
            <w:vAlign w:val="center"/>
          </w:tcPr>
          <w:p w14:paraId="7CD64E3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2014年阶段目标</w:t>
            </w:r>
          </w:p>
        </w:tc>
        <w:tc>
          <w:tcPr>
            <w:tcW w:w="960" w:type="dxa"/>
            <w:tcBorders>
              <w:top w:val="single" w:color="auto" w:sz="4" w:space="0"/>
              <w:left w:val="nil"/>
              <w:bottom w:val="single" w:color="auto" w:sz="4" w:space="0"/>
              <w:right w:val="single" w:color="auto" w:sz="4" w:space="0"/>
            </w:tcBorders>
            <w:shd w:val="clear" w:color="auto" w:fill="auto"/>
            <w:vAlign w:val="center"/>
          </w:tcPr>
          <w:p w14:paraId="640B137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2014年现状</w:t>
            </w:r>
          </w:p>
        </w:tc>
        <w:tc>
          <w:tcPr>
            <w:tcW w:w="1196" w:type="dxa"/>
            <w:tcBorders>
              <w:top w:val="single" w:color="auto" w:sz="4" w:space="0"/>
              <w:left w:val="nil"/>
              <w:bottom w:val="single" w:color="auto" w:sz="4" w:space="0"/>
              <w:right w:val="single" w:color="auto" w:sz="4" w:space="0"/>
            </w:tcBorders>
            <w:shd w:val="clear" w:color="auto" w:fill="auto"/>
            <w:noWrap/>
            <w:vAlign w:val="center"/>
          </w:tcPr>
          <w:p w14:paraId="4C972AB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与2014年阶段目标对比</w:t>
            </w:r>
          </w:p>
        </w:tc>
        <w:tc>
          <w:tcPr>
            <w:tcW w:w="1432" w:type="dxa"/>
            <w:tcBorders>
              <w:top w:val="single" w:color="auto" w:sz="4" w:space="0"/>
              <w:left w:val="nil"/>
              <w:bottom w:val="single" w:color="auto" w:sz="4" w:space="0"/>
              <w:right w:val="single" w:color="auto" w:sz="4" w:space="0"/>
            </w:tcBorders>
            <w:shd w:val="clear" w:color="auto" w:fill="auto"/>
            <w:noWrap/>
            <w:vAlign w:val="center"/>
          </w:tcPr>
          <w:p w14:paraId="341E42B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与2020年规</w:t>
            </w:r>
          </w:p>
          <w:p w14:paraId="02B3A8F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划目标对比</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636B298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实施情况</w:t>
            </w:r>
          </w:p>
        </w:tc>
      </w:tr>
      <w:tr w14:paraId="7E4B7F94">
        <w:tblPrEx>
          <w:tblCellMar>
            <w:top w:w="0" w:type="dxa"/>
            <w:left w:w="108" w:type="dxa"/>
            <w:bottom w:w="0" w:type="dxa"/>
            <w:right w:w="108" w:type="dxa"/>
          </w:tblCellMar>
        </w:tblPrEx>
        <w:trPr>
          <w:trHeight w:val="284" w:hRule="atLeast"/>
          <w:jc w:val="center"/>
        </w:trPr>
        <w:tc>
          <w:tcPr>
            <w:tcW w:w="2480" w:type="dxa"/>
            <w:tcBorders>
              <w:top w:val="nil"/>
              <w:left w:val="single" w:color="auto" w:sz="4" w:space="0"/>
              <w:bottom w:val="single" w:color="auto" w:sz="4" w:space="0"/>
              <w:right w:val="single" w:color="auto" w:sz="4" w:space="0"/>
            </w:tcBorders>
            <w:shd w:val="clear" w:color="auto" w:fill="auto"/>
            <w:vAlign w:val="center"/>
          </w:tcPr>
          <w:p w14:paraId="0D1D1594">
            <w:pPr>
              <w:widowControl/>
              <w:jc w:val="center"/>
              <w:rPr>
                <w:rFonts w:ascii="宋体" w:hAnsi="宋体" w:cs="宋体"/>
                <w:color w:val="000000"/>
                <w:kern w:val="0"/>
                <w:sz w:val="18"/>
                <w:szCs w:val="18"/>
              </w:rPr>
            </w:pPr>
            <w:r>
              <w:rPr>
                <w:rFonts w:hint="eastAsia" w:ascii="宋体" w:hAnsi="宋体" w:cs="宋体"/>
                <w:color w:val="000000"/>
                <w:kern w:val="0"/>
                <w:sz w:val="18"/>
                <w:szCs w:val="18"/>
              </w:rPr>
              <w:t>耕地保有量</w:t>
            </w:r>
          </w:p>
        </w:tc>
        <w:tc>
          <w:tcPr>
            <w:tcW w:w="960" w:type="dxa"/>
            <w:tcBorders>
              <w:top w:val="nil"/>
              <w:left w:val="nil"/>
              <w:bottom w:val="single" w:color="auto" w:sz="4" w:space="0"/>
              <w:right w:val="single" w:color="auto" w:sz="4" w:space="0"/>
            </w:tcBorders>
            <w:shd w:val="clear" w:color="auto" w:fill="auto"/>
            <w:vAlign w:val="center"/>
          </w:tcPr>
          <w:p w14:paraId="17A078CA">
            <w:pPr>
              <w:widowControl/>
              <w:jc w:val="center"/>
              <w:rPr>
                <w:rFonts w:ascii="宋体" w:hAnsi="宋体" w:cs="宋体"/>
                <w:color w:val="000000"/>
                <w:kern w:val="0"/>
                <w:sz w:val="18"/>
                <w:szCs w:val="18"/>
              </w:rPr>
            </w:pPr>
            <w:r>
              <w:rPr>
                <w:rFonts w:hint="eastAsia" w:ascii="宋体" w:hAnsi="宋体" w:cs="宋体"/>
                <w:color w:val="000000"/>
                <w:kern w:val="0"/>
                <w:sz w:val="18"/>
                <w:szCs w:val="18"/>
              </w:rPr>
              <w:t>1395.71</w:t>
            </w:r>
          </w:p>
        </w:tc>
        <w:tc>
          <w:tcPr>
            <w:tcW w:w="1119" w:type="dxa"/>
            <w:tcBorders>
              <w:top w:val="nil"/>
              <w:left w:val="nil"/>
              <w:bottom w:val="single" w:color="auto" w:sz="4" w:space="0"/>
              <w:right w:val="single" w:color="auto" w:sz="4" w:space="0"/>
            </w:tcBorders>
            <w:shd w:val="clear" w:color="auto" w:fill="auto"/>
            <w:noWrap/>
            <w:vAlign w:val="center"/>
          </w:tcPr>
          <w:p w14:paraId="4E6D12B0">
            <w:pPr>
              <w:widowControl/>
              <w:jc w:val="center"/>
              <w:rPr>
                <w:rFonts w:ascii="宋体" w:hAnsi="宋体" w:cs="宋体"/>
                <w:color w:val="000000"/>
                <w:kern w:val="0"/>
                <w:sz w:val="18"/>
                <w:szCs w:val="18"/>
              </w:rPr>
            </w:pPr>
            <w:r>
              <w:rPr>
                <w:rFonts w:hint="eastAsia" w:ascii="宋体" w:hAnsi="宋体" w:cs="宋体"/>
                <w:color w:val="000000"/>
                <w:kern w:val="0"/>
                <w:sz w:val="18"/>
                <w:szCs w:val="18"/>
              </w:rPr>
              <w:t>1329.32</w:t>
            </w:r>
          </w:p>
        </w:tc>
        <w:tc>
          <w:tcPr>
            <w:tcW w:w="960" w:type="dxa"/>
            <w:tcBorders>
              <w:top w:val="nil"/>
              <w:left w:val="nil"/>
              <w:bottom w:val="single" w:color="auto" w:sz="4" w:space="0"/>
              <w:right w:val="single" w:color="auto" w:sz="4" w:space="0"/>
            </w:tcBorders>
            <w:shd w:val="clear" w:color="auto" w:fill="auto"/>
            <w:vAlign w:val="center"/>
          </w:tcPr>
          <w:p w14:paraId="142FD2D7">
            <w:pPr>
              <w:widowControl/>
              <w:jc w:val="center"/>
              <w:rPr>
                <w:rFonts w:ascii="宋体" w:hAnsi="宋体" w:cs="宋体"/>
                <w:color w:val="000000"/>
                <w:kern w:val="0"/>
                <w:sz w:val="18"/>
                <w:szCs w:val="18"/>
              </w:rPr>
            </w:pPr>
            <w:r>
              <w:rPr>
                <w:rFonts w:hint="eastAsia" w:ascii="宋体" w:hAnsi="宋体" w:cs="宋体"/>
                <w:color w:val="000000"/>
                <w:kern w:val="0"/>
                <w:sz w:val="18"/>
                <w:szCs w:val="18"/>
              </w:rPr>
              <w:t>1365.53</w:t>
            </w:r>
          </w:p>
        </w:tc>
        <w:tc>
          <w:tcPr>
            <w:tcW w:w="960" w:type="dxa"/>
            <w:tcBorders>
              <w:top w:val="nil"/>
              <w:left w:val="nil"/>
              <w:bottom w:val="single" w:color="auto" w:sz="4" w:space="0"/>
              <w:right w:val="single" w:color="auto" w:sz="4" w:space="0"/>
            </w:tcBorders>
            <w:shd w:val="clear" w:color="auto" w:fill="auto"/>
            <w:noWrap/>
            <w:vAlign w:val="center"/>
          </w:tcPr>
          <w:p w14:paraId="1325F602">
            <w:pPr>
              <w:widowControl/>
              <w:jc w:val="center"/>
              <w:rPr>
                <w:rFonts w:ascii="宋体" w:hAnsi="宋体" w:cs="宋体"/>
                <w:color w:val="000000"/>
                <w:kern w:val="0"/>
                <w:sz w:val="18"/>
                <w:szCs w:val="18"/>
              </w:rPr>
            </w:pPr>
            <w:r>
              <w:rPr>
                <w:rFonts w:hint="eastAsia" w:ascii="宋体" w:hAnsi="宋体" w:cs="宋体"/>
                <w:color w:val="000000"/>
                <w:kern w:val="0"/>
                <w:sz w:val="18"/>
                <w:szCs w:val="18"/>
              </w:rPr>
              <w:t>1348.44</w:t>
            </w:r>
          </w:p>
        </w:tc>
        <w:tc>
          <w:tcPr>
            <w:tcW w:w="1196" w:type="dxa"/>
            <w:tcBorders>
              <w:top w:val="nil"/>
              <w:left w:val="nil"/>
              <w:bottom w:val="single" w:color="auto" w:sz="4" w:space="0"/>
              <w:right w:val="single" w:color="auto" w:sz="4" w:space="0"/>
            </w:tcBorders>
            <w:shd w:val="clear" w:color="auto" w:fill="auto"/>
            <w:noWrap/>
            <w:vAlign w:val="center"/>
          </w:tcPr>
          <w:p w14:paraId="52903D37">
            <w:pPr>
              <w:widowControl/>
              <w:jc w:val="center"/>
              <w:rPr>
                <w:rFonts w:ascii="宋体" w:hAnsi="宋体" w:cs="宋体"/>
                <w:color w:val="000000"/>
                <w:kern w:val="0"/>
                <w:sz w:val="18"/>
                <w:szCs w:val="18"/>
              </w:rPr>
            </w:pPr>
            <w:r>
              <w:rPr>
                <w:rFonts w:hint="eastAsia" w:ascii="宋体" w:hAnsi="宋体" w:cs="宋体"/>
                <w:color w:val="000000"/>
                <w:kern w:val="0"/>
                <w:sz w:val="18"/>
                <w:szCs w:val="18"/>
              </w:rPr>
              <w:t>-0.38</w:t>
            </w:r>
          </w:p>
        </w:tc>
        <w:tc>
          <w:tcPr>
            <w:tcW w:w="1432" w:type="dxa"/>
            <w:tcBorders>
              <w:top w:val="nil"/>
              <w:left w:val="nil"/>
              <w:bottom w:val="single" w:color="auto" w:sz="4" w:space="0"/>
              <w:right w:val="single" w:color="auto" w:sz="4" w:space="0"/>
            </w:tcBorders>
            <w:shd w:val="clear" w:color="auto" w:fill="auto"/>
            <w:noWrap/>
            <w:vAlign w:val="center"/>
          </w:tcPr>
          <w:p w14:paraId="3606C81F">
            <w:pPr>
              <w:widowControl/>
              <w:jc w:val="center"/>
              <w:rPr>
                <w:rFonts w:ascii="宋体" w:hAnsi="宋体" w:cs="宋体"/>
                <w:color w:val="000000"/>
                <w:kern w:val="0"/>
                <w:sz w:val="18"/>
                <w:szCs w:val="18"/>
              </w:rPr>
            </w:pPr>
            <w:r>
              <w:rPr>
                <w:rFonts w:hint="eastAsia" w:ascii="宋体" w:hAnsi="宋体" w:cs="宋体"/>
                <w:color w:val="000000"/>
                <w:kern w:val="0"/>
                <w:sz w:val="18"/>
                <w:szCs w:val="18"/>
              </w:rPr>
              <w:t>19.12</w:t>
            </w:r>
          </w:p>
        </w:tc>
        <w:tc>
          <w:tcPr>
            <w:tcW w:w="960" w:type="dxa"/>
            <w:tcBorders>
              <w:top w:val="nil"/>
              <w:left w:val="nil"/>
              <w:bottom w:val="single" w:color="auto" w:sz="4" w:space="0"/>
              <w:right w:val="single" w:color="auto" w:sz="4" w:space="0"/>
            </w:tcBorders>
            <w:shd w:val="clear" w:color="auto" w:fill="auto"/>
            <w:noWrap/>
            <w:vAlign w:val="center"/>
          </w:tcPr>
          <w:p w14:paraId="6AC9A228">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r w14:paraId="0C8CFE8F">
        <w:trPr>
          <w:trHeight w:val="284" w:hRule="atLeast"/>
          <w:jc w:val="center"/>
        </w:trPr>
        <w:tc>
          <w:tcPr>
            <w:tcW w:w="2480" w:type="dxa"/>
            <w:tcBorders>
              <w:top w:val="nil"/>
              <w:left w:val="single" w:color="auto" w:sz="4" w:space="0"/>
              <w:bottom w:val="single" w:color="auto" w:sz="4" w:space="0"/>
              <w:right w:val="single" w:color="auto" w:sz="4" w:space="0"/>
            </w:tcBorders>
            <w:shd w:val="clear" w:color="auto" w:fill="auto"/>
            <w:vAlign w:val="center"/>
          </w:tcPr>
          <w:p w14:paraId="651657E5">
            <w:pPr>
              <w:widowControl/>
              <w:jc w:val="center"/>
              <w:rPr>
                <w:rFonts w:ascii="宋体" w:hAnsi="宋体" w:cs="宋体"/>
                <w:color w:val="000000"/>
                <w:kern w:val="0"/>
                <w:sz w:val="18"/>
                <w:szCs w:val="18"/>
              </w:rPr>
            </w:pPr>
            <w:r>
              <w:rPr>
                <w:rFonts w:hint="eastAsia" w:ascii="宋体" w:hAnsi="宋体" w:cs="宋体"/>
                <w:color w:val="000000"/>
                <w:kern w:val="0"/>
                <w:sz w:val="18"/>
                <w:szCs w:val="18"/>
              </w:rPr>
              <w:t>基本农田</w:t>
            </w:r>
          </w:p>
        </w:tc>
        <w:tc>
          <w:tcPr>
            <w:tcW w:w="960" w:type="dxa"/>
            <w:tcBorders>
              <w:top w:val="nil"/>
              <w:left w:val="nil"/>
              <w:bottom w:val="single" w:color="auto" w:sz="4" w:space="0"/>
              <w:right w:val="single" w:color="auto" w:sz="4" w:space="0"/>
            </w:tcBorders>
            <w:shd w:val="clear" w:color="auto" w:fill="auto"/>
            <w:vAlign w:val="center"/>
          </w:tcPr>
          <w:p w14:paraId="2B91224E">
            <w:pPr>
              <w:widowControl/>
              <w:jc w:val="center"/>
              <w:rPr>
                <w:rFonts w:ascii="宋体" w:hAnsi="宋体" w:cs="宋体"/>
                <w:color w:val="000000"/>
                <w:kern w:val="0"/>
                <w:sz w:val="18"/>
                <w:szCs w:val="18"/>
              </w:rPr>
            </w:pPr>
            <w:r>
              <w:rPr>
                <w:rFonts w:hint="eastAsia" w:ascii="宋体" w:hAnsi="宋体" w:cs="宋体"/>
                <w:color w:val="000000"/>
                <w:kern w:val="0"/>
                <w:sz w:val="18"/>
                <w:szCs w:val="18"/>
              </w:rPr>
              <w:t>1134.45</w:t>
            </w:r>
          </w:p>
        </w:tc>
        <w:tc>
          <w:tcPr>
            <w:tcW w:w="1119" w:type="dxa"/>
            <w:tcBorders>
              <w:top w:val="nil"/>
              <w:left w:val="nil"/>
              <w:bottom w:val="single" w:color="auto" w:sz="4" w:space="0"/>
              <w:right w:val="single" w:color="auto" w:sz="4" w:space="0"/>
            </w:tcBorders>
            <w:shd w:val="clear" w:color="auto" w:fill="auto"/>
            <w:noWrap/>
            <w:vAlign w:val="center"/>
          </w:tcPr>
          <w:p w14:paraId="4EAC0BB4">
            <w:pPr>
              <w:widowControl/>
              <w:jc w:val="center"/>
              <w:rPr>
                <w:rFonts w:ascii="宋体" w:hAnsi="宋体" w:cs="宋体"/>
                <w:color w:val="000000"/>
                <w:kern w:val="0"/>
                <w:sz w:val="18"/>
                <w:szCs w:val="18"/>
              </w:rPr>
            </w:pPr>
            <w:r>
              <w:rPr>
                <w:rFonts w:hint="eastAsia" w:ascii="宋体" w:hAnsi="宋体" w:cs="宋体"/>
                <w:color w:val="000000"/>
                <w:kern w:val="0"/>
                <w:sz w:val="18"/>
                <w:szCs w:val="18"/>
              </w:rPr>
              <w:t>1135.45</w:t>
            </w:r>
          </w:p>
        </w:tc>
        <w:tc>
          <w:tcPr>
            <w:tcW w:w="960" w:type="dxa"/>
            <w:tcBorders>
              <w:top w:val="nil"/>
              <w:left w:val="nil"/>
              <w:bottom w:val="single" w:color="auto" w:sz="4" w:space="0"/>
              <w:right w:val="single" w:color="auto" w:sz="4" w:space="0"/>
            </w:tcBorders>
            <w:shd w:val="clear" w:color="auto" w:fill="auto"/>
            <w:noWrap/>
            <w:vAlign w:val="center"/>
          </w:tcPr>
          <w:p w14:paraId="5713C1A1">
            <w:pPr>
              <w:widowControl/>
              <w:jc w:val="center"/>
              <w:rPr>
                <w:rFonts w:ascii="宋体" w:hAnsi="宋体" w:cs="宋体"/>
                <w:color w:val="000000"/>
                <w:kern w:val="0"/>
                <w:sz w:val="18"/>
                <w:szCs w:val="18"/>
              </w:rPr>
            </w:pPr>
            <w:r>
              <w:rPr>
                <w:rFonts w:hint="eastAsia" w:ascii="宋体" w:hAnsi="宋体" w:cs="宋体"/>
                <w:color w:val="000000"/>
                <w:kern w:val="0"/>
                <w:sz w:val="18"/>
                <w:szCs w:val="18"/>
              </w:rPr>
              <w:t>1135.45</w:t>
            </w:r>
          </w:p>
        </w:tc>
        <w:tc>
          <w:tcPr>
            <w:tcW w:w="960" w:type="dxa"/>
            <w:tcBorders>
              <w:top w:val="nil"/>
              <w:left w:val="nil"/>
              <w:bottom w:val="single" w:color="auto" w:sz="4" w:space="0"/>
              <w:right w:val="single" w:color="auto" w:sz="4" w:space="0"/>
            </w:tcBorders>
            <w:shd w:val="clear" w:color="auto" w:fill="auto"/>
            <w:vAlign w:val="center"/>
          </w:tcPr>
          <w:p w14:paraId="0C747AC0">
            <w:pPr>
              <w:widowControl/>
              <w:jc w:val="center"/>
              <w:rPr>
                <w:rFonts w:ascii="宋体" w:hAnsi="宋体" w:cs="宋体"/>
                <w:color w:val="000000"/>
                <w:kern w:val="0"/>
                <w:sz w:val="18"/>
                <w:szCs w:val="18"/>
              </w:rPr>
            </w:pPr>
            <w:r>
              <w:rPr>
                <w:rFonts w:hint="eastAsia" w:ascii="宋体" w:hAnsi="宋体" w:cs="宋体"/>
                <w:color w:val="000000"/>
                <w:kern w:val="0"/>
                <w:sz w:val="18"/>
                <w:szCs w:val="18"/>
              </w:rPr>
              <w:t>1117.36</w:t>
            </w:r>
          </w:p>
        </w:tc>
        <w:tc>
          <w:tcPr>
            <w:tcW w:w="1196" w:type="dxa"/>
            <w:tcBorders>
              <w:top w:val="nil"/>
              <w:left w:val="nil"/>
              <w:bottom w:val="single" w:color="auto" w:sz="4" w:space="0"/>
              <w:right w:val="single" w:color="auto" w:sz="4" w:space="0"/>
            </w:tcBorders>
            <w:shd w:val="clear" w:color="auto" w:fill="auto"/>
            <w:noWrap/>
            <w:vAlign w:val="center"/>
          </w:tcPr>
          <w:p w14:paraId="1B47B766">
            <w:pPr>
              <w:widowControl/>
              <w:jc w:val="center"/>
              <w:rPr>
                <w:rFonts w:ascii="宋体" w:hAnsi="宋体" w:cs="宋体"/>
                <w:color w:val="000000"/>
                <w:kern w:val="0"/>
                <w:sz w:val="18"/>
                <w:szCs w:val="18"/>
              </w:rPr>
            </w:pPr>
            <w:r>
              <w:rPr>
                <w:rFonts w:hint="eastAsia" w:ascii="宋体" w:hAnsi="宋体" w:cs="宋体"/>
                <w:color w:val="000000"/>
                <w:kern w:val="0"/>
                <w:sz w:val="18"/>
                <w:szCs w:val="18"/>
              </w:rPr>
              <w:t>-16.26</w:t>
            </w:r>
          </w:p>
        </w:tc>
        <w:tc>
          <w:tcPr>
            <w:tcW w:w="1432" w:type="dxa"/>
            <w:tcBorders>
              <w:top w:val="nil"/>
              <w:left w:val="nil"/>
              <w:bottom w:val="single" w:color="auto" w:sz="4" w:space="0"/>
              <w:right w:val="single" w:color="auto" w:sz="4" w:space="0"/>
            </w:tcBorders>
            <w:shd w:val="clear" w:color="auto" w:fill="auto"/>
            <w:noWrap/>
            <w:vAlign w:val="center"/>
          </w:tcPr>
          <w:p w14:paraId="124EDAE8">
            <w:pPr>
              <w:widowControl/>
              <w:jc w:val="center"/>
              <w:rPr>
                <w:rFonts w:ascii="宋体" w:hAnsi="宋体" w:cs="宋体"/>
                <w:color w:val="000000"/>
                <w:kern w:val="0"/>
                <w:sz w:val="18"/>
                <w:szCs w:val="18"/>
              </w:rPr>
            </w:pPr>
            <w:r>
              <w:rPr>
                <w:rFonts w:hint="eastAsia" w:ascii="宋体" w:hAnsi="宋体" w:cs="宋体"/>
                <w:color w:val="000000"/>
                <w:kern w:val="0"/>
                <w:sz w:val="18"/>
                <w:szCs w:val="18"/>
              </w:rPr>
              <w:t>-16.26</w:t>
            </w:r>
          </w:p>
        </w:tc>
        <w:tc>
          <w:tcPr>
            <w:tcW w:w="960" w:type="dxa"/>
            <w:tcBorders>
              <w:top w:val="nil"/>
              <w:left w:val="nil"/>
              <w:bottom w:val="single" w:color="auto" w:sz="4" w:space="0"/>
              <w:right w:val="single" w:color="auto" w:sz="4" w:space="0"/>
            </w:tcBorders>
            <w:shd w:val="clear" w:color="auto" w:fill="auto"/>
            <w:noWrap/>
            <w:vAlign w:val="center"/>
          </w:tcPr>
          <w:p w14:paraId="6EF6D41F">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r w14:paraId="33047135">
        <w:tblPrEx>
          <w:tblCellMar>
            <w:top w:w="0" w:type="dxa"/>
            <w:left w:w="108" w:type="dxa"/>
            <w:bottom w:w="0" w:type="dxa"/>
            <w:right w:w="108" w:type="dxa"/>
          </w:tblCellMar>
        </w:tblPrEx>
        <w:trPr>
          <w:trHeight w:val="284" w:hRule="atLeast"/>
          <w:jc w:val="center"/>
        </w:trPr>
        <w:tc>
          <w:tcPr>
            <w:tcW w:w="2480" w:type="dxa"/>
            <w:tcBorders>
              <w:top w:val="nil"/>
              <w:left w:val="single" w:color="auto" w:sz="4" w:space="0"/>
              <w:bottom w:val="single" w:color="auto" w:sz="4" w:space="0"/>
              <w:right w:val="single" w:color="auto" w:sz="4" w:space="0"/>
            </w:tcBorders>
            <w:shd w:val="clear" w:color="auto" w:fill="auto"/>
            <w:vAlign w:val="center"/>
          </w:tcPr>
          <w:p w14:paraId="1887FB2F">
            <w:pPr>
              <w:widowControl/>
              <w:jc w:val="center"/>
              <w:rPr>
                <w:rFonts w:ascii="宋体" w:hAnsi="宋体" w:cs="宋体"/>
                <w:color w:val="000000"/>
                <w:kern w:val="0"/>
                <w:sz w:val="18"/>
                <w:szCs w:val="18"/>
              </w:rPr>
            </w:pPr>
            <w:r>
              <w:rPr>
                <w:rFonts w:hint="eastAsia" w:ascii="宋体" w:hAnsi="宋体" w:cs="宋体"/>
                <w:color w:val="000000"/>
                <w:kern w:val="0"/>
                <w:sz w:val="18"/>
                <w:szCs w:val="18"/>
              </w:rPr>
              <w:t>坝区耕地划入基本农田比例</w:t>
            </w:r>
          </w:p>
        </w:tc>
        <w:tc>
          <w:tcPr>
            <w:tcW w:w="960" w:type="dxa"/>
            <w:tcBorders>
              <w:top w:val="nil"/>
              <w:left w:val="nil"/>
              <w:bottom w:val="single" w:color="auto" w:sz="4" w:space="0"/>
              <w:right w:val="single" w:color="auto" w:sz="4" w:space="0"/>
            </w:tcBorders>
            <w:shd w:val="clear" w:color="auto" w:fill="auto"/>
            <w:vAlign w:val="center"/>
          </w:tcPr>
          <w:p w14:paraId="3F7D0FC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19" w:type="dxa"/>
            <w:tcBorders>
              <w:top w:val="nil"/>
              <w:left w:val="nil"/>
              <w:bottom w:val="single" w:color="auto" w:sz="4" w:space="0"/>
              <w:right w:val="single" w:color="auto" w:sz="4" w:space="0"/>
            </w:tcBorders>
            <w:shd w:val="clear" w:color="auto" w:fill="auto"/>
            <w:vAlign w:val="center"/>
          </w:tcPr>
          <w:p w14:paraId="6081FCFE">
            <w:pPr>
              <w:widowControl/>
              <w:jc w:val="center"/>
              <w:rPr>
                <w:rFonts w:ascii="宋体" w:hAnsi="宋体" w:cs="宋体"/>
                <w:color w:val="000000"/>
                <w:kern w:val="0"/>
                <w:sz w:val="18"/>
                <w:szCs w:val="18"/>
              </w:rPr>
            </w:pPr>
            <w:r>
              <w:rPr>
                <w:rFonts w:hint="eastAsia" w:ascii="宋体" w:hAnsi="宋体" w:cs="宋体"/>
                <w:color w:val="000000"/>
                <w:kern w:val="0"/>
                <w:sz w:val="18"/>
                <w:szCs w:val="18"/>
              </w:rPr>
              <w:t>80.00%</w:t>
            </w:r>
          </w:p>
        </w:tc>
        <w:tc>
          <w:tcPr>
            <w:tcW w:w="960" w:type="dxa"/>
            <w:tcBorders>
              <w:top w:val="nil"/>
              <w:left w:val="nil"/>
              <w:bottom w:val="single" w:color="auto" w:sz="4" w:space="0"/>
              <w:right w:val="single" w:color="auto" w:sz="4" w:space="0"/>
            </w:tcBorders>
            <w:shd w:val="clear" w:color="auto" w:fill="auto"/>
            <w:vAlign w:val="center"/>
          </w:tcPr>
          <w:p w14:paraId="40228C02">
            <w:pPr>
              <w:widowControl/>
              <w:jc w:val="center"/>
              <w:rPr>
                <w:rFonts w:ascii="宋体" w:hAnsi="宋体" w:cs="宋体"/>
                <w:color w:val="000000"/>
                <w:kern w:val="0"/>
                <w:sz w:val="18"/>
                <w:szCs w:val="18"/>
              </w:rPr>
            </w:pPr>
            <w:r>
              <w:rPr>
                <w:rFonts w:hint="eastAsia" w:ascii="宋体" w:hAnsi="宋体" w:cs="宋体"/>
                <w:color w:val="000000"/>
                <w:kern w:val="0"/>
                <w:sz w:val="18"/>
                <w:szCs w:val="18"/>
              </w:rPr>
              <w:t>80.00%</w:t>
            </w:r>
          </w:p>
        </w:tc>
        <w:tc>
          <w:tcPr>
            <w:tcW w:w="960" w:type="dxa"/>
            <w:tcBorders>
              <w:top w:val="nil"/>
              <w:left w:val="nil"/>
              <w:bottom w:val="single" w:color="auto" w:sz="4" w:space="0"/>
              <w:right w:val="single" w:color="auto" w:sz="4" w:space="0"/>
            </w:tcBorders>
            <w:shd w:val="clear" w:color="auto" w:fill="auto"/>
            <w:vAlign w:val="center"/>
          </w:tcPr>
          <w:p w14:paraId="21344CAF">
            <w:pPr>
              <w:widowControl/>
              <w:jc w:val="center"/>
              <w:rPr>
                <w:rFonts w:ascii="宋体" w:hAnsi="宋体" w:cs="宋体"/>
                <w:color w:val="000000"/>
                <w:kern w:val="0"/>
                <w:sz w:val="18"/>
                <w:szCs w:val="18"/>
              </w:rPr>
            </w:pPr>
            <w:r>
              <w:rPr>
                <w:rFonts w:hint="eastAsia" w:ascii="宋体" w:hAnsi="宋体" w:cs="宋体"/>
                <w:color w:val="000000"/>
                <w:kern w:val="0"/>
                <w:sz w:val="18"/>
                <w:szCs w:val="18"/>
              </w:rPr>
              <w:t>82.86%</w:t>
            </w:r>
          </w:p>
        </w:tc>
        <w:tc>
          <w:tcPr>
            <w:tcW w:w="1196" w:type="dxa"/>
            <w:tcBorders>
              <w:top w:val="nil"/>
              <w:left w:val="nil"/>
              <w:bottom w:val="single" w:color="auto" w:sz="4" w:space="0"/>
              <w:right w:val="single" w:color="auto" w:sz="4" w:space="0"/>
            </w:tcBorders>
            <w:shd w:val="clear" w:color="auto" w:fill="auto"/>
            <w:noWrap/>
            <w:vAlign w:val="center"/>
          </w:tcPr>
          <w:p w14:paraId="6ACBD66B">
            <w:pPr>
              <w:widowControl/>
              <w:jc w:val="center"/>
              <w:rPr>
                <w:rFonts w:ascii="宋体" w:hAnsi="宋体" w:cs="宋体"/>
                <w:color w:val="000000"/>
                <w:kern w:val="0"/>
                <w:sz w:val="18"/>
                <w:szCs w:val="18"/>
              </w:rPr>
            </w:pPr>
            <w:r>
              <w:rPr>
                <w:rFonts w:hint="eastAsia" w:ascii="宋体" w:hAnsi="宋体" w:cs="宋体"/>
                <w:color w:val="000000"/>
                <w:kern w:val="0"/>
                <w:sz w:val="18"/>
                <w:szCs w:val="18"/>
              </w:rPr>
              <w:t>0.1</w:t>
            </w:r>
          </w:p>
        </w:tc>
        <w:tc>
          <w:tcPr>
            <w:tcW w:w="1432" w:type="dxa"/>
            <w:tcBorders>
              <w:top w:val="nil"/>
              <w:left w:val="nil"/>
              <w:bottom w:val="single" w:color="auto" w:sz="4" w:space="0"/>
              <w:right w:val="single" w:color="auto" w:sz="4" w:space="0"/>
            </w:tcBorders>
            <w:shd w:val="clear" w:color="auto" w:fill="auto"/>
            <w:noWrap/>
            <w:vAlign w:val="center"/>
          </w:tcPr>
          <w:p w14:paraId="25DA4DBD">
            <w:pPr>
              <w:widowControl/>
              <w:jc w:val="center"/>
              <w:rPr>
                <w:rFonts w:ascii="宋体" w:hAnsi="宋体" w:cs="宋体"/>
                <w:color w:val="000000"/>
                <w:kern w:val="0"/>
                <w:sz w:val="18"/>
                <w:szCs w:val="18"/>
              </w:rPr>
            </w:pPr>
            <w:r>
              <w:rPr>
                <w:rFonts w:hint="eastAsia" w:ascii="宋体" w:hAnsi="宋体" w:cs="宋体"/>
                <w:color w:val="000000"/>
                <w:kern w:val="0"/>
                <w:sz w:val="18"/>
                <w:szCs w:val="18"/>
              </w:rPr>
              <w:t>0.1</w:t>
            </w:r>
          </w:p>
        </w:tc>
        <w:tc>
          <w:tcPr>
            <w:tcW w:w="960" w:type="dxa"/>
            <w:tcBorders>
              <w:top w:val="nil"/>
              <w:left w:val="nil"/>
              <w:bottom w:val="single" w:color="auto" w:sz="4" w:space="0"/>
              <w:right w:val="single" w:color="auto" w:sz="4" w:space="0"/>
            </w:tcBorders>
            <w:shd w:val="clear" w:color="auto" w:fill="auto"/>
            <w:noWrap/>
            <w:vAlign w:val="center"/>
          </w:tcPr>
          <w:p w14:paraId="5B870FCE">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r w14:paraId="353C37B1">
        <w:tblPrEx>
          <w:tblCellMar>
            <w:top w:w="0" w:type="dxa"/>
            <w:left w:w="108" w:type="dxa"/>
            <w:bottom w:w="0" w:type="dxa"/>
            <w:right w:w="108" w:type="dxa"/>
          </w:tblCellMar>
        </w:tblPrEx>
        <w:trPr>
          <w:trHeight w:val="284" w:hRule="atLeast"/>
          <w:jc w:val="center"/>
        </w:trPr>
        <w:tc>
          <w:tcPr>
            <w:tcW w:w="2480" w:type="dxa"/>
            <w:tcBorders>
              <w:top w:val="nil"/>
              <w:left w:val="single" w:color="auto" w:sz="4" w:space="0"/>
              <w:bottom w:val="single" w:color="auto" w:sz="4" w:space="0"/>
              <w:right w:val="single" w:color="auto" w:sz="4" w:space="0"/>
            </w:tcBorders>
            <w:shd w:val="clear" w:color="auto" w:fill="auto"/>
            <w:vAlign w:val="center"/>
          </w:tcPr>
          <w:p w14:paraId="26756953">
            <w:pPr>
              <w:widowControl/>
              <w:jc w:val="center"/>
              <w:rPr>
                <w:rFonts w:ascii="宋体" w:hAnsi="宋体" w:cs="宋体"/>
                <w:color w:val="000000"/>
                <w:kern w:val="0"/>
                <w:sz w:val="18"/>
                <w:szCs w:val="18"/>
              </w:rPr>
            </w:pPr>
            <w:r>
              <w:rPr>
                <w:rFonts w:hint="eastAsia" w:ascii="宋体" w:hAnsi="宋体" w:cs="宋体"/>
                <w:color w:val="000000"/>
                <w:kern w:val="0"/>
                <w:sz w:val="18"/>
                <w:szCs w:val="18"/>
              </w:rPr>
              <w:t>坝区新增建设用地占区域新增建设用地比例</w:t>
            </w:r>
          </w:p>
        </w:tc>
        <w:tc>
          <w:tcPr>
            <w:tcW w:w="960" w:type="dxa"/>
            <w:tcBorders>
              <w:top w:val="nil"/>
              <w:left w:val="nil"/>
              <w:bottom w:val="single" w:color="auto" w:sz="4" w:space="0"/>
              <w:right w:val="single" w:color="auto" w:sz="4" w:space="0"/>
            </w:tcBorders>
            <w:shd w:val="clear" w:color="auto" w:fill="auto"/>
            <w:vAlign w:val="center"/>
          </w:tcPr>
          <w:p w14:paraId="3E31A6A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19" w:type="dxa"/>
            <w:tcBorders>
              <w:top w:val="nil"/>
              <w:left w:val="nil"/>
              <w:bottom w:val="single" w:color="auto" w:sz="4" w:space="0"/>
              <w:right w:val="single" w:color="auto" w:sz="4" w:space="0"/>
            </w:tcBorders>
            <w:shd w:val="clear" w:color="auto" w:fill="auto"/>
            <w:vAlign w:val="center"/>
          </w:tcPr>
          <w:p w14:paraId="2B0F0BED">
            <w:pPr>
              <w:widowControl/>
              <w:jc w:val="center"/>
              <w:rPr>
                <w:rFonts w:ascii="宋体" w:hAnsi="宋体" w:cs="宋体"/>
                <w:color w:val="000000"/>
                <w:kern w:val="0"/>
                <w:sz w:val="18"/>
                <w:szCs w:val="18"/>
              </w:rPr>
            </w:pPr>
            <w:r>
              <w:rPr>
                <w:rFonts w:hint="eastAsia" w:ascii="宋体" w:hAnsi="宋体" w:cs="宋体"/>
                <w:color w:val="000000"/>
                <w:kern w:val="0"/>
                <w:sz w:val="18"/>
                <w:szCs w:val="18"/>
              </w:rPr>
              <w:t>15.24%</w:t>
            </w:r>
          </w:p>
        </w:tc>
        <w:tc>
          <w:tcPr>
            <w:tcW w:w="960" w:type="dxa"/>
            <w:tcBorders>
              <w:top w:val="nil"/>
              <w:left w:val="nil"/>
              <w:bottom w:val="single" w:color="auto" w:sz="4" w:space="0"/>
              <w:right w:val="single" w:color="auto" w:sz="4" w:space="0"/>
            </w:tcBorders>
            <w:shd w:val="clear" w:color="auto" w:fill="auto"/>
            <w:vAlign w:val="center"/>
          </w:tcPr>
          <w:p w14:paraId="68A9993C">
            <w:pPr>
              <w:widowControl/>
              <w:jc w:val="center"/>
              <w:rPr>
                <w:rFonts w:ascii="宋体" w:hAnsi="宋体" w:cs="宋体"/>
                <w:color w:val="000000"/>
                <w:kern w:val="0"/>
                <w:sz w:val="18"/>
                <w:szCs w:val="18"/>
              </w:rPr>
            </w:pPr>
            <w:r>
              <w:rPr>
                <w:rFonts w:hint="eastAsia" w:ascii="宋体" w:hAnsi="宋体" w:cs="宋体"/>
                <w:color w:val="000000"/>
                <w:kern w:val="0"/>
                <w:sz w:val="18"/>
                <w:szCs w:val="18"/>
              </w:rPr>
              <w:t>6.93%</w:t>
            </w:r>
          </w:p>
        </w:tc>
        <w:tc>
          <w:tcPr>
            <w:tcW w:w="960" w:type="dxa"/>
            <w:tcBorders>
              <w:top w:val="nil"/>
              <w:left w:val="nil"/>
              <w:bottom w:val="single" w:color="auto" w:sz="4" w:space="0"/>
              <w:right w:val="single" w:color="auto" w:sz="4" w:space="0"/>
            </w:tcBorders>
            <w:shd w:val="clear" w:color="auto" w:fill="auto"/>
            <w:vAlign w:val="center"/>
          </w:tcPr>
          <w:p w14:paraId="2223693E">
            <w:pPr>
              <w:widowControl/>
              <w:jc w:val="center"/>
              <w:rPr>
                <w:rFonts w:ascii="宋体" w:hAnsi="宋体" w:cs="宋体"/>
                <w:color w:val="000000"/>
                <w:kern w:val="0"/>
                <w:sz w:val="18"/>
                <w:szCs w:val="18"/>
              </w:rPr>
            </w:pPr>
            <w:r>
              <w:rPr>
                <w:rFonts w:hint="eastAsia" w:ascii="宋体" w:hAnsi="宋体" w:cs="宋体"/>
                <w:color w:val="000000"/>
                <w:kern w:val="0"/>
                <w:sz w:val="18"/>
                <w:szCs w:val="18"/>
              </w:rPr>
              <w:t>4.11%</w:t>
            </w:r>
          </w:p>
        </w:tc>
        <w:tc>
          <w:tcPr>
            <w:tcW w:w="1196" w:type="dxa"/>
            <w:tcBorders>
              <w:top w:val="nil"/>
              <w:left w:val="nil"/>
              <w:bottom w:val="single" w:color="auto" w:sz="4" w:space="0"/>
              <w:right w:val="single" w:color="auto" w:sz="4" w:space="0"/>
            </w:tcBorders>
            <w:shd w:val="clear" w:color="auto" w:fill="auto"/>
            <w:noWrap/>
            <w:vAlign w:val="center"/>
          </w:tcPr>
          <w:p w14:paraId="1AFC2217">
            <w:pPr>
              <w:widowControl/>
              <w:jc w:val="center"/>
              <w:rPr>
                <w:rFonts w:ascii="宋体" w:hAnsi="宋体" w:cs="宋体"/>
                <w:color w:val="000000"/>
                <w:kern w:val="0"/>
                <w:sz w:val="18"/>
                <w:szCs w:val="18"/>
              </w:rPr>
            </w:pPr>
            <w:r>
              <w:rPr>
                <w:rFonts w:hint="eastAsia" w:ascii="宋体" w:hAnsi="宋体" w:cs="宋体"/>
                <w:color w:val="000000"/>
                <w:kern w:val="0"/>
                <w:sz w:val="18"/>
                <w:szCs w:val="18"/>
              </w:rPr>
              <w:t>-2.81%</w:t>
            </w:r>
          </w:p>
        </w:tc>
        <w:tc>
          <w:tcPr>
            <w:tcW w:w="1432" w:type="dxa"/>
            <w:tcBorders>
              <w:top w:val="nil"/>
              <w:left w:val="nil"/>
              <w:bottom w:val="single" w:color="auto" w:sz="4" w:space="0"/>
              <w:right w:val="single" w:color="auto" w:sz="4" w:space="0"/>
            </w:tcBorders>
            <w:shd w:val="clear" w:color="auto" w:fill="auto"/>
            <w:noWrap/>
            <w:vAlign w:val="center"/>
          </w:tcPr>
          <w:p w14:paraId="65F5005D">
            <w:pPr>
              <w:widowControl/>
              <w:jc w:val="center"/>
              <w:rPr>
                <w:rFonts w:ascii="宋体" w:hAnsi="宋体" w:cs="宋体"/>
                <w:color w:val="000000"/>
                <w:kern w:val="0"/>
                <w:sz w:val="18"/>
                <w:szCs w:val="18"/>
              </w:rPr>
            </w:pPr>
            <w:r>
              <w:rPr>
                <w:rFonts w:hint="eastAsia" w:ascii="宋体" w:hAnsi="宋体" w:cs="宋体"/>
                <w:color w:val="000000"/>
                <w:kern w:val="0"/>
                <w:sz w:val="18"/>
                <w:szCs w:val="18"/>
              </w:rPr>
              <w:t>-11.13%</w:t>
            </w:r>
          </w:p>
        </w:tc>
        <w:tc>
          <w:tcPr>
            <w:tcW w:w="960" w:type="dxa"/>
            <w:tcBorders>
              <w:top w:val="nil"/>
              <w:left w:val="nil"/>
              <w:bottom w:val="single" w:color="auto" w:sz="4" w:space="0"/>
              <w:right w:val="single" w:color="auto" w:sz="4" w:space="0"/>
            </w:tcBorders>
            <w:shd w:val="clear" w:color="auto" w:fill="auto"/>
            <w:noWrap/>
            <w:vAlign w:val="center"/>
          </w:tcPr>
          <w:p w14:paraId="65366426">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r w14:paraId="2B89F0A9">
        <w:tblPrEx>
          <w:tblCellMar>
            <w:top w:w="0" w:type="dxa"/>
            <w:left w:w="108" w:type="dxa"/>
            <w:bottom w:w="0" w:type="dxa"/>
            <w:right w:w="108" w:type="dxa"/>
          </w:tblCellMar>
        </w:tblPrEx>
        <w:trPr>
          <w:trHeight w:val="284" w:hRule="atLeast"/>
          <w:jc w:val="center"/>
        </w:trPr>
        <w:tc>
          <w:tcPr>
            <w:tcW w:w="2480" w:type="dxa"/>
            <w:tcBorders>
              <w:top w:val="nil"/>
              <w:left w:val="single" w:color="auto" w:sz="4" w:space="0"/>
              <w:bottom w:val="single" w:color="auto" w:sz="4" w:space="0"/>
              <w:right w:val="single" w:color="auto" w:sz="4" w:space="0"/>
            </w:tcBorders>
            <w:shd w:val="clear" w:color="auto" w:fill="auto"/>
            <w:vAlign w:val="center"/>
          </w:tcPr>
          <w:p w14:paraId="0380686A">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w:t>
            </w:r>
          </w:p>
        </w:tc>
        <w:tc>
          <w:tcPr>
            <w:tcW w:w="960" w:type="dxa"/>
            <w:tcBorders>
              <w:top w:val="nil"/>
              <w:left w:val="nil"/>
              <w:bottom w:val="single" w:color="auto" w:sz="4" w:space="0"/>
              <w:right w:val="single" w:color="auto" w:sz="4" w:space="0"/>
            </w:tcBorders>
            <w:shd w:val="clear" w:color="auto" w:fill="auto"/>
            <w:vAlign w:val="center"/>
          </w:tcPr>
          <w:p w14:paraId="093EAAAA">
            <w:pPr>
              <w:widowControl/>
              <w:jc w:val="center"/>
              <w:rPr>
                <w:rFonts w:ascii="宋体" w:hAnsi="宋体" w:cs="宋体"/>
                <w:color w:val="000000"/>
                <w:kern w:val="0"/>
                <w:sz w:val="18"/>
                <w:szCs w:val="18"/>
              </w:rPr>
            </w:pPr>
            <w:r>
              <w:rPr>
                <w:rFonts w:hint="eastAsia" w:ascii="宋体" w:hAnsi="宋体" w:cs="宋体"/>
                <w:color w:val="000000"/>
                <w:kern w:val="0"/>
                <w:sz w:val="18"/>
                <w:szCs w:val="18"/>
              </w:rPr>
              <w:t>650.16</w:t>
            </w:r>
          </w:p>
        </w:tc>
        <w:tc>
          <w:tcPr>
            <w:tcW w:w="1119" w:type="dxa"/>
            <w:tcBorders>
              <w:top w:val="nil"/>
              <w:left w:val="nil"/>
              <w:bottom w:val="single" w:color="auto" w:sz="4" w:space="0"/>
              <w:right w:val="single" w:color="auto" w:sz="4" w:space="0"/>
            </w:tcBorders>
            <w:shd w:val="clear" w:color="auto" w:fill="auto"/>
            <w:vAlign w:val="center"/>
          </w:tcPr>
          <w:p w14:paraId="16166540">
            <w:pPr>
              <w:widowControl/>
              <w:jc w:val="center"/>
              <w:rPr>
                <w:rFonts w:ascii="宋体" w:hAnsi="宋体" w:cs="宋体"/>
                <w:color w:val="000000"/>
                <w:kern w:val="0"/>
                <w:sz w:val="18"/>
                <w:szCs w:val="18"/>
              </w:rPr>
            </w:pPr>
            <w:r>
              <w:rPr>
                <w:rFonts w:hint="eastAsia" w:ascii="宋体" w:hAnsi="宋体" w:cs="宋体"/>
                <w:color w:val="000000"/>
                <w:kern w:val="0"/>
                <w:sz w:val="18"/>
                <w:szCs w:val="18"/>
              </w:rPr>
              <w:t>630.45</w:t>
            </w:r>
          </w:p>
        </w:tc>
        <w:tc>
          <w:tcPr>
            <w:tcW w:w="960" w:type="dxa"/>
            <w:tcBorders>
              <w:top w:val="nil"/>
              <w:left w:val="nil"/>
              <w:bottom w:val="single" w:color="auto" w:sz="4" w:space="0"/>
              <w:right w:val="single" w:color="auto" w:sz="4" w:space="0"/>
            </w:tcBorders>
            <w:shd w:val="clear" w:color="auto" w:fill="auto"/>
            <w:vAlign w:val="center"/>
          </w:tcPr>
          <w:p w14:paraId="5A8669C3">
            <w:pPr>
              <w:widowControl/>
              <w:jc w:val="center"/>
              <w:rPr>
                <w:rFonts w:ascii="宋体" w:hAnsi="宋体" w:cs="宋体"/>
                <w:color w:val="000000"/>
                <w:kern w:val="0"/>
                <w:sz w:val="18"/>
                <w:szCs w:val="18"/>
              </w:rPr>
            </w:pPr>
            <w:r>
              <w:rPr>
                <w:rFonts w:hint="eastAsia" w:ascii="宋体" w:hAnsi="宋体" w:cs="宋体"/>
                <w:color w:val="000000"/>
                <w:kern w:val="0"/>
                <w:sz w:val="18"/>
                <w:szCs w:val="18"/>
              </w:rPr>
              <w:t>641.20</w:t>
            </w:r>
          </w:p>
        </w:tc>
        <w:tc>
          <w:tcPr>
            <w:tcW w:w="960" w:type="dxa"/>
            <w:tcBorders>
              <w:top w:val="nil"/>
              <w:left w:val="nil"/>
              <w:bottom w:val="single" w:color="auto" w:sz="4" w:space="0"/>
              <w:right w:val="single" w:color="auto" w:sz="4" w:space="0"/>
            </w:tcBorders>
            <w:shd w:val="clear" w:color="auto" w:fill="auto"/>
            <w:noWrap/>
            <w:vAlign w:val="center"/>
          </w:tcPr>
          <w:p w14:paraId="6EFE6E69">
            <w:pPr>
              <w:widowControl/>
              <w:jc w:val="center"/>
              <w:rPr>
                <w:rFonts w:ascii="宋体" w:hAnsi="宋体" w:cs="宋体"/>
                <w:color w:val="000000"/>
                <w:kern w:val="0"/>
                <w:sz w:val="18"/>
                <w:szCs w:val="18"/>
              </w:rPr>
            </w:pPr>
            <w:r>
              <w:rPr>
                <w:rFonts w:hint="eastAsia" w:ascii="宋体" w:hAnsi="宋体" w:cs="宋体"/>
                <w:color w:val="000000"/>
                <w:kern w:val="0"/>
                <w:sz w:val="18"/>
                <w:szCs w:val="18"/>
              </w:rPr>
              <w:t>662.02</w:t>
            </w:r>
          </w:p>
        </w:tc>
        <w:tc>
          <w:tcPr>
            <w:tcW w:w="1196" w:type="dxa"/>
            <w:tcBorders>
              <w:top w:val="nil"/>
              <w:left w:val="nil"/>
              <w:bottom w:val="single" w:color="auto" w:sz="4" w:space="0"/>
              <w:right w:val="single" w:color="auto" w:sz="4" w:space="0"/>
            </w:tcBorders>
            <w:shd w:val="clear" w:color="auto" w:fill="auto"/>
            <w:noWrap/>
            <w:vAlign w:val="center"/>
          </w:tcPr>
          <w:p w14:paraId="20FF9C98">
            <w:pPr>
              <w:widowControl/>
              <w:jc w:val="center"/>
              <w:rPr>
                <w:rFonts w:ascii="宋体" w:hAnsi="宋体" w:cs="宋体"/>
                <w:color w:val="000000"/>
                <w:kern w:val="0"/>
                <w:sz w:val="18"/>
                <w:szCs w:val="18"/>
              </w:rPr>
            </w:pPr>
            <w:r>
              <w:rPr>
                <w:rFonts w:hint="eastAsia" w:ascii="宋体" w:hAnsi="宋体" w:cs="宋体"/>
                <w:color w:val="000000"/>
                <w:kern w:val="0"/>
                <w:sz w:val="18"/>
                <w:szCs w:val="18"/>
              </w:rPr>
              <w:t>16.81</w:t>
            </w:r>
          </w:p>
        </w:tc>
        <w:tc>
          <w:tcPr>
            <w:tcW w:w="1432" w:type="dxa"/>
            <w:tcBorders>
              <w:top w:val="nil"/>
              <w:left w:val="nil"/>
              <w:bottom w:val="single" w:color="auto" w:sz="4" w:space="0"/>
              <w:right w:val="single" w:color="auto" w:sz="4" w:space="0"/>
            </w:tcBorders>
            <w:shd w:val="clear" w:color="auto" w:fill="auto"/>
            <w:noWrap/>
            <w:vAlign w:val="center"/>
          </w:tcPr>
          <w:p w14:paraId="72AA929E">
            <w:pPr>
              <w:widowControl/>
              <w:jc w:val="center"/>
              <w:rPr>
                <w:rFonts w:ascii="宋体" w:hAnsi="宋体" w:cs="宋体"/>
                <w:color w:val="000000"/>
                <w:kern w:val="0"/>
                <w:sz w:val="18"/>
                <w:szCs w:val="18"/>
              </w:rPr>
            </w:pPr>
            <w:r>
              <w:rPr>
                <w:rFonts w:hint="eastAsia" w:ascii="宋体" w:hAnsi="宋体" w:cs="宋体"/>
                <w:color w:val="000000"/>
                <w:kern w:val="0"/>
                <w:sz w:val="18"/>
                <w:szCs w:val="18"/>
              </w:rPr>
              <w:t>31.57</w:t>
            </w:r>
          </w:p>
        </w:tc>
        <w:tc>
          <w:tcPr>
            <w:tcW w:w="960" w:type="dxa"/>
            <w:tcBorders>
              <w:top w:val="nil"/>
              <w:left w:val="nil"/>
              <w:bottom w:val="single" w:color="auto" w:sz="4" w:space="0"/>
              <w:right w:val="single" w:color="auto" w:sz="4" w:space="0"/>
            </w:tcBorders>
            <w:shd w:val="clear" w:color="auto" w:fill="auto"/>
            <w:noWrap/>
            <w:vAlign w:val="center"/>
          </w:tcPr>
          <w:p w14:paraId="32FE0756">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w:t>
            </w:r>
          </w:p>
        </w:tc>
      </w:tr>
      <w:tr w14:paraId="25F74392">
        <w:tblPrEx>
          <w:tblCellMar>
            <w:top w:w="0" w:type="dxa"/>
            <w:left w:w="108" w:type="dxa"/>
            <w:bottom w:w="0" w:type="dxa"/>
            <w:right w:w="108" w:type="dxa"/>
          </w:tblCellMar>
        </w:tblPrEx>
        <w:trPr>
          <w:trHeight w:val="284" w:hRule="atLeast"/>
          <w:jc w:val="center"/>
        </w:trPr>
        <w:tc>
          <w:tcPr>
            <w:tcW w:w="2480" w:type="dxa"/>
            <w:tcBorders>
              <w:top w:val="nil"/>
              <w:left w:val="single" w:color="auto" w:sz="4" w:space="0"/>
              <w:bottom w:val="single" w:color="auto" w:sz="4" w:space="0"/>
              <w:right w:val="single" w:color="auto" w:sz="4" w:space="0"/>
            </w:tcBorders>
            <w:shd w:val="clear" w:color="auto" w:fill="auto"/>
            <w:vAlign w:val="center"/>
          </w:tcPr>
          <w:p w14:paraId="1BAB1885">
            <w:pPr>
              <w:widowControl/>
              <w:jc w:val="center"/>
              <w:rPr>
                <w:rFonts w:ascii="宋体" w:hAnsi="宋体" w:cs="宋体"/>
                <w:color w:val="000000"/>
                <w:kern w:val="0"/>
                <w:sz w:val="18"/>
                <w:szCs w:val="18"/>
              </w:rPr>
            </w:pPr>
            <w:r>
              <w:rPr>
                <w:rFonts w:hint="eastAsia" w:ascii="宋体" w:hAnsi="宋体" w:cs="宋体"/>
                <w:color w:val="000000"/>
                <w:kern w:val="0"/>
                <w:sz w:val="18"/>
                <w:szCs w:val="18"/>
              </w:rPr>
              <w:t>新增建设用地</w:t>
            </w:r>
          </w:p>
        </w:tc>
        <w:tc>
          <w:tcPr>
            <w:tcW w:w="960" w:type="dxa"/>
            <w:tcBorders>
              <w:top w:val="nil"/>
              <w:left w:val="nil"/>
              <w:bottom w:val="single" w:color="auto" w:sz="4" w:space="0"/>
              <w:right w:val="single" w:color="auto" w:sz="4" w:space="0"/>
            </w:tcBorders>
            <w:shd w:val="clear" w:color="auto" w:fill="auto"/>
            <w:vAlign w:val="center"/>
          </w:tcPr>
          <w:p w14:paraId="3C940CA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19" w:type="dxa"/>
            <w:tcBorders>
              <w:top w:val="nil"/>
              <w:left w:val="nil"/>
              <w:bottom w:val="single" w:color="auto" w:sz="4" w:space="0"/>
              <w:right w:val="single" w:color="auto" w:sz="4" w:space="0"/>
            </w:tcBorders>
            <w:shd w:val="clear" w:color="auto" w:fill="auto"/>
            <w:vAlign w:val="center"/>
          </w:tcPr>
          <w:p w14:paraId="1FF19AAD">
            <w:pPr>
              <w:widowControl/>
              <w:jc w:val="center"/>
              <w:rPr>
                <w:rFonts w:ascii="宋体" w:hAnsi="宋体" w:cs="宋体"/>
                <w:color w:val="000000"/>
                <w:kern w:val="0"/>
                <w:sz w:val="18"/>
                <w:szCs w:val="18"/>
              </w:rPr>
            </w:pPr>
            <w:r>
              <w:rPr>
                <w:rFonts w:hint="eastAsia" w:ascii="宋体" w:hAnsi="宋体" w:cs="宋体"/>
                <w:color w:val="000000"/>
                <w:kern w:val="0"/>
                <w:sz w:val="18"/>
                <w:szCs w:val="18"/>
              </w:rPr>
              <w:t>44.59</w:t>
            </w:r>
          </w:p>
        </w:tc>
        <w:tc>
          <w:tcPr>
            <w:tcW w:w="960" w:type="dxa"/>
            <w:tcBorders>
              <w:top w:val="nil"/>
              <w:left w:val="nil"/>
              <w:bottom w:val="single" w:color="auto" w:sz="4" w:space="0"/>
              <w:right w:val="single" w:color="auto" w:sz="4" w:space="0"/>
            </w:tcBorders>
            <w:shd w:val="clear" w:color="auto" w:fill="auto"/>
            <w:vAlign w:val="center"/>
          </w:tcPr>
          <w:p w14:paraId="67AEC7DE">
            <w:pPr>
              <w:widowControl/>
              <w:jc w:val="center"/>
              <w:rPr>
                <w:rFonts w:ascii="宋体" w:hAnsi="宋体" w:cs="宋体"/>
                <w:color w:val="000000"/>
                <w:kern w:val="0"/>
                <w:sz w:val="18"/>
                <w:szCs w:val="18"/>
              </w:rPr>
            </w:pPr>
            <w:r>
              <w:rPr>
                <w:rFonts w:hint="eastAsia" w:ascii="宋体" w:hAnsi="宋体" w:cs="宋体"/>
                <w:color w:val="000000"/>
                <w:kern w:val="0"/>
                <w:sz w:val="18"/>
                <w:szCs w:val="18"/>
              </w:rPr>
              <w:t>20.27</w:t>
            </w:r>
          </w:p>
        </w:tc>
        <w:tc>
          <w:tcPr>
            <w:tcW w:w="960" w:type="dxa"/>
            <w:tcBorders>
              <w:top w:val="nil"/>
              <w:left w:val="nil"/>
              <w:bottom w:val="single" w:color="auto" w:sz="4" w:space="0"/>
              <w:right w:val="single" w:color="auto" w:sz="4" w:space="0"/>
            </w:tcBorders>
            <w:shd w:val="clear" w:color="auto" w:fill="auto"/>
            <w:vAlign w:val="center"/>
          </w:tcPr>
          <w:p w14:paraId="2EE01005">
            <w:pPr>
              <w:widowControl/>
              <w:jc w:val="center"/>
              <w:rPr>
                <w:rFonts w:ascii="宋体" w:hAnsi="宋体" w:cs="宋体"/>
                <w:color w:val="000000"/>
                <w:kern w:val="0"/>
                <w:sz w:val="18"/>
                <w:szCs w:val="18"/>
              </w:rPr>
            </w:pPr>
            <w:r>
              <w:rPr>
                <w:rFonts w:hint="eastAsia" w:ascii="宋体" w:hAnsi="宋体" w:cs="宋体"/>
                <w:color w:val="000000"/>
                <w:kern w:val="0"/>
                <w:sz w:val="18"/>
                <w:szCs w:val="18"/>
              </w:rPr>
              <w:t>11.86</w:t>
            </w:r>
          </w:p>
        </w:tc>
        <w:tc>
          <w:tcPr>
            <w:tcW w:w="1196" w:type="dxa"/>
            <w:tcBorders>
              <w:top w:val="nil"/>
              <w:left w:val="nil"/>
              <w:bottom w:val="single" w:color="auto" w:sz="4" w:space="0"/>
              <w:right w:val="single" w:color="auto" w:sz="4" w:space="0"/>
            </w:tcBorders>
            <w:shd w:val="clear" w:color="auto" w:fill="auto"/>
            <w:noWrap/>
            <w:vAlign w:val="center"/>
          </w:tcPr>
          <w:p w14:paraId="194C7421">
            <w:pPr>
              <w:widowControl/>
              <w:jc w:val="center"/>
              <w:rPr>
                <w:rFonts w:ascii="宋体" w:hAnsi="宋体" w:cs="宋体"/>
                <w:color w:val="000000"/>
                <w:kern w:val="0"/>
                <w:sz w:val="18"/>
                <w:szCs w:val="18"/>
              </w:rPr>
            </w:pPr>
            <w:r>
              <w:rPr>
                <w:rFonts w:hint="eastAsia" w:ascii="宋体" w:hAnsi="宋体" w:cs="宋体"/>
                <w:color w:val="000000"/>
                <w:kern w:val="0"/>
                <w:sz w:val="18"/>
                <w:szCs w:val="18"/>
              </w:rPr>
              <w:t>-8.41</w:t>
            </w:r>
          </w:p>
        </w:tc>
        <w:tc>
          <w:tcPr>
            <w:tcW w:w="1432" w:type="dxa"/>
            <w:tcBorders>
              <w:top w:val="nil"/>
              <w:left w:val="nil"/>
              <w:bottom w:val="single" w:color="auto" w:sz="4" w:space="0"/>
              <w:right w:val="single" w:color="auto" w:sz="4" w:space="0"/>
            </w:tcBorders>
            <w:shd w:val="clear" w:color="auto" w:fill="auto"/>
            <w:noWrap/>
            <w:vAlign w:val="center"/>
          </w:tcPr>
          <w:p w14:paraId="2387103B">
            <w:pPr>
              <w:widowControl/>
              <w:jc w:val="center"/>
              <w:rPr>
                <w:rFonts w:ascii="宋体" w:hAnsi="宋体" w:cs="宋体"/>
                <w:color w:val="000000"/>
                <w:kern w:val="0"/>
                <w:sz w:val="18"/>
                <w:szCs w:val="18"/>
              </w:rPr>
            </w:pPr>
            <w:r>
              <w:rPr>
                <w:rFonts w:hint="eastAsia" w:ascii="宋体" w:hAnsi="宋体" w:cs="宋体"/>
                <w:color w:val="000000"/>
                <w:kern w:val="0"/>
                <w:sz w:val="18"/>
                <w:szCs w:val="18"/>
              </w:rPr>
              <w:t>-32.73</w:t>
            </w:r>
          </w:p>
        </w:tc>
        <w:tc>
          <w:tcPr>
            <w:tcW w:w="960" w:type="dxa"/>
            <w:tcBorders>
              <w:top w:val="nil"/>
              <w:left w:val="nil"/>
              <w:bottom w:val="single" w:color="auto" w:sz="4" w:space="0"/>
              <w:right w:val="single" w:color="auto" w:sz="4" w:space="0"/>
            </w:tcBorders>
            <w:shd w:val="clear" w:color="auto" w:fill="auto"/>
            <w:noWrap/>
            <w:vAlign w:val="center"/>
          </w:tcPr>
          <w:p w14:paraId="612FFAE4">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w:t>
            </w:r>
          </w:p>
        </w:tc>
      </w:tr>
    </w:tbl>
    <w:p w14:paraId="6A8D27F6">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五、土地利用空间布局实施情况</w:t>
      </w:r>
    </w:p>
    <w:p w14:paraId="18CFDE0A">
      <w:pPr>
        <w:spacing w:line="360" w:lineRule="auto"/>
        <w:ind w:firstLine="562" w:firstLineChars="200"/>
        <w:rPr>
          <w:rFonts w:eastAsia="仿宋_GB2312"/>
          <w:b/>
          <w:color w:val="000000"/>
          <w:sz w:val="28"/>
        </w:rPr>
      </w:pPr>
      <w:r>
        <w:rPr>
          <w:rFonts w:hint="eastAsia" w:eastAsia="仿宋_GB2312"/>
          <w:b/>
          <w:color w:val="000000"/>
          <w:sz w:val="28"/>
        </w:rPr>
        <w:t>1、城乡建设用地管制区实施情况</w:t>
      </w:r>
    </w:p>
    <w:p w14:paraId="4C04069B">
      <w:pPr>
        <w:ind w:firstLine="560"/>
        <w:rPr>
          <w:rFonts w:ascii="仿宋_GB2312" w:hAnsi="宋体" w:eastAsia="仿宋_GB2312"/>
          <w:sz w:val="28"/>
          <w:szCs w:val="28"/>
        </w:rPr>
      </w:pPr>
      <w:r>
        <w:rPr>
          <w:rFonts w:hint="eastAsia" w:ascii="仿宋_GB2312" w:eastAsia="仿宋_GB2312"/>
          <w:sz w:val="28"/>
          <w:szCs w:val="28"/>
        </w:rPr>
        <w:t>规划实施期间，东川区共计新增建设用地288.34公顷，其中新增城乡建设用地281.18公顷。新增城乡建设用地中，位于允许建设区142.95公顷，位于有条件建设区17.28公顷，位于限制建设区128.11公顷。</w:t>
      </w:r>
      <w:r>
        <w:rPr>
          <w:rFonts w:ascii="仿宋_GB2312" w:eastAsia="仿宋_GB2312"/>
          <w:sz w:val="28"/>
          <w:szCs w:val="28"/>
        </w:rPr>
        <w:t>其中</w:t>
      </w:r>
      <w:r>
        <w:rPr>
          <w:rFonts w:hint="eastAsia" w:ascii="仿宋_GB2312" w:eastAsia="仿宋_GB2312"/>
          <w:sz w:val="28"/>
          <w:szCs w:val="28"/>
        </w:rPr>
        <w:t>限制建设区内</w:t>
      </w:r>
      <w:r>
        <w:rPr>
          <w:rFonts w:ascii="仿宋_GB2312" w:eastAsia="仿宋_GB2312"/>
          <w:sz w:val="28"/>
          <w:szCs w:val="28"/>
        </w:rPr>
        <w:t>城市</w:t>
      </w:r>
      <w:r>
        <w:rPr>
          <w:rFonts w:hint="eastAsia" w:ascii="仿宋_GB2312" w:eastAsia="仿宋_GB2312"/>
          <w:sz w:val="28"/>
          <w:szCs w:val="28"/>
        </w:rPr>
        <w:t>面积4.03</w:t>
      </w:r>
      <w:r>
        <w:rPr>
          <w:rFonts w:hint="eastAsia" w:ascii="仿宋_GB2312" w:hAnsi="宋体" w:eastAsia="仿宋_GB2312"/>
          <w:sz w:val="28"/>
          <w:szCs w:val="28"/>
        </w:rPr>
        <w:t>公顷</w:t>
      </w:r>
      <w:r>
        <w:rPr>
          <w:rFonts w:ascii="仿宋_GB2312" w:hAnsi="宋体" w:eastAsia="仿宋_GB2312"/>
          <w:sz w:val="28"/>
          <w:szCs w:val="28"/>
        </w:rPr>
        <w:t>，建</w:t>
      </w:r>
      <w:r>
        <w:rPr>
          <w:rFonts w:hint="eastAsia" w:ascii="仿宋_GB2312" w:hAnsi="宋体" w:eastAsia="仿宋_GB2312"/>
          <w:sz w:val="28"/>
          <w:szCs w:val="28"/>
        </w:rPr>
        <w:t>制</w:t>
      </w:r>
      <w:r>
        <w:rPr>
          <w:rFonts w:ascii="仿宋_GB2312" w:hAnsi="宋体" w:eastAsia="仿宋_GB2312"/>
          <w:sz w:val="28"/>
          <w:szCs w:val="28"/>
        </w:rPr>
        <w:t>镇</w:t>
      </w:r>
      <w:r>
        <w:rPr>
          <w:rFonts w:hint="eastAsia" w:ascii="仿宋_GB2312" w:hAnsi="宋体" w:eastAsia="仿宋_GB2312"/>
          <w:sz w:val="28"/>
          <w:szCs w:val="28"/>
        </w:rPr>
        <w:t>51.74公顷</w:t>
      </w:r>
      <w:r>
        <w:rPr>
          <w:rFonts w:ascii="仿宋_GB2312" w:hAnsi="宋体" w:eastAsia="仿宋_GB2312"/>
          <w:sz w:val="28"/>
          <w:szCs w:val="28"/>
        </w:rPr>
        <w:t>，</w:t>
      </w:r>
      <w:r>
        <w:rPr>
          <w:rFonts w:hint="eastAsia" w:ascii="仿宋_GB2312" w:hAnsi="宋体" w:eastAsia="仿宋_GB2312"/>
          <w:sz w:val="28"/>
          <w:szCs w:val="28"/>
        </w:rPr>
        <w:t>农村居民点59.53公顷</w:t>
      </w:r>
      <w:r>
        <w:rPr>
          <w:rFonts w:ascii="仿宋_GB2312" w:hAnsi="宋体" w:eastAsia="仿宋_GB2312"/>
          <w:sz w:val="28"/>
          <w:szCs w:val="28"/>
        </w:rPr>
        <w:t>，采矿用地</w:t>
      </w:r>
      <w:r>
        <w:rPr>
          <w:rFonts w:hint="eastAsia" w:ascii="仿宋_GB2312" w:hAnsi="宋体" w:eastAsia="仿宋_GB2312"/>
          <w:sz w:val="28"/>
          <w:szCs w:val="28"/>
        </w:rPr>
        <w:t>12.81公顷</w:t>
      </w:r>
      <w:r>
        <w:rPr>
          <w:rFonts w:ascii="仿宋_GB2312" w:hAnsi="宋体" w:eastAsia="仿宋_GB2312"/>
          <w:sz w:val="28"/>
          <w:szCs w:val="28"/>
        </w:rPr>
        <w:t>，</w:t>
      </w:r>
      <w:r>
        <w:rPr>
          <w:rFonts w:hint="eastAsia" w:ascii="仿宋_GB2312" w:hAnsi="宋体" w:eastAsia="仿宋_GB2312"/>
          <w:sz w:val="28"/>
          <w:szCs w:val="28"/>
        </w:rPr>
        <w:t>城市</w:t>
      </w:r>
      <w:r>
        <w:rPr>
          <w:rFonts w:ascii="仿宋_GB2312" w:hAnsi="宋体" w:eastAsia="仿宋_GB2312"/>
          <w:sz w:val="28"/>
          <w:szCs w:val="28"/>
        </w:rPr>
        <w:t>和建制镇位于限制建设区主要是</w:t>
      </w:r>
      <w:r>
        <w:rPr>
          <w:rFonts w:hint="eastAsia" w:ascii="仿宋_GB2312" w:hAnsi="宋体" w:eastAsia="仿宋_GB2312"/>
          <w:sz w:val="28"/>
          <w:szCs w:val="28"/>
        </w:rPr>
        <w:t>农村村民自建住宅以及随意堆放沙石建筑材料等造成。村庄位于</w:t>
      </w:r>
      <w:r>
        <w:rPr>
          <w:rFonts w:ascii="仿宋_GB2312" w:hAnsi="宋体" w:eastAsia="仿宋_GB2312"/>
          <w:sz w:val="28"/>
          <w:szCs w:val="28"/>
        </w:rPr>
        <w:t>限制建设</w:t>
      </w:r>
      <w:r>
        <w:rPr>
          <w:rFonts w:hint="eastAsia" w:ascii="仿宋_GB2312" w:hAnsi="宋体" w:eastAsia="仿宋_GB2312"/>
          <w:sz w:val="28"/>
          <w:szCs w:val="28"/>
        </w:rPr>
        <w:t>区</w:t>
      </w:r>
      <w:r>
        <w:rPr>
          <w:rFonts w:ascii="仿宋_GB2312" w:hAnsi="宋体" w:eastAsia="仿宋_GB2312"/>
          <w:sz w:val="28"/>
          <w:szCs w:val="28"/>
        </w:rPr>
        <w:t>面积最大，是由于</w:t>
      </w:r>
      <w:r>
        <w:rPr>
          <w:rFonts w:hint="eastAsia" w:ascii="仿宋_GB2312" w:hAnsi="宋体" w:eastAsia="仿宋_GB2312"/>
          <w:sz w:val="28"/>
          <w:szCs w:val="28"/>
        </w:rPr>
        <w:t>农村</w:t>
      </w:r>
      <w:r>
        <w:rPr>
          <w:rFonts w:ascii="仿宋_GB2312" w:hAnsi="宋体" w:eastAsia="仿宋_GB2312"/>
          <w:sz w:val="28"/>
          <w:szCs w:val="28"/>
        </w:rPr>
        <w:t>自建房受地形、耕作半径、</w:t>
      </w:r>
      <w:r>
        <w:rPr>
          <w:rFonts w:hint="eastAsia" w:ascii="仿宋_GB2312" w:hAnsi="宋体" w:eastAsia="仿宋_GB2312"/>
          <w:sz w:val="28"/>
          <w:szCs w:val="28"/>
        </w:rPr>
        <w:t>民族</w:t>
      </w:r>
      <w:r>
        <w:rPr>
          <w:rFonts w:ascii="仿宋_GB2312" w:hAnsi="宋体" w:eastAsia="仿宋_GB2312"/>
          <w:sz w:val="28"/>
          <w:szCs w:val="28"/>
        </w:rPr>
        <w:t>风俗</w:t>
      </w:r>
      <w:r>
        <w:rPr>
          <w:rFonts w:hint="eastAsia" w:ascii="仿宋_GB2312" w:hAnsi="宋体" w:eastAsia="仿宋_GB2312"/>
          <w:sz w:val="28"/>
          <w:szCs w:val="28"/>
        </w:rPr>
        <w:t>等</w:t>
      </w:r>
      <w:r>
        <w:rPr>
          <w:rFonts w:ascii="仿宋_GB2312" w:hAnsi="宋体" w:eastAsia="仿宋_GB2312"/>
          <w:sz w:val="28"/>
          <w:szCs w:val="28"/>
        </w:rPr>
        <w:t>原因的影响，建设地点零散分布，缺少统一规划，</w:t>
      </w:r>
      <w:r>
        <w:rPr>
          <w:rFonts w:hint="eastAsia" w:ascii="仿宋_GB2312" w:hAnsi="宋体" w:eastAsia="仿宋_GB2312"/>
          <w:sz w:val="28"/>
          <w:szCs w:val="28"/>
        </w:rPr>
        <w:t>部分农户对土</w:t>
      </w:r>
      <w:r>
        <w:rPr>
          <w:rFonts w:ascii="仿宋_GB2312" w:hAnsi="宋体" w:eastAsia="仿宋_GB2312"/>
          <w:sz w:val="28"/>
          <w:szCs w:val="28"/>
        </w:rPr>
        <w:t>地规划认识不足</w:t>
      </w:r>
      <w:r>
        <w:rPr>
          <w:rFonts w:hint="eastAsia" w:ascii="仿宋_GB2312" w:hAnsi="宋体" w:eastAsia="仿宋_GB2312"/>
          <w:sz w:val="28"/>
          <w:szCs w:val="28"/>
        </w:rPr>
        <w:t>，</w:t>
      </w:r>
      <w:r>
        <w:rPr>
          <w:rFonts w:ascii="仿宋_GB2312" w:hAnsi="宋体" w:eastAsia="仿宋_GB2312"/>
          <w:sz w:val="28"/>
          <w:szCs w:val="28"/>
        </w:rPr>
        <w:t>建设随意性较大，同时农村地域较</w:t>
      </w:r>
      <w:r>
        <w:rPr>
          <w:rFonts w:hint="eastAsia" w:ascii="仿宋_GB2312" w:hAnsi="宋体" w:eastAsia="仿宋_GB2312"/>
          <w:sz w:val="28"/>
          <w:szCs w:val="28"/>
        </w:rPr>
        <w:t>广</w:t>
      </w:r>
      <w:r>
        <w:rPr>
          <w:rFonts w:ascii="仿宋_GB2312" w:hAnsi="宋体" w:eastAsia="仿宋_GB2312"/>
          <w:sz w:val="28"/>
          <w:szCs w:val="28"/>
        </w:rPr>
        <w:t>，形成了土地管</w:t>
      </w:r>
      <w:r>
        <w:rPr>
          <w:rFonts w:hint="eastAsia" w:ascii="仿宋_GB2312" w:hAnsi="宋体" w:eastAsia="仿宋_GB2312"/>
          <w:sz w:val="28"/>
          <w:szCs w:val="28"/>
        </w:rPr>
        <w:t>理</w:t>
      </w:r>
      <w:r>
        <w:rPr>
          <w:rFonts w:ascii="仿宋_GB2312" w:hAnsi="宋体" w:eastAsia="仿宋_GB2312"/>
          <w:sz w:val="28"/>
          <w:szCs w:val="28"/>
        </w:rPr>
        <w:t>的薄弱区域</w:t>
      </w:r>
      <w:r>
        <w:rPr>
          <w:rFonts w:hint="eastAsia" w:ascii="仿宋_GB2312" w:hAnsi="宋体" w:eastAsia="仿宋_GB2312"/>
          <w:sz w:val="28"/>
          <w:szCs w:val="28"/>
        </w:rPr>
        <w:t>。</w:t>
      </w:r>
    </w:p>
    <w:p w14:paraId="4498AC94">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采矿用</w:t>
      </w:r>
      <w:r>
        <w:rPr>
          <w:rFonts w:ascii="仿宋_GB2312" w:hAnsi="宋体" w:eastAsia="仿宋_GB2312"/>
          <w:sz w:val="28"/>
          <w:szCs w:val="28"/>
        </w:rPr>
        <w:t>地</w:t>
      </w:r>
      <w:r>
        <w:rPr>
          <w:rFonts w:hint="eastAsia" w:ascii="仿宋_GB2312" w:hAnsi="宋体" w:eastAsia="仿宋_GB2312"/>
          <w:sz w:val="28"/>
          <w:szCs w:val="28"/>
        </w:rPr>
        <w:t>位于</w:t>
      </w:r>
      <w:r>
        <w:rPr>
          <w:rFonts w:ascii="仿宋_GB2312" w:hAnsi="宋体" w:eastAsia="仿宋_GB2312"/>
          <w:sz w:val="28"/>
          <w:szCs w:val="28"/>
        </w:rPr>
        <w:t>限制建设区面积有</w:t>
      </w:r>
      <w:r>
        <w:rPr>
          <w:rFonts w:hint="eastAsia" w:ascii="仿宋_GB2312" w:hAnsi="宋体" w:eastAsia="仿宋_GB2312"/>
          <w:sz w:val="28"/>
          <w:szCs w:val="28"/>
        </w:rPr>
        <w:t>12.81公顷</w:t>
      </w:r>
      <w:r>
        <w:rPr>
          <w:rFonts w:ascii="仿宋_GB2312" w:hAnsi="宋体" w:eastAsia="仿宋_GB2312"/>
          <w:sz w:val="28"/>
          <w:szCs w:val="28"/>
        </w:rPr>
        <w:t>，</w:t>
      </w:r>
      <w:r>
        <w:rPr>
          <w:rFonts w:hint="eastAsia" w:ascii="仿宋_GB2312" w:hAnsi="宋体" w:eastAsia="仿宋_GB2312"/>
          <w:sz w:val="28"/>
          <w:szCs w:val="28"/>
        </w:rPr>
        <w:t>主</w:t>
      </w:r>
      <w:r>
        <w:rPr>
          <w:rFonts w:ascii="仿宋_GB2312" w:hAnsi="宋体" w:eastAsia="仿宋_GB2312"/>
          <w:sz w:val="28"/>
          <w:szCs w:val="28"/>
        </w:rPr>
        <w:t>要位于</w:t>
      </w:r>
      <w:r>
        <w:rPr>
          <w:rFonts w:hint="eastAsia" w:ascii="仿宋_GB2312" w:hAnsi="宋体" w:eastAsia="仿宋_GB2312"/>
          <w:sz w:val="28"/>
          <w:szCs w:val="28"/>
        </w:rPr>
        <w:t>铜都</w:t>
      </w:r>
      <w:r>
        <w:rPr>
          <w:rFonts w:ascii="仿宋_GB2312" w:hAnsi="宋体" w:eastAsia="仿宋_GB2312"/>
          <w:sz w:val="28"/>
          <w:szCs w:val="28"/>
        </w:rPr>
        <w:t>街道</w:t>
      </w:r>
      <w:r>
        <w:rPr>
          <w:rFonts w:hint="eastAsia" w:ascii="仿宋_GB2312" w:hAnsi="宋体" w:eastAsia="仿宋_GB2312"/>
          <w:sz w:val="28"/>
          <w:szCs w:val="28"/>
        </w:rPr>
        <w:t>办事处</w:t>
      </w:r>
      <w:r>
        <w:rPr>
          <w:rFonts w:ascii="仿宋_GB2312" w:hAnsi="宋体" w:eastAsia="仿宋_GB2312"/>
          <w:sz w:val="28"/>
          <w:szCs w:val="28"/>
        </w:rPr>
        <w:t>，主要</w:t>
      </w:r>
      <w:r>
        <w:rPr>
          <w:rFonts w:hint="eastAsia" w:ascii="仿宋_GB2312" w:hAnsi="宋体" w:eastAsia="仿宋_GB2312"/>
          <w:sz w:val="28"/>
          <w:szCs w:val="28"/>
        </w:rPr>
        <w:t>是</w:t>
      </w:r>
      <w:r>
        <w:rPr>
          <w:rFonts w:ascii="仿宋_GB2312" w:hAnsi="宋体" w:eastAsia="仿宋_GB2312"/>
          <w:sz w:val="28"/>
          <w:szCs w:val="28"/>
        </w:rPr>
        <w:t>小</w:t>
      </w:r>
      <w:r>
        <w:rPr>
          <w:rFonts w:hint="eastAsia" w:ascii="仿宋_GB2312" w:hAnsi="宋体" w:eastAsia="仿宋_GB2312"/>
          <w:sz w:val="28"/>
          <w:szCs w:val="28"/>
        </w:rPr>
        <w:t>的</w:t>
      </w:r>
      <w:r>
        <w:rPr>
          <w:rFonts w:ascii="仿宋_GB2312" w:hAnsi="宋体" w:eastAsia="仿宋_GB2312"/>
          <w:sz w:val="28"/>
          <w:szCs w:val="28"/>
        </w:rPr>
        <w:t>采</w:t>
      </w:r>
      <w:r>
        <w:rPr>
          <w:rFonts w:hint="eastAsia" w:ascii="仿宋_GB2312" w:hAnsi="宋体" w:eastAsia="仿宋_GB2312"/>
          <w:sz w:val="28"/>
          <w:szCs w:val="28"/>
        </w:rPr>
        <w:t>石</w:t>
      </w:r>
      <w:r>
        <w:rPr>
          <w:rFonts w:ascii="仿宋_GB2312" w:hAnsi="宋体" w:eastAsia="仿宋_GB2312"/>
          <w:sz w:val="28"/>
          <w:szCs w:val="28"/>
        </w:rPr>
        <w:t>场等，由于</w:t>
      </w:r>
      <w:r>
        <w:rPr>
          <w:rFonts w:hint="eastAsia" w:ascii="仿宋_GB2312" w:hAnsi="宋体" w:eastAsia="仿宋_GB2312"/>
          <w:sz w:val="28"/>
          <w:szCs w:val="28"/>
        </w:rPr>
        <w:t>采矿</w:t>
      </w:r>
      <w:r>
        <w:rPr>
          <w:rFonts w:ascii="仿宋_GB2312" w:hAnsi="宋体" w:eastAsia="仿宋_GB2312"/>
          <w:sz w:val="28"/>
          <w:szCs w:val="28"/>
        </w:rPr>
        <w:t>用地的选址</w:t>
      </w:r>
      <w:r>
        <w:rPr>
          <w:rFonts w:hint="eastAsia" w:ascii="仿宋_GB2312" w:hAnsi="宋体" w:eastAsia="仿宋_GB2312"/>
          <w:sz w:val="28"/>
          <w:szCs w:val="28"/>
        </w:rPr>
        <w:t>是以</w:t>
      </w:r>
      <w:r>
        <w:rPr>
          <w:rFonts w:ascii="仿宋_GB2312" w:hAnsi="宋体" w:eastAsia="仿宋_GB2312"/>
          <w:sz w:val="28"/>
          <w:szCs w:val="28"/>
        </w:rPr>
        <w:t>矿产资源</w:t>
      </w:r>
      <w:r>
        <w:rPr>
          <w:rFonts w:hint="eastAsia" w:ascii="仿宋_GB2312" w:hAnsi="宋体" w:eastAsia="仿宋_GB2312"/>
          <w:sz w:val="28"/>
          <w:szCs w:val="28"/>
        </w:rPr>
        <w:t>赋存位置</w:t>
      </w:r>
      <w:r>
        <w:rPr>
          <w:rFonts w:ascii="仿宋_GB2312" w:hAnsi="宋体" w:eastAsia="仿宋_GB2312"/>
          <w:sz w:val="28"/>
          <w:szCs w:val="28"/>
        </w:rPr>
        <w:t>为前提的，对于未探明的采矿场，难以确定具体位置，因此会造成部分采矿用地位于限制建设区。</w:t>
      </w:r>
    </w:p>
    <w:p w14:paraId="7FDAD64D">
      <w:pPr>
        <w:spacing w:line="360" w:lineRule="auto"/>
        <w:ind w:firstLine="562" w:firstLineChars="200"/>
        <w:rPr>
          <w:rFonts w:eastAsia="仿宋_GB2312"/>
          <w:b/>
          <w:color w:val="000000"/>
          <w:sz w:val="28"/>
        </w:rPr>
      </w:pPr>
      <w:r>
        <w:rPr>
          <w:rFonts w:hint="eastAsia" w:eastAsia="仿宋_GB2312"/>
          <w:b/>
          <w:color w:val="000000"/>
          <w:sz w:val="28"/>
        </w:rPr>
        <w:t>2、新增建设用途管制情况</w:t>
      </w:r>
    </w:p>
    <w:p w14:paraId="0BB545E5">
      <w:pPr>
        <w:spacing w:line="360" w:lineRule="auto"/>
        <w:ind w:firstLine="560" w:firstLineChars="200"/>
        <w:rPr>
          <w:rFonts w:eastAsia="仿宋_GB2312"/>
          <w:color w:val="000000"/>
          <w:sz w:val="28"/>
        </w:rPr>
      </w:pPr>
      <w:r>
        <w:rPr>
          <w:rFonts w:hint="eastAsia" w:ascii="仿宋_GB2312" w:hAnsi="宋体" w:eastAsia="仿宋_GB2312"/>
          <w:sz w:val="28"/>
          <w:szCs w:val="28"/>
        </w:rPr>
        <w:t>规划实施期间，东川区新增建设用地288.34公顷，其中位于基本农田保护区19.47公顷，一般农地区37.24公顷，位于城镇建设用地区105.30公顷，位于村镇建设用地区31.74公顷，位于独立工矿区0.81公顷，位于风景旅游用地区57.93公顷，位于林业用地区8.18公顷，位于低丘缓坡综合开发利用区6.62公顷，位于其他用地区21.05公顷。</w:t>
      </w:r>
      <w:r>
        <w:rPr>
          <w:rFonts w:ascii="仿宋_GB2312" w:hAnsi="宋体" w:eastAsia="仿宋_GB2312"/>
          <w:sz w:val="28"/>
          <w:szCs w:val="28"/>
        </w:rPr>
        <w:t>规划实施期间，东川区土地用途区执行情况一般，新增建设用</w:t>
      </w:r>
      <w:r>
        <w:rPr>
          <w:rFonts w:hint="eastAsia" w:ascii="仿宋_GB2312" w:hAnsi="宋体" w:eastAsia="仿宋_GB2312"/>
          <w:sz w:val="28"/>
          <w:szCs w:val="28"/>
        </w:rPr>
        <w:t>地</w:t>
      </w:r>
      <w:r>
        <w:rPr>
          <w:rFonts w:ascii="仿宋_GB2312" w:hAnsi="宋体" w:eastAsia="仿宋_GB2312"/>
          <w:sz w:val="28"/>
          <w:szCs w:val="28"/>
        </w:rPr>
        <w:t>占用基本农田保护区的地类主要为农村居民点用地和</w:t>
      </w:r>
      <w:r>
        <w:rPr>
          <w:rFonts w:hint="eastAsia" w:ascii="仿宋_GB2312" w:hAnsi="宋体" w:eastAsia="仿宋_GB2312"/>
          <w:sz w:val="28"/>
          <w:szCs w:val="28"/>
        </w:rPr>
        <w:t>少量</w:t>
      </w:r>
      <w:r>
        <w:rPr>
          <w:rFonts w:ascii="仿宋_GB2312" w:hAnsi="宋体" w:eastAsia="仿宋_GB2312"/>
          <w:sz w:val="28"/>
          <w:szCs w:val="28"/>
        </w:rPr>
        <w:t>建制镇。主要是由于</w:t>
      </w:r>
      <w:r>
        <w:rPr>
          <w:rFonts w:hint="eastAsia" w:ascii="仿宋_GB2312" w:hAnsi="宋体" w:eastAsia="仿宋_GB2312"/>
          <w:sz w:val="28"/>
          <w:szCs w:val="28"/>
        </w:rPr>
        <w:t>现行规划中针对村镇建设发展未预留合理的用地空间，未安排相应的建设用地指标。</w:t>
      </w:r>
    </w:p>
    <w:p w14:paraId="798ADED4">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六、土地利用重大工程与重点项目实施情况</w:t>
      </w:r>
    </w:p>
    <w:p w14:paraId="1F0A011E">
      <w:pPr>
        <w:spacing w:line="360" w:lineRule="auto"/>
        <w:ind w:firstLine="562" w:firstLineChars="200"/>
        <w:rPr>
          <w:rFonts w:eastAsia="仿宋_GB2312"/>
          <w:b/>
          <w:color w:val="000000"/>
          <w:sz w:val="28"/>
        </w:rPr>
      </w:pPr>
      <w:r>
        <w:rPr>
          <w:rFonts w:hint="eastAsia" w:eastAsia="仿宋_GB2312"/>
          <w:b/>
          <w:color w:val="000000"/>
          <w:sz w:val="28"/>
        </w:rPr>
        <w:t>1、土地整治补充耕地执行情况</w:t>
      </w:r>
    </w:p>
    <w:p w14:paraId="777C0261">
      <w:pPr>
        <w:ind w:firstLine="560"/>
        <w:rPr>
          <w:rFonts w:ascii="仿宋_GB2312" w:hAnsi="宋体" w:eastAsia="仿宋_GB2312"/>
          <w:sz w:val="28"/>
          <w:szCs w:val="28"/>
        </w:rPr>
      </w:pPr>
      <w:r>
        <w:rPr>
          <w:rFonts w:hint="eastAsia" w:ascii="仿宋_GB2312" w:hAnsi="宋体" w:eastAsia="仿宋_GB2312"/>
          <w:sz w:val="28"/>
          <w:szCs w:val="28"/>
        </w:rPr>
        <w:t>根据《东川区土地利用总体规划（2010-2020年）》，规划期内，东川区土地整治项目主要围绕中低产田改造、开发整理等方面来开展土地整治项目，共计5个，建设总规模1611.02公顷，新增耕地218.98公顷，总投资4706.15万元。已通过验收的只有一个：《东川区铜都街道办事处土地整理项目》，批复文号（云国土资耕[2011]29号），建设总规模为527.38公顷，总投资1239.05万元。通过土地开发整理新增耕地40.60公顷。东川区整改中未取得批复土地整治项目4个，建设总规模为1083.64公顷，项目总投资3467.10万元，土地整治补充耕地规模为178.38公顷。</w:t>
      </w:r>
    </w:p>
    <w:p w14:paraId="1ECC23F9">
      <w:pPr>
        <w:ind w:firstLine="560"/>
        <w:rPr>
          <w:rFonts w:ascii="仿宋_GB2312" w:hAnsi="宋体" w:eastAsia="仿宋_GB2312"/>
          <w:sz w:val="28"/>
          <w:szCs w:val="28"/>
        </w:rPr>
      </w:pPr>
    </w:p>
    <w:p w14:paraId="5DA4F043">
      <w:pPr>
        <w:ind w:firstLine="560"/>
        <w:rPr>
          <w:rFonts w:ascii="仿宋_GB2312" w:hAnsi="宋体" w:eastAsia="仿宋_GB2312"/>
          <w:sz w:val="28"/>
          <w:szCs w:val="28"/>
        </w:rPr>
      </w:pPr>
    </w:p>
    <w:p w14:paraId="449CE8CA">
      <w:pPr>
        <w:ind w:firstLine="560"/>
        <w:rPr>
          <w:rFonts w:ascii="仿宋_GB2312" w:hAnsi="宋体" w:eastAsia="仿宋_GB2312"/>
          <w:sz w:val="28"/>
          <w:szCs w:val="28"/>
        </w:rPr>
      </w:pPr>
    </w:p>
    <w:p w14:paraId="34AED9C3">
      <w:pPr>
        <w:ind w:firstLine="560"/>
        <w:rPr>
          <w:rFonts w:ascii="仿宋_GB2312" w:hAnsi="宋体" w:eastAsia="仿宋_GB2312"/>
          <w:sz w:val="28"/>
          <w:szCs w:val="28"/>
        </w:rPr>
      </w:pPr>
    </w:p>
    <w:p w14:paraId="51012450">
      <w:pPr>
        <w:ind w:firstLine="560"/>
        <w:rPr>
          <w:rFonts w:ascii="仿宋_GB2312" w:hAnsi="宋体" w:eastAsia="仿宋_GB2312"/>
          <w:sz w:val="28"/>
          <w:szCs w:val="28"/>
        </w:rPr>
      </w:pPr>
    </w:p>
    <w:p w14:paraId="3EAEC12C">
      <w:pPr>
        <w:jc w:val="center"/>
        <w:outlineLvl w:val="4"/>
        <w:rPr>
          <w:rFonts w:ascii="宋体" w:hAnsi="宋体"/>
          <w:b/>
          <w:sz w:val="24"/>
        </w:rPr>
      </w:pPr>
      <w:r>
        <w:rPr>
          <w:rFonts w:hint="eastAsia" w:ascii="宋体" w:hAnsi="宋体"/>
          <w:b/>
          <w:sz w:val="24"/>
        </w:rPr>
        <w:t>表3-14  东川区土地整治项目验收情况统计表</w:t>
      </w:r>
    </w:p>
    <w:p w14:paraId="1663FB32">
      <w:pPr>
        <w:ind w:firstLine="420"/>
        <w:jc w:val="right"/>
        <w:rPr>
          <w:rFonts w:ascii="宋体" w:hAnsi="宋体"/>
          <w:color w:val="000000"/>
          <w:kern w:val="0"/>
          <w:sz w:val="18"/>
          <w:szCs w:val="18"/>
        </w:rPr>
      </w:pPr>
      <w:r>
        <w:rPr>
          <w:rFonts w:hint="eastAsia" w:ascii="宋体" w:hAnsi="宋体"/>
          <w:color w:val="000000"/>
          <w:kern w:val="0"/>
          <w:sz w:val="18"/>
          <w:szCs w:val="18"/>
        </w:rPr>
        <w:t>单位：公顷、万元</w:t>
      </w:r>
    </w:p>
    <w:tbl>
      <w:tblPr>
        <w:tblStyle w:val="27"/>
        <w:tblW w:w="10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960"/>
        <w:gridCol w:w="1656"/>
        <w:gridCol w:w="1500"/>
        <w:gridCol w:w="1119"/>
        <w:gridCol w:w="1481"/>
        <w:gridCol w:w="1300"/>
        <w:gridCol w:w="1300"/>
      </w:tblGrid>
      <w:tr w14:paraId="7968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60" w:type="dxa"/>
            <w:shd w:val="clear" w:color="auto" w:fill="auto"/>
            <w:vAlign w:val="center"/>
          </w:tcPr>
          <w:p w14:paraId="47D05DF3">
            <w:pPr>
              <w:jc w:val="center"/>
              <w:rPr>
                <w:rFonts w:ascii="宋体" w:hAnsi="宋体" w:cs="宋体"/>
                <w:b/>
                <w:iCs/>
                <w:color w:val="000000"/>
                <w:kern w:val="0"/>
                <w:sz w:val="18"/>
                <w:szCs w:val="18"/>
              </w:rPr>
            </w:pPr>
            <w:r>
              <w:rPr>
                <w:rFonts w:hint="eastAsia" w:ascii="宋体" w:hAnsi="宋体" w:cs="宋体"/>
                <w:b/>
                <w:iCs/>
                <w:color w:val="000000"/>
                <w:kern w:val="0"/>
                <w:sz w:val="18"/>
                <w:szCs w:val="18"/>
              </w:rPr>
              <w:t>年 度</w:t>
            </w:r>
          </w:p>
        </w:tc>
        <w:tc>
          <w:tcPr>
            <w:tcW w:w="960" w:type="dxa"/>
            <w:shd w:val="clear" w:color="auto" w:fill="auto"/>
            <w:vAlign w:val="center"/>
          </w:tcPr>
          <w:p w14:paraId="00317E35">
            <w:pPr>
              <w:jc w:val="center"/>
              <w:rPr>
                <w:rFonts w:ascii="宋体" w:hAnsi="宋体" w:cs="宋体"/>
                <w:b/>
                <w:iCs/>
                <w:color w:val="000000"/>
                <w:kern w:val="0"/>
                <w:sz w:val="18"/>
                <w:szCs w:val="18"/>
              </w:rPr>
            </w:pPr>
            <w:r>
              <w:rPr>
                <w:rFonts w:hint="eastAsia" w:ascii="宋体" w:hAnsi="宋体" w:cs="宋体"/>
                <w:b/>
                <w:iCs/>
                <w:color w:val="000000"/>
                <w:kern w:val="0"/>
                <w:sz w:val="18"/>
                <w:szCs w:val="18"/>
              </w:rPr>
              <w:t>个数</w:t>
            </w:r>
          </w:p>
        </w:tc>
        <w:tc>
          <w:tcPr>
            <w:tcW w:w="1656" w:type="dxa"/>
            <w:shd w:val="clear" w:color="auto" w:fill="auto"/>
            <w:vAlign w:val="center"/>
          </w:tcPr>
          <w:p w14:paraId="6B7E2D72">
            <w:pPr>
              <w:jc w:val="center"/>
              <w:rPr>
                <w:rFonts w:ascii="宋体" w:hAnsi="宋体" w:cs="宋体"/>
                <w:b/>
                <w:iCs/>
                <w:color w:val="000000"/>
                <w:kern w:val="0"/>
                <w:sz w:val="18"/>
                <w:szCs w:val="18"/>
              </w:rPr>
            </w:pPr>
            <w:r>
              <w:rPr>
                <w:rFonts w:hint="eastAsia" w:ascii="宋体" w:hAnsi="宋体" w:cs="宋体"/>
                <w:b/>
                <w:iCs/>
                <w:color w:val="000000"/>
                <w:kern w:val="0"/>
                <w:sz w:val="18"/>
                <w:szCs w:val="18"/>
              </w:rPr>
              <w:t>所在乡镇</w:t>
            </w:r>
          </w:p>
        </w:tc>
        <w:tc>
          <w:tcPr>
            <w:tcW w:w="1500" w:type="dxa"/>
            <w:shd w:val="clear" w:color="auto" w:fill="auto"/>
            <w:vAlign w:val="center"/>
          </w:tcPr>
          <w:p w14:paraId="07C9B58E">
            <w:pPr>
              <w:jc w:val="center"/>
              <w:rPr>
                <w:rFonts w:ascii="宋体" w:hAnsi="宋体" w:cs="宋体"/>
                <w:b/>
                <w:iCs/>
                <w:color w:val="000000"/>
                <w:kern w:val="0"/>
                <w:sz w:val="18"/>
                <w:szCs w:val="18"/>
              </w:rPr>
            </w:pPr>
            <w:r>
              <w:rPr>
                <w:rFonts w:hint="eastAsia" w:ascii="宋体" w:hAnsi="宋体" w:cs="宋体"/>
                <w:b/>
                <w:iCs/>
                <w:color w:val="000000"/>
                <w:kern w:val="0"/>
                <w:sz w:val="18"/>
                <w:szCs w:val="18"/>
              </w:rPr>
              <w:t>土地整治类型</w:t>
            </w:r>
          </w:p>
        </w:tc>
        <w:tc>
          <w:tcPr>
            <w:tcW w:w="1119" w:type="dxa"/>
            <w:shd w:val="clear" w:color="auto" w:fill="auto"/>
            <w:vAlign w:val="center"/>
          </w:tcPr>
          <w:p w14:paraId="36084EF4">
            <w:pPr>
              <w:jc w:val="center"/>
              <w:rPr>
                <w:rFonts w:ascii="宋体" w:hAnsi="宋体" w:cs="宋体"/>
                <w:b/>
                <w:iCs/>
                <w:color w:val="000000"/>
                <w:kern w:val="0"/>
                <w:sz w:val="18"/>
                <w:szCs w:val="18"/>
              </w:rPr>
            </w:pPr>
            <w:r>
              <w:rPr>
                <w:rFonts w:hint="eastAsia" w:ascii="宋体" w:hAnsi="宋体" w:cs="宋体"/>
                <w:b/>
                <w:iCs/>
                <w:color w:val="000000"/>
                <w:kern w:val="0"/>
                <w:sz w:val="18"/>
                <w:szCs w:val="18"/>
              </w:rPr>
              <w:t>建设规模</w:t>
            </w:r>
          </w:p>
        </w:tc>
        <w:tc>
          <w:tcPr>
            <w:tcW w:w="1481" w:type="dxa"/>
            <w:shd w:val="clear" w:color="auto" w:fill="auto"/>
            <w:vAlign w:val="center"/>
          </w:tcPr>
          <w:p w14:paraId="35F8B164">
            <w:pPr>
              <w:jc w:val="center"/>
              <w:rPr>
                <w:rFonts w:ascii="宋体" w:hAnsi="宋体" w:cs="宋体"/>
                <w:b/>
                <w:iCs/>
                <w:color w:val="000000"/>
                <w:kern w:val="0"/>
                <w:sz w:val="18"/>
                <w:szCs w:val="18"/>
              </w:rPr>
            </w:pPr>
            <w:r>
              <w:rPr>
                <w:rFonts w:hint="eastAsia" w:ascii="宋体" w:hAnsi="宋体" w:cs="宋体"/>
                <w:b/>
                <w:iCs/>
                <w:color w:val="000000"/>
                <w:kern w:val="0"/>
                <w:sz w:val="18"/>
                <w:szCs w:val="18"/>
              </w:rPr>
              <w:t>新增耕地面积</w:t>
            </w:r>
          </w:p>
        </w:tc>
        <w:tc>
          <w:tcPr>
            <w:tcW w:w="1300" w:type="dxa"/>
            <w:shd w:val="clear" w:color="auto" w:fill="auto"/>
            <w:vAlign w:val="center"/>
          </w:tcPr>
          <w:p w14:paraId="066294A6">
            <w:pPr>
              <w:jc w:val="center"/>
              <w:rPr>
                <w:rFonts w:ascii="宋体" w:hAnsi="宋体" w:cs="宋体"/>
                <w:b/>
                <w:iCs/>
                <w:color w:val="000000"/>
                <w:kern w:val="0"/>
                <w:sz w:val="18"/>
                <w:szCs w:val="18"/>
              </w:rPr>
            </w:pPr>
            <w:r>
              <w:rPr>
                <w:rFonts w:hint="eastAsia" w:ascii="宋体" w:hAnsi="宋体" w:cs="宋体"/>
                <w:b/>
                <w:iCs/>
                <w:color w:val="000000"/>
                <w:kern w:val="0"/>
                <w:sz w:val="18"/>
                <w:szCs w:val="18"/>
              </w:rPr>
              <w:t>项目总投资</w:t>
            </w:r>
          </w:p>
        </w:tc>
        <w:tc>
          <w:tcPr>
            <w:tcW w:w="1300" w:type="dxa"/>
            <w:vAlign w:val="center"/>
          </w:tcPr>
          <w:p w14:paraId="1B0660E8">
            <w:pPr>
              <w:jc w:val="center"/>
              <w:rPr>
                <w:rFonts w:ascii="宋体" w:hAnsi="宋体" w:cs="宋体"/>
                <w:b/>
                <w:iCs/>
                <w:color w:val="000000"/>
                <w:kern w:val="0"/>
                <w:sz w:val="18"/>
                <w:szCs w:val="18"/>
              </w:rPr>
            </w:pPr>
            <w:r>
              <w:rPr>
                <w:rFonts w:hint="eastAsia" w:ascii="宋体" w:hAnsi="宋体" w:cs="宋体"/>
                <w:b/>
                <w:iCs/>
                <w:color w:val="000000"/>
                <w:kern w:val="0"/>
                <w:sz w:val="18"/>
                <w:szCs w:val="18"/>
              </w:rPr>
              <w:t>验收情况</w:t>
            </w:r>
          </w:p>
        </w:tc>
      </w:tr>
      <w:tr w14:paraId="4675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60253EC3">
            <w:pPr>
              <w:jc w:val="center"/>
              <w:rPr>
                <w:rFonts w:ascii="宋体" w:hAnsi="宋体" w:cs="宋体"/>
                <w:iCs/>
                <w:color w:val="000000"/>
                <w:kern w:val="0"/>
                <w:sz w:val="18"/>
                <w:szCs w:val="18"/>
              </w:rPr>
            </w:pPr>
            <w:r>
              <w:rPr>
                <w:rFonts w:hint="eastAsia" w:ascii="宋体" w:hAnsi="宋体" w:cs="宋体"/>
                <w:iCs/>
                <w:color w:val="000000"/>
                <w:kern w:val="0"/>
                <w:sz w:val="18"/>
                <w:szCs w:val="18"/>
              </w:rPr>
              <w:t>2009年</w:t>
            </w:r>
          </w:p>
        </w:tc>
        <w:tc>
          <w:tcPr>
            <w:tcW w:w="960" w:type="dxa"/>
            <w:shd w:val="clear" w:color="auto" w:fill="auto"/>
            <w:vAlign w:val="center"/>
          </w:tcPr>
          <w:p w14:paraId="5D360073">
            <w:pPr>
              <w:jc w:val="center"/>
              <w:rPr>
                <w:rFonts w:ascii="宋体" w:hAnsi="宋体" w:cs="宋体"/>
                <w:iCs/>
                <w:color w:val="000000"/>
                <w:kern w:val="0"/>
                <w:sz w:val="18"/>
                <w:szCs w:val="18"/>
              </w:rPr>
            </w:pPr>
            <w:r>
              <w:rPr>
                <w:rFonts w:hint="eastAsia" w:ascii="宋体" w:hAnsi="宋体" w:cs="宋体"/>
                <w:iCs/>
                <w:color w:val="000000"/>
                <w:kern w:val="0"/>
                <w:sz w:val="18"/>
                <w:szCs w:val="18"/>
              </w:rPr>
              <w:t>0</w:t>
            </w:r>
          </w:p>
        </w:tc>
        <w:tc>
          <w:tcPr>
            <w:tcW w:w="1656" w:type="dxa"/>
            <w:shd w:val="clear" w:color="auto" w:fill="auto"/>
            <w:vAlign w:val="center"/>
          </w:tcPr>
          <w:p w14:paraId="3423AA1A">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500" w:type="dxa"/>
            <w:shd w:val="clear" w:color="auto" w:fill="auto"/>
            <w:vAlign w:val="center"/>
          </w:tcPr>
          <w:p w14:paraId="01424E82">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119" w:type="dxa"/>
            <w:shd w:val="clear" w:color="auto" w:fill="auto"/>
            <w:vAlign w:val="center"/>
          </w:tcPr>
          <w:p w14:paraId="7748598C">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481" w:type="dxa"/>
            <w:shd w:val="clear" w:color="auto" w:fill="auto"/>
            <w:vAlign w:val="center"/>
          </w:tcPr>
          <w:p w14:paraId="026F9758">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300" w:type="dxa"/>
            <w:shd w:val="clear" w:color="auto" w:fill="auto"/>
            <w:vAlign w:val="center"/>
          </w:tcPr>
          <w:p w14:paraId="15D85CB7">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300" w:type="dxa"/>
            <w:vAlign w:val="center"/>
          </w:tcPr>
          <w:p w14:paraId="598957F6">
            <w:pPr>
              <w:jc w:val="center"/>
              <w:rPr>
                <w:rFonts w:ascii="宋体" w:hAnsi="宋体" w:cs="宋体"/>
                <w:iCs/>
                <w:color w:val="000000"/>
                <w:kern w:val="0"/>
                <w:sz w:val="18"/>
                <w:szCs w:val="18"/>
              </w:rPr>
            </w:pPr>
          </w:p>
        </w:tc>
      </w:tr>
      <w:tr w14:paraId="201F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634F8182">
            <w:pPr>
              <w:jc w:val="center"/>
              <w:rPr>
                <w:rFonts w:ascii="宋体" w:hAnsi="宋体" w:cs="宋体"/>
                <w:iCs/>
                <w:color w:val="000000"/>
                <w:kern w:val="0"/>
                <w:sz w:val="18"/>
                <w:szCs w:val="18"/>
              </w:rPr>
            </w:pPr>
            <w:r>
              <w:rPr>
                <w:rFonts w:hint="eastAsia" w:ascii="宋体" w:hAnsi="宋体" w:cs="宋体"/>
                <w:iCs/>
                <w:color w:val="000000"/>
                <w:kern w:val="0"/>
                <w:sz w:val="18"/>
                <w:szCs w:val="18"/>
              </w:rPr>
              <w:t>2010年</w:t>
            </w:r>
          </w:p>
        </w:tc>
        <w:tc>
          <w:tcPr>
            <w:tcW w:w="960" w:type="dxa"/>
            <w:shd w:val="clear" w:color="auto" w:fill="auto"/>
            <w:vAlign w:val="center"/>
          </w:tcPr>
          <w:p w14:paraId="34C6B2BF">
            <w:pPr>
              <w:jc w:val="center"/>
              <w:rPr>
                <w:rFonts w:ascii="宋体" w:hAnsi="宋体" w:cs="宋体"/>
                <w:iCs/>
                <w:color w:val="000000"/>
                <w:kern w:val="0"/>
                <w:sz w:val="18"/>
                <w:szCs w:val="18"/>
              </w:rPr>
            </w:pPr>
            <w:r>
              <w:rPr>
                <w:rFonts w:hint="eastAsia" w:ascii="宋体" w:hAnsi="宋体" w:cs="宋体"/>
                <w:iCs/>
                <w:color w:val="000000"/>
                <w:kern w:val="0"/>
                <w:sz w:val="18"/>
                <w:szCs w:val="18"/>
              </w:rPr>
              <w:t>0</w:t>
            </w:r>
          </w:p>
        </w:tc>
        <w:tc>
          <w:tcPr>
            <w:tcW w:w="1656" w:type="dxa"/>
            <w:shd w:val="clear" w:color="auto" w:fill="auto"/>
            <w:vAlign w:val="center"/>
          </w:tcPr>
          <w:p w14:paraId="08E8467B">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500" w:type="dxa"/>
            <w:shd w:val="clear" w:color="auto" w:fill="auto"/>
            <w:vAlign w:val="center"/>
          </w:tcPr>
          <w:p w14:paraId="4B387201">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119" w:type="dxa"/>
            <w:shd w:val="clear" w:color="auto" w:fill="auto"/>
            <w:vAlign w:val="center"/>
          </w:tcPr>
          <w:p w14:paraId="36CA759D">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481" w:type="dxa"/>
            <w:shd w:val="clear" w:color="auto" w:fill="auto"/>
            <w:vAlign w:val="center"/>
          </w:tcPr>
          <w:p w14:paraId="5002CE99">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300" w:type="dxa"/>
            <w:shd w:val="clear" w:color="auto" w:fill="auto"/>
            <w:vAlign w:val="center"/>
          </w:tcPr>
          <w:p w14:paraId="235C8A07">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300" w:type="dxa"/>
            <w:vAlign w:val="center"/>
          </w:tcPr>
          <w:p w14:paraId="7D69733B">
            <w:pPr>
              <w:jc w:val="center"/>
              <w:rPr>
                <w:rFonts w:ascii="宋体" w:hAnsi="宋体" w:cs="宋体"/>
                <w:iCs/>
                <w:color w:val="000000"/>
                <w:kern w:val="0"/>
                <w:sz w:val="18"/>
                <w:szCs w:val="18"/>
              </w:rPr>
            </w:pPr>
          </w:p>
        </w:tc>
      </w:tr>
      <w:tr w14:paraId="131C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275B138F">
            <w:pPr>
              <w:jc w:val="center"/>
              <w:rPr>
                <w:rFonts w:ascii="宋体" w:hAnsi="宋体" w:cs="宋体"/>
                <w:iCs/>
                <w:color w:val="000000"/>
                <w:kern w:val="0"/>
                <w:sz w:val="18"/>
                <w:szCs w:val="18"/>
              </w:rPr>
            </w:pPr>
            <w:r>
              <w:rPr>
                <w:rFonts w:hint="eastAsia" w:ascii="宋体" w:hAnsi="宋体" w:cs="宋体"/>
                <w:iCs/>
                <w:color w:val="000000"/>
                <w:kern w:val="0"/>
                <w:sz w:val="18"/>
                <w:szCs w:val="18"/>
              </w:rPr>
              <w:t>2011年</w:t>
            </w:r>
          </w:p>
        </w:tc>
        <w:tc>
          <w:tcPr>
            <w:tcW w:w="960" w:type="dxa"/>
            <w:shd w:val="clear" w:color="auto" w:fill="auto"/>
            <w:vAlign w:val="center"/>
          </w:tcPr>
          <w:p w14:paraId="6216C7A6">
            <w:pPr>
              <w:jc w:val="center"/>
              <w:rPr>
                <w:rFonts w:ascii="宋体" w:hAnsi="宋体" w:cs="宋体"/>
                <w:iCs/>
                <w:color w:val="000000"/>
                <w:kern w:val="0"/>
                <w:sz w:val="18"/>
                <w:szCs w:val="18"/>
              </w:rPr>
            </w:pPr>
            <w:r>
              <w:rPr>
                <w:rFonts w:hint="eastAsia" w:ascii="宋体" w:hAnsi="宋体" w:cs="宋体"/>
                <w:iCs/>
                <w:color w:val="000000"/>
                <w:kern w:val="0"/>
                <w:sz w:val="18"/>
                <w:szCs w:val="18"/>
              </w:rPr>
              <w:t>1</w:t>
            </w:r>
          </w:p>
        </w:tc>
        <w:tc>
          <w:tcPr>
            <w:tcW w:w="1656" w:type="dxa"/>
            <w:shd w:val="clear" w:color="auto" w:fill="auto"/>
            <w:vAlign w:val="center"/>
          </w:tcPr>
          <w:p w14:paraId="7506D50C">
            <w:pPr>
              <w:jc w:val="center"/>
              <w:rPr>
                <w:rFonts w:ascii="宋体" w:hAnsi="宋体" w:cs="宋体"/>
                <w:iCs/>
                <w:color w:val="000000"/>
                <w:kern w:val="0"/>
                <w:sz w:val="18"/>
                <w:szCs w:val="18"/>
              </w:rPr>
            </w:pPr>
            <w:r>
              <w:rPr>
                <w:rFonts w:hint="eastAsia" w:ascii="宋体" w:hAnsi="宋体" w:cs="宋体"/>
                <w:iCs/>
                <w:color w:val="000000"/>
                <w:kern w:val="0"/>
                <w:sz w:val="18"/>
                <w:szCs w:val="18"/>
              </w:rPr>
              <w:t>铜都街道办事处</w:t>
            </w:r>
          </w:p>
        </w:tc>
        <w:tc>
          <w:tcPr>
            <w:tcW w:w="1500" w:type="dxa"/>
            <w:shd w:val="clear" w:color="auto" w:fill="auto"/>
            <w:vAlign w:val="center"/>
          </w:tcPr>
          <w:p w14:paraId="4EA86D40">
            <w:pPr>
              <w:jc w:val="center"/>
              <w:rPr>
                <w:rFonts w:ascii="宋体" w:hAnsi="宋体" w:cs="宋体"/>
                <w:iCs/>
                <w:color w:val="000000"/>
                <w:kern w:val="0"/>
                <w:sz w:val="18"/>
                <w:szCs w:val="18"/>
              </w:rPr>
            </w:pPr>
            <w:r>
              <w:rPr>
                <w:rFonts w:hint="eastAsia" w:ascii="宋体" w:hAnsi="宋体" w:cs="宋体"/>
                <w:iCs/>
                <w:color w:val="000000"/>
                <w:kern w:val="0"/>
                <w:sz w:val="18"/>
                <w:szCs w:val="18"/>
              </w:rPr>
              <w:t>开发整理</w:t>
            </w:r>
          </w:p>
        </w:tc>
        <w:tc>
          <w:tcPr>
            <w:tcW w:w="1119" w:type="dxa"/>
            <w:shd w:val="clear" w:color="auto" w:fill="auto"/>
            <w:vAlign w:val="center"/>
          </w:tcPr>
          <w:p w14:paraId="26B779F8">
            <w:pPr>
              <w:jc w:val="center"/>
              <w:rPr>
                <w:rFonts w:ascii="宋体" w:hAnsi="宋体" w:cs="宋体"/>
                <w:iCs/>
                <w:color w:val="000000"/>
                <w:kern w:val="0"/>
                <w:sz w:val="18"/>
                <w:szCs w:val="18"/>
              </w:rPr>
            </w:pPr>
            <w:r>
              <w:rPr>
                <w:rFonts w:hint="eastAsia" w:ascii="宋体" w:hAnsi="宋体" w:cs="宋体"/>
                <w:iCs/>
                <w:color w:val="000000"/>
                <w:kern w:val="0"/>
                <w:sz w:val="18"/>
                <w:szCs w:val="18"/>
              </w:rPr>
              <w:t>527.38</w:t>
            </w:r>
          </w:p>
        </w:tc>
        <w:tc>
          <w:tcPr>
            <w:tcW w:w="1481" w:type="dxa"/>
            <w:shd w:val="clear" w:color="auto" w:fill="auto"/>
            <w:vAlign w:val="center"/>
          </w:tcPr>
          <w:p w14:paraId="174BF32F">
            <w:pPr>
              <w:jc w:val="center"/>
              <w:rPr>
                <w:rFonts w:ascii="宋体" w:hAnsi="宋体" w:cs="宋体"/>
                <w:iCs/>
                <w:color w:val="000000"/>
                <w:kern w:val="0"/>
                <w:sz w:val="18"/>
                <w:szCs w:val="18"/>
              </w:rPr>
            </w:pPr>
            <w:r>
              <w:rPr>
                <w:rFonts w:hint="eastAsia" w:ascii="宋体" w:hAnsi="宋体" w:cs="宋体"/>
                <w:iCs/>
                <w:color w:val="000000"/>
                <w:kern w:val="0"/>
                <w:sz w:val="18"/>
                <w:szCs w:val="18"/>
              </w:rPr>
              <w:t>40.6</w:t>
            </w:r>
          </w:p>
        </w:tc>
        <w:tc>
          <w:tcPr>
            <w:tcW w:w="1300" w:type="dxa"/>
            <w:shd w:val="clear" w:color="auto" w:fill="auto"/>
            <w:vAlign w:val="center"/>
          </w:tcPr>
          <w:p w14:paraId="372FE198">
            <w:pPr>
              <w:jc w:val="center"/>
              <w:rPr>
                <w:rFonts w:ascii="宋体" w:hAnsi="宋体" w:cs="宋体"/>
                <w:iCs/>
                <w:color w:val="000000"/>
                <w:kern w:val="0"/>
                <w:sz w:val="18"/>
                <w:szCs w:val="18"/>
              </w:rPr>
            </w:pPr>
            <w:r>
              <w:rPr>
                <w:rFonts w:hint="eastAsia" w:ascii="宋体" w:hAnsi="宋体" w:cs="宋体"/>
                <w:iCs/>
                <w:color w:val="000000"/>
                <w:kern w:val="0"/>
                <w:sz w:val="18"/>
                <w:szCs w:val="18"/>
              </w:rPr>
              <w:t>1239.05</w:t>
            </w:r>
          </w:p>
        </w:tc>
        <w:tc>
          <w:tcPr>
            <w:tcW w:w="1300" w:type="dxa"/>
            <w:vAlign w:val="center"/>
          </w:tcPr>
          <w:p w14:paraId="403F59E9">
            <w:pPr>
              <w:jc w:val="center"/>
              <w:rPr>
                <w:rFonts w:ascii="宋体" w:hAnsi="宋体" w:cs="宋体"/>
                <w:iCs/>
                <w:color w:val="000000"/>
                <w:kern w:val="0"/>
                <w:sz w:val="18"/>
                <w:szCs w:val="18"/>
              </w:rPr>
            </w:pPr>
            <w:r>
              <w:rPr>
                <w:rFonts w:hint="eastAsia" w:ascii="宋体" w:hAnsi="宋体" w:cs="宋体"/>
                <w:iCs/>
                <w:color w:val="000000"/>
                <w:kern w:val="0"/>
                <w:sz w:val="18"/>
                <w:szCs w:val="18"/>
              </w:rPr>
              <w:t>已验收</w:t>
            </w:r>
          </w:p>
        </w:tc>
      </w:tr>
      <w:tr w14:paraId="1B62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vMerge w:val="restart"/>
            <w:shd w:val="clear" w:color="auto" w:fill="auto"/>
            <w:vAlign w:val="center"/>
          </w:tcPr>
          <w:p w14:paraId="3E11897C">
            <w:pPr>
              <w:jc w:val="center"/>
              <w:rPr>
                <w:rFonts w:ascii="宋体" w:hAnsi="宋体" w:cs="宋体"/>
                <w:iCs/>
                <w:color w:val="000000"/>
                <w:kern w:val="0"/>
                <w:sz w:val="18"/>
                <w:szCs w:val="18"/>
              </w:rPr>
            </w:pPr>
            <w:r>
              <w:rPr>
                <w:rFonts w:hint="eastAsia" w:ascii="宋体" w:hAnsi="宋体" w:cs="宋体"/>
                <w:iCs/>
                <w:color w:val="000000"/>
                <w:kern w:val="0"/>
                <w:sz w:val="18"/>
                <w:szCs w:val="18"/>
              </w:rPr>
              <w:t>2012年</w:t>
            </w:r>
          </w:p>
        </w:tc>
        <w:tc>
          <w:tcPr>
            <w:tcW w:w="960" w:type="dxa"/>
            <w:vMerge w:val="restart"/>
            <w:shd w:val="clear" w:color="auto" w:fill="auto"/>
            <w:vAlign w:val="center"/>
          </w:tcPr>
          <w:p w14:paraId="28BF5275">
            <w:pPr>
              <w:jc w:val="center"/>
              <w:rPr>
                <w:rFonts w:ascii="宋体" w:hAnsi="宋体" w:cs="宋体"/>
                <w:iCs/>
                <w:color w:val="000000"/>
                <w:kern w:val="0"/>
                <w:sz w:val="18"/>
                <w:szCs w:val="18"/>
              </w:rPr>
            </w:pPr>
            <w:r>
              <w:rPr>
                <w:rFonts w:hint="eastAsia" w:ascii="宋体" w:hAnsi="宋体" w:cs="宋体"/>
                <w:iCs/>
                <w:color w:val="000000"/>
                <w:kern w:val="0"/>
                <w:sz w:val="18"/>
                <w:szCs w:val="18"/>
              </w:rPr>
              <w:t>4</w:t>
            </w:r>
          </w:p>
        </w:tc>
        <w:tc>
          <w:tcPr>
            <w:tcW w:w="1656" w:type="dxa"/>
            <w:shd w:val="clear" w:color="auto" w:fill="auto"/>
            <w:vAlign w:val="center"/>
          </w:tcPr>
          <w:p w14:paraId="040A4C9A">
            <w:pPr>
              <w:jc w:val="center"/>
              <w:rPr>
                <w:rFonts w:ascii="宋体" w:hAnsi="宋体" w:cs="宋体"/>
                <w:iCs/>
                <w:color w:val="000000"/>
                <w:kern w:val="0"/>
                <w:sz w:val="18"/>
                <w:szCs w:val="18"/>
              </w:rPr>
            </w:pPr>
            <w:r>
              <w:rPr>
                <w:rFonts w:hint="eastAsia" w:ascii="宋体" w:hAnsi="宋体" w:cs="宋体"/>
                <w:iCs/>
                <w:color w:val="000000"/>
                <w:kern w:val="0"/>
                <w:sz w:val="18"/>
                <w:szCs w:val="18"/>
              </w:rPr>
              <w:t>汤丹镇</w:t>
            </w:r>
          </w:p>
        </w:tc>
        <w:tc>
          <w:tcPr>
            <w:tcW w:w="1500" w:type="dxa"/>
            <w:shd w:val="clear" w:color="auto" w:fill="auto"/>
            <w:vAlign w:val="center"/>
          </w:tcPr>
          <w:p w14:paraId="08551C6F">
            <w:pPr>
              <w:jc w:val="center"/>
              <w:rPr>
                <w:rFonts w:ascii="宋体" w:hAnsi="宋体" w:cs="宋体"/>
                <w:iCs/>
                <w:color w:val="000000"/>
                <w:kern w:val="0"/>
                <w:sz w:val="18"/>
                <w:szCs w:val="18"/>
              </w:rPr>
            </w:pPr>
            <w:r>
              <w:rPr>
                <w:rFonts w:hint="eastAsia" w:ascii="宋体" w:hAnsi="宋体" w:cs="宋体"/>
                <w:iCs/>
                <w:color w:val="000000"/>
                <w:kern w:val="0"/>
                <w:sz w:val="18"/>
                <w:szCs w:val="18"/>
              </w:rPr>
              <w:t>整理</w:t>
            </w:r>
          </w:p>
        </w:tc>
        <w:tc>
          <w:tcPr>
            <w:tcW w:w="1119" w:type="dxa"/>
            <w:shd w:val="clear" w:color="auto" w:fill="auto"/>
            <w:vAlign w:val="center"/>
          </w:tcPr>
          <w:p w14:paraId="1C211559">
            <w:pPr>
              <w:jc w:val="center"/>
              <w:rPr>
                <w:rFonts w:ascii="宋体" w:hAnsi="宋体" w:cs="宋体"/>
                <w:iCs/>
                <w:color w:val="000000"/>
                <w:kern w:val="0"/>
                <w:sz w:val="18"/>
                <w:szCs w:val="18"/>
              </w:rPr>
            </w:pPr>
            <w:r>
              <w:rPr>
                <w:rFonts w:hint="eastAsia" w:ascii="宋体" w:hAnsi="宋体" w:cs="宋体"/>
                <w:iCs/>
                <w:color w:val="000000"/>
                <w:kern w:val="0"/>
                <w:sz w:val="18"/>
                <w:szCs w:val="18"/>
              </w:rPr>
              <w:t>102.26</w:t>
            </w:r>
          </w:p>
        </w:tc>
        <w:tc>
          <w:tcPr>
            <w:tcW w:w="1481" w:type="dxa"/>
            <w:shd w:val="clear" w:color="auto" w:fill="auto"/>
            <w:vAlign w:val="center"/>
          </w:tcPr>
          <w:p w14:paraId="1AD0CD6E">
            <w:pPr>
              <w:jc w:val="center"/>
              <w:rPr>
                <w:rFonts w:ascii="宋体" w:hAnsi="宋体" w:cs="宋体"/>
                <w:iCs/>
                <w:color w:val="000000"/>
                <w:kern w:val="0"/>
                <w:sz w:val="18"/>
                <w:szCs w:val="18"/>
              </w:rPr>
            </w:pPr>
            <w:r>
              <w:rPr>
                <w:rFonts w:hint="eastAsia" w:ascii="宋体" w:hAnsi="宋体" w:cs="宋体"/>
                <w:iCs/>
                <w:color w:val="000000"/>
                <w:kern w:val="0"/>
                <w:sz w:val="18"/>
                <w:szCs w:val="18"/>
              </w:rPr>
              <w:t>83.1</w:t>
            </w:r>
          </w:p>
        </w:tc>
        <w:tc>
          <w:tcPr>
            <w:tcW w:w="1300" w:type="dxa"/>
            <w:shd w:val="clear" w:color="auto" w:fill="auto"/>
            <w:vAlign w:val="center"/>
          </w:tcPr>
          <w:p w14:paraId="3D83F9B6">
            <w:pPr>
              <w:jc w:val="center"/>
              <w:rPr>
                <w:rFonts w:ascii="宋体" w:hAnsi="宋体" w:cs="宋体"/>
                <w:iCs/>
                <w:color w:val="000000"/>
                <w:kern w:val="0"/>
                <w:sz w:val="18"/>
                <w:szCs w:val="18"/>
              </w:rPr>
            </w:pPr>
            <w:r>
              <w:rPr>
                <w:rFonts w:hint="eastAsia" w:ascii="宋体" w:hAnsi="宋体" w:cs="宋体"/>
                <w:iCs/>
                <w:color w:val="000000"/>
                <w:kern w:val="0"/>
                <w:sz w:val="18"/>
                <w:szCs w:val="18"/>
              </w:rPr>
              <w:t>487.39</w:t>
            </w:r>
          </w:p>
        </w:tc>
        <w:tc>
          <w:tcPr>
            <w:tcW w:w="1300" w:type="dxa"/>
            <w:vAlign w:val="center"/>
          </w:tcPr>
          <w:p w14:paraId="2E4F57E3">
            <w:pPr>
              <w:jc w:val="center"/>
              <w:rPr>
                <w:rFonts w:ascii="宋体" w:hAnsi="宋体" w:cs="宋体"/>
                <w:iCs/>
                <w:color w:val="000000"/>
                <w:kern w:val="0"/>
                <w:sz w:val="18"/>
                <w:szCs w:val="18"/>
              </w:rPr>
            </w:pPr>
            <w:r>
              <w:rPr>
                <w:rFonts w:hint="eastAsia" w:ascii="宋体" w:hAnsi="宋体" w:cs="宋体"/>
                <w:iCs/>
                <w:color w:val="000000"/>
                <w:kern w:val="0"/>
                <w:sz w:val="18"/>
                <w:szCs w:val="18"/>
              </w:rPr>
              <w:t>未验收</w:t>
            </w:r>
          </w:p>
        </w:tc>
      </w:tr>
      <w:tr w14:paraId="444B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vMerge w:val="continue"/>
            <w:vAlign w:val="center"/>
          </w:tcPr>
          <w:p w14:paraId="4E22A6B3">
            <w:pPr>
              <w:jc w:val="center"/>
              <w:rPr>
                <w:rFonts w:ascii="宋体" w:hAnsi="宋体" w:cs="宋体"/>
                <w:iCs/>
                <w:color w:val="000000"/>
                <w:kern w:val="0"/>
                <w:sz w:val="18"/>
                <w:szCs w:val="18"/>
              </w:rPr>
            </w:pPr>
          </w:p>
        </w:tc>
        <w:tc>
          <w:tcPr>
            <w:tcW w:w="960" w:type="dxa"/>
            <w:vMerge w:val="continue"/>
            <w:vAlign w:val="center"/>
          </w:tcPr>
          <w:p w14:paraId="69FC98C1">
            <w:pPr>
              <w:jc w:val="center"/>
              <w:rPr>
                <w:rFonts w:ascii="宋体" w:hAnsi="宋体" w:cs="宋体"/>
                <w:iCs/>
                <w:color w:val="000000"/>
                <w:kern w:val="0"/>
                <w:sz w:val="18"/>
                <w:szCs w:val="18"/>
              </w:rPr>
            </w:pPr>
          </w:p>
        </w:tc>
        <w:tc>
          <w:tcPr>
            <w:tcW w:w="1656" w:type="dxa"/>
            <w:shd w:val="clear" w:color="auto" w:fill="auto"/>
            <w:vAlign w:val="center"/>
          </w:tcPr>
          <w:p w14:paraId="46F1D388">
            <w:pPr>
              <w:jc w:val="center"/>
              <w:rPr>
                <w:rFonts w:ascii="宋体" w:hAnsi="宋体" w:cs="宋体"/>
                <w:iCs/>
                <w:color w:val="000000"/>
                <w:kern w:val="0"/>
                <w:sz w:val="18"/>
                <w:szCs w:val="18"/>
              </w:rPr>
            </w:pPr>
            <w:r>
              <w:rPr>
                <w:rFonts w:hint="eastAsia" w:ascii="宋体" w:hAnsi="宋体" w:cs="宋体"/>
                <w:iCs/>
                <w:color w:val="000000"/>
                <w:kern w:val="0"/>
                <w:sz w:val="18"/>
                <w:szCs w:val="18"/>
              </w:rPr>
              <w:t>阿旺镇</w:t>
            </w:r>
          </w:p>
        </w:tc>
        <w:tc>
          <w:tcPr>
            <w:tcW w:w="1500" w:type="dxa"/>
            <w:shd w:val="clear" w:color="auto" w:fill="auto"/>
            <w:vAlign w:val="center"/>
          </w:tcPr>
          <w:p w14:paraId="08FF06E5">
            <w:pPr>
              <w:jc w:val="center"/>
              <w:rPr>
                <w:rFonts w:ascii="宋体" w:hAnsi="宋体" w:cs="宋体"/>
                <w:iCs/>
                <w:color w:val="000000"/>
                <w:kern w:val="0"/>
                <w:sz w:val="18"/>
                <w:szCs w:val="18"/>
              </w:rPr>
            </w:pPr>
            <w:r>
              <w:rPr>
                <w:rFonts w:hint="eastAsia" w:ascii="宋体" w:hAnsi="宋体" w:cs="宋体"/>
                <w:iCs/>
                <w:color w:val="000000"/>
                <w:kern w:val="0"/>
                <w:sz w:val="18"/>
                <w:szCs w:val="18"/>
              </w:rPr>
              <w:t>开发整理</w:t>
            </w:r>
          </w:p>
        </w:tc>
        <w:tc>
          <w:tcPr>
            <w:tcW w:w="1119" w:type="dxa"/>
            <w:shd w:val="clear" w:color="auto" w:fill="auto"/>
            <w:vAlign w:val="center"/>
          </w:tcPr>
          <w:p w14:paraId="4E607E4F">
            <w:pPr>
              <w:jc w:val="center"/>
              <w:rPr>
                <w:rFonts w:ascii="宋体" w:hAnsi="宋体" w:cs="宋体"/>
                <w:iCs/>
                <w:color w:val="000000"/>
                <w:kern w:val="0"/>
                <w:sz w:val="18"/>
                <w:szCs w:val="18"/>
              </w:rPr>
            </w:pPr>
            <w:r>
              <w:rPr>
                <w:rFonts w:hint="eastAsia" w:ascii="宋体" w:hAnsi="宋体" w:cs="宋体"/>
                <w:iCs/>
                <w:color w:val="000000"/>
                <w:kern w:val="0"/>
                <w:sz w:val="18"/>
                <w:szCs w:val="18"/>
              </w:rPr>
              <w:t>53.68</w:t>
            </w:r>
          </w:p>
        </w:tc>
        <w:tc>
          <w:tcPr>
            <w:tcW w:w="1481" w:type="dxa"/>
            <w:shd w:val="clear" w:color="auto" w:fill="auto"/>
            <w:vAlign w:val="center"/>
          </w:tcPr>
          <w:p w14:paraId="46E30565">
            <w:pPr>
              <w:jc w:val="center"/>
              <w:rPr>
                <w:rFonts w:ascii="宋体" w:hAnsi="宋体" w:cs="宋体"/>
                <w:iCs/>
                <w:color w:val="000000"/>
                <w:kern w:val="0"/>
                <w:sz w:val="18"/>
                <w:szCs w:val="18"/>
              </w:rPr>
            </w:pPr>
            <w:r>
              <w:rPr>
                <w:rFonts w:hint="eastAsia" w:ascii="宋体" w:hAnsi="宋体" w:cs="宋体"/>
                <w:iCs/>
                <w:color w:val="000000"/>
                <w:kern w:val="0"/>
                <w:sz w:val="18"/>
                <w:szCs w:val="18"/>
              </w:rPr>
              <w:t>43.06</w:t>
            </w:r>
          </w:p>
        </w:tc>
        <w:tc>
          <w:tcPr>
            <w:tcW w:w="1300" w:type="dxa"/>
            <w:shd w:val="clear" w:color="auto" w:fill="auto"/>
            <w:vAlign w:val="center"/>
          </w:tcPr>
          <w:p w14:paraId="369E00BF">
            <w:pPr>
              <w:jc w:val="center"/>
              <w:rPr>
                <w:rFonts w:ascii="宋体" w:hAnsi="宋体" w:cs="宋体"/>
                <w:iCs/>
                <w:color w:val="000000"/>
                <w:kern w:val="0"/>
                <w:sz w:val="18"/>
                <w:szCs w:val="18"/>
              </w:rPr>
            </w:pPr>
            <w:r>
              <w:rPr>
                <w:rFonts w:hint="eastAsia" w:ascii="宋体" w:hAnsi="宋体" w:cs="宋体"/>
                <w:iCs/>
                <w:color w:val="000000"/>
                <w:kern w:val="0"/>
                <w:sz w:val="18"/>
                <w:szCs w:val="18"/>
              </w:rPr>
              <w:t>330.99</w:t>
            </w:r>
          </w:p>
        </w:tc>
        <w:tc>
          <w:tcPr>
            <w:tcW w:w="1300" w:type="dxa"/>
            <w:vAlign w:val="center"/>
          </w:tcPr>
          <w:p w14:paraId="244AB87B">
            <w:pPr>
              <w:jc w:val="center"/>
              <w:rPr>
                <w:sz w:val="18"/>
                <w:szCs w:val="18"/>
              </w:rPr>
            </w:pPr>
            <w:r>
              <w:rPr>
                <w:rFonts w:hint="eastAsia" w:ascii="宋体" w:hAnsi="宋体" w:cs="宋体"/>
                <w:iCs/>
                <w:color w:val="000000"/>
                <w:kern w:val="0"/>
                <w:sz w:val="18"/>
                <w:szCs w:val="18"/>
              </w:rPr>
              <w:t>未验收</w:t>
            </w:r>
          </w:p>
        </w:tc>
      </w:tr>
      <w:tr w14:paraId="2BDD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vMerge w:val="continue"/>
            <w:vAlign w:val="center"/>
          </w:tcPr>
          <w:p w14:paraId="78B1693C">
            <w:pPr>
              <w:jc w:val="center"/>
              <w:rPr>
                <w:rFonts w:ascii="宋体" w:hAnsi="宋体" w:cs="宋体"/>
                <w:iCs/>
                <w:color w:val="000000"/>
                <w:kern w:val="0"/>
                <w:sz w:val="18"/>
                <w:szCs w:val="18"/>
              </w:rPr>
            </w:pPr>
          </w:p>
        </w:tc>
        <w:tc>
          <w:tcPr>
            <w:tcW w:w="960" w:type="dxa"/>
            <w:vMerge w:val="continue"/>
            <w:vAlign w:val="center"/>
          </w:tcPr>
          <w:p w14:paraId="6C2DC6D3">
            <w:pPr>
              <w:jc w:val="center"/>
              <w:rPr>
                <w:rFonts w:ascii="宋体" w:hAnsi="宋体" w:cs="宋体"/>
                <w:iCs/>
                <w:color w:val="000000"/>
                <w:kern w:val="0"/>
                <w:sz w:val="18"/>
                <w:szCs w:val="18"/>
              </w:rPr>
            </w:pPr>
          </w:p>
        </w:tc>
        <w:tc>
          <w:tcPr>
            <w:tcW w:w="1656" w:type="dxa"/>
            <w:shd w:val="clear" w:color="auto" w:fill="auto"/>
            <w:vAlign w:val="center"/>
          </w:tcPr>
          <w:p w14:paraId="7A88522B">
            <w:pPr>
              <w:jc w:val="center"/>
              <w:rPr>
                <w:rFonts w:ascii="宋体" w:hAnsi="宋体" w:cs="宋体"/>
                <w:iCs/>
                <w:color w:val="000000"/>
                <w:kern w:val="0"/>
                <w:sz w:val="18"/>
                <w:szCs w:val="18"/>
              </w:rPr>
            </w:pPr>
            <w:r>
              <w:rPr>
                <w:rFonts w:hint="eastAsia" w:ascii="宋体" w:hAnsi="宋体" w:cs="宋体"/>
                <w:iCs/>
                <w:color w:val="000000"/>
                <w:kern w:val="0"/>
                <w:sz w:val="18"/>
                <w:szCs w:val="18"/>
              </w:rPr>
              <w:t>拖布卡镇</w:t>
            </w:r>
          </w:p>
        </w:tc>
        <w:tc>
          <w:tcPr>
            <w:tcW w:w="1500" w:type="dxa"/>
            <w:shd w:val="clear" w:color="auto" w:fill="auto"/>
            <w:vAlign w:val="center"/>
          </w:tcPr>
          <w:p w14:paraId="4B554516">
            <w:pPr>
              <w:jc w:val="center"/>
              <w:rPr>
                <w:rFonts w:ascii="宋体" w:hAnsi="宋体" w:cs="宋体"/>
                <w:iCs/>
                <w:color w:val="000000"/>
                <w:kern w:val="0"/>
                <w:sz w:val="18"/>
                <w:szCs w:val="18"/>
              </w:rPr>
            </w:pPr>
            <w:r>
              <w:rPr>
                <w:rFonts w:hint="eastAsia" w:ascii="宋体" w:hAnsi="宋体" w:cs="宋体"/>
                <w:iCs/>
                <w:color w:val="000000"/>
                <w:kern w:val="0"/>
                <w:sz w:val="18"/>
                <w:szCs w:val="18"/>
              </w:rPr>
              <w:t>整理</w:t>
            </w:r>
          </w:p>
        </w:tc>
        <w:tc>
          <w:tcPr>
            <w:tcW w:w="1119" w:type="dxa"/>
            <w:shd w:val="clear" w:color="auto" w:fill="auto"/>
            <w:vAlign w:val="center"/>
          </w:tcPr>
          <w:p w14:paraId="08B06F1E">
            <w:pPr>
              <w:jc w:val="center"/>
              <w:rPr>
                <w:rFonts w:ascii="宋体" w:hAnsi="宋体" w:cs="宋体"/>
                <w:iCs/>
                <w:color w:val="000000"/>
                <w:kern w:val="0"/>
                <w:sz w:val="18"/>
                <w:szCs w:val="18"/>
              </w:rPr>
            </w:pPr>
            <w:r>
              <w:rPr>
                <w:rFonts w:hint="eastAsia" w:ascii="宋体" w:hAnsi="宋体" w:cs="宋体"/>
                <w:iCs/>
                <w:color w:val="000000"/>
                <w:kern w:val="0"/>
                <w:sz w:val="18"/>
                <w:szCs w:val="18"/>
              </w:rPr>
              <w:t>270.86</w:t>
            </w:r>
          </w:p>
        </w:tc>
        <w:tc>
          <w:tcPr>
            <w:tcW w:w="1481" w:type="dxa"/>
            <w:shd w:val="clear" w:color="auto" w:fill="auto"/>
            <w:vAlign w:val="center"/>
          </w:tcPr>
          <w:p w14:paraId="55A5DA0C">
            <w:pPr>
              <w:jc w:val="center"/>
              <w:rPr>
                <w:rFonts w:ascii="宋体" w:hAnsi="宋体" w:cs="宋体"/>
                <w:iCs/>
                <w:color w:val="000000"/>
                <w:kern w:val="0"/>
                <w:sz w:val="18"/>
                <w:szCs w:val="18"/>
              </w:rPr>
            </w:pPr>
            <w:r>
              <w:rPr>
                <w:rFonts w:hint="eastAsia" w:ascii="宋体" w:hAnsi="宋体" w:cs="宋体"/>
                <w:iCs/>
                <w:color w:val="000000"/>
                <w:kern w:val="0"/>
                <w:sz w:val="18"/>
                <w:szCs w:val="18"/>
              </w:rPr>
              <w:t>14.89</w:t>
            </w:r>
          </w:p>
        </w:tc>
        <w:tc>
          <w:tcPr>
            <w:tcW w:w="1300" w:type="dxa"/>
            <w:shd w:val="clear" w:color="auto" w:fill="auto"/>
            <w:vAlign w:val="center"/>
          </w:tcPr>
          <w:p w14:paraId="28FDC244">
            <w:pPr>
              <w:jc w:val="center"/>
              <w:rPr>
                <w:rFonts w:ascii="宋体" w:hAnsi="宋体" w:cs="宋体"/>
                <w:iCs/>
                <w:color w:val="000000"/>
                <w:kern w:val="0"/>
                <w:sz w:val="18"/>
                <w:szCs w:val="18"/>
              </w:rPr>
            </w:pPr>
            <w:r>
              <w:rPr>
                <w:rFonts w:hint="eastAsia" w:ascii="宋体" w:hAnsi="宋体" w:cs="宋体"/>
                <w:iCs/>
                <w:color w:val="000000"/>
                <w:kern w:val="0"/>
                <w:sz w:val="18"/>
                <w:szCs w:val="18"/>
              </w:rPr>
              <w:t>576.36</w:t>
            </w:r>
          </w:p>
        </w:tc>
        <w:tc>
          <w:tcPr>
            <w:tcW w:w="1300" w:type="dxa"/>
            <w:vAlign w:val="center"/>
          </w:tcPr>
          <w:p w14:paraId="5A81A131">
            <w:pPr>
              <w:jc w:val="center"/>
              <w:rPr>
                <w:sz w:val="18"/>
                <w:szCs w:val="18"/>
              </w:rPr>
            </w:pPr>
            <w:r>
              <w:rPr>
                <w:rFonts w:hint="eastAsia" w:ascii="宋体" w:hAnsi="宋体" w:cs="宋体"/>
                <w:iCs/>
                <w:color w:val="000000"/>
                <w:kern w:val="0"/>
                <w:sz w:val="18"/>
                <w:szCs w:val="18"/>
              </w:rPr>
              <w:t>未验收</w:t>
            </w:r>
          </w:p>
        </w:tc>
      </w:tr>
      <w:tr w14:paraId="53B2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vMerge w:val="continue"/>
            <w:vAlign w:val="center"/>
          </w:tcPr>
          <w:p w14:paraId="072A6A08">
            <w:pPr>
              <w:jc w:val="center"/>
              <w:rPr>
                <w:rFonts w:ascii="宋体" w:hAnsi="宋体" w:cs="宋体"/>
                <w:iCs/>
                <w:color w:val="000000"/>
                <w:kern w:val="0"/>
                <w:sz w:val="18"/>
                <w:szCs w:val="18"/>
              </w:rPr>
            </w:pPr>
          </w:p>
        </w:tc>
        <w:tc>
          <w:tcPr>
            <w:tcW w:w="960" w:type="dxa"/>
            <w:vMerge w:val="continue"/>
            <w:vAlign w:val="center"/>
          </w:tcPr>
          <w:p w14:paraId="0608BE2E">
            <w:pPr>
              <w:jc w:val="center"/>
              <w:rPr>
                <w:rFonts w:ascii="宋体" w:hAnsi="宋体" w:cs="宋体"/>
                <w:iCs/>
                <w:color w:val="000000"/>
                <w:kern w:val="0"/>
                <w:sz w:val="18"/>
                <w:szCs w:val="18"/>
              </w:rPr>
            </w:pPr>
          </w:p>
        </w:tc>
        <w:tc>
          <w:tcPr>
            <w:tcW w:w="1656" w:type="dxa"/>
            <w:shd w:val="clear" w:color="auto" w:fill="auto"/>
            <w:vAlign w:val="center"/>
          </w:tcPr>
          <w:p w14:paraId="60181FBA">
            <w:pPr>
              <w:jc w:val="center"/>
              <w:rPr>
                <w:rFonts w:ascii="宋体" w:hAnsi="宋体" w:cs="宋体"/>
                <w:iCs/>
                <w:color w:val="000000"/>
                <w:kern w:val="0"/>
                <w:sz w:val="18"/>
                <w:szCs w:val="18"/>
              </w:rPr>
            </w:pPr>
            <w:r>
              <w:rPr>
                <w:rFonts w:hint="eastAsia" w:ascii="宋体" w:hAnsi="宋体" w:cs="宋体"/>
                <w:iCs/>
                <w:color w:val="000000"/>
                <w:kern w:val="0"/>
                <w:sz w:val="18"/>
                <w:szCs w:val="18"/>
              </w:rPr>
              <w:t>铜都街道办事处</w:t>
            </w:r>
          </w:p>
        </w:tc>
        <w:tc>
          <w:tcPr>
            <w:tcW w:w="1500" w:type="dxa"/>
            <w:shd w:val="clear" w:color="auto" w:fill="auto"/>
            <w:vAlign w:val="center"/>
          </w:tcPr>
          <w:p w14:paraId="774F8E77">
            <w:pPr>
              <w:jc w:val="center"/>
              <w:rPr>
                <w:rFonts w:ascii="宋体" w:hAnsi="宋体" w:cs="宋体"/>
                <w:iCs/>
                <w:color w:val="000000"/>
                <w:kern w:val="0"/>
                <w:sz w:val="18"/>
                <w:szCs w:val="18"/>
              </w:rPr>
            </w:pPr>
            <w:r>
              <w:rPr>
                <w:rFonts w:hint="eastAsia" w:ascii="宋体" w:hAnsi="宋体" w:cs="宋体"/>
                <w:iCs/>
                <w:color w:val="000000"/>
                <w:kern w:val="0"/>
                <w:sz w:val="18"/>
                <w:szCs w:val="18"/>
              </w:rPr>
              <w:t>整理</w:t>
            </w:r>
          </w:p>
        </w:tc>
        <w:tc>
          <w:tcPr>
            <w:tcW w:w="1119" w:type="dxa"/>
            <w:shd w:val="clear" w:color="auto" w:fill="auto"/>
            <w:vAlign w:val="center"/>
          </w:tcPr>
          <w:p w14:paraId="0F50C652">
            <w:pPr>
              <w:jc w:val="center"/>
              <w:rPr>
                <w:rFonts w:ascii="宋体" w:hAnsi="宋体" w:cs="宋体"/>
                <w:iCs/>
                <w:color w:val="000000"/>
                <w:kern w:val="0"/>
                <w:sz w:val="18"/>
                <w:szCs w:val="18"/>
              </w:rPr>
            </w:pPr>
            <w:r>
              <w:rPr>
                <w:rFonts w:hint="eastAsia" w:ascii="宋体" w:hAnsi="宋体" w:cs="宋体"/>
                <w:iCs/>
                <w:color w:val="000000"/>
                <w:kern w:val="0"/>
                <w:sz w:val="18"/>
                <w:szCs w:val="18"/>
              </w:rPr>
              <w:t>656.84</w:t>
            </w:r>
          </w:p>
        </w:tc>
        <w:tc>
          <w:tcPr>
            <w:tcW w:w="1481" w:type="dxa"/>
            <w:shd w:val="clear" w:color="auto" w:fill="auto"/>
            <w:vAlign w:val="center"/>
          </w:tcPr>
          <w:p w14:paraId="297D6E9E">
            <w:pPr>
              <w:jc w:val="center"/>
              <w:rPr>
                <w:rFonts w:ascii="宋体" w:hAnsi="宋体" w:cs="宋体"/>
                <w:iCs/>
                <w:color w:val="000000"/>
                <w:kern w:val="0"/>
                <w:sz w:val="18"/>
                <w:szCs w:val="18"/>
              </w:rPr>
            </w:pPr>
            <w:r>
              <w:rPr>
                <w:rFonts w:hint="eastAsia" w:ascii="宋体" w:hAnsi="宋体" w:cs="宋体"/>
                <w:iCs/>
                <w:color w:val="000000"/>
                <w:kern w:val="0"/>
                <w:sz w:val="18"/>
                <w:szCs w:val="18"/>
              </w:rPr>
              <w:t>37.33</w:t>
            </w:r>
          </w:p>
        </w:tc>
        <w:tc>
          <w:tcPr>
            <w:tcW w:w="1300" w:type="dxa"/>
            <w:shd w:val="clear" w:color="auto" w:fill="auto"/>
            <w:vAlign w:val="center"/>
          </w:tcPr>
          <w:p w14:paraId="6580789B">
            <w:pPr>
              <w:jc w:val="center"/>
              <w:rPr>
                <w:rFonts w:ascii="宋体" w:hAnsi="宋体" w:cs="宋体"/>
                <w:iCs/>
                <w:color w:val="000000"/>
                <w:kern w:val="0"/>
                <w:sz w:val="18"/>
                <w:szCs w:val="18"/>
              </w:rPr>
            </w:pPr>
            <w:r>
              <w:rPr>
                <w:rFonts w:hint="eastAsia" w:ascii="宋体" w:hAnsi="宋体" w:cs="宋体"/>
                <w:iCs/>
                <w:color w:val="000000"/>
                <w:kern w:val="0"/>
                <w:sz w:val="18"/>
                <w:szCs w:val="18"/>
              </w:rPr>
              <w:t>2072.36</w:t>
            </w:r>
          </w:p>
        </w:tc>
        <w:tc>
          <w:tcPr>
            <w:tcW w:w="1300" w:type="dxa"/>
            <w:vAlign w:val="center"/>
          </w:tcPr>
          <w:p w14:paraId="2F9714C5">
            <w:pPr>
              <w:jc w:val="center"/>
              <w:rPr>
                <w:sz w:val="18"/>
                <w:szCs w:val="18"/>
              </w:rPr>
            </w:pPr>
            <w:r>
              <w:rPr>
                <w:rFonts w:hint="eastAsia" w:ascii="宋体" w:hAnsi="宋体" w:cs="宋体"/>
                <w:iCs/>
                <w:color w:val="000000"/>
                <w:kern w:val="0"/>
                <w:sz w:val="18"/>
                <w:szCs w:val="18"/>
              </w:rPr>
              <w:t>未验收</w:t>
            </w:r>
          </w:p>
        </w:tc>
      </w:tr>
      <w:tr w14:paraId="78F0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01F4871B">
            <w:pPr>
              <w:jc w:val="center"/>
              <w:rPr>
                <w:rFonts w:ascii="宋体" w:hAnsi="宋体" w:cs="宋体"/>
                <w:iCs/>
                <w:color w:val="000000"/>
                <w:kern w:val="0"/>
                <w:sz w:val="18"/>
                <w:szCs w:val="18"/>
              </w:rPr>
            </w:pPr>
            <w:r>
              <w:rPr>
                <w:rFonts w:hint="eastAsia" w:ascii="宋体" w:hAnsi="宋体" w:cs="宋体"/>
                <w:iCs/>
                <w:color w:val="000000"/>
                <w:kern w:val="0"/>
                <w:sz w:val="18"/>
                <w:szCs w:val="18"/>
              </w:rPr>
              <w:t>2013年</w:t>
            </w:r>
          </w:p>
        </w:tc>
        <w:tc>
          <w:tcPr>
            <w:tcW w:w="960" w:type="dxa"/>
            <w:shd w:val="clear" w:color="auto" w:fill="auto"/>
            <w:vAlign w:val="center"/>
          </w:tcPr>
          <w:p w14:paraId="46DE047A">
            <w:pPr>
              <w:jc w:val="center"/>
              <w:rPr>
                <w:rFonts w:ascii="宋体" w:hAnsi="宋体" w:cs="宋体"/>
                <w:iCs/>
                <w:color w:val="000000"/>
                <w:kern w:val="0"/>
                <w:sz w:val="18"/>
                <w:szCs w:val="18"/>
              </w:rPr>
            </w:pPr>
            <w:r>
              <w:rPr>
                <w:rFonts w:hint="eastAsia" w:ascii="宋体" w:hAnsi="宋体" w:cs="宋体"/>
                <w:iCs/>
                <w:color w:val="000000"/>
                <w:kern w:val="0"/>
                <w:sz w:val="18"/>
                <w:szCs w:val="18"/>
              </w:rPr>
              <w:t>0</w:t>
            </w:r>
          </w:p>
        </w:tc>
        <w:tc>
          <w:tcPr>
            <w:tcW w:w="1656" w:type="dxa"/>
            <w:shd w:val="clear" w:color="auto" w:fill="auto"/>
            <w:vAlign w:val="center"/>
          </w:tcPr>
          <w:p w14:paraId="353A1CC4">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500" w:type="dxa"/>
            <w:shd w:val="clear" w:color="auto" w:fill="auto"/>
            <w:vAlign w:val="center"/>
          </w:tcPr>
          <w:p w14:paraId="703C9C64">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119" w:type="dxa"/>
            <w:shd w:val="clear" w:color="auto" w:fill="auto"/>
            <w:vAlign w:val="center"/>
          </w:tcPr>
          <w:p w14:paraId="056C46D1">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481" w:type="dxa"/>
            <w:shd w:val="clear" w:color="auto" w:fill="auto"/>
            <w:vAlign w:val="center"/>
          </w:tcPr>
          <w:p w14:paraId="43E7D5F6">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300" w:type="dxa"/>
            <w:shd w:val="clear" w:color="auto" w:fill="auto"/>
            <w:vAlign w:val="center"/>
          </w:tcPr>
          <w:p w14:paraId="65C15EC5">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300" w:type="dxa"/>
            <w:vAlign w:val="center"/>
          </w:tcPr>
          <w:p w14:paraId="298E887C">
            <w:pPr>
              <w:jc w:val="center"/>
              <w:rPr>
                <w:rFonts w:ascii="宋体" w:hAnsi="宋体" w:cs="宋体"/>
                <w:iCs/>
                <w:color w:val="000000"/>
                <w:kern w:val="0"/>
                <w:sz w:val="18"/>
                <w:szCs w:val="18"/>
              </w:rPr>
            </w:pPr>
          </w:p>
        </w:tc>
      </w:tr>
      <w:tr w14:paraId="3038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334B42FF">
            <w:pPr>
              <w:jc w:val="center"/>
              <w:rPr>
                <w:rFonts w:ascii="宋体" w:hAnsi="宋体" w:cs="宋体"/>
                <w:iCs/>
                <w:color w:val="000000"/>
                <w:kern w:val="0"/>
                <w:sz w:val="18"/>
                <w:szCs w:val="18"/>
              </w:rPr>
            </w:pPr>
            <w:r>
              <w:rPr>
                <w:rFonts w:hint="eastAsia" w:ascii="宋体" w:hAnsi="宋体" w:cs="宋体"/>
                <w:iCs/>
                <w:color w:val="000000"/>
                <w:kern w:val="0"/>
                <w:sz w:val="18"/>
                <w:szCs w:val="18"/>
              </w:rPr>
              <w:t>2014年</w:t>
            </w:r>
          </w:p>
        </w:tc>
        <w:tc>
          <w:tcPr>
            <w:tcW w:w="960" w:type="dxa"/>
            <w:shd w:val="clear" w:color="auto" w:fill="auto"/>
            <w:vAlign w:val="center"/>
          </w:tcPr>
          <w:p w14:paraId="2580C47F">
            <w:pPr>
              <w:jc w:val="center"/>
              <w:rPr>
                <w:rFonts w:ascii="宋体" w:hAnsi="宋体" w:cs="宋体"/>
                <w:iCs/>
                <w:color w:val="000000"/>
                <w:kern w:val="0"/>
                <w:sz w:val="18"/>
                <w:szCs w:val="18"/>
              </w:rPr>
            </w:pPr>
            <w:r>
              <w:rPr>
                <w:rFonts w:hint="eastAsia" w:ascii="宋体" w:hAnsi="宋体" w:cs="宋体"/>
                <w:iCs/>
                <w:color w:val="000000"/>
                <w:kern w:val="0"/>
                <w:sz w:val="18"/>
                <w:szCs w:val="18"/>
              </w:rPr>
              <w:t>0</w:t>
            </w:r>
          </w:p>
        </w:tc>
        <w:tc>
          <w:tcPr>
            <w:tcW w:w="1656" w:type="dxa"/>
            <w:shd w:val="clear" w:color="auto" w:fill="auto"/>
            <w:vAlign w:val="center"/>
          </w:tcPr>
          <w:p w14:paraId="757D2909">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500" w:type="dxa"/>
            <w:shd w:val="clear" w:color="auto" w:fill="auto"/>
            <w:vAlign w:val="center"/>
          </w:tcPr>
          <w:p w14:paraId="34CCC1E6">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119" w:type="dxa"/>
            <w:shd w:val="clear" w:color="auto" w:fill="auto"/>
            <w:vAlign w:val="center"/>
          </w:tcPr>
          <w:p w14:paraId="76B5C5BE">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481" w:type="dxa"/>
            <w:shd w:val="clear" w:color="auto" w:fill="auto"/>
            <w:vAlign w:val="center"/>
          </w:tcPr>
          <w:p w14:paraId="3701076E">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300" w:type="dxa"/>
            <w:shd w:val="clear" w:color="auto" w:fill="auto"/>
            <w:vAlign w:val="center"/>
          </w:tcPr>
          <w:p w14:paraId="000106C6">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300" w:type="dxa"/>
            <w:vAlign w:val="center"/>
          </w:tcPr>
          <w:p w14:paraId="763B87F8">
            <w:pPr>
              <w:jc w:val="center"/>
              <w:rPr>
                <w:rFonts w:ascii="宋体" w:hAnsi="宋体" w:cs="宋体"/>
                <w:iCs/>
                <w:color w:val="000000"/>
                <w:kern w:val="0"/>
                <w:sz w:val="18"/>
                <w:szCs w:val="18"/>
              </w:rPr>
            </w:pPr>
          </w:p>
        </w:tc>
      </w:tr>
      <w:tr w14:paraId="6EE2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0" w:type="dxa"/>
            <w:shd w:val="clear" w:color="auto" w:fill="auto"/>
            <w:vAlign w:val="center"/>
          </w:tcPr>
          <w:p w14:paraId="4958826A">
            <w:pPr>
              <w:jc w:val="center"/>
              <w:rPr>
                <w:rFonts w:ascii="宋体" w:hAnsi="宋体" w:cs="宋体"/>
                <w:iCs/>
                <w:color w:val="000000"/>
                <w:kern w:val="0"/>
                <w:sz w:val="18"/>
                <w:szCs w:val="18"/>
              </w:rPr>
            </w:pPr>
            <w:r>
              <w:rPr>
                <w:rFonts w:hint="eastAsia" w:ascii="宋体" w:hAnsi="宋体" w:cs="宋体"/>
                <w:iCs/>
                <w:color w:val="000000"/>
                <w:kern w:val="0"/>
                <w:sz w:val="18"/>
                <w:szCs w:val="18"/>
              </w:rPr>
              <w:t>合 计</w:t>
            </w:r>
          </w:p>
        </w:tc>
        <w:tc>
          <w:tcPr>
            <w:tcW w:w="960" w:type="dxa"/>
            <w:shd w:val="clear" w:color="auto" w:fill="auto"/>
            <w:vAlign w:val="center"/>
          </w:tcPr>
          <w:p w14:paraId="1B1067FC">
            <w:pPr>
              <w:jc w:val="center"/>
              <w:rPr>
                <w:rFonts w:ascii="宋体" w:hAnsi="宋体" w:cs="宋体"/>
                <w:iCs/>
                <w:color w:val="000000"/>
                <w:kern w:val="0"/>
                <w:sz w:val="18"/>
                <w:szCs w:val="18"/>
              </w:rPr>
            </w:pPr>
            <w:r>
              <w:rPr>
                <w:rFonts w:hint="eastAsia" w:ascii="宋体" w:hAnsi="宋体" w:cs="宋体"/>
                <w:iCs/>
                <w:color w:val="000000"/>
                <w:kern w:val="0"/>
                <w:sz w:val="18"/>
                <w:szCs w:val="18"/>
              </w:rPr>
              <w:t>5</w:t>
            </w:r>
          </w:p>
        </w:tc>
        <w:tc>
          <w:tcPr>
            <w:tcW w:w="1656" w:type="dxa"/>
            <w:shd w:val="clear" w:color="auto" w:fill="auto"/>
            <w:vAlign w:val="center"/>
          </w:tcPr>
          <w:p w14:paraId="11CC6825">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500" w:type="dxa"/>
            <w:shd w:val="clear" w:color="auto" w:fill="auto"/>
            <w:vAlign w:val="center"/>
          </w:tcPr>
          <w:p w14:paraId="1EC0C47E">
            <w:pPr>
              <w:jc w:val="center"/>
              <w:rPr>
                <w:rFonts w:ascii="宋体" w:hAnsi="宋体" w:cs="宋体"/>
                <w:iCs/>
                <w:color w:val="000000"/>
                <w:kern w:val="0"/>
                <w:sz w:val="18"/>
                <w:szCs w:val="18"/>
              </w:rPr>
            </w:pPr>
            <w:r>
              <w:rPr>
                <w:rFonts w:hint="eastAsia" w:ascii="宋体" w:hAnsi="宋体" w:cs="宋体"/>
                <w:iCs/>
                <w:color w:val="000000"/>
                <w:kern w:val="0"/>
                <w:sz w:val="18"/>
                <w:szCs w:val="18"/>
              </w:rPr>
              <w:t>-</w:t>
            </w:r>
          </w:p>
        </w:tc>
        <w:tc>
          <w:tcPr>
            <w:tcW w:w="1119" w:type="dxa"/>
            <w:shd w:val="clear" w:color="auto" w:fill="auto"/>
            <w:vAlign w:val="center"/>
          </w:tcPr>
          <w:p w14:paraId="62678F2C">
            <w:pPr>
              <w:jc w:val="center"/>
              <w:rPr>
                <w:rFonts w:ascii="宋体" w:hAnsi="宋体" w:cs="宋体"/>
                <w:iCs/>
                <w:color w:val="000000"/>
                <w:kern w:val="0"/>
                <w:sz w:val="18"/>
                <w:szCs w:val="18"/>
              </w:rPr>
            </w:pPr>
            <w:r>
              <w:rPr>
                <w:rFonts w:hint="eastAsia" w:ascii="宋体" w:hAnsi="宋体" w:cs="宋体"/>
                <w:iCs/>
                <w:color w:val="000000"/>
                <w:kern w:val="0"/>
                <w:sz w:val="18"/>
                <w:szCs w:val="18"/>
              </w:rPr>
              <w:t>1611.02</w:t>
            </w:r>
          </w:p>
        </w:tc>
        <w:tc>
          <w:tcPr>
            <w:tcW w:w="1481" w:type="dxa"/>
            <w:shd w:val="clear" w:color="auto" w:fill="auto"/>
            <w:vAlign w:val="center"/>
          </w:tcPr>
          <w:p w14:paraId="62D37338">
            <w:pPr>
              <w:jc w:val="center"/>
              <w:rPr>
                <w:rFonts w:ascii="宋体" w:hAnsi="宋体" w:cs="宋体"/>
                <w:iCs/>
                <w:color w:val="000000"/>
                <w:kern w:val="0"/>
                <w:sz w:val="18"/>
                <w:szCs w:val="18"/>
              </w:rPr>
            </w:pPr>
            <w:r>
              <w:rPr>
                <w:rFonts w:hint="eastAsia" w:ascii="宋体" w:hAnsi="宋体" w:cs="宋体"/>
                <w:iCs/>
                <w:color w:val="000000"/>
                <w:kern w:val="0"/>
                <w:sz w:val="18"/>
                <w:szCs w:val="18"/>
              </w:rPr>
              <w:t>218.98</w:t>
            </w:r>
          </w:p>
        </w:tc>
        <w:tc>
          <w:tcPr>
            <w:tcW w:w="1300" w:type="dxa"/>
            <w:shd w:val="clear" w:color="auto" w:fill="auto"/>
            <w:vAlign w:val="center"/>
          </w:tcPr>
          <w:p w14:paraId="1A2A0AA4">
            <w:pPr>
              <w:jc w:val="center"/>
              <w:rPr>
                <w:rFonts w:ascii="宋体" w:hAnsi="宋体" w:cs="宋体"/>
                <w:iCs/>
                <w:color w:val="000000"/>
                <w:kern w:val="0"/>
                <w:sz w:val="18"/>
                <w:szCs w:val="18"/>
              </w:rPr>
            </w:pPr>
            <w:r>
              <w:rPr>
                <w:rFonts w:hint="eastAsia" w:ascii="宋体" w:hAnsi="宋体" w:cs="宋体"/>
                <w:iCs/>
                <w:color w:val="000000"/>
                <w:kern w:val="0"/>
                <w:sz w:val="18"/>
                <w:szCs w:val="18"/>
              </w:rPr>
              <w:t>4706.15</w:t>
            </w:r>
          </w:p>
        </w:tc>
        <w:tc>
          <w:tcPr>
            <w:tcW w:w="1300" w:type="dxa"/>
            <w:vAlign w:val="center"/>
          </w:tcPr>
          <w:p w14:paraId="3E69DA3D">
            <w:pPr>
              <w:jc w:val="center"/>
              <w:rPr>
                <w:rFonts w:ascii="宋体" w:hAnsi="宋体" w:cs="宋体"/>
                <w:iCs/>
                <w:color w:val="000000"/>
                <w:kern w:val="0"/>
                <w:sz w:val="18"/>
                <w:szCs w:val="18"/>
              </w:rPr>
            </w:pPr>
          </w:p>
        </w:tc>
      </w:tr>
    </w:tbl>
    <w:p w14:paraId="505BAA27">
      <w:pPr>
        <w:spacing w:line="360" w:lineRule="auto"/>
        <w:ind w:firstLine="562" w:firstLineChars="200"/>
        <w:rPr>
          <w:rFonts w:eastAsia="仿宋_GB2312"/>
          <w:b/>
          <w:color w:val="000000"/>
          <w:sz w:val="28"/>
        </w:rPr>
      </w:pPr>
      <w:r>
        <w:rPr>
          <w:rFonts w:hint="eastAsia" w:eastAsia="仿宋_GB2312"/>
          <w:b/>
          <w:color w:val="000000"/>
          <w:sz w:val="28"/>
        </w:rPr>
        <w:t>2、低丘缓坡土地综合开发利用情况</w:t>
      </w:r>
    </w:p>
    <w:p w14:paraId="33BB05C4">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为了深入贯彻科学发展观，落实国家关于积极稳妥推进低丘缓坡土地综合开发利用的精神，规划实施期间，东川区开展了县级低丘缓坡土地综合开发利用专项规划以及低丘缓坡实施方案的编制、审查和实施等工作，全面推进低丘缓坡土地资源的综合开发利用。截止2014年底，东川区组织编制了碧谷—四方地项目区和对门山项目区低丘缓坡土地综合开发利用实施方案，其中：碧谷—四方地项目总规模324.39公顷，新增建设用地55.44公顷；对门山项目总规模273.75公顷，新增建设用地28.72公顷。两个项目均于2014年通过云南省国土资源厅评审，于2015年取得云南省国土资源厅的批复。</w:t>
      </w:r>
    </w:p>
    <w:p w14:paraId="1561F3E3">
      <w:pPr>
        <w:spacing w:line="360" w:lineRule="auto"/>
        <w:ind w:firstLine="562" w:firstLineChars="200"/>
        <w:rPr>
          <w:rFonts w:eastAsia="仿宋_GB2312"/>
          <w:b/>
          <w:color w:val="000000"/>
          <w:sz w:val="28"/>
        </w:rPr>
      </w:pPr>
      <w:r>
        <w:rPr>
          <w:rFonts w:hint="eastAsia" w:eastAsia="仿宋_GB2312"/>
          <w:b/>
          <w:color w:val="000000"/>
          <w:sz w:val="28"/>
        </w:rPr>
        <w:t>3、重点建设项目实施情况</w:t>
      </w:r>
    </w:p>
    <w:p w14:paraId="07F6576A">
      <w:pPr>
        <w:ind w:firstLine="560"/>
        <w:rPr>
          <w:rFonts w:ascii="仿宋_GB2312" w:hAnsi="宋体" w:eastAsia="仿宋_GB2312"/>
          <w:sz w:val="28"/>
          <w:szCs w:val="28"/>
        </w:rPr>
      </w:pPr>
      <w:r>
        <w:rPr>
          <w:rFonts w:hint="eastAsia" w:ascii="仿宋_GB2312" w:hAnsi="宋体" w:eastAsia="仿宋_GB2312"/>
          <w:sz w:val="28"/>
          <w:szCs w:val="28"/>
        </w:rPr>
        <w:t>规划期内共安排了80个重点建设项目，其中水利类项目1个、交通类项目26个、能源类项目2个、电力类项目46个、环保类项目1个、产业发展类4个。</w:t>
      </w:r>
    </w:p>
    <w:p w14:paraId="2AB08A3C">
      <w:pPr>
        <w:ind w:firstLine="560"/>
        <w:rPr>
          <w:rFonts w:eastAsia="仿宋_GB2312"/>
          <w:color w:val="000000"/>
          <w:sz w:val="28"/>
        </w:rPr>
      </w:pPr>
      <w:r>
        <w:rPr>
          <w:rFonts w:hint="eastAsia" w:ascii="仿宋_GB2312" w:hAnsi="宋体" w:eastAsia="仿宋_GB2312"/>
          <w:sz w:val="28"/>
          <w:szCs w:val="28"/>
        </w:rPr>
        <w:t>规划实施期间共实施了17个重点项目，其中有6个交通项目、1个水利项目、2个能源项目、产业发展类项目2个、电力类项目6个、环保类项目1个。分别为：昆明华润天燃气公司东川管道、小清河七级电站、东川至红土地公路改扩建、凯通北路连接线、金东大桥、金江公路、团结渠渠首延伸工程、大红山管道、220KV新腊输变电工程、乌东德电站500KV送出工程、金源高本山风电场变电站、野牛塘风电场、野牛风电场、法者变电站、板河口四方地污水处理厂、金山矿业金矿选厂、乌龙博田人家清真屠宰厂。规划实施以来，2014年以前安排的大部分项目已实施，规划保障了重点项目的实施。</w:t>
      </w:r>
    </w:p>
    <w:p w14:paraId="1180050F">
      <w:pPr>
        <w:spacing w:beforeLines="100" w:afterLines="50" w:line="360" w:lineRule="auto"/>
        <w:jc w:val="center"/>
        <w:outlineLvl w:val="1"/>
        <w:rPr>
          <w:rFonts w:ascii="Arial" w:hAnsi="Arial" w:eastAsia="黑体"/>
          <w:bCs/>
          <w:color w:val="000000"/>
          <w:sz w:val="30"/>
          <w:szCs w:val="30"/>
        </w:rPr>
      </w:pPr>
      <w:bookmarkStart w:id="74" w:name="_Toc491074896"/>
      <w:r>
        <w:rPr>
          <w:rFonts w:hint="eastAsia" w:ascii="Arial" w:hAnsi="Arial" w:eastAsia="黑体"/>
          <w:bCs/>
          <w:color w:val="000000"/>
          <w:sz w:val="30"/>
          <w:szCs w:val="30"/>
        </w:rPr>
        <w:t>第三节  现行规划实施成效与存在问题</w:t>
      </w:r>
      <w:bookmarkEnd w:id="74"/>
    </w:p>
    <w:p w14:paraId="44E799D3">
      <w:pPr>
        <w:pStyle w:val="4"/>
        <w:spacing w:before="0" w:after="0" w:line="480" w:lineRule="auto"/>
        <w:rPr>
          <w:rFonts w:ascii="Arial" w:hAnsi="Arial" w:eastAsia="黑体"/>
          <w:b w:val="0"/>
          <w:color w:val="000000"/>
          <w:sz w:val="28"/>
          <w:szCs w:val="28"/>
        </w:rPr>
      </w:pPr>
      <w:bookmarkStart w:id="75" w:name="_Toc445129967"/>
      <w:bookmarkStart w:id="76" w:name="_Toc445053295"/>
      <w:bookmarkStart w:id="77" w:name="_Toc445029185"/>
      <w:r>
        <w:rPr>
          <w:rFonts w:hint="eastAsia" w:ascii="Arial" w:hAnsi="Arial" w:eastAsia="黑体"/>
          <w:b w:val="0"/>
          <w:color w:val="000000"/>
          <w:sz w:val="28"/>
          <w:szCs w:val="28"/>
        </w:rPr>
        <w:t>一、实施成效</w:t>
      </w:r>
    </w:p>
    <w:p w14:paraId="436F9469">
      <w:pPr>
        <w:ind w:firstLine="560"/>
        <w:rPr>
          <w:rFonts w:ascii="仿宋_GB2312" w:hAnsi="宋体" w:eastAsia="仿宋_GB2312"/>
          <w:sz w:val="28"/>
          <w:szCs w:val="28"/>
        </w:rPr>
      </w:pPr>
      <w:r>
        <w:rPr>
          <w:rFonts w:hint="eastAsia" w:ascii="仿宋_GB2312" w:hAnsi="宋体" w:eastAsia="仿宋_GB2312"/>
          <w:sz w:val="28"/>
          <w:szCs w:val="28"/>
        </w:rPr>
        <w:t>东川区现行规划实施五年来，按照东川区党委政府的统一部署，认真贯彻执行社会经济宏观调控的土地政策，在促进国民经济协调发展方面起到了重要作用；在实现各主要规划目标、实施保护坝区耕地农田、促进城镇上山、推进节约集约用地、保障重点基础设施用地等方面取得了较好成效。</w:t>
      </w:r>
    </w:p>
    <w:p w14:paraId="47241D03">
      <w:pPr>
        <w:pStyle w:val="4"/>
        <w:spacing w:before="0" w:after="0" w:line="360" w:lineRule="auto"/>
        <w:ind w:firstLine="275" w:firstLineChars="98"/>
        <w:rPr>
          <w:rFonts w:ascii="仿宋_GB2312" w:hAnsi="宋体" w:eastAsia="仿宋_GB2312"/>
          <w:sz w:val="28"/>
          <w:szCs w:val="28"/>
        </w:rPr>
      </w:pPr>
      <w:r>
        <w:rPr>
          <w:rFonts w:ascii="仿宋_GB2312" w:hAnsi="宋体" w:eastAsia="仿宋_GB2312"/>
          <w:sz w:val="28"/>
          <w:szCs w:val="28"/>
        </w:rPr>
        <w:t>1</w:t>
      </w:r>
      <w:r>
        <w:rPr>
          <w:rFonts w:hint="eastAsia" w:ascii="仿宋_GB2312" w:hAnsi="宋体" w:eastAsia="仿宋_GB2312"/>
          <w:sz w:val="28"/>
          <w:szCs w:val="28"/>
        </w:rPr>
        <w:t>、用地指标总体实施情况较好</w:t>
      </w:r>
    </w:p>
    <w:p w14:paraId="7F6B80C8">
      <w:pPr>
        <w:ind w:firstLine="560"/>
        <w:rPr>
          <w:rFonts w:ascii="仿宋_GB2312" w:hAnsi="宋体" w:eastAsia="仿宋_GB2312"/>
          <w:sz w:val="28"/>
          <w:szCs w:val="28"/>
        </w:rPr>
      </w:pPr>
      <w:r>
        <w:rPr>
          <w:rFonts w:hint="eastAsia" w:ascii="仿宋_GB2312" w:hAnsi="宋体" w:eastAsia="仿宋_GB2312"/>
          <w:sz w:val="28"/>
          <w:szCs w:val="28"/>
        </w:rPr>
        <w:t>规划实施期间，东川区耕地保有量、规划基本农田、建设用地总规模、城乡建设用地规模、城镇工矿用地规模、交通水利及其他建设用地规模、新增建设用地规模、新增建设占用耕地规模等核心指标总体实施情况较好。</w:t>
      </w:r>
    </w:p>
    <w:p w14:paraId="47AF32FC">
      <w:pPr>
        <w:pStyle w:val="4"/>
        <w:spacing w:before="0" w:after="0" w:line="360" w:lineRule="auto"/>
        <w:ind w:firstLine="275" w:firstLineChars="98"/>
        <w:rPr>
          <w:rFonts w:ascii="仿宋_GB2312" w:hAnsi="宋体" w:eastAsia="仿宋_GB2312"/>
          <w:sz w:val="28"/>
          <w:szCs w:val="28"/>
        </w:rPr>
      </w:pPr>
      <w:r>
        <w:rPr>
          <w:rFonts w:ascii="仿宋_GB2312" w:hAnsi="宋体" w:eastAsia="仿宋_GB2312"/>
          <w:sz w:val="28"/>
          <w:szCs w:val="28"/>
        </w:rPr>
        <w:t>2</w:t>
      </w:r>
      <w:r>
        <w:rPr>
          <w:rFonts w:hint="eastAsia" w:ascii="仿宋_GB2312" w:hAnsi="宋体" w:eastAsia="仿宋_GB2312"/>
          <w:sz w:val="28"/>
          <w:szCs w:val="28"/>
        </w:rPr>
        <w:t>、促进了全区经济社会发展</w:t>
      </w:r>
    </w:p>
    <w:p w14:paraId="0C6E7D86">
      <w:pPr>
        <w:ind w:firstLine="560"/>
        <w:rPr>
          <w:rFonts w:ascii="仿宋_GB2312" w:hAnsi="宋体" w:eastAsia="仿宋_GB2312"/>
          <w:sz w:val="28"/>
          <w:szCs w:val="28"/>
        </w:rPr>
      </w:pPr>
      <w:r>
        <w:rPr>
          <w:rFonts w:hint="eastAsia" w:ascii="仿宋_GB2312" w:hAnsi="宋体" w:eastAsia="仿宋_GB2312"/>
          <w:sz w:val="28"/>
          <w:szCs w:val="28"/>
        </w:rPr>
        <w:t>规划实施期间，对全区经济社会发展起到了积极的引导作用，城镇空间整合优化得到明显的推进，生态环境显著改善，在一定程度上缓解了土地供需矛盾，保障了城市建设的用地需求，为区域内节约集约用地和土地可持续利用提供了保障。</w:t>
      </w:r>
    </w:p>
    <w:p w14:paraId="513DFBA6">
      <w:pPr>
        <w:pStyle w:val="4"/>
        <w:spacing w:before="0" w:after="0" w:line="360" w:lineRule="auto"/>
        <w:ind w:firstLine="275" w:firstLineChars="98"/>
        <w:rPr>
          <w:rFonts w:ascii="仿宋_GB2312" w:hAnsi="宋体" w:eastAsia="仿宋_GB2312"/>
          <w:sz w:val="28"/>
          <w:szCs w:val="28"/>
        </w:rPr>
      </w:pPr>
      <w:r>
        <w:rPr>
          <w:rFonts w:ascii="仿宋_GB2312" w:hAnsi="宋体" w:eastAsia="仿宋_GB2312"/>
          <w:sz w:val="28"/>
          <w:szCs w:val="28"/>
        </w:rPr>
        <w:t>3</w:t>
      </w:r>
      <w:r>
        <w:rPr>
          <w:rFonts w:hint="eastAsia" w:ascii="仿宋_GB2312" w:hAnsi="宋体" w:eastAsia="仿宋_GB2312"/>
          <w:sz w:val="28"/>
          <w:szCs w:val="28"/>
        </w:rPr>
        <w:t>、基本保障社会经济发展合理用地的需求</w:t>
      </w:r>
    </w:p>
    <w:p w14:paraId="396B4892">
      <w:pPr>
        <w:ind w:firstLine="560"/>
        <w:rPr>
          <w:rFonts w:ascii="仿宋_GB2312" w:hAnsi="宋体" w:eastAsia="仿宋_GB2312"/>
          <w:sz w:val="28"/>
          <w:szCs w:val="28"/>
        </w:rPr>
      </w:pPr>
      <w:r>
        <w:rPr>
          <w:rFonts w:hint="eastAsia" w:ascii="仿宋_GB2312" w:hAnsi="宋体" w:eastAsia="仿宋_GB2312"/>
          <w:sz w:val="28"/>
          <w:szCs w:val="28"/>
        </w:rPr>
        <w:t>在实施过程中，紧紧围绕东川区社会经济发展大局，以支持发展为工作的出发点，优先保障了重点建设项目用地。在保障重点项目用地的同时，兼顾部分一般项目用地，有效的保证了合理的用地需求，促进了经济的快速健康发展。规划实施以来，全区新增建设用地指标有效保证了能源、交通等基础设施建设，优先保障了昆明华润天燃气公司东川管道、小清河七级电站、东川至红土地公路改扩建、凯通北路连接线、金东大桥、金江公路、野牛风电场等项目用地需求。</w:t>
      </w:r>
    </w:p>
    <w:p w14:paraId="4F3732A6">
      <w:pPr>
        <w:pStyle w:val="4"/>
        <w:spacing w:before="0" w:after="0" w:line="360" w:lineRule="auto"/>
        <w:ind w:firstLine="275" w:firstLineChars="98"/>
        <w:rPr>
          <w:rFonts w:ascii="仿宋_GB2312" w:hAnsi="宋体" w:eastAsia="仿宋_GB2312"/>
          <w:sz w:val="28"/>
          <w:szCs w:val="28"/>
        </w:rPr>
      </w:pPr>
      <w:r>
        <w:rPr>
          <w:rFonts w:ascii="仿宋_GB2312" w:hAnsi="宋体" w:eastAsia="仿宋_GB2312"/>
          <w:sz w:val="28"/>
          <w:szCs w:val="28"/>
        </w:rPr>
        <w:t>4</w:t>
      </w:r>
      <w:r>
        <w:rPr>
          <w:rFonts w:hint="eastAsia" w:ascii="仿宋_GB2312" w:hAnsi="宋体" w:eastAsia="仿宋_GB2312"/>
          <w:sz w:val="28"/>
          <w:szCs w:val="28"/>
        </w:rPr>
        <w:t>、提高了土地利用效率</w:t>
      </w:r>
    </w:p>
    <w:p w14:paraId="22EAD6FB">
      <w:pPr>
        <w:ind w:firstLine="560"/>
        <w:rPr>
          <w:rFonts w:ascii="仿宋_GB2312" w:hAnsi="宋体" w:eastAsia="仿宋_GB2312"/>
          <w:sz w:val="28"/>
          <w:szCs w:val="28"/>
        </w:rPr>
      </w:pPr>
      <w:r>
        <w:rPr>
          <w:rFonts w:hint="eastAsia" w:ascii="仿宋_GB2312" w:hAnsi="宋体" w:eastAsia="仿宋_GB2312"/>
          <w:sz w:val="28"/>
          <w:szCs w:val="28"/>
        </w:rPr>
        <w:t>规划实施期内，东川区各部门不断转变以往的不合理土地利用方式，改高投入、高消耗、低效率为低投入、低消耗、高产出，改粗放利用土地、经济外延增长为集约利用土地，走内涵式挖潜道路，充分发挥土地资源的资产效益。</w:t>
      </w:r>
    </w:p>
    <w:bookmarkEnd w:id="75"/>
    <w:bookmarkEnd w:id="76"/>
    <w:bookmarkEnd w:id="77"/>
    <w:p w14:paraId="006B3A94">
      <w:pPr>
        <w:pStyle w:val="4"/>
        <w:spacing w:before="0" w:after="0" w:line="480" w:lineRule="auto"/>
        <w:rPr>
          <w:rFonts w:ascii="Arial" w:hAnsi="Arial" w:eastAsia="黑体"/>
          <w:b w:val="0"/>
          <w:color w:val="000000"/>
          <w:sz w:val="28"/>
          <w:szCs w:val="28"/>
        </w:rPr>
      </w:pPr>
      <w:bookmarkStart w:id="78" w:name="_Toc412650333"/>
      <w:bookmarkStart w:id="79" w:name="_Toc448249281"/>
      <w:r>
        <w:rPr>
          <w:rFonts w:hint="eastAsia" w:ascii="Arial" w:hAnsi="Arial" w:eastAsia="黑体"/>
          <w:b w:val="0"/>
          <w:color w:val="000000"/>
          <w:sz w:val="28"/>
          <w:szCs w:val="28"/>
        </w:rPr>
        <w:t>二、存在问题</w:t>
      </w:r>
      <w:bookmarkEnd w:id="78"/>
      <w:bookmarkEnd w:id="79"/>
    </w:p>
    <w:p w14:paraId="7DA43DC4">
      <w:pPr>
        <w:pStyle w:val="4"/>
        <w:spacing w:before="0" w:after="0" w:line="360" w:lineRule="auto"/>
        <w:ind w:firstLine="275" w:firstLineChars="98"/>
        <w:rPr>
          <w:rFonts w:ascii="仿宋_GB2312" w:hAnsi="宋体" w:eastAsia="仿宋_GB2312"/>
          <w:sz w:val="28"/>
          <w:szCs w:val="28"/>
        </w:rPr>
      </w:pPr>
      <w:bookmarkStart w:id="80" w:name="_Toc448323064"/>
      <w:bookmarkStart w:id="81" w:name="_Toc445029190"/>
      <w:bookmarkStart w:id="82" w:name="_Toc445053300"/>
      <w:bookmarkStart w:id="83" w:name="_Toc445129972"/>
      <w:bookmarkStart w:id="84" w:name="_Toc448249282"/>
      <w:r>
        <w:rPr>
          <w:rFonts w:hint="eastAsia" w:ascii="仿宋_GB2312" w:hAnsi="宋体" w:eastAsia="仿宋_GB2312"/>
          <w:sz w:val="28"/>
          <w:szCs w:val="28"/>
        </w:rPr>
        <w:t>1</w:t>
      </w:r>
      <w:r>
        <w:rPr>
          <w:rFonts w:ascii="仿宋_GB2312" w:hAnsi="宋体" w:eastAsia="仿宋_GB2312"/>
          <w:sz w:val="28"/>
          <w:szCs w:val="28"/>
        </w:rPr>
        <w:t>、耕地和基本农田得到保护但未来压力较大</w:t>
      </w:r>
      <w:bookmarkEnd w:id="80"/>
    </w:p>
    <w:p w14:paraId="4BBA7C8D">
      <w:pPr>
        <w:spacing w:line="360" w:lineRule="auto"/>
        <w:ind w:firstLine="560" w:firstLineChars="200"/>
        <w:rPr>
          <w:rFonts w:ascii="仿宋_GB2312" w:eastAsia="仿宋_GB2312"/>
          <w:sz w:val="28"/>
          <w:szCs w:val="28"/>
        </w:rPr>
      </w:pPr>
      <w:r>
        <w:rPr>
          <w:rFonts w:ascii="仿宋_GB2312" w:eastAsia="仿宋_GB2312"/>
          <w:sz w:val="28"/>
          <w:szCs w:val="28"/>
        </w:rPr>
        <w:t>从全区来看，</w:t>
      </w:r>
      <w:r>
        <w:rPr>
          <w:rFonts w:hint="eastAsia" w:ascii="仿宋_GB2312" w:eastAsia="仿宋_GB2312"/>
          <w:sz w:val="28"/>
          <w:szCs w:val="28"/>
        </w:rPr>
        <w:t>东川</w:t>
      </w:r>
      <w:r>
        <w:rPr>
          <w:rFonts w:ascii="仿宋_GB2312" w:eastAsia="仿宋_GB2312"/>
          <w:sz w:val="28"/>
          <w:szCs w:val="28"/>
        </w:rPr>
        <w:t>区实际耕地保有量和基本农田保护面积均未超出规划阶段目标，耕地和基本农田得到有效保护。</w:t>
      </w:r>
      <w:r>
        <w:rPr>
          <w:rFonts w:hint="eastAsia" w:ascii="仿宋_GB2312" w:eastAsia="仿宋_GB2312"/>
          <w:sz w:val="28"/>
          <w:szCs w:val="28"/>
        </w:rPr>
        <w:t>根据东川区2014年土地变更调查成果数据和东川区土地利用总体规划（2010-2020年）成果数据，2014年全区耕地保有量32403.40公顷，高于2020年规划目标。基本农田保护在落实上级下达保护任务的前提下，多划定的基本农田预留做多划后占指标，规划实施期间暂无项目申请使用，仍剩余2133.87公顷的多划基本农田指标，东川区耕地、基本农田及其坝区基本农田保护情况较好。</w:t>
      </w:r>
    </w:p>
    <w:p w14:paraId="380180D0">
      <w:pPr>
        <w:spacing w:line="360" w:lineRule="auto"/>
        <w:ind w:firstLine="560" w:firstLineChars="200"/>
        <w:rPr>
          <w:rFonts w:ascii="仿宋_GB2312" w:eastAsia="仿宋_GB2312"/>
          <w:sz w:val="28"/>
          <w:szCs w:val="28"/>
        </w:rPr>
      </w:pPr>
      <w:r>
        <w:rPr>
          <w:rFonts w:hint="eastAsia" w:ascii="仿宋_GB2312" w:eastAsia="仿宋_GB2312"/>
          <w:sz w:val="28"/>
          <w:szCs w:val="28"/>
        </w:rPr>
        <w:t>但是，随着云南省退耕还林还草方案的实施以及东川区</w:t>
      </w:r>
      <w:r>
        <w:rPr>
          <w:rFonts w:ascii="仿宋_GB2312" w:eastAsia="仿宋_GB2312"/>
          <w:sz w:val="28"/>
          <w:szCs w:val="28"/>
        </w:rPr>
        <w:t>中心城镇</w:t>
      </w:r>
      <w:r>
        <w:rPr>
          <w:rFonts w:hint="eastAsia" w:ascii="仿宋_GB2312" w:eastAsia="仿宋_GB2312"/>
          <w:sz w:val="28"/>
          <w:szCs w:val="28"/>
        </w:rPr>
        <w:t>的规划实施、东川区工业园区的建设以及重大交通基础设施等一系列项目的建设，东川区现行规划确定的耕地及基本农田保护面积、布局将对东川区经济社会的正常发展产生一定不利影响，扣除该部分重大项目所占用耕地及坡度25度以上坡耕地共计11421.05公顷，东川区耕地面积剩余19063.99公顷。经对现有规划基本农田分析，尚有8670.34公顷坡度25度以上的坡耕地被划入基本农田，该部分基本农田不能满足国家对基本农田保护的质量要求。由于东川区划入基本农田的耕地坡度较大，图斑较破碎，因此基本农田实际保护压力较大，将对东川区未来社会经济发展产生较大制约</w:t>
      </w:r>
    </w:p>
    <w:p w14:paraId="0EA119EE">
      <w:pPr>
        <w:pStyle w:val="4"/>
        <w:spacing w:before="0" w:after="0" w:line="360" w:lineRule="auto"/>
        <w:ind w:firstLine="275" w:firstLineChars="98"/>
        <w:rPr>
          <w:rFonts w:ascii="仿宋_GB2312" w:hAnsi="宋体" w:eastAsia="仿宋_GB2312"/>
          <w:sz w:val="28"/>
          <w:szCs w:val="28"/>
        </w:rPr>
      </w:pPr>
      <w:bookmarkStart w:id="85" w:name="_Toc448323065"/>
      <w:r>
        <w:rPr>
          <w:rFonts w:hint="eastAsia" w:ascii="仿宋_GB2312" w:hAnsi="宋体" w:eastAsia="仿宋_GB2312"/>
          <w:sz w:val="28"/>
          <w:szCs w:val="28"/>
        </w:rPr>
        <w:t>2</w:t>
      </w:r>
      <w:r>
        <w:rPr>
          <w:rFonts w:ascii="仿宋_GB2312" w:hAnsi="宋体" w:eastAsia="仿宋_GB2312"/>
          <w:sz w:val="28"/>
          <w:szCs w:val="28"/>
        </w:rPr>
        <w:t>、建设用地管制分区执行情况一般</w:t>
      </w:r>
      <w:bookmarkEnd w:id="85"/>
    </w:p>
    <w:p w14:paraId="23D67F1A">
      <w:pPr>
        <w:spacing w:line="360" w:lineRule="auto"/>
        <w:ind w:firstLine="560" w:firstLineChars="200"/>
        <w:rPr>
          <w:rFonts w:ascii="仿宋_GB2312" w:eastAsia="仿宋_GB2312"/>
          <w:sz w:val="28"/>
          <w:szCs w:val="28"/>
        </w:rPr>
      </w:pPr>
      <w:r>
        <w:rPr>
          <w:rFonts w:ascii="仿宋_GB2312" w:eastAsia="仿宋_GB2312"/>
          <w:sz w:val="28"/>
          <w:szCs w:val="28"/>
        </w:rPr>
        <w:t>规划实施期间，</w:t>
      </w:r>
      <w:r>
        <w:rPr>
          <w:rFonts w:hint="eastAsia" w:ascii="仿宋_GB2312" w:eastAsia="仿宋_GB2312"/>
          <w:sz w:val="28"/>
          <w:szCs w:val="28"/>
        </w:rPr>
        <w:t xml:space="preserve">新增城乡建设用地有 128.11公顷位于限制建设区，占全区新增城乡建设用地面积的53.03%；新增建设用地有56.71公顷于一般农地区，8.18公顷位于林业用地区面积。建设用地管制分区和土地用途分区执行情况一般。 </w:t>
      </w:r>
    </w:p>
    <w:p w14:paraId="7AE0884E">
      <w:pPr>
        <w:spacing w:line="360" w:lineRule="auto"/>
        <w:ind w:firstLine="560" w:firstLineChars="200"/>
        <w:rPr>
          <w:rFonts w:ascii="仿宋_GB2312" w:eastAsia="仿宋_GB2312"/>
          <w:sz w:val="28"/>
          <w:szCs w:val="28"/>
        </w:rPr>
      </w:pPr>
      <w:r>
        <w:rPr>
          <w:rFonts w:hint="eastAsia" w:ascii="仿宋_GB2312" w:eastAsia="仿宋_GB2312"/>
          <w:sz w:val="28"/>
          <w:szCs w:val="28"/>
        </w:rPr>
        <w:t>根据东川区土地利用总体规划成果及2014年土地变更调查成果数据，经空间对比分析和实地调查，位于土地用途区中一般农地区和林业用地区的新增建设用地、位于建设用地管制区中限制建设区的新增城乡建设用地为东川矿区地质灾害隐患区搬迁至城镇周边的一些农村居民点（变更调查中变更为建制镇）、农民自行建房（变更调查中变更为农村居民点）、农民自行开挖的采石、采沙场（变更调查中变更为采矿用地）、农村集体在城镇周边建设的农产品加工厂房及一些经营用地（变更调查中大部分变更为建制镇，少部分变更为农村居民点），农民规划意识薄弱，建设随意性较大；同时部分建设用地是为发展农村集体经济的临时用地，但尚未完善相关用地手续，在年度变更时按相关要求变更为建设用地，导致部分土地未能严格按照建设用地空间管制和用途分区管制规划执行。</w:t>
      </w:r>
    </w:p>
    <w:p w14:paraId="32F6440C">
      <w:pPr>
        <w:pStyle w:val="4"/>
        <w:spacing w:before="0" w:after="0" w:line="360" w:lineRule="auto"/>
        <w:ind w:firstLine="275" w:firstLineChars="98"/>
        <w:rPr>
          <w:rFonts w:ascii="仿宋_GB2312" w:hAnsi="宋体" w:eastAsia="仿宋_GB2312"/>
          <w:sz w:val="28"/>
          <w:szCs w:val="28"/>
        </w:rPr>
      </w:pPr>
      <w:r>
        <w:rPr>
          <w:rFonts w:hint="eastAsia" w:ascii="仿宋_GB2312" w:hAnsi="宋体" w:eastAsia="仿宋_GB2312"/>
          <w:sz w:val="28"/>
          <w:szCs w:val="28"/>
        </w:rPr>
        <w:t>3、土地利用总体规划中预留的村庄建设空间不足</w:t>
      </w:r>
    </w:p>
    <w:p w14:paraId="12FD6E1E">
      <w:pPr>
        <w:spacing w:line="360" w:lineRule="auto"/>
        <w:ind w:firstLine="560" w:firstLineChars="200"/>
        <w:rPr>
          <w:rFonts w:ascii="仿宋_GB2312" w:eastAsia="仿宋_GB2312"/>
          <w:sz w:val="28"/>
          <w:szCs w:val="28"/>
        </w:rPr>
      </w:pPr>
      <w:r>
        <w:rPr>
          <w:rFonts w:hint="eastAsia" w:ascii="仿宋_GB2312" w:eastAsia="仿宋_GB2312"/>
          <w:sz w:val="28"/>
          <w:szCs w:val="28"/>
        </w:rPr>
        <w:t>在现行土地利用总体规划编制时，为满足重点建设项目用地需求，东川区大部分建设用地指标安排在重点建设项目内，剩余指标主要考虑县城和重点乡镇发展需求，新增建设用地指标主要布局在铜都街道、阿旺镇和红土地镇，为居民点集聚区预留的新增建设用地指标较少，随着乡镇及农村经济的发展，现布局在村庄的新增建设用地将无法满足乡镇发展需求以及农村建设用地需求，这将一定程度制约乡镇及农村经济发展，同时对建设用地空间管制造成一定影响。</w:t>
      </w:r>
    </w:p>
    <w:p w14:paraId="7F244C43">
      <w:pPr>
        <w:pStyle w:val="4"/>
        <w:spacing w:before="0" w:after="0" w:line="360" w:lineRule="auto"/>
        <w:ind w:firstLine="275" w:firstLineChars="98"/>
        <w:rPr>
          <w:rFonts w:ascii="仿宋_GB2312" w:hAnsi="宋体" w:eastAsia="仿宋_GB2312"/>
          <w:sz w:val="28"/>
          <w:szCs w:val="28"/>
        </w:rPr>
      </w:pPr>
      <w:r>
        <w:rPr>
          <w:rFonts w:hint="eastAsia" w:ascii="仿宋_GB2312" w:hAnsi="宋体" w:eastAsia="仿宋_GB2312"/>
          <w:sz w:val="28"/>
          <w:szCs w:val="28"/>
        </w:rPr>
        <w:t>4、</w:t>
      </w:r>
      <w:bookmarkEnd w:id="81"/>
      <w:bookmarkEnd w:id="82"/>
      <w:bookmarkEnd w:id="83"/>
      <w:bookmarkEnd w:id="84"/>
      <w:r>
        <w:rPr>
          <w:rFonts w:hint="eastAsia" w:ascii="仿宋_GB2312" w:hAnsi="宋体" w:eastAsia="仿宋_GB2312"/>
          <w:sz w:val="28"/>
          <w:szCs w:val="28"/>
        </w:rPr>
        <w:t>土地开发整理复垦力度有待加强</w:t>
      </w:r>
    </w:p>
    <w:p w14:paraId="35C8EE92">
      <w:pPr>
        <w:spacing w:line="360" w:lineRule="auto"/>
        <w:ind w:firstLine="560" w:firstLineChars="200"/>
        <w:rPr>
          <w:rFonts w:ascii="仿宋_GB2312" w:eastAsia="仿宋_GB2312"/>
          <w:sz w:val="28"/>
          <w:szCs w:val="28"/>
        </w:rPr>
      </w:pPr>
      <w:r>
        <w:rPr>
          <w:rFonts w:hint="eastAsia" w:ascii="仿宋_GB2312" w:eastAsia="仿宋_GB2312"/>
          <w:sz w:val="28"/>
          <w:szCs w:val="28"/>
        </w:rPr>
        <w:t>东川区土地整治补充耕地阶段目标值为170.91公顷，规划实施至2014年东川区开展的5个土地整理项目仅有1个完成竣工验收，新增耕地40.60公顷，土地开发整理复垦补充耕地项目实施缓慢，土地整治力度有待加强。其余4个分别于2014-2015年竣工并验收，由于本次评估只将至2014年12月完成终验的土地整治项目纳入该项指标实现度评估的范畴，因些导致2014年东川区土地开发整理复垦补充耕地阶段目标未实现。在今后的实施过程中，东川区将积极配合有关部门，进一步加强土地开发整理复垦力度。</w:t>
      </w:r>
    </w:p>
    <w:p w14:paraId="62BEC22A">
      <w:pPr>
        <w:spacing w:line="360" w:lineRule="auto"/>
        <w:ind w:firstLine="560" w:firstLineChars="200"/>
        <w:rPr>
          <w:rFonts w:ascii="仿宋_GB2312" w:eastAsia="仿宋_GB2312"/>
          <w:sz w:val="28"/>
          <w:szCs w:val="28"/>
        </w:rPr>
      </w:pPr>
    </w:p>
    <w:p w14:paraId="31A2729F">
      <w:pPr>
        <w:spacing w:line="360" w:lineRule="auto"/>
        <w:ind w:firstLine="560" w:firstLineChars="200"/>
        <w:rPr>
          <w:rFonts w:ascii="仿宋_GB2312" w:eastAsia="仿宋_GB2312"/>
          <w:sz w:val="28"/>
          <w:szCs w:val="28"/>
        </w:rPr>
      </w:pPr>
    </w:p>
    <w:p w14:paraId="165F2F1C">
      <w:pPr>
        <w:spacing w:line="360" w:lineRule="auto"/>
        <w:ind w:firstLine="560" w:firstLineChars="200"/>
        <w:rPr>
          <w:rFonts w:ascii="仿宋_GB2312" w:eastAsia="仿宋_GB2312"/>
          <w:sz w:val="28"/>
          <w:szCs w:val="28"/>
        </w:rPr>
      </w:pPr>
    </w:p>
    <w:p w14:paraId="62FE895A">
      <w:pPr>
        <w:spacing w:line="360" w:lineRule="auto"/>
        <w:ind w:firstLine="560" w:firstLineChars="200"/>
        <w:rPr>
          <w:rFonts w:ascii="仿宋_GB2312" w:eastAsia="仿宋_GB2312"/>
          <w:sz w:val="28"/>
          <w:szCs w:val="28"/>
        </w:rPr>
      </w:pPr>
    </w:p>
    <w:p w14:paraId="38B38D2B">
      <w:pPr>
        <w:spacing w:line="360" w:lineRule="auto"/>
        <w:ind w:firstLine="560" w:firstLineChars="200"/>
        <w:rPr>
          <w:rFonts w:ascii="仿宋_GB2312" w:eastAsia="仿宋_GB2312"/>
          <w:sz w:val="28"/>
          <w:szCs w:val="28"/>
        </w:rPr>
      </w:pPr>
    </w:p>
    <w:p w14:paraId="5A0A2E4E">
      <w:pPr>
        <w:spacing w:line="360" w:lineRule="auto"/>
        <w:ind w:firstLine="560" w:firstLineChars="200"/>
        <w:rPr>
          <w:rFonts w:ascii="仿宋_GB2312" w:eastAsia="仿宋_GB2312"/>
          <w:sz w:val="28"/>
          <w:szCs w:val="28"/>
        </w:rPr>
      </w:pPr>
    </w:p>
    <w:p w14:paraId="497DA126">
      <w:pPr>
        <w:spacing w:line="360" w:lineRule="auto"/>
        <w:ind w:firstLine="560" w:firstLineChars="200"/>
        <w:rPr>
          <w:rFonts w:ascii="仿宋_GB2312" w:eastAsia="仿宋_GB2312"/>
          <w:sz w:val="28"/>
          <w:szCs w:val="28"/>
        </w:rPr>
      </w:pPr>
    </w:p>
    <w:p w14:paraId="19A951E6">
      <w:pPr>
        <w:pStyle w:val="2"/>
        <w:spacing w:line="360" w:lineRule="auto"/>
        <w:jc w:val="center"/>
        <w:rPr>
          <w:rFonts w:ascii="黑体" w:eastAsia="黑体"/>
          <w:b w:val="0"/>
          <w:color w:val="000000"/>
          <w:sz w:val="32"/>
          <w:szCs w:val="32"/>
        </w:rPr>
      </w:pPr>
      <w:bookmarkStart w:id="86" w:name="_Toc491074897"/>
      <w:bookmarkStart w:id="87" w:name="_Toc246401384"/>
      <w:bookmarkStart w:id="88" w:name="_Toc110393177"/>
      <w:bookmarkStart w:id="89" w:name="_Toc178751992"/>
      <w:bookmarkStart w:id="90" w:name="_Toc233987182"/>
      <w:bookmarkStart w:id="91" w:name="_Toc84234908"/>
      <w:bookmarkStart w:id="92" w:name="_Toc172377915"/>
      <w:bookmarkStart w:id="93" w:name="_Toc108172141"/>
      <w:bookmarkStart w:id="94" w:name="_Toc99511527"/>
      <w:bookmarkStart w:id="95" w:name="_Toc91513695"/>
      <w:r>
        <w:rPr>
          <w:rFonts w:hint="eastAsia" w:ascii="黑体" w:eastAsia="黑体"/>
          <w:b w:val="0"/>
          <w:color w:val="000000"/>
          <w:sz w:val="32"/>
          <w:szCs w:val="32"/>
        </w:rPr>
        <w:t>第四章  永久基本农田划定</w:t>
      </w:r>
      <w:bookmarkEnd w:id="86"/>
    </w:p>
    <w:p w14:paraId="7861BDEF">
      <w:pPr>
        <w:spacing w:beforeLines="100" w:afterLines="50" w:line="360" w:lineRule="auto"/>
        <w:jc w:val="center"/>
        <w:outlineLvl w:val="1"/>
        <w:rPr>
          <w:rFonts w:ascii="Arial" w:hAnsi="Arial" w:eastAsia="黑体"/>
          <w:bCs/>
          <w:color w:val="000000"/>
          <w:sz w:val="30"/>
          <w:szCs w:val="30"/>
        </w:rPr>
      </w:pPr>
      <w:bookmarkStart w:id="96" w:name="_Toc491074898"/>
      <w:r>
        <w:rPr>
          <w:rFonts w:hint="eastAsia" w:ascii="Arial" w:hAnsi="Arial" w:eastAsia="黑体"/>
          <w:bCs/>
          <w:color w:val="000000"/>
          <w:sz w:val="30"/>
          <w:szCs w:val="30"/>
        </w:rPr>
        <w:t>第一节</w:t>
      </w:r>
      <w:bookmarkStart w:id="97" w:name="_Toc296597886"/>
      <w:bookmarkStart w:id="98" w:name="_Toc296607041"/>
      <w:bookmarkStart w:id="99" w:name="_Toc482867513"/>
      <w:r>
        <w:rPr>
          <w:rFonts w:hint="eastAsia" w:ascii="Arial" w:hAnsi="Arial" w:eastAsia="黑体"/>
          <w:bCs/>
          <w:color w:val="000000"/>
          <w:sz w:val="30"/>
          <w:szCs w:val="30"/>
        </w:rPr>
        <w:t xml:space="preserve">  </w:t>
      </w:r>
      <w:bookmarkEnd w:id="97"/>
      <w:bookmarkEnd w:id="98"/>
      <w:r>
        <w:rPr>
          <w:rFonts w:hint="eastAsia" w:ascii="Arial" w:hAnsi="Arial" w:eastAsia="黑体"/>
          <w:bCs/>
          <w:color w:val="000000"/>
          <w:sz w:val="30"/>
          <w:szCs w:val="30"/>
        </w:rPr>
        <w:t>城镇周边永久基本农田划定情况</w:t>
      </w:r>
      <w:bookmarkEnd w:id="96"/>
      <w:bookmarkEnd w:id="99"/>
    </w:p>
    <w:p w14:paraId="45891595">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一、划定任务及要求</w:t>
      </w:r>
    </w:p>
    <w:p w14:paraId="2B6B4362">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根据《国土资源部办公厅  农业部办公厅关于东川区城镇周边永久基本农田划定任务论证审核意见的函》（国土资厅函〔2016〕704号）和《昆明市国土资源局 农业局关于下达东川等8个县区城镇周边永久基本农田划定任务的通知》（昆国土资联〔2016〕11号），东川区城市周边已有基本农田117.35公顷，新划入永久基本农田125.16公顷，永久基本农田划定任务242.51公顷。其中限制建设区和禁止建设区内拟新划入基本农田的面积达到该范围内下发初步任务的80.00%，拟划入的面积与已有基本农田之和达到该范围内耕地总面积的88.59%。</w:t>
      </w:r>
    </w:p>
    <w:p w14:paraId="590E5488">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城市周边永久基本农田划定坚持优质耕地、集中连片程度较高的耕地优先划入永久基本农田，质量低下不宜作为永久基本农田耕地（如污染源周边耕地、坡度在25度以上耕地、最高洪水控制范围线内的不稳定耕地等），按照质量由低到高的顺序依次划出。永久基本农田调整，坚持 “范围不变、面积不减、质量不降”的原则局部微调。同时，综合考虑城市自然条件、经济发展状况、土地利用与管理因素（特别是土地节约集约利用情况），合理预留“十三五”期间新增建设用地空间，引导城市有序健康发展。</w:t>
      </w:r>
    </w:p>
    <w:p w14:paraId="2049E7FC">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二、城市周边基本农田调整情况</w:t>
      </w:r>
    </w:p>
    <w:p w14:paraId="3A16933C">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城市周边范围内永久基本农田调整结合“十三五”经济社会发展实际情况，通过核举证对对城市周边永久基本农田进行局部微调。关于东川区本次城市周边基本农田局部调整面积指标，东川区按照“永久基本农田（新划入）保护面积比例超过80%（东川区初步任务核实举证已达80.00%）的地区，本次调整过程中可依两部、两厅要求，在优化基本农田布局的同时，适当调减面积，但调整后的保护率不得低于80%”原则，在原有基础上，东川区调出永久基本农田面积17.51公顷，调入17.74公顷，最终划定242.75公顷。占核实举证任务耕地落在限制建设区和禁止建设区面积之和156.41公顷的80.2%，满足指标要求。</w:t>
      </w:r>
    </w:p>
    <w:p w14:paraId="2DDCDC82">
      <w:pPr>
        <w:pStyle w:val="4"/>
        <w:spacing w:before="0" w:after="0" w:line="360" w:lineRule="auto"/>
        <w:ind w:firstLine="275" w:firstLineChars="98"/>
        <w:rPr>
          <w:rFonts w:ascii="仿宋_GB2312" w:hAnsi="宋体" w:eastAsia="仿宋_GB2312"/>
          <w:sz w:val="28"/>
          <w:szCs w:val="28"/>
        </w:rPr>
      </w:pPr>
      <w:r>
        <w:rPr>
          <w:rFonts w:hint="eastAsia" w:ascii="仿宋_GB2312" w:hAnsi="宋体" w:eastAsia="仿宋_GB2312"/>
          <w:sz w:val="28"/>
          <w:szCs w:val="28"/>
        </w:rPr>
        <w:t>1、已有基本农田微调</w:t>
      </w:r>
    </w:p>
    <w:p w14:paraId="0D257F4A">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已有基本农田划出9.34公顷，按地类划分，划出水田6.33公顷、旱地3.01公顷；坡度小于等于15°的基本农田划出调出了8.93公顷；大于15°的调出0.41公顷；调出基本农田的耕地平均质量等别为11.5。</w:t>
      </w:r>
    </w:p>
    <w:p w14:paraId="51C230BD">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按划出基本农田类型分为：纳入土地利用现状年度变更调查实地已为非耕地的调出0.07公顷；未纳入土地利用现状年度变更调查，但实地现状已为非耕地不具备基本农田划定条件的调出2.74公顷（包含土地例行督察2.49公顷、违法用地0.03公顷）；因城乡发展建设需要调出6.53公顷。</w:t>
      </w:r>
      <w:r>
        <w:rPr>
          <w:rFonts w:hint="eastAsia" w:ascii="仿宋_GB2312" w:hAnsi="宋体" w:eastAsia="仿宋_GB2312"/>
          <w:kern w:val="0"/>
          <w:sz w:val="28"/>
          <w:szCs w:val="28"/>
        </w:rPr>
        <w:tab/>
      </w:r>
    </w:p>
    <w:p w14:paraId="0D328DB7">
      <w:pPr>
        <w:pStyle w:val="4"/>
        <w:spacing w:before="0" w:after="0" w:line="360" w:lineRule="auto"/>
        <w:ind w:firstLine="275" w:firstLineChars="98"/>
        <w:rPr>
          <w:rFonts w:ascii="仿宋_GB2312" w:hAnsi="宋体" w:eastAsia="仿宋_GB2312"/>
          <w:sz w:val="28"/>
          <w:szCs w:val="28"/>
        </w:rPr>
      </w:pPr>
      <w:r>
        <w:rPr>
          <w:rFonts w:hint="eastAsia" w:ascii="仿宋_GB2312" w:hAnsi="宋体" w:eastAsia="仿宋_GB2312"/>
          <w:sz w:val="28"/>
          <w:szCs w:val="28"/>
        </w:rPr>
        <w:t>2、新划入永久基本农田</w:t>
      </w:r>
    </w:p>
    <w:p w14:paraId="27F685F1">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新划入永久基本农田划出8.17公顷，按地类划分，水田3.37公顷、旱地4.8公顷。坡度小于等于15°的基本农田划出调出了5.89公顷；15°～25°的调出1.34公顷，＞25°的调出0.94公顷；耕地平均质量等别为9。</w:t>
      </w:r>
    </w:p>
    <w:p w14:paraId="7319415B">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新划入永久基本农田划出8.17公顷，按划出类型分：未纳入土地利用现状年度变更调查，但实地现状已为非耕地不具备基本农田划定条件的调出1.66公顷；因城乡发展建设需要调出6.51公顷</w:t>
      </w:r>
    </w:p>
    <w:p w14:paraId="73DE2DA6">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补划基本农田8.4公顷，按地类划分，水田7.71公顷、旱地0.69公顷。坡度小于等于15°的8.4公顷，耕地平均质量等别为9。</w:t>
      </w:r>
      <w:r>
        <w:rPr>
          <w:rFonts w:hint="eastAsia" w:ascii="仿宋_GB2312" w:hAnsi="宋体" w:eastAsia="仿宋_GB2312"/>
          <w:kern w:val="0"/>
          <w:sz w:val="28"/>
          <w:szCs w:val="28"/>
        </w:rPr>
        <w:tab/>
      </w:r>
    </w:p>
    <w:p w14:paraId="5C4433B2">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三、划定成果</w:t>
      </w:r>
    </w:p>
    <w:p w14:paraId="4DDF6D3E">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根据《东川区全域永久基本农田划定方案》，东川区划定城镇周边永久基本农田面积244.47公顷，其中限制建设区和禁止建设区内新划基本农田119.81公顷，占下发初步任务限制建设区和禁止建设区内总面积的76.60%。</w:t>
      </w:r>
    </w:p>
    <w:p w14:paraId="56F6C86B">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本次划定的城镇周边基本农田与城市周边河流、山川、森林等天然生态边界，构建起生态屏障，对中心城区进行了有效的合围和隔离，进一步固定了城市开发边界。东部以牯牛山、和基本农田为主，南部以腊利沟为主，西部以梳山、龙东格公路和基本农田为主，北部以小海渔场和基本农田为主。整个基本农田分布形态对中心城区进行了有效的合围和隔离，进一步固定了城市开发边界，有利于进一步倒逼城市节约集约用地，优化城乡生产、生活、生态空间格局，引导城市走串联式、组团式、卫星城市发展之路，促进城镇化转型发展；有利于缓解资源环境承载力，为建设海绵城市、建设生态文明共同体提供支撑，促进城乡绿色发展。</w:t>
      </w:r>
      <w:bookmarkStart w:id="100" w:name="_Toc482867514"/>
      <w:bookmarkStart w:id="101" w:name="_Toc471199332"/>
    </w:p>
    <w:p w14:paraId="1E6E2CC7">
      <w:pPr>
        <w:spacing w:beforeLines="100" w:afterLines="50" w:line="360" w:lineRule="auto"/>
        <w:jc w:val="center"/>
        <w:outlineLvl w:val="1"/>
        <w:rPr>
          <w:rFonts w:ascii="Arial" w:hAnsi="Arial" w:eastAsia="黑体"/>
          <w:bCs/>
          <w:color w:val="000000"/>
          <w:sz w:val="28"/>
          <w:szCs w:val="28"/>
        </w:rPr>
      </w:pPr>
      <w:bookmarkStart w:id="102" w:name="_Toc491074899"/>
      <w:r>
        <w:rPr>
          <w:rFonts w:hint="eastAsia" w:ascii="Arial" w:hAnsi="Arial" w:eastAsia="黑体"/>
          <w:bCs/>
          <w:color w:val="000000"/>
          <w:sz w:val="28"/>
          <w:szCs w:val="28"/>
        </w:rPr>
        <w:t>第二节  全域永久基本农田划定情况</w:t>
      </w:r>
      <w:bookmarkEnd w:id="100"/>
      <w:bookmarkEnd w:id="102"/>
    </w:p>
    <w:p w14:paraId="2DAA81B7">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一、任务下达情况</w:t>
      </w:r>
    </w:p>
    <w:p w14:paraId="27569412">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根据《昆明市国土资源局关于预下达土地利用总体规划调整完善土地利用指标的函》（昆国土资函2017[100]号），昆明市下达东川区基本农田划定面积23066公顷。</w:t>
      </w:r>
    </w:p>
    <w:p w14:paraId="2820B4A3">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二、永久基本农田划出与划入情况</w:t>
      </w:r>
    </w:p>
    <w:p w14:paraId="22E5A0C1">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（一）永久基本农田划出与划入要求</w:t>
      </w:r>
    </w:p>
    <w:p w14:paraId="5DD7ED3B">
      <w:pPr>
        <w:pStyle w:val="4"/>
        <w:spacing w:before="0" w:after="0" w:line="360" w:lineRule="auto"/>
        <w:ind w:firstLine="413" w:firstLineChars="147"/>
        <w:rPr>
          <w:rFonts w:ascii="仿宋_GB2312" w:hAnsi="宋体" w:eastAsia="仿宋_GB2312"/>
          <w:sz w:val="28"/>
          <w:szCs w:val="28"/>
        </w:rPr>
      </w:pPr>
      <w:r>
        <w:rPr>
          <w:rFonts w:hint="eastAsia" w:ascii="仿宋_GB2312" w:hAnsi="宋体" w:eastAsia="仿宋_GB2312"/>
          <w:sz w:val="28"/>
          <w:szCs w:val="28"/>
        </w:rPr>
        <w:t>1、可以继续保留的基本农田</w:t>
      </w:r>
    </w:p>
    <w:p w14:paraId="35FB4E51">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经核实确认，符合土地利用总体规划基本农田布局要求的现状基本农田，应继续保留划定为永久基本农田；可以保留的基本农田地类有耕地、可调整地类、确定为名优特新农产品生产基地的其他农用地；对于规划调整后</w:t>
      </w:r>
      <w:r>
        <w:rPr>
          <w:rFonts w:ascii="仿宋_GB2312" w:hAnsi="宋体" w:eastAsia="仿宋_GB2312"/>
          <w:kern w:val="0"/>
          <w:sz w:val="28"/>
          <w:szCs w:val="28"/>
        </w:rPr>
        <w:t xml:space="preserve">2020 </w:t>
      </w:r>
      <w:r>
        <w:rPr>
          <w:rFonts w:hint="eastAsia" w:ascii="仿宋_GB2312" w:hAnsi="宋体" w:eastAsia="仿宋_GB2312"/>
          <w:kern w:val="0"/>
          <w:sz w:val="28"/>
          <w:szCs w:val="28"/>
        </w:rPr>
        <w:t>年耕地保有量低于现行土地利用总体规划安排的，除纳入国家安排生态退耕范围、实施国家重大发展战略（如易地扶贫搬迁三年行动计划）、“十三五”重点建设项目难以避让的以外，符合永久基本农田布局要求的现状基本农田，一律继续保留划定为永久基本农田。</w:t>
      </w:r>
    </w:p>
    <w:p w14:paraId="251D3DF8">
      <w:pPr>
        <w:pStyle w:val="4"/>
        <w:spacing w:before="0" w:after="0" w:line="360" w:lineRule="auto"/>
        <w:ind w:firstLine="413" w:firstLineChars="147"/>
        <w:rPr>
          <w:rFonts w:ascii="仿宋_GB2312" w:hAnsi="宋体" w:eastAsia="仿宋_GB2312"/>
          <w:sz w:val="28"/>
          <w:szCs w:val="28"/>
        </w:rPr>
      </w:pPr>
      <w:r>
        <w:rPr>
          <w:rFonts w:hint="eastAsia" w:ascii="仿宋_GB2312" w:hAnsi="宋体" w:eastAsia="仿宋_GB2312"/>
          <w:sz w:val="28"/>
          <w:szCs w:val="28"/>
        </w:rPr>
        <w:t>2、不得保留的基本农田</w:t>
      </w:r>
    </w:p>
    <w:p w14:paraId="036E6593">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现状基本农田中依法批准的（无论是否实际占用）、符合占用基本农田条件正在报批的、规划预留的（如采矿用地）、违法查处后不能复垦的建设用地、未利用地，以及质量不符合要求的其他农用地，不得保留划定为基本农田。</w:t>
      </w:r>
    </w:p>
    <w:p w14:paraId="69E5F0C1">
      <w:pPr>
        <w:pStyle w:val="4"/>
        <w:spacing w:before="0" w:after="0" w:line="360" w:lineRule="auto"/>
        <w:ind w:firstLine="413" w:firstLineChars="147"/>
        <w:rPr>
          <w:rFonts w:ascii="仿宋_GB2312" w:hAnsi="宋体" w:eastAsia="仿宋_GB2312"/>
          <w:sz w:val="28"/>
          <w:szCs w:val="28"/>
        </w:rPr>
      </w:pPr>
      <w:r>
        <w:rPr>
          <w:rFonts w:hint="eastAsia" w:ascii="仿宋_GB2312" w:hAnsi="宋体" w:eastAsia="仿宋_GB2312"/>
          <w:sz w:val="28"/>
          <w:szCs w:val="28"/>
        </w:rPr>
        <w:t>3、允许新划入基本农田的要求</w:t>
      </w:r>
    </w:p>
    <w:p w14:paraId="2B90734D">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新划入的基本农田土地利用现状应当为耕地，为确保基本农田划定后质量提高。应当优先划定为基本农田类型有：城市周边、公路沿线及坝区尚未划入为基本农田，与已有划定基本农田集中连片，质量等别达到所在区域平均水平以上的耕地；已建成的高标准农田、正在实施改造的中、低产田；自身聚集度高、规模较大，有良好的水利与水土保持设施的耕地；农业科研、教学试验田。</w:t>
      </w:r>
    </w:p>
    <w:p w14:paraId="38240A95">
      <w:pPr>
        <w:pStyle w:val="4"/>
        <w:spacing w:before="0" w:after="0" w:line="360" w:lineRule="auto"/>
        <w:ind w:firstLine="413" w:firstLineChars="147"/>
        <w:rPr>
          <w:rFonts w:ascii="仿宋_GB2312" w:hAnsi="宋体" w:eastAsia="仿宋_GB2312"/>
          <w:sz w:val="28"/>
          <w:szCs w:val="28"/>
        </w:rPr>
      </w:pPr>
      <w:r>
        <w:rPr>
          <w:rFonts w:hint="eastAsia" w:ascii="仿宋_GB2312" w:hAnsi="宋体" w:eastAsia="仿宋_GB2312"/>
          <w:sz w:val="28"/>
          <w:szCs w:val="28"/>
        </w:rPr>
        <w:t>4、禁止新划入基本农田的要求</w:t>
      </w:r>
    </w:p>
    <w:p w14:paraId="4D6B970F">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为确保基本农田划定质量不降低，禁止新划入为基本农田的耕地类型有：已纳入国务院批准的新一轮退耕还林还草总体方案中的耕地；坡度大于</w:t>
      </w:r>
      <w:r>
        <w:rPr>
          <w:rFonts w:ascii="仿宋_GB2312" w:hAnsi="宋体" w:eastAsia="仿宋_GB2312"/>
          <w:kern w:val="0"/>
          <w:sz w:val="28"/>
          <w:szCs w:val="28"/>
        </w:rPr>
        <w:t xml:space="preserve">25 </w:t>
      </w:r>
      <w:r>
        <w:rPr>
          <w:rFonts w:hint="eastAsia" w:ascii="仿宋_GB2312" w:hAnsi="宋体" w:eastAsia="仿宋_GB2312"/>
          <w:kern w:val="0"/>
          <w:sz w:val="28"/>
          <w:szCs w:val="28"/>
        </w:rPr>
        <w:t>度且未采取水土保持措施的耕地；遭受严重污染且无法治理的严格控制类耕地；经自然灾害和生产建设活动严重损毁无法复垦的耕地；位于垃圾堆放场、化工企业、矿山等污染源周边且符合国家标准或行业标准防治范围内的耕地；河流湖泊最高洪水位控制线范围内不适宜稳定利用的耕地；未纳入基本农田整备区或者改造整治的零星分散、规模过小、不易耕作、质量较差的耕地；其他确因社会经济发展需要不宜作为永久基本农田保护的土地；不得将各类生态用地划定为永久基本农田。</w:t>
      </w:r>
    </w:p>
    <w:p w14:paraId="4590BE36">
      <w:pPr>
        <w:pStyle w:val="4"/>
        <w:spacing w:before="0" w:after="0" w:line="360" w:lineRule="auto"/>
        <w:ind w:firstLine="413" w:firstLineChars="147"/>
        <w:rPr>
          <w:rFonts w:ascii="仿宋_GB2312" w:hAnsi="宋体" w:eastAsia="仿宋_GB2312"/>
          <w:sz w:val="28"/>
          <w:szCs w:val="28"/>
        </w:rPr>
      </w:pPr>
      <w:r>
        <w:rPr>
          <w:rFonts w:hint="eastAsia" w:ascii="仿宋_GB2312" w:hAnsi="宋体" w:eastAsia="仿宋_GB2312"/>
          <w:sz w:val="28"/>
          <w:szCs w:val="28"/>
        </w:rPr>
        <w:t>5、坝区基本农田保护要求</w:t>
      </w:r>
    </w:p>
    <w:p w14:paraId="4DBFDFB4">
      <w:pPr>
        <w:autoSpaceDE w:val="0"/>
        <w:autoSpaceDN w:val="0"/>
        <w:adjustRightInd w:val="0"/>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按照土地利用总体规划调整完善相关要求执行。</w:t>
      </w:r>
    </w:p>
    <w:p w14:paraId="35F07C05">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（二）永久基本农田划出情况</w:t>
      </w:r>
    </w:p>
    <w:p w14:paraId="4FDAAD69">
      <w:pPr>
        <w:pStyle w:val="4"/>
        <w:spacing w:before="0" w:after="0" w:line="360" w:lineRule="auto"/>
        <w:ind w:firstLine="413" w:firstLineChars="147"/>
        <w:rPr>
          <w:rFonts w:ascii="仿宋_GB2312" w:hAnsi="宋体" w:eastAsia="仿宋_GB2312"/>
          <w:sz w:val="28"/>
          <w:szCs w:val="28"/>
        </w:rPr>
      </w:pPr>
      <w:r>
        <w:rPr>
          <w:rFonts w:hint="eastAsia" w:ascii="仿宋_GB2312" w:hAnsi="宋体" w:eastAsia="仿宋_GB2312"/>
          <w:sz w:val="28"/>
          <w:szCs w:val="28"/>
        </w:rPr>
        <w:t>1、划出依据</w:t>
      </w:r>
    </w:p>
    <w:p w14:paraId="4F9C555D">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划出依据主要有以下几方面：现状基本农田中依法批准的（无论是否实际占用）、符合占用基本农田条件正在报批的、规划预留的（如采矿用地）、已办理采矿权证矿山、矿山尾矿库建设、河道整治、易地扶贫搬迁项目、违法用地查处后不能复垦的建设用地、未利用地，以及质量不符合要求的其他农用地，不得保留划定为基本农田。</w:t>
      </w:r>
    </w:p>
    <w:p w14:paraId="3288984B">
      <w:pPr>
        <w:pStyle w:val="4"/>
        <w:spacing w:before="0" w:after="0" w:line="360" w:lineRule="auto"/>
        <w:ind w:firstLine="413" w:firstLineChars="147"/>
        <w:rPr>
          <w:rFonts w:ascii="仿宋_GB2312" w:hAnsi="宋体" w:eastAsia="仿宋_GB2312"/>
          <w:sz w:val="28"/>
          <w:szCs w:val="28"/>
        </w:rPr>
      </w:pPr>
      <w:r>
        <w:rPr>
          <w:rFonts w:hint="eastAsia" w:ascii="仿宋_GB2312" w:hAnsi="宋体" w:eastAsia="仿宋_GB2312"/>
          <w:sz w:val="28"/>
          <w:szCs w:val="28"/>
        </w:rPr>
        <w:t>2、划出地类、坡度及质量</w:t>
      </w:r>
    </w:p>
    <w:p w14:paraId="1572B657">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东川区本次调出永久基本农田4235.20公顷，其中水田调出392.17公顷，占调出总面积的9.30%；水浇地调出25.29公顷，占调出总面积的0.6%；旱地调出3817.73公顷，占调出总面积的90.1%。</w:t>
      </w:r>
    </w:p>
    <w:p w14:paraId="6D6DC2BC">
      <w:pPr>
        <w:jc w:val="center"/>
        <w:outlineLvl w:val="4"/>
        <w:rPr>
          <w:rFonts w:ascii="宋体" w:hAnsi="宋体"/>
          <w:b/>
          <w:sz w:val="24"/>
        </w:rPr>
      </w:pPr>
      <w:r>
        <w:rPr>
          <w:rFonts w:hint="eastAsia" w:ascii="宋体" w:hAnsi="宋体"/>
          <w:b/>
          <w:sz w:val="24"/>
        </w:rPr>
        <w:t>表4-1  东川区调出永久基本农田地类情况统计表</w:t>
      </w:r>
    </w:p>
    <w:p w14:paraId="484BA682">
      <w:pPr>
        <w:spacing w:line="360" w:lineRule="auto"/>
        <w:ind w:right="360" w:firstLine="360" w:firstLineChars="200"/>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                                                                单位：公顷</w:t>
      </w:r>
    </w:p>
    <w:tbl>
      <w:tblPr>
        <w:tblStyle w:val="27"/>
        <w:tblW w:w="7100" w:type="dxa"/>
        <w:jc w:val="center"/>
        <w:tblLayout w:type="autofit"/>
        <w:tblCellMar>
          <w:top w:w="0" w:type="dxa"/>
          <w:left w:w="108" w:type="dxa"/>
          <w:bottom w:w="0" w:type="dxa"/>
          <w:right w:w="108" w:type="dxa"/>
        </w:tblCellMar>
      </w:tblPr>
      <w:tblGrid>
        <w:gridCol w:w="1451"/>
        <w:gridCol w:w="1400"/>
        <w:gridCol w:w="1130"/>
        <w:gridCol w:w="1418"/>
        <w:gridCol w:w="1701"/>
      </w:tblGrid>
      <w:tr w14:paraId="79632D55">
        <w:tblPrEx>
          <w:tblCellMar>
            <w:top w:w="0" w:type="dxa"/>
            <w:left w:w="108" w:type="dxa"/>
            <w:bottom w:w="0" w:type="dxa"/>
            <w:right w:w="108" w:type="dxa"/>
          </w:tblCellMar>
        </w:tblPrEx>
        <w:trPr>
          <w:trHeight w:val="576" w:hRule="atLeast"/>
          <w:jc w:val="center"/>
        </w:trPr>
        <w:tc>
          <w:tcPr>
            <w:tcW w:w="1451" w:type="dxa"/>
            <w:tcBorders>
              <w:top w:val="single" w:color="auto" w:sz="4" w:space="0"/>
              <w:left w:val="single" w:color="auto" w:sz="4" w:space="0"/>
              <w:bottom w:val="single" w:color="auto" w:sz="4" w:space="0"/>
              <w:right w:val="single" w:color="auto" w:sz="4" w:space="0"/>
            </w:tcBorders>
            <w:shd w:val="clear" w:color="auto" w:fill="auto"/>
            <w:vAlign w:val="center"/>
          </w:tcPr>
          <w:p w14:paraId="08D749DE">
            <w:pPr>
              <w:jc w:val="center"/>
              <w:rPr>
                <w:rFonts w:ascii="宋体" w:hAnsi="宋体" w:cs="宋体"/>
                <w:b/>
                <w:iCs/>
                <w:color w:val="000000"/>
                <w:kern w:val="0"/>
                <w:sz w:val="18"/>
                <w:szCs w:val="18"/>
              </w:rPr>
            </w:pPr>
            <w:r>
              <w:rPr>
                <w:rFonts w:hint="eastAsia" w:ascii="宋体" w:hAnsi="宋体" w:cs="宋体"/>
                <w:b/>
                <w:iCs/>
                <w:color w:val="000000"/>
                <w:kern w:val="0"/>
                <w:sz w:val="18"/>
                <w:szCs w:val="18"/>
              </w:rPr>
              <w:t>行政区名称</w:t>
            </w:r>
          </w:p>
        </w:tc>
        <w:tc>
          <w:tcPr>
            <w:tcW w:w="1400" w:type="dxa"/>
            <w:tcBorders>
              <w:top w:val="single" w:color="auto" w:sz="4" w:space="0"/>
              <w:left w:val="nil"/>
              <w:bottom w:val="single" w:color="auto" w:sz="4" w:space="0"/>
              <w:right w:val="single" w:color="auto" w:sz="4" w:space="0"/>
            </w:tcBorders>
            <w:shd w:val="clear" w:color="auto" w:fill="auto"/>
            <w:vAlign w:val="center"/>
          </w:tcPr>
          <w:p w14:paraId="3A1708D3">
            <w:pPr>
              <w:jc w:val="center"/>
              <w:rPr>
                <w:rFonts w:ascii="宋体" w:hAnsi="宋体" w:cs="宋体"/>
                <w:b/>
                <w:iCs/>
                <w:color w:val="000000"/>
                <w:kern w:val="0"/>
                <w:sz w:val="18"/>
                <w:szCs w:val="18"/>
              </w:rPr>
            </w:pPr>
            <w:r>
              <w:rPr>
                <w:rFonts w:hint="eastAsia" w:ascii="宋体" w:hAnsi="宋体" w:cs="宋体"/>
                <w:b/>
                <w:iCs/>
                <w:color w:val="000000"/>
                <w:kern w:val="0"/>
                <w:sz w:val="18"/>
                <w:szCs w:val="18"/>
              </w:rPr>
              <w:t>合计</w:t>
            </w:r>
          </w:p>
        </w:tc>
        <w:tc>
          <w:tcPr>
            <w:tcW w:w="1130" w:type="dxa"/>
            <w:tcBorders>
              <w:top w:val="single" w:color="auto" w:sz="4" w:space="0"/>
              <w:left w:val="nil"/>
              <w:bottom w:val="single" w:color="auto" w:sz="4" w:space="0"/>
              <w:right w:val="single" w:color="auto" w:sz="4" w:space="0"/>
            </w:tcBorders>
            <w:shd w:val="clear" w:color="auto" w:fill="auto"/>
            <w:vAlign w:val="center"/>
          </w:tcPr>
          <w:p w14:paraId="5D909798">
            <w:pPr>
              <w:jc w:val="center"/>
              <w:rPr>
                <w:rFonts w:ascii="宋体" w:hAnsi="宋体" w:cs="宋体"/>
                <w:b/>
                <w:iCs/>
                <w:color w:val="000000"/>
                <w:kern w:val="0"/>
                <w:sz w:val="18"/>
                <w:szCs w:val="18"/>
              </w:rPr>
            </w:pPr>
            <w:r>
              <w:rPr>
                <w:rFonts w:hint="eastAsia" w:ascii="宋体" w:hAnsi="宋体" w:cs="宋体"/>
                <w:b/>
                <w:iCs/>
                <w:color w:val="000000"/>
                <w:kern w:val="0"/>
                <w:sz w:val="18"/>
                <w:szCs w:val="18"/>
              </w:rPr>
              <w:t>水田</w:t>
            </w:r>
          </w:p>
        </w:tc>
        <w:tc>
          <w:tcPr>
            <w:tcW w:w="1418" w:type="dxa"/>
            <w:tcBorders>
              <w:top w:val="single" w:color="auto" w:sz="4" w:space="0"/>
              <w:left w:val="nil"/>
              <w:bottom w:val="single" w:color="auto" w:sz="4" w:space="0"/>
              <w:right w:val="single" w:color="auto" w:sz="4" w:space="0"/>
            </w:tcBorders>
            <w:shd w:val="clear" w:color="auto" w:fill="auto"/>
            <w:vAlign w:val="center"/>
          </w:tcPr>
          <w:p w14:paraId="1ED81198">
            <w:pPr>
              <w:jc w:val="center"/>
              <w:rPr>
                <w:rFonts w:ascii="宋体" w:hAnsi="宋体" w:cs="宋体"/>
                <w:b/>
                <w:iCs/>
                <w:color w:val="000000"/>
                <w:kern w:val="0"/>
                <w:sz w:val="18"/>
                <w:szCs w:val="18"/>
              </w:rPr>
            </w:pPr>
            <w:r>
              <w:rPr>
                <w:rFonts w:hint="eastAsia" w:ascii="宋体" w:hAnsi="宋体" w:cs="宋体"/>
                <w:b/>
                <w:iCs/>
                <w:color w:val="000000"/>
                <w:kern w:val="0"/>
                <w:sz w:val="18"/>
                <w:szCs w:val="18"/>
              </w:rPr>
              <w:t>水浇地</w:t>
            </w:r>
          </w:p>
        </w:tc>
        <w:tc>
          <w:tcPr>
            <w:tcW w:w="1701" w:type="dxa"/>
            <w:tcBorders>
              <w:top w:val="single" w:color="auto" w:sz="4" w:space="0"/>
              <w:left w:val="nil"/>
              <w:bottom w:val="single" w:color="auto" w:sz="4" w:space="0"/>
              <w:right w:val="single" w:color="auto" w:sz="4" w:space="0"/>
            </w:tcBorders>
            <w:shd w:val="clear" w:color="auto" w:fill="auto"/>
            <w:vAlign w:val="center"/>
          </w:tcPr>
          <w:p w14:paraId="3A0D8F9B">
            <w:pPr>
              <w:jc w:val="center"/>
              <w:rPr>
                <w:rFonts w:ascii="宋体" w:hAnsi="宋体" w:cs="宋体"/>
                <w:b/>
                <w:iCs/>
                <w:color w:val="000000"/>
                <w:kern w:val="0"/>
                <w:sz w:val="18"/>
                <w:szCs w:val="18"/>
              </w:rPr>
            </w:pPr>
            <w:r>
              <w:rPr>
                <w:rFonts w:hint="eastAsia" w:ascii="宋体" w:hAnsi="宋体" w:cs="宋体"/>
                <w:b/>
                <w:iCs/>
                <w:color w:val="000000"/>
                <w:kern w:val="0"/>
                <w:sz w:val="18"/>
                <w:szCs w:val="18"/>
              </w:rPr>
              <w:t>旱地</w:t>
            </w:r>
          </w:p>
        </w:tc>
      </w:tr>
      <w:tr w14:paraId="518E5BC1">
        <w:tblPrEx>
          <w:tblCellMar>
            <w:top w:w="0" w:type="dxa"/>
            <w:left w:w="108" w:type="dxa"/>
            <w:bottom w:w="0" w:type="dxa"/>
            <w:right w:w="108" w:type="dxa"/>
          </w:tblCellMar>
        </w:tblPrEx>
        <w:trPr>
          <w:trHeight w:val="288"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35DD6DA0">
            <w:pPr>
              <w:jc w:val="center"/>
              <w:rPr>
                <w:rFonts w:ascii="宋体" w:hAnsi="宋体" w:cs="宋体"/>
                <w:iCs/>
                <w:color w:val="000000"/>
                <w:kern w:val="0"/>
                <w:sz w:val="18"/>
                <w:szCs w:val="18"/>
              </w:rPr>
            </w:pPr>
            <w:r>
              <w:rPr>
                <w:rFonts w:hint="eastAsia" w:ascii="宋体" w:hAnsi="宋体" w:cs="宋体"/>
                <w:iCs/>
                <w:color w:val="000000"/>
                <w:kern w:val="0"/>
                <w:sz w:val="18"/>
                <w:szCs w:val="18"/>
              </w:rPr>
              <w:t>铜都街道</w:t>
            </w:r>
          </w:p>
        </w:tc>
        <w:tc>
          <w:tcPr>
            <w:tcW w:w="1400" w:type="dxa"/>
            <w:tcBorders>
              <w:top w:val="nil"/>
              <w:left w:val="nil"/>
              <w:bottom w:val="single" w:color="auto" w:sz="4" w:space="0"/>
              <w:right w:val="single" w:color="auto" w:sz="4" w:space="0"/>
            </w:tcBorders>
            <w:shd w:val="clear" w:color="auto" w:fill="auto"/>
            <w:vAlign w:val="center"/>
          </w:tcPr>
          <w:p w14:paraId="32E4021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956.01 </w:t>
            </w:r>
          </w:p>
        </w:tc>
        <w:tc>
          <w:tcPr>
            <w:tcW w:w="1130" w:type="dxa"/>
            <w:tcBorders>
              <w:top w:val="nil"/>
              <w:left w:val="nil"/>
              <w:bottom w:val="single" w:color="auto" w:sz="4" w:space="0"/>
              <w:right w:val="single" w:color="auto" w:sz="4" w:space="0"/>
            </w:tcBorders>
            <w:shd w:val="clear" w:color="auto" w:fill="auto"/>
            <w:vAlign w:val="center"/>
          </w:tcPr>
          <w:p w14:paraId="30147C0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133.37 </w:t>
            </w:r>
          </w:p>
        </w:tc>
        <w:tc>
          <w:tcPr>
            <w:tcW w:w="1418" w:type="dxa"/>
            <w:tcBorders>
              <w:top w:val="nil"/>
              <w:left w:val="nil"/>
              <w:bottom w:val="single" w:color="auto" w:sz="4" w:space="0"/>
              <w:right w:val="single" w:color="auto" w:sz="4" w:space="0"/>
            </w:tcBorders>
            <w:shd w:val="clear" w:color="auto" w:fill="auto"/>
            <w:vAlign w:val="center"/>
          </w:tcPr>
          <w:p w14:paraId="5100B7A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13.51 </w:t>
            </w:r>
          </w:p>
        </w:tc>
        <w:tc>
          <w:tcPr>
            <w:tcW w:w="1701" w:type="dxa"/>
            <w:tcBorders>
              <w:top w:val="nil"/>
              <w:left w:val="nil"/>
              <w:bottom w:val="single" w:color="auto" w:sz="4" w:space="0"/>
              <w:right w:val="single" w:color="auto" w:sz="4" w:space="0"/>
            </w:tcBorders>
            <w:shd w:val="clear" w:color="auto" w:fill="auto"/>
            <w:vAlign w:val="center"/>
          </w:tcPr>
          <w:p w14:paraId="70D2BEB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809.13 </w:t>
            </w:r>
          </w:p>
        </w:tc>
      </w:tr>
      <w:tr w14:paraId="484E9878">
        <w:tblPrEx>
          <w:tblCellMar>
            <w:top w:w="0" w:type="dxa"/>
            <w:left w:w="108" w:type="dxa"/>
            <w:bottom w:w="0" w:type="dxa"/>
            <w:right w:w="108" w:type="dxa"/>
          </w:tblCellMar>
        </w:tblPrEx>
        <w:trPr>
          <w:trHeight w:val="288"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25B37B73">
            <w:pPr>
              <w:jc w:val="center"/>
              <w:rPr>
                <w:rFonts w:ascii="宋体" w:hAnsi="宋体" w:cs="宋体"/>
                <w:iCs/>
                <w:color w:val="000000"/>
                <w:kern w:val="0"/>
                <w:sz w:val="18"/>
                <w:szCs w:val="18"/>
              </w:rPr>
            </w:pPr>
            <w:r>
              <w:rPr>
                <w:rFonts w:hint="eastAsia" w:ascii="宋体" w:hAnsi="宋体" w:cs="宋体"/>
                <w:iCs/>
                <w:color w:val="000000"/>
                <w:kern w:val="0"/>
                <w:sz w:val="18"/>
                <w:szCs w:val="18"/>
              </w:rPr>
              <w:t>阿旺镇</w:t>
            </w:r>
          </w:p>
        </w:tc>
        <w:tc>
          <w:tcPr>
            <w:tcW w:w="1400" w:type="dxa"/>
            <w:tcBorders>
              <w:top w:val="nil"/>
              <w:left w:val="nil"/>
              <w:bottom w:val="single" w:color="auto" w:sz="4" w:space="0"/>
              <w:right w:val="single" w:color="auto" w:sz="4" w:space="0"/>
            </w:tcBorders>
            <w:shd w:val="clear" w:color="auto" w:fill="auto"/>
            <w:vAlign w:val="center"/>
          </w:tcPr>
          <w:p w14:paraId="0A80DB5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650.19 </w:t>
            </w:r>
          </w:p>
        </w:tc>
        <w:tc>
          <w:tcPr>
            <w:tcW w:w="1130" w:type="dxa"/>
            <w:tcBorders>
              <w:top w:val="nil"/>
              <w:left w:val="nil"/>
              <w:bottom w:val="single" w:color="auto" w:sz="4" w:space="0"/>
              <w:right w:val="single" w:color="auto" w:sz="4" w:space="0"/>
            </w:tcBorders>
            <w:shd w:val="clear" w:color="auto" w:fill="auto"/>
            <w:vAlign w:val="center"/>
          </w:tcPr>
          <w:p w14:paraId="45E07B3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60.34 </w:t>
            </w:r>
          </w:p>
        </w:tc>
        <w:tc>
          <w:tcPr>
            <w:tcW w:w="1418" w:type="dxa"/>
            <w:tcBorders>
              <w:top w:val="nil"/>
              <w:left w:val="nil"/>
              <w:bottom w:val="single" w:color="auto" w:sz="4" w:space="0"/>
              <w:right w:val="single" w:color="auto" w:sz="4" w:space="0"/>
            </w:tcBorders>
            <w:shd w:val="clear" w:color="auto" w:fill="auto"/>
            <w:vAlign w:val="center"/>
          </w:tcPr>
          <w:p w14:paraId="571C6E9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701" w:type="dxa"/>
            <w:tcBorders>
              <w:top w:val="nil"/>
              <w:left w:val="nil"/>
              <w:bottom w:val="single" w:color="auto" w:sz="4" w:space="0"/>
              <w:right w:val="single" w:color="auto" w:sz="4" w:space="0"/>
            </w:tcBorders>
            <w:shd w:val="clear" w:color="auto" w:fill="auto"/>
            <w:vAlign w:val="center"/>
          </w:tcPr>
          <w:p w14:paraId="33303FD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589.85 </w:t>
            </w:r>
          </w:p>
        </w:tc>
      </w:tr>
      <w:tr w14:paraId="25446B07">
        <w:tblPrEx>
          <w:tblCellMar>
            <w:top w:w="0" w:type="dxa"/>
            <w:left w:w="108" w:type="dxa"/>
            <w:bottom w:w="0" w:type="dxa"/>
            <w:right w:w="108" w:type="dxa"/>
          </w:tblCellMar>
        </w:tblPrEx>
        <w:trPr>
          <w:trHeight w:val="288"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229FA19E">
            <w:pPr>
              <w:jc w:val="center"/>
              <w:rPr>
                <w:rFonts w:ascii="宋体" w:hAnsi="宋体" w:cs="宋体"/>
                <w:iCs/>
                <w:color w:val="000000"/>
                <w:kern w:val="0"/>
                <w:sz w:val="18"/>
                <w:szCs w:val="18"/>
              </w:rPr>
            </w:pPr>
            <w:r>
              <w:rPr>
                <w:rFonts w:hint="eastAsia" w:ascii="宋体" w:hAnsi="宋体" w:cs="宋体"/>
                <w:iCs/>
                <w:color w:val="000000"/>
                <w:kern w:val="0"/>
                <w:sz w:val="18"/>
                <w:szCs w:val="18"/>
              </w:rPr>
              <w:t>乌龙镇</w:t>
            </w:r>
          </w:p>
        </w:tc>
        <w:tc>
          <w:tcPr>
            <w:tcW w:w="1400" w:type="dxa"/>
            <w:tcBorders>
              <w:top w:val="nil"/>
              <w:left w:val="nil"/>
              <w:bottom w:val="single" w:color="auto" w:sz="4" w:space="0"/>
              <w:right w:val="single" w:color="auto" w:sz="4" w:space="0"/>
            </w:tcBorders>
            <w:shd w:val="clear" w:color="auto" w:fill="auto"/>
            <w:vAlign w:val="center"/>
          </w:tcPr>
          <w:p w14:paraId="7E0E8DB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326.71 </w:t>
            </w:r>
          </w:p>
        </w:tc>
        <w:tc>
          <w:tcPr>
            <w:tcW w:w="1130" w:type="dxa"/>
            <w:tcBorders>
              <w:top w:val="nil"/>
              <w:left w:val="nil"/>
              <w:bottom w:val="single" w:color="auto" w:sz="4" w:space="0"/>
              <w:right w:val="single" w:color="auto" w:sz="4" w:space="0"/>
            </w:tcBorders>
            <w:shd w:val="clear" w:color="auto" w:fill="auto"/>
            <w:vAlign w:val="center"/>
          </w:tcPr>
          <w:p w14:paraId="7795021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25.03 </w:t>
            </w:r>
          </w:p>
        </w:tc>
        <w:tc>
          <w:tcPr>
            <w:tcW w:w="1418" w:type="dxa"/>
            <w:tcBorders>
              <w:top w:val="nil"/>
              <w:left w:val="nil"/>
              <w:bottom w:val="single" w:color="auto" w:sz="4" w:space="0"/>
              <w:right w:val="single" w:color="auto" w:sz="4" w:space="0"/>
            </w:tcBorders>
            <w:shd w:val="clear" w:color="auto" w:fill="auto"/>
            <w:vAlign w:val="center"/>
          </w:tcPr>
          <w:p w14:paraId="7A50B15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701" w:type="dxa"/>
            <w:tcBorders>
              <w:top w:val="nil"/>
              <w:left w:val="nil"/>
              <w:bottom w:val="single" w:color="auto" w:sz="4" w:space="0"/>
              <w:right w:val="single" w:color="auto" w:sz="4" w:space="0"/>
            </w:tcBorders>
            <w:shd w:val="clear" w:color="auto" w:fill="auto"/>
            <w:vAlign w:val="center"/>
          </w:tcPr>
          <w:p w14:paraId="10D90A1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301.68 </w:t>
            </w:r>
          </w:p>
        </w:tc>
      </w:tr>
      <w:tr w14:paraId="304A3C8F">
        <w:tblPrEx>
          <w:tblCellMar>
            <w:top w:w="0" w:type="dxa"/>
            <w:left w:w="108" w:type="dxa"/>
            <w:bottom w:w="0" w:type="dxa"/>
            <w:right w:w="108" w:type="dxa"/>
          </w:tblCellMar>
        </w:tblPrEx>
        <w:trPr>
          <w:trHeight w:val="288"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4B0DA135">
            <w:pPr>
              <w:jc w:val="center"/>
              <w:rPr>
                <w:rFonts w:ascii="宋体" w:hAnsi="宋体" w:cs="宋体"/>
                <w:iCs/>
                <w:color w:val="000000"/>
                <w:kern w:val="0"/>
                <w:sz w:val="18"/>
                <w:szCs w:val="18"/>
              </w:rPr>
            </w:pPr>
            <w:r>
              <w:rPr>
                <w:rFonts w:hint="eastAsia" w:ascii="宋体" w:hAnsi="宋体" w:cs="宋体"/>
                <w:iCs/>
                <w:color w:val="000000"/>
                <w:kern w:val="0"/>
                <w:sz w:val="18"/>
                <w:szCs w:val="18"/>
              </w:rPr>
              <w:t>汤丹镇</w:t>
            </w:r>
          </w:p>
        </w:tc>
        <w:tc>
          <w:tcPr>
            <w:tcW w:w="1400" w:type="dxa"/>
            <w:tcBorders>
              <w:top w:val="nil"/>
              <w:left w:val="nil"/>
              <w:bottom w:val="single" w:color="auto" w:sz="4" w:space="0"/>
              <w:right w:val="single" w:color="auto" w:sz="4" w:space="0"/>
            </w:tcBorders>
            <w:shd w:val="clear" w:color="auto" w:fill="auto"/>
            <w:vAlign w:val="center"/>
          </w:tcPr>
          <w:p w14:paraId="7B93B4A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847.79 </w:t>
            </w:r>
          </w:p>
        </w:tc>
        <w:tc>
          <w:tcPr>
            <w:tcW w:w="1130" w:type="dxa"/>
            <w:tcBorders>
              <w:top w:val="nil"/>
              <w:left w:val="nil"/>
              <w:bottom w:val="single" w:color="auto" w:sz="4" w:space="0"/>
              <w:right w:val="single" w:color="auto" w:sz="4" w:space="0"/>
            </w:tcBorders>
            <w:shd w:val="clear" w:color="auto" w:fill="auto"/>
            <w:vAlign w:val="center"/>
          </w:tcPr>
          <w:p w14:paraId="37BEF01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71.91 </w:t>
            </w:r>
          </w:p>
        </w:tc>
        <w:tc>
          <w:tcPr>
            <w:tcW w:w="1418" w:type="dxa"/>
            <w:tcBorders>
              <w:top w:val="nil"/>
              <w:left w:val="nil"/>
              <w:bottom w:val="single" w:color="auto" w:sz="4" w:space="0"/>
              <w:right w:val="single" w:color="auto" w:sz="4" w:space="0"/>
            </w:tcBorders>
            <w:shd w:val="clear" w:color="auto" w:fill="auto"/>
            <w:vAlign w:val="center"/>
          </w:tcPr>
          <w:p w14:paraId="202801C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701" w:type="dxa"/>
            <w:tcBorders>
              <w:top w:val="nil"/>
              <w:left w:val="nil"/>
              <w:bottom w:val="single" w:color="auto" w:sz="4" w:space="0"/>
              <w:right w:val="single" w:color="auto" w:sz="4" w:space="0"/>
            </w:tcBorders>
            <w:shd w:val="clear" w:color="auto" w:fill="auto"/>
            <w:vAlign w:val="center"/>
          </w:tcPr>
          <w:p w14:paraId="67FD569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775.88 </w:t>
            </w:r>
          </w:p>
        </w:tc>
      </w:tr>
      <w:tr w14:paraId="5FA558B3">
        <w:tblPrEx>
          <w:tblCellMar>
            <w:top w:w="0" w:type="dxa"/>
            <w:left w:w="108" w:type="dxa"/>
            <w:bottom w:w="0" w:type="dxa"/>
            <w:right w:w="108" w:type="dxa"/>
          </w:tblCellMar>
        </w:tblPrEx>
        <w:trPr>
          <w:trHeight w:val="288"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337A7379">
            <w:pPr>
              <w:jc w:val="center"/>
              <w:rPr>
                <w:rFonts w:ascii="宋体" w:hAnsi="宋体" w:cs="宋体"/>
                <w:iCs/>
                <w:color w:val="000000"/>
                <w:kern w:val="0"/>
                <w:sz w:val="18"/>
                <w:szCs w:val="18"/>
              </w:rPr>
            </w:pPr>
            <w:r>
              <w:rPr>
                <w:rFonts w:hint="eastAsia" w:ascii="宋体" w:hAnsi="宋体" w:cs="宋体"/>
                <w:iCs/>
                <w:color w:val="000000"/>
                <w:kern w:val="0"/>
                <w:sz w:val="18"/>
                <w:szCs w:val="18"/>
              </w:rPr>
              <w:t>拖布卡镇</w:t>
            </w:r>
          </w:p>
        </w:tc>
        <w:tc>
          <w:tcPr>
            <w:tcW w:w="1400" w:type="dxa"/>
            <w:tcBorders>
              <w:top w:val="nil"/>
              <w:left w:val="nil"/>
              <w:bottom w:val="single" w:color="auto" w:sz="4" w:space="0"/>
              <w:right w:val="single" w:color="auto" w:sz="4" w:space="0"/>
            </w:tcBorders>
            <w:shd w:val="clear" w:color="auto" w:fill="auto"/>
            <w:vAlign w:val="center"/>
          </w:tcPr>
          <w:p w14:paraId="6AD712A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709.81 </w:t>
            </w:r>
          </w:p>
        </w:tc>
        <w:tc>
          <w:tcPr>
            <w:tcW w:w="1130" w:type="dxa"/>
            <w:tcBorders>
              <w:top w:val="nil"/>
              <w:left w:val="nil"/>
              <w:bottom w:val="single" w:color="auto" w:sz="4" w:space="0"/>
              <w:right w:val="single" w:color="auto" w:sz="4" w:space="0"/>
            </w:tcBorders>
            <w:shd w:val="clear" w:color="auto" w:fill="auto"/>
            <w:vAlign w:val="center"/>
          </w:tcPr>
          <w:p w14:paraId="468DC9B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78.36 </w:t>
            </w:r>
          </w:p>
        </w:tc>
        <w:tc>
          <w:tcPr>
            <w:tcW w:w="1418" w:type="dxa"/>
            <w:tcBorders>
              <w:top w:val="nil"/>
              <w:left w:val="nil"/>
              <w:bottom w:val="single" w:color="auto" w:sz="4" w:space="0"/>
              <w:right w:val="single" w:color="auto" w:sz="4" w:space="0"/>
            </w:tcBorders>
            <w:shd w:val="clear" w:color="auto" w:fill="auto"/>
            <w:vAlign w:val="center"/>
          </w:tcPr>
          <w:p w14:paraId="0561C46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11.79 </w:t>
            </w:r>
          </w:p>
        </w:tc>
        <w:tc>
          <w:tcPr>
            <w:tcW w:w="1701" w:type="dxa"/>
            <w:tcBorders>
              <w:top w:val="nil"/>
              <w:left w:val="nil"/>
              <w:bottom w:val="single" w:color="auto" w:sz="4" w:space="0"/>
              <w:right w:val="single" w:color="auto" w:sz="4" w:space="0"/>
            </w:tcBorders>
            <w:shd w:val="clear" w:color="auto" w:fill="auto"/>
            <w:vAlign w:val="center"/>
          </w:tcPr>
          <w:p w14:paraId="64B4611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619.67 </w:t>
            </w:r>
          </w:p>
        </w:tc>
      </w:tr>
      <w:tr w14:paraId="39963349">
        <w:tblPrEx>
          <w:tblCellMar>
            <w:top w:w="0" w:type="dxa"/>
            <w:left w:w="108" w:type="dxa"/>
            <w:bottom w:w="0" w:type="dxa"/>
            <w:right w:w="108" w:type="dxa"/>
          </w:tblCellMar>
        </w:tblPrEx>
        <w:trPr>
          <w:trHeight w:val="288"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7CAD1E04">
            <w:pPr>
              <w:jc w:val="center"/>
              <w:rPr>
                <w:rFonts w:ascii="宋体" w:hAnsi="宋体" w:cs="宋体"/>
                <w:iCs/>
                <w:color w:val="000000"/>
                <w:kern w:val="0"/>
                <w:sz w:val="18"/>
                <w:szCs w:val="18"/>
              </w:rPr>
            </w:pPr>
            <w:r>
              <w:rPr>
                <w:rFonts w:hint="eastAsia" w:ascii="宋体" w:hAnsi="宋体" w:cs="宋体"/>
                <w:iCs/>
                <w:color w:val="000000"/>
                <w:kern w:val="0"/>
                <w:sz w:val="18"/>
                <w:szCs w:val="18"/>
              </w:rPr>
              <w:t>因民镇</w:t>
            </w:r>
          </w:p>
        </w:tc>
        <w:tc>
          <w:tcPr>
            <w:tcW w:w="1400" w:type="dxa"/>
            <w:tcBorders>
              <w:top w:val="nil"/>
              <w:left w:val="nil"/>
              <w:bottom w:val="single" w:color="auto" w:sz="4" w:space="0"/>
              <w:right w:val="single" w:color="auto" w:sz="4" w:space="0"/>
            </w:tcBorders>
            <w:shd w:val="clear" w:color="auto" w:fill="auto"/>
            <w:vAlign w:val="center"/>
          </w:tcPr>
          <w:p w14:paraId="65A06C9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195.86 </w:t>
            </w:r>
          </w:p>
        </w:tc>
        <w:tc>
          <w:tcPr>
            <w:tcW w:w="1130" w:type="dxa"/>
            <w:tcBorders>
              <w:top w:val="nil"/>
              <w:left w:val="nil"/>
              <w:bottom w:val="single" w:color="auto" w:sz="4" w:space="0"/>
              <w:right w:val="single" w:color="auto" w:sz="4" w:space="0"/>
            </w:tcBorders>
            <w:shd w:val="clear" w:color="auto" w:fill="auto"/>
            <w:vAlign w:val="center"/>
          </w:tcPr>
          <w:p w14:paraId="259D3DA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3.81 </w:t>
            </w:r>
          </w:p>
        </w:tc>
        <w:tc>
          <w:tcPr>
            <w:tcW w:w="1418" w:type="dxa"/>
            <w:tcBorders>
              <w:top w:val="nil"/>
              <w:left w:val="nil"/>
              <w:bottom w:val="single" w:color="auto" w:sz="4" w:space="0"/>
              <w:right w:val="single" w:color="auto" w:sz="4" w:space="0"/>
            </w:tcBorders>
            <w:shd w:val="clear" w:color="auto" w:fill="auto"/>
            <w:vAlign w:val="center"/>
          </w:tcPr>
          <w:p w14:paraId="4990589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701" w:type="dxa"/>
            <w:tcBorders>
              <w:top w:val="nil"/>
              <w:left w:val="nil"/>
              <w:bottom w:val="single" w:color="auto" w:sz="4" w:space="0"/>
              <w:right w:val="single" w:color="auto" w:sz="4" w:space="0"/>
            </w:tcBorders>
            <w:shd w:val="clear" w:color="auto" w:fill="auto"/>
            <w:vAlign w:val="center"/>
          </w:tcPr>
          <w:p w14:paraId="0CEB849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192.05 </w:t>
            </w:r>
          </w:p>
        </w:tc>
      </w:tr>
      <w:tr w14:paraId="055D0E18">
        <w:tblPrEx>
          <w:tblCellMar>
            <w:top w:w="0" w:type="dxa"/>
            <w:left w:w="108" w:type="dxa"/>
            <w:bottom w:w="0" w:type="dxa"/>
            <w:right w:w="108" w:type="dxa"/>
          </w:tblCellMar>
        </w:tblPrEx>
        <w:trPr>
          <w:trHeight w:val="288"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355D0956">
            <w:pPr>
              <w:jc w:val="center"/>
              <w:rPr>
                <w:rFonts w:ascii="宋体" w:hAnsi="宋体" w:cs="宋体"/>
                <w:iCs/>
                <w:color w:val="000000"/>
                <w:kern w:val="0"/>
                <w:sz w:val="18"/>
                <w:szCs w:val="18"/>
              </w:rPr>
            </w:pPr>
            <w:r>
              <w:rPr>
                <w:rFonts w:hint="eastAsia" w:ascii="宋体" w:hAnsi="宋体" w:cs="宋体"/>
                <w:iCs/>
                <w:color w:val="000000"/>
                <w:kern w:val="0"/>
                <w:sz w:val="18"/>
                <w:szCs w:val="18"/>
              </w:rPr>
              <w:t>红土地镇</w:t>
            </w:r>
          </w:p>
        </w:tc>
        <w:tc>
          <w:tcPr>
            <w:tcW w:w="1400" w:type="dxa"/>
            <w:tcBorders>
              <w:top w:val="nil"/>
              <w:left w:val="nil"/>
              <w:bottom w:val="single" w:color="auto" w:sz="4" w:space="0"/>
              <w:right w:val="single" w:color="auto" w:sz="4" w:space="0"/>
            </w:tcBorders>
            <w:shd w:val="clear" w:color="auto" w:fill="auto"/>
            <w:vAlign w:val="center"/>
          </w:tcPr>
          <w:p w14:paraId="7D36612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433.47 </w:t>
            </w:r>
          </w:p>
        </w:tc>
        <w:tc>
          <w:tcPr>
            <w:tcW w:w="1130" w:type="dxa"/>
            <w:tcBorders>
              <w:top w:val="nil"/>
              <w:left w:val="nil"/>
              <w:bottom w:val="single" w:color="auto" w:sz="4" w:space="0"/>
              <w:right w:val="single" w:color="auto" w:sz="4" w:space="0"/>
            </w:tcBorders>
            <w:shd w:val="clear" w:color="auto" w:fill="auto"/>
            <w:vAlign w:val="center"/>
          </w:tcPr>
          <w:p w14:paraId="07E618E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4.53 </w:t>
            </w:r>
          </w:p>
        </w:tc>
        <w:tc>
          <w:tcPr>
            <w:tcW w:w="1418" w:type="dxa"/>
            <w:tcBorders>
              <w:top w:val="nil"/>
              <w:left w:val="nil"/>
              <w:bottom w:val="single" w:color="auto" w:sz="4" w:space="0"/>
              <w:right w:val="single" w:color="auto" w:sz="4" w:space="0"/>
            </w:tcBorders>
            <w:shd w:val="clear" w:color="auto" w:fill="auto"/>
            <w:vAlign w:val="center"/>
          </w:tcPr>
          <w:p w14:paraId="4AAF49B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701" w:type="dxa"/>
            <w:tcBorders>
              <w:top w:val="nil"/>
              <w:left w:val="nil"/>
              <w:bottom w:val="single" w:color="auto" w:sz="4" w:space="0"/>
              <w:right w:val="single" w:color="auto" w:sz="4" w:space="0"/>
            </w:tcBorders>
            <w:shd w:val="clear" w:color="auto" w:fill="auto"/>
            <w:vAlign w:val="center"/>
          </w:tcPr>
          <w:p w14:paraId="31AF1E2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428.95 </w:t>
            </w:r>
          </w:p>
        </w:tc>
      </w:tr>
      <w:tr w14:paraId="5A51DA50">
        <w:tblPrEx>
          <w:tblCellMar>
            <w:top w:w="0" w:type="dxa"/>
            <w:left w:w="108" w:type="dxa"/>
            <w:bottom w:w="0" w:type="dxa"/>
            <w:right w:w="108" w:type="dxa"/>
          </w:tblCellMar>
        </w:tblPrEx>
        <w:trPr>
          <w:trHeight w:val="288"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05F98F97">
            <w:pPr>
              <w:jc w:val="center"/>
              <w:rPr>
                <w:rFonts w:ascii="宋体" w:hAnsi="宋体" w:cs="宋体"/>
                <w:iCs/>
                <w:color w:val="000000"/>
                <w:kern w:val="0"/>
                <w:sz w:val="18"/>
                <w:szCs w:val="18"/>
              </w:rPr>
            </w:pPr>
            <w:r>
              <w:rPr>
                <w:rFonts w:hint="eastAsia" w:ascii="宋体" w:hAnsi="宋体" w:cs="宋体"/>
                <w:iCs/>
                <w:color w:val="000000"/>
                <w:kern w:val="0"/>
                <w:sz w:val="18"/>
                <w:szCs w:val="18"/>
              </w:rPr>
              <w:t>舍块乡</w:t>
            </w:r>
          </w:p>
        </w:tc>
        <w:tc>
          <w:tcPr>
            <w:tcW w:w="1400" w:type="dxa"/>
            <w:tcBorders>
              <w:top w:val="nil"/>
              <w:left w:val="nil"/>
              <w:bottom w:val="single" w:color="auto" w:sz="4" w:space="0"/>
              <w:right w:val="single" w:color="auto" w:sz="4" w:space="0"/>
            </w:tcBorders>
            <w:shd w:val="clear" w:color="auto" w:fill="auto"/>
            <w:vAlign w:val="center"/>
          </w:tcPr>
          <w:p w14:paraId="655D585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115.35 </w:t>
            </w:r>
          </w:p>
        </w:tc>
        <w:tc>
          <w:tcPr>
            <w:tcW w:w="1130" w:type="dxa"/>
            <w:tcBorders>
              <w:top w:val="nil"/>
              <w:left w:val="nil"/>
              <w:bottom w:val="single" w:color="auto" w:sz="4" w:space="0"/>
              <w:right w:val="single" w:color="auto" w:sz="4" w:space="0"/>
            </w:tcBorders>
            <w:shd w:val="clear" w:color="auto" w:fill="auto"/>
            <w:vAlign w:val="center"/>
          </w:tcPr>
          <w:p w14:paraId="58E596C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14.83 </w:t>
            </w:r>
          </w:p>
        </w:tc>
        <w:tc>
          <w:tcPr>
            <w:tcW w:w="1418" w:type="dxa"/>
            <w:tcBorders>
              <w:top w:val="nil"/>
              <w:left w:val="nil"/>
              <w:bottom w:val="single" w:color="auto" w:sz="4" w:space="0"/>
              <w:right w:val="single" w:color="auto" w:sz="4" w:space="0"/>
            </w:tcBorders>
            <w:shd w:val="clear" w:color="auto" w:fill="auto"/>
            <w:vAlign w:val="center"/>
          </w:tcPr>
          <w:p w14:paraId="27151D3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701" w:type="dxa"/>
            <w:tcBorders>
              <w:top w:val="nil"/>
              <w:left w:val="nil"/>
              <w:bottom w:val="single" w:color="auto" w:sz="4" w:space="0"/>
              <w:right w:val="single" w:color="auto" w:sz="4" w:space="0"/>
            </w:tcBorders>
            <w:shd w:val="clear" w:color="auto" w:fill="auto"/>
            <w:vAlign w:val="center"/>
          </w:tcPr>
          <w:p w14:paraId="71EDE97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100.52 </w:t>
            </w:r>
          </w:p>
        </w:tc>
      </w:tr>
      <w:tr w14:paraId="08DA364A">
        <w:tblPrEx>
          <w:tblCellMar>
            <w:top w:w="0" w:type="dxa"/>
            <w:left w:w="108" w:type="dxa"/>
            <w:bottom w:w="0" w:type="dxa"/>
            <w:right w:w="108" w:type="dxa"/>
          </w:tblCellMar>
        </w:tblPrEx>
        <w:trPr>
          <w:trHeight w:val="288"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787DB7BE">
            <w:pPr>
              <w:jc w:val="center"/>
              <w:rPr>
                <w:rFonts w:ascii="宋体" w:hAnsi="宋体" w:cs="宋体"/>
                <w:iCs/>
                <w:color w:val="000000"/>
                <w:kern w:val="0"/>
                <w:sz w:val="18"/>
                <w:szCs w:val="18"/>
              </w:rPr>
            </w:pPr>
            <w:r>
              <w:rPr>
                <w:rFonts w:hint="eastAsia" w:ascii="宋体" w:hAnsi="宋体" w:cs="宋体"/>
                <w:iCs/>
                <w:color w:val="000000"/>
                <w:kern w:val="0"/>
                <w:sz w:val="18"/>
                <w:szCs w:val="18"/>
              </w:rPr>
              <w:t>东川区</w:t>
            </w:r>
          </w:p>
        </w:tc>
        <w:tc>
          <w:tcPr>
            <w:tcW w:w="1400" w:type="dxa"/>
            <w:tcBorders>
              <w:top w:val="nil"/>
              <w:left w:val="nil"/>
              <w:bottom w:val="single" w:color="auto" w:sz="4" w:space="0"/>
              <w:right w:val="single" w:color="auto" w:sz="4" w:space="0"/>
            </w:tcBorders>
            <w:shd w:val="clear" w:color="auto" w:fill="auto"/>
            <w:vAlign w:val="center"/>
          </w:tcPr>
          <w:p w14:paraId="78D7D94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4235.20 </w:t>
            </w:r>
          </w:p>
        </w:tc>
        <w:tc>
          <w:tcPr>
            <w:tcW w:w="1130" w:type="dxa"/>
            <w:tcBorders>
              <w:top w:val="nil"/>
              <w:left w:val="nil"/>
              <w:bottom w:val="single" w:color="auto" w:sz="4" w:space="0"/>
              <w:right w:val="single" w:color="auto" w:sz="4" w:space="0"/>
            </w:tcBorders>
            <w:shd w:val="clear" w:color="auto" w:fill="auto"/>
            <w:vAlign w:val="center"/>
          </w:tcPr>
          <w:p w14:paraId="07AA45D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392.17 </w:t>
            </w:r>
          </w:p>
        </w:tc>
        <w:tc>
          <w:tcPr>
            <w:tcW w:w="1418" w:type="dxa"/>
            <w:tcBorders>
              <w:top w:val="nil"/>
              <w:left w:val="nil"/>
              <w:bottom w:val="single" w:color="auto" w:sz="4" w:space="0"/>
              <w:right w:val="single" w:color="auto" w:sz="4" w:space="0"/>
            </w:tcBorders>
            <w:shd w:val="clear" w:color="auto" w:fill="auto"/>
            <w:vAlign w:val="center"/>
          </w:tcPr>
          <w:p w14:paraId="13FC4CE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25.29 </w:t>
            </w:r>
          </w:p>
        </w:tc>
        <w:tc>
          <w:tcPr>
            <w:tcW w:w="1701" w:type="dxa"/>
            <w:tcBorders>
              <w:top w:val="nil"/>
              <w:left w:val="nil"/>
              <w:bottom w:val="single" w:color="auto" w:sz="4" w:space="0"/>
              <w:right w:val="single" w:color="auto" w:sz="4" w:space="0"/>
            </w:tcBorders>
            <w:shd w:val="clear" w:color="auto" w:fill="auto"/>
            <w:vAlign w:val="center"/>
          </w:tcPr>
          <w:p w14:paraId="219D0E7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3817.73 </w:t>
            </w:r>
          </w:p>
        </w:tc>
      </w:tr>
      <w:tr w14:paraId="22A1222C">
        <w:tblPrEx>
          <w:tblCellMar>
            <w:top w:w="0" w:type="dxa"/>
            <w:left w:w="108" w:type="dxa"/>
            <w:bottom w:w="0" w:type="dxa"/>
            <w:right w:w="108" w:type="dxa"/>
          </w:tblCellMar>
        </w:tblPrEx>
        <w:trPr>
          <w:trHeight w:val="288"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44C54278">
            <w:pPr>
              <w:jc w:val="center"/>
              <w:rPr>
                <w:rFonts w:ascii="宋体" w:hAnsi="宋体" w:cs="宋体"/>
                <w:iCs/>
                <w:color w:val="000000"/>
                <w:kern w:val="0"/>
                <w:sz w:val="18"/>
                <w:szCs w:val="18"/>
              </w:rPr>
            </w:pPr>
            <w:r>
              <w:rPr>
                <w:rFonts w:hint="eastAsia" w:ascii="宋体" w:hAnsi="宋体" w:cs="宋体"/>
                <w:iCs/>
                <w:color w:val="000000"/>
                <w:kern w:val="0"/>
                <w:sz w:val="18"/>
                <w:szCs w:val="18"/>
              </w:rPr>
              <w:t>比值</w:t>
            </w:r>
          </w:p>
        </w:tc>
        <w:tc>
          <w:tcPr>
            <w:tcW w:w="1400" w:type="dxa"/>
            <w:tcBorders>
              <w:top w:val="nil"/>
              <w:left w:val="nil"/>
              <w:bottom w:val="single" w:color="auto" w:sz="4" w:space="0"/>
              <w:right w:val="single" w:color="auto" w:sz="4" w:space="0"/>
            </w:tcBorders>
            <w:shd w:val="clear" w:color="auto" w:fill="auto"/>
            <w:vAlign w:val="center"/>
          </w:tcPr>
          <w:p w14:paraId="380DF307">
            <w:pPr>
              <w:jc w:val="center"/>
              <w:rPr>
                <w:rFonts w:ascii="宋体" w:hAnsi="宋体" w:cs="宋体"/>
                <w:iCs/>
                <w:color w:val="000000"/>
                <w:kern w:val="0"/>
                <w:sz w:val="18"/>
                <w:szCs w:val="18"/>
              </w:rPr>
            </w:pPr>
            <w:r>
              <w:rPr>
                <w:rFonts w:hint="eastAsia" w:ascii="宋体" w:hAnsi="宋体" w:cs="宋体"/>
                <w:iCs/>
                <w:color w:val="000000"/>
                <w:kern w:val="0"/>
                <w:sz w:val="18"/>
                <w:szCs w:val="18"/>
              </w:rPr>
              <w:t>100.00%</w:t>
            </w:r>
          </w:p>
        </w:tc>
        <w:tc>
          <w:tcPr>
            <w:tcW w:w="1130" w:type="dxa"/>
            <w:tcBorders>
              <w:top w:val="nil"/>
              <w:left w:val="nil"/>
              <w:bottom w:val="single" w:color="auto" w:sz="4" w:space="0"/>
              <w:right w:val="single" w:color="auto" w:sz="4" w:space="0"/>
            </w:tcBorders>
            <w:shd w:val="clear" w:color="auto" w:fill="auto"/>
            <w:vAlign w:val="center"/>
          </w:tcPr>
          <w:p w14:paraId="2A66D42C">
            <w:pPr>
              <w:jc w:val="center"/>
              <w:rPr>
                <w:rFonts w:ascii="宋体" w:hAnsi="宋体" w:cs="宋体"/>
                <w:iCs/>
                <w:color w:val="000000"/>
                <w:kern w:val="0"/>
                <w:sz w:val="18"/>
                <w:szCs w:val="18"/>
              </w:rPr>
            </w:pPr>
            <w:r>
              <w:rPr>
                <w:rFonts w:hint="eastAsia" w:ascii="宋体" w:hAnsi="宋体" w:cs="宋体"/>
                <w:iCs/>
                <w:color w:val="000000"/>
                <w:kern w:val="0"/>
                <w:sz w:val="18"/>
                <w:szCs w:val="18"/>
              </w:rPr>
              <w:t>9.30%</w:t>
            </w:r>
          </w:p>
        </w:tc>
        <w:tc>
          <w:tcPr>
            <w:tcW w:w="1418" w:type="dxa"/>
            <w:tcBorders>
              <w:top w:val="nil"/>
              <w:left w:val="nil"/>
              <w:bottom w:val="single" w:color="auto" w:sz="4" w:space="0"/>
              <w:right w:val="single" w:color="auto" w:sz="4" w:space="0"/>
            </w:tcBorders>
            <w:shd w:val="clear" w:color="auto" w:fill="auto"/>
            <w:vAlign w:val="center"/>
          </w:tcPr>
          <w:p w14:paraId="39FB79AE">
            <w:pPr>
              <w:jc w:val="center"/>
              <w:rPr>
                <w:rFonts w:ascii="宋体" w:hAnsi="宋体" w:cs="宋体"/>
                <w:iCs/>
                <w:color w:val="000000"/>
                <w:kern w:val="0"/>
                <w:sz w:val="18"/>
                <w:szCs w:val="18"/>
              </w:rPr>
            </w:pPr>
            <w:r>
              <w:rPr>
                <w:rFonts w:hint="eastAsia" w:ascii="宋体" w:hAnsi="宋体" w:cs="宋体"/>
                <w:iCs/>
                <w:color w:val="000000"/>
                <w:kern w:val="0"/>
                <w:sz w:val="18"/>
                <w:szCs w:val="18"/>
              </w:rPr>
              <w:t>0.60%</w:t>
            </w:r>
          </w:p>
        </w:tc>
        <w:tc>
          <w:tcPr>
            <w:tcW w:w="1701" w:type="dxa"/>
            <w:tcBorders>
              <w:top w:val="nil"/>
              <w:left w:val="nil"/>
              <w:bottom w:val="single" w:color="auto" w:sz="4" w:space="0"/>
              <w:right w:val="single" w:color="auto" w:sz="4" w:space="0"/>
            </w:tcBorders>
            <w:shd w:val="clear" w:color="auto" w:fill="auto"/>
            <w:vAlign w:val="center"/>
          </w:tcPr>
          <w:p w14:paraId="724E4DDA">
            <w:pPr>
              <w:jc w:val="center"/>
              <w:rPr>
                <w:rFonts w:ascii="宋体" w:hAnsi="宋体" w:cs="宋体"/>
                <w:iCs/>
                <w:color w:val="000000"/>
                <w:kern w:val="0"/>
                <w:sz w:val="18"/>
                <w:szCs w:val="18"/>
              </w:rPr>
            </w:pPr>
            <w:r>
              <w:rPr>
                <w:rFonts w:hint="eastAsia" w:ascii="宋体" w:hAnsi="宋体" w:cs="宋体"/>
                <w:iCs/>
                <w:color w:val="000000"/>
                <w:kern w:val="0"/>
                <w:sz w:val="18"/>
                <w:szCs w:val="18"/>
              </w:rPr>
              <w:t>90.10%</w:t>
            </w:r>
          </w:p>
        </w:tc>
      </w:tr>
    </w:tbl>
    <w:p w14:paraId="4DC6E0F1">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东川区本次调出永久基本农田4235.20公顷，其中0～2度调出167.27公顷，占3.9%；2～6度调出272.35公顷，占6.4%；6～15度调出1608.25公顷，占38.0%；15～25度调出1014.66公顷，占24.0%；25度以上调出1172.66公顷，占27.7%。本次调整坡度大于25°耕地调出17589.9公顷。</w:t>
      </w:r>
    </w:p>
    <w:p w14:paraId="63B0B182">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2B3CFC8A">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5AC73CD9">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1B6048FF">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64AF77A0">
      <w:pPr>
        <w:jc w:val="center"/>
        <w:outlineLvl w:val="4"/>
        <w:rPr>
          <w:rFonts w:ascii="宋体" w:hAnsi="宋体"/>
          <w:b/>
          <w:sz w:val="24"/>
        </w:rPr>
      </w:pPr>
      <w:r>
        <w:rPr>
          <w:rFonts w:hint="eastAsia" w:ascii="宋体" w:hAnsi="宋体"/>
          <w:b/>
          <w:sz w:val="24"/>
        </w:rPr>
        <w:t>表4-2  东川区调出永久基本农田坡度情况统计表</w:t>
      </w:r>
    </w:p>
    <w:p w14:paraId="1A7EC529">
      <w:pPr>
        <w:spacing w:line="360" w:lineRule="auto"/>
        <w:ind w:right="360" w:firstLine="360" w:firstLineChars="200"/>
        <w:jc w:val="right"/>
        <w:rPr>
          <w:rFonts w:ascii="宋体" w:hAnsi="宋体" w:cs="宋体"/>
          <w:iCs/>
          <w:color w:val="000000"/>
          <w:kern w:val="0"/>
          <w:sz w:val="18"/>
          <w:szCs w:val="18"/>
        </w:rPr>
      </w:pPr>
      <w:r>
        <w:rPr>
          <w:rFonts w:hint="eastAsia" w:ascii="宋体" w:hAnsi="宋体" w:cs="宋体"/>
          <w:iCs/>
          <w:color w:val="000000"/>
          <w:kern w:val="0"/>
          <w:sz w:val="18"/>
          <w:szCs w:val="18"/>
        </w:rPr>
        <w:t>单位：公顷</w:t>
      </w:r>
    </w:p>
    <w:tbl>
      <w:tblPr>
        <w:tblStyle w:val="27"/>
        <w:tblW w:w="8717" w:type="dxa"/>
        <w:jc w:val="center"/>
        <w:tblLayout w:type="autofit"/>
        <w:tblCellMar>
          <w:top w:w="0" w:type="dxa"/>
          <w:left w:w="108" w:type="dxa"/>
          <w:bottom w:w="0" w:type="dxa"/>
          <w:right w:w="108" w:type="dxa"/>
        </w:tblCellMar>
      </w:tblPr>
      <w:tblGrid>
        <w:gridCol w:w="1296"/>
        <w:gridCol w:w="1380"/>
        <w:gridCol w:w="1026"/>
        <w:gridCol w:w="960"/>
        <w:gridCol w:w="1211"/>
        <w:gridCol w:w="1301"/>
        <w:gridCol w:w="1543"/>
      </w:tblGrid>
      <w:tr w14:paraId="6C0FB10B">
        <w:tblPrEx>
          <w:tblCellMar>
            <w:top w:w="0" w:type="dxa"/>
            <w:left w:w="108" w:type="dxa"/>
            <w:bottom w:w="0" w:type="dxa"/>
            <w:right w:w="108" w:type="dxa"/>
          </w:tblCellMar>
        </w:tblPrEx>
        <w:trPr>
          <w:trHeight w:val="300" w:hRule="atLeast"/>
          <w:jc w:val="center"/>
        </w:trPr>
        <w:tc>
          <w:tcPr>
            <w:tcW w:w="1296"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3D5E7CDE">
            <w:pPr>
              <w:jc w:val="center"/>
              <w:rPr>
                <w:rFonts w:ascii="宋体" w:hAnsi="宋体" w:cs="宋体"/>
                <w:b/>
                <w:iCs/>
                <w:color w:val="000000"/>
                <w:kern w:val="0"/>
                <w:sz w:val="18"/>
                <w:szCs w:val="18"/>
              </w:rPr>
            </w:pPr>
            <w:r>
              <w:rPr>
                <w:rFonts w:hint="eastAsia" w:ascii="宋体" w:hAnsi="宋体" w:cs="宋体"/>
                <w:b/>
                <w:iCs/>
                <w:color w:val="000000"/>
                <w:kern w:val="0"/>
                <w:sz w:val="18"/>
                <w:szCs w:val="18"/>
              </w:rPr>
              <w:t>行政辖区</w:t>
            </w:r>
          </w:p>
        </w:tc>
        <w:tc>
          <w:tcPr>
            <w:tcW w:w="138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0B1CDC4D">
            <w:pPr>
              <w:jc w:val="center"/>
              <w:rPr>
                <w:rFonts w:ascii="宋体" w:hAnsi="宋体" w:cs="宋体"/>
                <w:b/>
                <w:iCs/>
                <w:color w:val="000000"/>
                <w:kern w:val="0"/>
                <w:sz w:val="18"/>
                <w:szCs w:val="18"/>
              </w:rPr>
            </w:pPr>
            <w:r>
              <w:rPr>
                <w:rFonts w:hint="eastAsia" w:ascii="宋体" w:hAnsi="宋体" w:cs="宋体"/>
                <w:b/>
                <w:iCs/>
                <w:color w:val="000000"/>
                <w:kern w:val="0"/>
                <w:sz w:val="18"/>
                <w:szCs w:val="18"/>
              </w:rPr>
              <w:t>基本农田面积</w:t>
            </w:r>
          </w:p>
        </w:tc>
        <w:tc>
          <w:tcPr>
            <w:tcW w:w="6041" w:type="dxa"/>
            <w:gridSpan w:val="5"/>
            <w:tcBorders>
              <w:top w:val="single" w:color="auto" w:sz="8" w:space="0"/>
              <w:left w:val="nil"/>
              <w:bottom w:val="single" w:color="auto" w:sz="8" w:space="0"/>
              <w:right w:val="single" w:color="000000" w:sz="8" w:space="0"/>
            </w:tcBorders>
            <w:shd w:val="clear" w:color="auto" w:fill="auto"/>
            <w:vAlign w:val="center"/>
          </w:tcPr>
          <w:p w14:paraId="5A7ECF9C">
            <w:pPr>
              <w:jc w:val="center"/>
              <w:rPr>
                <w:rFonts w:ascii="宋体" w:hAnsi="宋体" w:cs="宋体"/>
                <w:b/>
                <w:iCs/>
                <w:color w:val="000000"/>
                <w:kern w:val="0"/>
                <w:sz w:val="18"/>
                <w:szCs w:val="18"/>
              </w:rPr>
            </w:pPr>
            <w:r>
              <w:rPr>
                <w:rFonts w:hint="eastAsia" w:ascii="宋体" w:hAnsi="宋体" w:cs="宋体"/>
                <w:b/>
                <w:iCs/>
                <w:color w:val="000000"/>
                <w:kern w:val="0"/>
                <w:sz w:val="18"/>
                <w:szCs w:val="18"/>
              </w:rPr>
              <w:t>耕地坡度构成</w:t>
            </w:r>
          </w:p>
        </w:tc>
      </w:tr>
      <w:tr w14:paraId="356237C0">
        <w:tblPrEx>
          <w:tblCellMar>
            <w:top w:w="0" w:type="dxa"/>
            <w:left w:w="108" w:type="dxa"/>
            <w:bottom w:w="0" w:type="dxa"/>
            <w:right w:w="108" w:type="dxa"/>
          </w:tblCellMar>
        </w:tblPrEx>
        <w:trPr>
          <w:trHeight w:val="588" w:hRule="atLeast"/>
          <w:jc w:val="center"/>
        </w:trPr>
        <w:tc>
          <w:tcPr>
            <w:tcW w:w="1296" w:type="dxa"/>
            <w:vMerge w:val="continue"/>
            <w:tcBorders>
              <w:top w:val="single" w:color="auto" w:sz="8" w:space="0"/>
              <w:left w:val="single" w:color="auto" w:sz="8" w:space="0"/>
              <w:bottom w:val="single" w:color="000000" w:sz="8" w:space="0"/>
              <w:right w:val="single" w:color="auto" w:sz="8" w:space="0"/>
            </w:tcBorders>
            <w:vAlign w:val="center"/>
          </w:tcPr>
          <w:p w14:paraId="44DF984F">
            <w:pPr>
              <w:jc w:val="center"/>
              <w:rPr>
                <w:rFonts w:ascii="宋体" w:hAnsi="宋体" w:cs="宋体"/>
                <w:b/>
                <w:iCs/>
                <w:color w:val="000000"/>
                <w:kern w:val="0"/>
                <w:sz w:val="18"/>
                <w:szCs w:val="18"/>
              </w:rPr>
            </w:pPr>
          </w:p>
        </w:tc>
        <w:tc>
          <w:tcPr>
            <w:tcW w:w="1380" w:type="dxa"/>
            <w:vMerge w:val="continue"/>
            <w:tcBorders>
              <w:top w:val="single" w:color="auto" w:sz="8" w:space="0"/>
              <w:left w:val="single" w:color="auto" w:sz="8" w:space="0"/>
              <w:bottom w:val="single" w:color="000000" w:sz="8" w:space="0"/>
              <w:right w:val="single" w:color="auto" w:sz="8" w:space="0"/>
            </w:tcBorders>
            <w:vAlign w:val="center"/>
          </w:tcPr>
          <w:p w14:paraId="4AB674E8">
            <w:pPr>
              <w:jc w:val="center"/>
              <w:rPr>
                <w:rFonts w:ascii="宋体" w:hAnsi="宋体" w:cs="宋体"/>
                <w:b/>
                <w:iCs/>
                <w:color w:val="000000"/>
                <w:kern w:val="0"/>
                <w:sz w:val="18"/>
                <w:szCs w:val="18"/>
              </w:rPr>
            </w:pPr>
          </w:p>
        </w:tc>
        <w:tc>
          <w:tcPr>
            <w:tcW w:w="1026" w:type="dxa"/>
            <w:tcBorders>
              <w:top w:val="nil"/>
              <w:left w:val="nil"/>
              <w:bottom w:val="single" w:color="auto" w:sz="8" w:space="0"/>
              <w:right w:val="single" w:color="auto" w:sz="8" w:space="0"/>
            </w:tcBorders>
            <w:shd w:val="clear" w:color="auto" w:fill="auto"/>
            <w:vAlign w:val="center"/>
          </w:tcPr>
          <w:p w14:paraId="288B0B4A">
            <w:pPr>
              <w:jc w:val="center"/>
              <w:rPr>
                <w:rFonts w:ascii="宋体" w:hAnsi="宋体" w:cs="宋体"/>
                <w:b/>
                <w:iCs/>
                <w:color w:val="000000"/>
                <w:kern w:val="0"/>
                <w:sz w:val="18"/>
                <w:szCs w:val="18"/>
              </w:rPr>
            </w:pPr>
            <w:r>
              <w:rPr>
                <w:rFonts w:hint="eastAsia" w:ascii="宋体" w:hAnsi="宋体" w:cs="宋体"/>
                <w:b/>
                <w:iCs/>
                <w:color w:val="000000"/>
                <w:kern w:val="0"/>
                <w:sz w:val="18"/>
                <w:szCs w:val="18"/>
              </w:rPr>
              <w:t>≤2°</w:t>
            </w:r>
          </w:p>
        </w:tc>
        <w:tc>
          <w:tcPr>
            <w:tcW w:w="960" w:type="dxa"/>
            <w:tcBorders>
              <w:top w:val="nil"/>
              <w:left w:val="nil"/>
              <w:bottom w:val="single" w:color="auto" w:sz="8" w:space="0"/>
              <w:right w:val="single" w:color="auto" w:sz="8" w:space="0"/>
            </w:tcBorders>
            <w:shd w:val="clear" w:color="auto" w:fill="auto"/>
            <w:vAlign w:val="center"/>
          </w:tcPr>
          <w:p w14:paraId="77AEEB91">
            <w:pPr>
              <w:jc w:val="center"/>
              <w:rPr>
                <w:rFonts w:ascii="宋体" w:hAnsi="宋体" w:cs="宋体"/>
                <w:b/>
                <w:iCs/>
                <w:color w:val="000000"/>
                <w:kern w:val="0"/>
                <w:sz w:val="18"/>
                <w:szCs w:val="18"/>
              </w:rPr>
            </w:pPr>
            <w:r>
              <w:rPr>
                <w:rFonts w:hint="eastAsia" w:ascii="宋体" w:hAnsi="宋体" w:cs="宋体"/>
                <w:b/>
                <w:iCs/>
                <w:color w:val="000000"/>
                <w:kern w:val="0"/>
                <w:sz w:val="18"/>
                <w:szCs w:val="18"/>
              </w:rPr>
              <w:t>2°～6°</w:t>
            </w:r>
          </w:p>
        </w:tc>
        <w:tc>
          <w:tcPr>
            <w:tcW w:w="1211" w:type="dxa"/>
            <w:tcBorders>
              <w:top w:val="nil"/>
              <w:left w:val="nil"/>
              <w:bottom w:val="single" w:color="auto" w:sz="8" w:space="0"/>
              <w:right w:val="single" w:color="auto" w:sz="8" w:space="0"/>
            </w:tcBorders>
            <w:shd w:val="clear" w:color="auto" w:fill="auto"/>
            <w:vAlign w:val="center"/>
          </w:tcPr>
          <w:p w14:paraId="37E7325D">
            <w:pPr>
              <w:jc w:val="center"/>
              <w:rPr>
                <w:rFonts w:ascii="宋体" w:hAnsi="宋体" w:cs="宋体"/>
                <w:b/>
                <w:iCs/>
                <w:color w:val="000000"/>
                <w:kern w:val="0"/>
                <w:sz w:val="18"/>
                <w:szCs w:val="18"/>
              </w:rPr>
            </w:pPr>
            <w:r>
              <w:rPr>
                <w:rFonts w:hint="eastAsia" w:ascii="宋体" w:hAnsi="宋体" w:cs="宋体"/>
                <w:b/>
                <w:iCs/>
                <w:color w:val="000000"/>
                <w:kern w:val="0"/>
                <w:sz w:val="18"/>
                <w:szCs w:val="18"/>
              </w:rPr>
              <w:t>6°～15°</w:t>
            </w:r>
          </w:p>
        </w:tc>
        <w:tc>
          <w:tcPr>
            <w:tcW w:w="1301" w:type="dxa"/>
            <w:tcBorders>
              <w:top w:val="nil"/>
              <w:left w:val="nil"/>
              <w:bottom w:val="single" w:color="auto" w:sz="8" w:space="0"/>
              <w:right w:val="single" w:color="auto" w:sz="8" w:space="0"/>
            </w:tcBorders>
            <w:shd w:val="clear" w:color="auto" w:fill="auto"/>
            <w:vAlign w:val="center"/>
          </w:tcPr>
          <w:p w14:paraId="53B1EE9D">
            <w:pPr>
              <w:jc w:val="center"/>
              <w:rPr>
                <w:rFonts w:ascii="宋体" w:hAnsi="宋体" w:cs="宋体"/>
                <w:b/>
                <w:iCs/>
                <w:color w:val="000000"/>
                <w:kern w:val="0"/>
                <w:sz w:val="18"/>
                <w:szCs w:val="18"/>
              </w:rPr>
            </w:pPr>
            <w:r>
              <w:rPr>
                <w:rFonts w:hint="eastAsia" w:ascii="宋体" w:hAnsi="宋体" w:cs="宋体"/>
                <w:b/>
                <w:iCs/>
                <w:color w:val="000000"/>
                <w:kern w:val="0"/>
                <w:sz w:val="18"/>
                <w:szCs w:val="18"/>
              </w:rPr>
              <w:t>15°～25°</w:t>
            </w:r>
          </w:p>
        </w:tc>
        <w:tc>
          <w:tcPr>
            <w:tcW w:w="1543" w:type="dxa"/>
            <w:tcBorders>
              <w:top w:val="nil"/>
              <w:left w:val="nil"/>
              <w:bottom w:val="single" w:color="auto" w:sz="8" w:space="0"/>
              <w:right w:val="single" w:color="auto" w:sz="8" w:space="0"/>
            </w:tcBorders>
            <w:shd w:val="clear" w:color="auto" w:fill="auto"/>
            <w:vAlign w:val="center"/>
          </w:tcPr>
          <w:p w14:paraId="3990A132">
            <w:pPr>
              <w:jc w:val="center"/>
              <w:rPr>
                <w:rFonts w:ascii="宋体" w:hAnsi="宋体" w:cs="宋体"/>
                <w:b/>
                <w:iCs/>
                <w:color w:val="000000"/>
                <w:kern w:val="0"/>
                <w:sz w:val="18"/>
                <w:szCs w:val="18"/>
              </w:rPr>
            </w:pPr>
            <w:r>
              <w:rPr>
                <w:rFonts w:hint="eastAsia" w:ascii="宋体" w:hAnsi="宋体" w:cs="宋体"/>
                <w:b/>
                <w:iCs/>
                <w:color w:val="000000"/>
                <w:kern w:val="0"/>
                <w:sz w:val="18"/>
                <w:szCs w:val="18"/>
              </w:rPr>
              <w:t>＞25°</w:t>
            </w:r>
          </w:p>
        </w:tc>
      </w:tr>
      <w:tr w14:paraId="65CB235C">
        <w:tblPrEx>
          <w:tblCellMar>
            <w:top w:w="0" w:type="dxa"/>
            <w:left w:w="108" w:type="dxa"/>
            <w:bottom w:w="0" w:type="dxa"/>
            <w:right w:w="108" w:type="dxa"/>
          </w:tblCellMar>
        </w:tblPrEx>
        <w:trPr>
          <w:trHeight w:val="300" w:hRule="atLeast"/>
          <w:jc w:val="center"/>
        </w:trPr>
        <w:tc>
          <w:tcPr>
            <w:tcW w:w="1296" w:type="dxa"/>
            <w:tcBorders>
              <w:top w:val="nil"/>
              <w:left w:val="single" w:color="auto" w:sz="8" w:space="0"/>
              <w:bottom w:val="single" w:color="auto" w:sz="8" w:space="0"/>
              <w:right w:val="single" w:color="auto" w:sz="8" w:space="0"/>
            </w:tcBorders>
            <w:shd w:val="clear" w:color="auto" w:fill="auto"/>
            <w:vAlign w:val="center"/>
          </w:tcPr>
          <w:p w14:paraId="7468A6B1">
            <w:pPr>
              <w:jc w:val="center"/>
              <w:rPr>
                <w:rFonts w:ascii="宋体" w:hAnsi="宋体" w:cs="宋体"/>
                <w:iCs/>
                <w:color w:val="000000"/>
                <w:kern w:val="0"/>
                <w:sz w:val="18"/>
                <w:szCs w:val="18"/>
              </w:rPr>
            </w:pPr>
            <w:r>
              <w:rPr>
                <w:rFonts w:hint="eastAsia" w:ascii="宋体" w:hAnsi="宋体" w:cs="宋体"/>
                <w:iCs/>
                <w:color w:val="000000"/>
                <w:kern w:val="0"/>
                <w:sz w:val="18"/>
                <w:szCs w:val="18"/>
              </w:rPr>
              <w:t>铜都街道</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800984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956.01 </w:t>
            </w:r>
          </w:p>
        </w:tc>
        <w:tc>
          <w:tcPr>
            <w:tcW w:w="1026" w:type="dxa"/>
            <w:tcBorders>
              <w:top w:val="single" w:color="auto" w:sz="4" w:space="0"/>
              <w:left w:val="nil"/>
              <w:bottom w:val="single" w:color="auto" w:sz="4" w:space="0"/>
              <w:right w:val="single" w:color="auto" w:sz="4" w:space="0"/>
            </w:tcBorders>
            <w:shd w:val="clear" w:color="auto" w:fill="auto"/>
            <w:vAlign w:val="center"/>
          </w:tcPr>
          <w:p w14:paraId="10F2402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59.67 </w:t>
            </w:r>
          </w:p>
        </w:tc>
        <w:tc>
          <w:tcPr>
            <w:tcW w:w="960" w:type="dxa"/>
            <w:tcBorders>
              <w:top w:val="single" w:color="auto" w:sz="4" w:space="0"/>
              <w:left w:val="nil"/>
              <w:bottom w:val="single" w:color="auto" w:sz="4" w:space="0"/>
              <w:right w:val="single" w:color="auto" w:sz="4" w:space="0"/>
            </w:tcBorders>
            <w:shd w:val="clear" w:color="auto" w:fill="auto"/>
            <w:vAlign w:val="center"/>
          </w:tcPr>
          <w:p w14:paraId="2537A23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123.98 </w:t>
            </w:r>
          </w:p>
        </w:tc>
        <w:tc>
          <w:tcPr>
            <w:tcW w:w="1211" w:type="dxa"/>
            <w:tcBorders>
              <w:top w:val="single" w:color="auto" w:sz="4" w:space="0"/>
              <w:left w:val="nil"/>
              <w:bottom w:val="single" w:color="auto" w:sz="4" w:space="0"/>
              <w:right w:val="single" w:color="auto" w:sz="4" w:space="0"/>
            </w:tcBorders>
            <w:shd w:val="clear" w:color="auto" w:fill="auto"/>
            <w:vAlign w:val="center"/>
          </w:tcPr>
          <w:p w14:paraId="56A44A8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367.45 </w:t>
            </w:r>
          </w:p>
        </w:tc>
        <w:tc>
          <w:tcPr>
            <w:tcW w:w="1301" w:type="dxa"/>
            <w:tcBorders>
              <w:top w:val="single" w:color="auto" w:sz="4" w:space="0"/>
              <w:left w:val="nil"/>
              <w:bottom w:val="single" w:color="auto" w:sz="4" w:space="0"/>
              <w:right w:val="single" w:color="auto" w:sz="4" w:space="0"/>
            </w:tcBorders>
            <w:shd w:val="clear" w:color="auto" w:fill="auto"/>
            <w:vAlign w:val="center"/>
          </w:tcPr>
          <w:p w14:paraId="74706EE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253.93 </w:t>
            </w:r>
          </w:p>
        </w:tc>
        <w:tc>
          <w:tcPr>
            <w:tcW w:w="1543" w:type="dxa"/>
            <w:tcBorders>
              <w:top w:val="single" w:color="auto" w:sz="4" w:space="0"/>
              <w:left w:val="nil"/>
              <w:bottom w:val="single" w:color="auto" w:sz="4" w:space="0"/>
              <w:right w:val="single" w:color="auto" w:sz="4" w:space="0"/>
            </w:tcBorders>
            <w:shd w:val="clear" w:color="auto" w:fill="auto"/>
            <w:vAlign w:val="center"/>
          </w:tcPr>
          <w:p w14:paraId="3660187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150.97 </w:t>
            </w:r>
          </w:p>
        </w:tc>
      </w:tr>
      <w:tr w14:paraId="6FDB718F">
        <w:tblPrEx>
          <w:tblCellMar>
            <w:top w:w="0" w:type="dxa"/>
            <w:left w:w="108" w:type="dxa"/>
            <w:bottom w:w="0" w:type="dxa"/>
            <w:right w:w="108" w:type="dxa"/>
          </w:tblCellMar>
        </w:tblPrEx>
        <w:trPr>
          <w:trHeight w:val="300" w:hRule="atLeast"/>
          <w:jc w:val="center"/>
        </w:trPr>
        <w:tc>
          <w:tcPr>
            <w:tcW w:w="1296" w:type="dxa"/>
            <w:tcBorders>
              <w:top w:val="nil"/>
              <w:left w:val="single" w:color="auto" w:sz="8" w:space="0"/>
              <w:bottom w:val="single" w:color="auto" w:sz="8" w:space="0"/>
              <w:right w:val="single" w:color="auto" w:sz="8" w:space="0"/>
            </w:tcBorders>
            <w:shd w:val="clear" w:color="auto" w:fill="auto"/>
            <w:vAlign w:val="center"/>
          </w:tcPr>
          <w:p w14:paraId="327A63E3">
            <w:pPr>
              <w:jc w:val="center"/>
              <w:rPr>
                <w:rFonts w:ascii="宋体" w:hAnsi="宋体" w:cs="宋体"/>
                <w:iCs/>
                <w:color w:val="000000"/>
                <w:kern w:val="0"/>
                <w:sz w:val="18"/>
                <w:szCs w:val="18"/>
              </w:rPr>
            </w:pPr>
            <w:r>
              <w:rPr>
                <w:rFonts w:hint="eastAsia" w:ascii="宋体" w:hAnsi="宋体" w:cs="宋体"/>
                <w:iCs/>
                <w:color w:val="000000"/>
                <w:kern w:val="0"/>
                <w:sz w:val="18"/>
                <w:szCs w:val="18"/>
              </w:rPr>
              <w:t>阿旺镇</w:t>
            </w:r>
          </w:p>
        </w:tc>
        <w:tc>
          <w:tcPr>
            <w:tcW w:w="1380" w:type="dxa"/>
            <w:tcBorders>
              <w:top w:val="nil"/>
              <w:left w:val="single" w:color="auto" w:sz="4" w:space="0"/>
              <w:bottom w:val="single" w:color="auto" w:sz="4" w:space="0"/>
              <w:right w:val="single" w:color="auto" w:sz="4" w:space="0"/>
            </w:tcBorders>
            <w:shd w:val="clear" w:color="auto" w:fill="auto"/>
            <w:vAlign w:val="center"/>
          </w:tcPr>
          <w:p w14:paraId="360144E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650.19 </w:t>
            </w:r>
          </w:p>
        </w:tc>
        <w:tc>
          <w:tcPr>
            <w:tcW w:w="1026" w:type="dxa"/>
            <w:tcBorders>
              <w:top w:val="nil"/>
              <w:left w:val="nil"/>
              <w:bottom w:val="single" w:color="auto" w:sz="4" w:space="0"/>
              <w:right w:val="single" w:color="auto" w:sz="4" w:space="0"/>
            </w:tcBorders>
            <w:shd w:val="clear" w:color="auto" w:fill="auto"/>
            <w:vAlign w:val="center"/>
          </w:tcPr>
          <w:p w14:paraId="0291165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24.65 </w:t>
            </w:r>
          </w:p>
        </w:tc>
        <w:tc>
          <w:tcPr>
            <w:tcW w:w="960" w:type="dxa"/>
            <w:tcBorders>
              <w:top w:val="nil"/>
              <w:left w:val="nil"/>
              <w:bottom w:val="single" w:color="auto" w:sz="4" w:space="0"/>
              <w:right w:val="single" w:color="auto" w:sz="4" w:space="0"/>
            </w:tcBorders>
            <w:shd w:val="clear" w:color="auto" w:fill="auto"/>
            <w:vAlign w:val="center"/>
          </w:tcPr>
          <w:p w14:paraId="61FA7D0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59.33 </w:t>
            </w:r>
          </w:p>
        </w:tc>
        <w:tc>
          <w:tcPr>
            <w:tcW w:w="1211" w:type="dxa"/>
            <w:tcBorders>
              <w:top w:val="nil"/>
              <w:left w:val="nil"/>
              <w:bottom w:val="single" w:color="auto" w:sz="4" w:space="0"/>
              <w:right w:val="single" w:color="auto" w:sz="4" w:space="0"/>
            </w:tcBorders>
            <w:shd w:val="clear" w:color="auto" w:fill="auto"/>
            <w:vAlign w:val="center"/>
          </w:tcPr>
          <w:p w14:paraId="1D889A1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237.13 </w:t>
            </w:r>
          </w:p>
        </w:tc>
        <w:tc>
          <w:tcPr>
            <w:tcW w:w="1301" w:type="dxa"/>
            <w:tcBorders>
              <w:top w:val="nil"/>
              <w:left w:val="nil"/>
              <w:bottom w:val="single" w:color="auto" w:sz="4" w:space="0"/>
              <w:right w:val="single" w:color="auto" w:sz="4" w:space="0"/>
            </w:tcBorders>
            <w:shd w:val="clear" w:color="auto" w:fill="auto"/>
            <w:vAlign w:val="center"/>
          </w:tcPr>
          <w:p w14:paraId="01821A3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170.98 </w:t>
            </w:r>
          </w:p>
        </w:tc>
        <w:tc>
          <w:tcPr>
            <w:tcW w:w="1543" w:type="dxa"/>
            <w:tcBorders>
              <w:top w:val="nil"/>
              <w:left w:val="nil"/>
              <w:bottom w:val="single" w:color="auto" w:sz="4" w:space="0"/>
              <w:right w:val="single" w:color="auto" w:sz="4" w:space="0"/>
            </w:tcBorders>
            <w:shd w:val="clear" w:color="auto" w:fill="auto"/>
            <w:vAlign w:val="center"/>
          </w:tcPr>
          <w:p w14:paraId="13E8C53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158.10 </w:t>
            </w:r>
          </w:p>
        </w:tc>
      </w:tr>
      <w:tr w14:paraId="78CF2264">
        <w:tblPrEx>
          <w:tblCellMar>
            <w:top w:w="0" w:type="dxa"/>
            <w:left w:w="108" w:type="dxa"/>
            <w:bottom w:w="0" w:type="dxa"/>
            <w:right w:w="108" w:type="dxa"/>
          </w:tblCellMar>
        </w:tblPrEx>
        <w:trPr>
          <w:trHeight w:val="300" w:hRule="atLeast"/>
          <w:jc w:val="center"/>
        </w:trPr>
        <w:tc>
          <w:tcPr>
            <w:tcW w:w="1296" w:type="dxa"/>
            <w:tcBorders>
              <w:top w:val="nil"/>
              <w:left w:val="single" w:color="auto" w:sz="8" w:space="0"/>
              <w:bottom w:val="single" w:color="auto" w:sz="8" w:space="0"/>
              <w:right w:val="single" w:color="auto" w:sz="8" w:space="0"/>
            </w:tcBorders>
            <w:shd w:val="clear" w:color="auto" w:fill="auto"/>
            <w:vAlign w:val="center"/>
          </w:tcPr>
          <w:p w14:paraId="0D5BA074">
            <w:pPr>
              <w:jc w:val="center"/>
              <w:rPr>
                <w:rFonts w:ascii="宋体" w:hAnsi="宋体" w:cs="宋体"/>
                <w:iCs/>
                <w:color w:val="000000"/>
                <w:kern w:val="0"/>
                <w:sz w:val="18"/>
                <w:szCs w:val="18"/>
              </w:rPr>
            </w:pPr>
            <w:r>
              <w:rPr>
                <w:rFonts w:hint="eastAsia" w:ascii="宋体" w:hAnsi="宋体" w:cs="宋体"/>
                <w:iCs/>
                <w:color w:val="000000"/>
                <w:kern w:val="0"/>
                <w:sz w:val="18"/>
                <w:szCs w:val="18"/>
              </w:rPr>
              <w:t>乌龙镇</w:t>
            </w:r>
          </w:p>
        </w:tc>
        <w:tc>
          <w:tcPr>
            <w:tcW w:w="1380" w:type="dxa"/>
            <w:tcBorders>
              <w:top w:val="nil"/>
              <w:left w:val="single" w:color="auto" w:sz="4" w:space="0"/>
              <w:bottom w:val="single" w:color="auto" w:sz="4" w:space="0"/>
              <w:right w:val="single" w:color="auto" w:sz="4" w:space="0"/>
            </w:tcBorders>
            <w:shd w:val="clear" w:color="auto" w:fill="auto"/>
            <w:vAlign w:val="center"/>
          </w:tcPr>
          <w:p w14:paraId="2F9058D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326.71 </w:t>
            </w:r>
          </w:p>
        </w:tc>
        <w:tc>
          <w:tcPr>
            <w:tcW w:w="1026" w:type="dxa"/>
            <w:tcBorders>
              <w:top w:val="nil"/>
              <w:left w:val="nil"/>
              <w:bottom w:val="single" w:color="auto" w:sz="4" w:space="0"/>
              <w:right w:val="single" w:color="auto" w:sz="4" w:space="0"/>
            </w:tcBorders>
            <w:shd w:val="clear" w:color="auto" w:fill="auto"/>
            <w:vAlign w:val="center"/>
          </w:tcPr>
          <w:p w14:paraId="2D0745E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1.43 </w:t>
            </w:r>
          </w:p>
        </w:tc>
        <w:tc>
          <w:tcPr>
            <w:tcW w:w="960" w:type="dxa"/>
            <w:tcBorders>
              <w:top w:val="nil"/>
              <w:left w:val="nil"/>
              <w:bottom w:val="single" w:color="auto" w:sz="4" w:space="0"/>
              <w:right w:val="single" w:color="auto" w:sz="4" w:space="0"/>
            </w:tcBorders>
            <w:shd w:val="clear" w:color="auto" w:fill="auto"/>
            <w:vAlign w:val="center"/>
          </w:tcPr>
          <w:p w14:paraId="2A64C13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23.58 </w:t>
            </w:r>
          </w:p>
        </w:tc>
        <w:tc>
          <w:tcPr>
            <w:tcW w:w="1211" w:type="dxa"/>
            <w:tcBorders>
              <w:top w:val="nil"/>
              <w:left w:val="nil"/>
              <w:bottom w:val="single" w:color="auto" w:sz="4" w:space="0"/>
              <w:right w:val="single" w:color="auto" w:sz="4" w:space="0"/>
            </w:tcBorders>
            <w:shd w:val="clear" w:color="auto" w:fill="auto"/>
            <w:vAlign w:val="center"/>
          </w:tcPr>
          <w:p w14:paraId="7E545A3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161.37 </w:t>
            </w:r>
          </w:p>
        </w:tc>
        <w:tc>
          <w:tcPr>
            <w:tcW w:w="1301" w:type="dxa"/>
            <w:tcBorders>
              <w:top w:val="nil"/>
              <w:left w:val="nil"/>
              <w:bottom w:val="single" w:color="auto" w:sz="4" w:space="0"/>
              <w:right w:val="single" w:color="auto" w:sz="4" w:space="0"/>
            </w:tcBorders>
            <w:shd w:val="clear" w:color="auto" w:fill="auto"/>
            <w:vAlign w:val="center"/>
          </w:tcPr>
          <w:p w14:paraId="17D3ECC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55.55 </w:t>
            </w:r>
          </w:p>
        </w:tc>
        <w:tc>
          <w:tcPr>
            <w:tcW w:w="1543" w:type="dxa"/>
            <w:tcBorders>
              <w:top w:val="nil"/>
              <w:left w:val="nil"/>
              <w:bottom w:val="single" w:color="auto" w:sz="4" w:space="0"/>
              <w:right w:val="single" w:color="auto" w:sz="4" w:space="0"/>
            </w:tcBorders>
            <w:shd w:val="clear" w:color="auto" w:fill="auto"/>
            <w:vAlign w:val="center"/>
          </w:tcPr>
          <w:p w14:paraId="1FA761F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84.79 </w:t>
            </w:r>
          </w:p>
        </w:tc>
      </w:tr>
      <w:tr w14:paraId="4D4E7FC2">
        <w:tblPrEx>
          <w:tblCellMar>
            <w:top w:w="0" w:type="dxa"/>
            <w:left w:w="108" w:type="dxa"/>
            <w:bottom w:w="0" w:type="dxa"/>
            <w:right w:w="108" w:type="dxa"/>
          </w:tblCellMar>
        </w:tblPrEx>
        <w:trPr>
          <w:trHeight w:val="300" w:hRule="atLeast"/>
          <w:jc w:val="center"/>
        </w:trPr>
        <w:tc>
          <w:tcPr>
            <w:tcW w:w="1296" w:type="dxa"/>
            <w:tcBorders>
              <w:top w:val="nil"/>
              <w:left w:val="single" w:color="auto" w:sz="8" w:space="0"/>
              <w:bottom w:val="single" w:color="auto" w:sz="8" w:space="0"/>
              <w:right w:val="single" w:color="auto" w:sz="8" w:space="0"/>
            </w:tcBorders>
            <w:shd w:val="clear" w:color="auto" w:fill="auto"/>
            <w:vAlign w:val="center"/>
          </w:tcPr>
          <w:p w14:paraId="7CD815D1">
            <w:pPr>
              <w:jc w:val="center"/>
              <w:rPr>
                <w:rFonts w:ascii="宋体" w:hAnsi="宋体" w:cs="宋体"/>
                <w:iCs/>
                <w:color w:val="000000"/>
                <w:kern w:val="0"/>
                <w:sz w:val="18"/>
                <w:szCs w:val="18"/>
              </w:rPr>
            </w:pPr>
            <w:r>
              <w:rPr>
                <w:rFonts w:hint="eastAsia" w:ascii="宋体" w:hAnsi="宋体" w:cs="宋体"/>
                <w:iCs/>
                <w:color w:val="000000"/>
                <w:kern w:val="0"/>
                <w:sz w:val="18"/>
                <w:szCs w:val="18"/>
              </w:rPr>
              <w:t>汤丹镇</w:t>
            </w:r>
          </w:p>
        </w:tc>
        <w:tc>
          <w:tcPr>
            <w:tcW w:w="1380" w:type="dxa"/>
            <w:tcBorders>
              <w:top w:val="nil"/>
              <w:left w:val="single" w:color="auto" w:sz="4" w:space="0"/>
              <w:bottom w:val="single" w:color="auto" w:sz="4" w:space="0"/>
              <w:right w:val="single" w:color="auto" w:sz="4" w:space="0"/>
            </w:tcBorders>
            <w:shd w:val="clear" w:color="auto" w:fill="auto"/>
            <w:vAlign w:val="center"/>
          </w:tcPr>
          <w:p w14:paraId="1FAD557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847.79 </w:t>
            </w:r>
          </w:p>
        </w:tc>
        <w:tc>
          <w:tcPr>
            <w:tcW w:w="1026" w:type="dxa"/>
            <w:tcBorders>
              <w:top w:val="nil"/>
              <w:left w:val="nil"/>
              <w:bottom w:val="single" w:color="auto" w:sz="4" w:space="0"/>
              <w:right w:val="single" w:color="auto" w:sz="4" w:space="0"/>
            </w:tcBorders>
            <w:shd w:val="clear" w:color="auto" w:fill="auto"/>
            <w:vAlign w:val="center"/>
          </w:tcPr>
          <w:p w14:paraId="293C7BE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37.08 </w:t>
            </w:r>
          </w:p>
        </w:tc>
        <w:tc>
          <w:tcPr>
            <w:tcW w:w="960" w:type="dxa"/>
            <w:tcBorders>
              <w:top w:val="nil"/>
              <w:left w:val="nil"/>
              <w:bottom w:val="single" w:color="auto" w:sz="4" w:space="0"/>
              <w:right w:val="single" w:color="auto" w:sz="4" w:space="0"/>
            </w:tcBorders>
            <w:shd w:val="clear" w:color="auto" w:fill="auto"/>
            <w:vAlign w:val="center"/>
          </w:tcPr>
          <w:p w14:paraId="2B17543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10.59 </w:t>
            </w:r>
          </w:p>
        </w:tc>
        <w:tc>
          <w:tcPr>
            <w:tcW w:w="1211" w:type="dxa"/>
            <w:tcBorders>
              <w:top w:val="nil"/>
              <w:left w:val="nil"/>
              <w:bottom w:val="single" w:color="auto" w:sz="4" w:space="0"/>
              <w:right w:val="single" w:color="auto" w:sz="4" w:space="0"/>
            </w:tcBorders>
            <w:shd w:val="clear" w:color="auto" w:fill="auto"/>
            <w:vAlign w:val="center"/>
          </w:tcPr>
          <w:p w14:paraId="0C5FD46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246.40 </w:t>
            </w:r>
          </w:p>
        </w:tc>
        <w:tc>
          <w:tcPr>
            <w:tcW w:w="1301" w:type="dxa"/>
            <w:tcBorders>
              <w:top w:val="nil"/>
              <w:left w:val="nil"/>
              <w:bottom w:val="single" w:color="auto" w:sz="4" w:space="0"/>
              <w:right w:val="single" w:color="auto" w:sz="4" w:space="0"/>
            </w:tcBorders>
            <w:shd w:val="clear" w:color="auto" w:fill="auto"/>
            <w:vAlign w:val="center"/>
          </w:tcPr>
          <w:p w14:paraId="62391B2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247.60 </w:t>
            </w:r>
          </w:p>
        </w:tc>
        <w:tc>
          <w:tcPr>
            <w:tcW w:w="1543" w:type="dxa"/>
            <w:tcBorders>
              <w:top w:val="nil"/>
              <w:left w:val="nil"/>
              <w:bottom w:val="single" w:color="auto" w:sz="4" w:space="0"/>
              <w:right w:val="single" w:color="auto" w:sz="4" w:space="0"/>
            </w:tcBorders>
            <w:shd w:val="clear" w:color="auto" w:fill="auto"/>
            <w:vAlign w:val="center"/>
          </w:tcPr>
          <w:p w14:paraId="11CF2DE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306.12 </w:t>
            </w:r>
          </w:p>
        </w:tc>
      </w:tr>
      <w:tr w14:paraId="03EBAA6D">
        <w:tblPrEx>
          <w:tblCellMar>
            <w:top w:w="0" w:type="dxa"/>
            <w:left w:w="108" w:type="dxa"/>
            <w:bottom w:w="0" w:type="dxa"/>
            <w:right w:w="108" w:type="dxa"/>
          </w:tblCellMar>
        </w:tblPrEx>
        <w:trPr>
          <w:trHeight w:val="300" w:hRule="atLeast"/>
          <w:jc w:val="center"/>
        </w:trPr>
        <w:tc>
          <w:tcPr>
            <w:tcW w:w="1296" w:type="dxa"/>
            <w:tcBorders>
              <w:top w:val="nil"/>
              <w:left w:val="single" w:color="auto" w:sz="8" w:space="0"/>
              <w:bottom w:val="single" w:color="auto" w:sz="8" w:space="0"/>
              <w:right w:val="single" w:color="auto" w:sz="8" w:space="0"/>
            </w:tcBorders>
            <w:shd w:val="clear" w:color="auto" w:fill="auto"/>
            <w:vAlign w:val="center"/>
          </w:tcPr>
          <w:p w14:paraId="491925F6">
            <w:pPr>
              <w:jc w:val="center"/>
              <w:rPr>
                <w:rFonts w:ascii="宋体" w:hAnsi="宋体" w:cs="宋体"/>
                <w:iCs/>
                <w:color w:val="000000"/>
                <w:kern w:val="0"/>
                <w:sz w:val="18"/>
                <w:szCs w:val="18"/>
              </w:rPr>
            </w:pPr>
            <w:r>
              <w:rPr>
                <w:rFonts w:hint="eastAsia" w:ascii="宋体" w:hAnsi="宋体" w:cs="宋体"/>
                <w:iCs/>
                <w:color w:val="000000"/>
                <w:kern w:val="0"/>
                <w:sz w:val="18"/>
                <w:szCs w:val="18"/>
              </w:rPr>
              <w:t>拖布卡镇</w:t>
            </w:r>
          </w:p>
        </w:tc>
        <w:tc>
          <w:tcPr>
            <w:tcW w:w="1380" w:type="dxa"/>
            <w:tcBorders>
              <w:top w:val="nil"/>
              <w:left w:val="single" w:color="auto" w:sz="4" w:space="0"/>
              <w:bottom w:val="single" w:color="auto" w:sz="4" w:space="0"/>
              <w:right w:val="single" w:color="auto" w:sz="4" w:space="0"/>
            </w:tcBorders>
            <w:shd w:val="clear" w:color="auto" w:fill="auto"/>
            <w:vAlign w:val="center"/>
          </w:tcPr>
          <w:p w14:paraId="3927110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709.81 </w:t>
            </w:r>
          </w:p>
        </w:tc>
        <w:tc>
          <w:tcPr>
            <w:tcW w:w="1026" w:type="dxa"/>
            <w:tcBorders>
              <w:top w:val="nil"/>
              <w:left w:val="nil"/>
              <w:bottom w:val="single" w:color="auto" w:sz="4" w:space="0"/>
              <w:right w:val="single" w:color="auto" w:sz="4" w:space="0"/>
            </w:tcBorders>
            <w:shd w:val="clear" w:color="auto" w:fill="auto"/>
            <w:vAlign w:val="center"/>
          </w:tcPr>
          <w:p w14:paraId="5E47713C">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44.45 </w:t>
            </w:r>
          </w:p>
        </w:tc>
        <w:tc>
          <w:tcPr>
            <w:tcW w:w="960" w:type="dxa"/>
            <w:tcBorders>
              <w:top w:val="nil"/>
              <w:left w:val="nil"/>
              <w:bottom w:val="single" w:color="auto" w:sz="4" w:space="0"/>
              <w:right w:val="single" w:color="auto" w:sz="4" w:space="0"/>
            </w:tcBorders>
            <w:shd w:val="clear" w:color="auto" w:fill="auto"/>
            <w:vAlign w:val="center"/>
          </w:tcPr>
          <w:p w14:paraId="5ABFE58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48.27 </w:t>
            </w:r>
          </w:p>
        </w:tc>
        <w:tc>
          <w:tcPr>
            <w:tcW w:w="1211" w:type="dxa"/>
            <w:tcBorders>
              <w:top w:val="nil"/>
              <w:left w:val="nil"/>
              <w:bottom w:val="single" w:color="auto" w:sz="4" w:space="0"/>
              <w:right w:val="single" w:color="auto" w:sz="4" w:space="0"/>
            </w:tcBorders>
            <w:shd w:val="clear" w:color="auto" w:fill="auto"/>
            <w:vAlign w:val="center"/>
          </w:tcPr>
          <w:p w14:paraId="2BA9173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295.68 </w:t>
            </w:r>
          </w:p>
        </w:tc>
        <w:tc>
          <w:tcPr>
            <w:tcW w:w="1301" w:type="dxa"/>
            <w:tcBorders>
              <w:top w:val="nil"/>
              <w:left w:val="nil"/>
              <w:bottom w:val="single" w:color="auto" w:sz="4" w:space="0"/>
              <w:right w:val="single" w:color="auto" w:sz="4" w:space="0"/>
            </w:tcBorders>
            <w:shd w:val="clear" w:color="auto" w:fill="auto"/>
            <w:vAlign w:val="center"/>
          </w:tcPr>
          <w:p w14:paraId="00760F6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165.87 </w:t>
            </w:r>
          </w:p>
        </w:tc>
        <w:tc>
          <w:tcPr>
            <w:tcW w:w="1543" w:type="dxa"/>
            <w:tcBorders>
              <w:top w:val="nil"/>
              <w:left w:val="nil"/>
              <w:bottom w:val="single" w:color="auto" w:sz="4" w:space="0"/>
              <w:right w:val="single" w:color="auto" w:sz="4" w:space="0"/>
            </w:tcBorders>
            <w:shd w:val="clear" w:color="auto" w:fill="auto"/>
            <w:vAlign w:val="center"/>
          </w:tcPr>
          <w:p w14:paraId="2FF7A96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155.55 </w:t>
            </w:r>
          </w:p>
        </w:tc>
      </w:tr>
      <w:tr w14:paraId="120C6A79">
        <w:tblPrEx>
          <w:tblCellMar>
            <w:top w:w="0" w:type="dxa"/>
            <w:left w:w="108" w:type="dxa"/>
            <w:bottom w:w="0" w:type="dxa"/>
            <w:right w:w="108" w:type="dxa"/>
          </w:tblCellMar>
        </w:tblPrEx>
        <w:trPr>
          <w:trHeight w:val="300" w:hRule="atLeast"/>
          <w:jc w:val="center"/>
        </w:trPr>
        <w:tc>
          <w:tcPr>
            <w:tcW w:w="1296" w:type="dxa"/>
            <w:tcBorders>
              <w:top w:val="nil"/>
              <w:left w:val="single" w:color="auto" w:sz="8" w:space="0"/>
              <w:bottom w:val="single" w:color="auto" w:sz="8" w:space="0"/>
              <w:right w:val="single" w:color="auto" w:sz="8" w:space="0"/>
            </w:tcBorders>
            <w:shd w:val="clear" w:color="auto" w:fill="auto"/>
            <w:vAlign w:val="center"/>
          </w:tcPr>
          <w:p w14:paraId="3D88807F">
            <w:pPr>
              <w:jc w:val="center"/>
              <w:rPr>
                <w:rFonts w:ascii="宋体" w:hAnsi="宋体" w:cs="宋体"/>
                <w:iCs/>
                <w:color w:val="000000"/>
                <w:kern w:val="0"/>
                <w:sz w:val="18"/>
                <w:szCs w:val="18"/>
              </w:rPr>
            </w:pPr>
            <w:r>
              <w:rPr>
                <w:rFonts w:hint="eastAsia" w:ascii="宋体" w:hAnsi="宋体" w:cs="宋体"/>
                <w:iCs/>
                <w:color w:val="000000"/>
                <w:kern w:val="0"/>
                <w:sz w:val="18"/>
                <w:szCs w:val="18"/>
              </w:rPr>
              <w:t>因民镇</w:t>
            </w:r>
          </w:p>
        </w:tc>
        <w:tc>
          <w:tcPr>
            <w:tcW w:w="1380" w:type="dxa"/>
            <w:tcBorders>
              <w:top w:val="nil"/>
              <w:left w:val="single" w:color="auto" w:sz="4" w:space="0"/>
              <w:bottom w:val="single" w:color="auto" w:sz="4" w:space="0"/>
              <w:right w:val="single" w:color="auto" w:sz="4" w:space="0"/>
            </w:tcBorders>
            <w:shd w:val="clear" w:color="auto" w:fill="auto"/>
            <w:vAlign w:val="center"/>
          </w:tcPr>
          <w:p w14:paraId="36685C3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195.86 </w:t>
            </w:r>
          </w:p>
        </w:tc>
        <w:tc>
          <w:tcPr>
            <w:tcW w:w="1026" w:type="dxa"/>
            <w:tcBorders>
              <w:top w:val="nil"/>
              <w:left w:val="nil"/>
              <w:bottom w:val="single" w:color="auto" w:sz="4" w:space="0"/>
              <w:right w:val="single" w:color="auto" w:sz="4" w:space="0"/>
            </w:tcBorders>
            <w:shd w:val="clear" w:color="auto" w:fill="auto"/>
            <w:vAlign w:val="center"/>
          </w:tcPr>
          <w:p w14:paraId="21E6113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6FDC1C0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211" w:type="dxa"/>
            <w:tcBorders>
              <w:top w:val="nil"/>
              <w:left w:val="nil"/>
              <w:bottom w:val="single" w:color="auto" w:sz="4" w:space="0"/>
              <w:right w:val="single" w:color="auto" w:sz="4" w:space="0"/>
            </w:tcBorders>
            <w:shd w:val="clear" w:color="auto" w:fill="auto"/>
            <w:vAlign w:val="center"/>
          </w:tcPr>
          <w:p w14:paraId="588AE70C">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14.47 </w:t>
            </w:r>
          </w:p>
        </w:tc>
        <w:tc>
          <w:tcPr>
            <w:tcW w:w="1301" w:type="dxa"/>
            <w:tcBorders>
              <w:top w:val="nil"/>
              <w:left w:val="nil"/>
              <w:bottom w:val="single" w:color="auto" w:sz="4" w:space="0"/>
              <w:right w:val="single" w:color="auto" w:sz="4" w:space="0"/>
            </w:tcBorders>
            <w:shd w:val="clear" w:color="auto" w:fill="auto"/>
            <w:vAlign w:val="center"/>
          </w:tcPr>
          <w:p w14:paraId="73E1AEE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13.83 </w:t>
            </w:r>
          </w:p>
        </w:tc>
        <w:tc>
          <w:tcPr>
            <w:tcW w:w="1543" w:type="dxa"/>
            <w:tcBorders>
              <w:top w:val="nil"/>
              <w:left w:val="nil"/>
              <w:bottom w:val="single" w:color="auto" w:sz="4" w:space="0"/>
              <w:right w:val="single" w:color="auto" w:sz="4" w:space="0"/>
            </w:tcBorders>
            <w:shd w:val="clear" w:color="auto" w:fill="auto"/>
            <w:vAlign w:val="center"/>
          </w:tcPr>
          <w:p w14:paraId="0459EC0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167.56 </w:t>
            </w:r>
          </w:p>
        </w:tc>
      </w:tr>
      <w:tr w14:paraId="41B86845">
        <w:tblPrEx>
          <w:tblCellMar>
            <w:top w:w="0" w:type="dxa"/>
            <w:left w:w="108" w:type="dxa"/>
            <w:bottom w:w="0" w:type="dxa"/>
            <w:right w:w="108" w:type="dxa"/>
          </w:tblCellMar>
        </w:tblPrEx>
        <w:trPr>
          <w:trHeight w:val="300" w:hRule="atLeast"/>
          <w:jc w:val="center"/>
        </w:trPr>
        <w:tc>
          <w:tcPr>
            <w:tcW w:w="1296" w:type="dxa"/>
            <w:tcBorders>
              <w:top w:val="nil"/>
              <w:left w:val="single" w:color="auto" w:sz="8" w:space="0"/>
              <w:bottom w:val="single" w:color="auto" w:sz="8" w:space="0"/>
              <w:right w:val="single" w:color="auto" w:sz="8" w:space="0"/>
            </w:tcBorders>
            <w:shd w:val="clear" w:color="auto" w:fill="auto"/>
            <w:vAlign w:val="center"/>
          </w:tcPr>
          <w:p w14:paraId="1EAB787E">
            <w:pPr>
              <w:jc w:val="center"/>
              <w:rPr>
                <w:rFonts w:ascii="宋体" w:hAnsi="宋体" w:cs="宋体"/>
                <w:iCs/>
                <w:color w:val="000000"/>
                <w:kern w:val="0"/>
                <w:sz w:val="18"/>
                <w:szCs w:val="18"/>
              </w:rPr>
            </w:pPr>
            <w:r>
              <w:rPr>
                <w:rFonts w:hint="eastAsia" w:ascii="宋体" w:hAnsi="宋体" w:cs="宋体"/>
                <w:iCs/>
                <w:color w:val="000000"/>
                <w:kern w:val="0"/>
                <w:sz w:val="18"/>
                <w:szCs w:val="18"/>
              </w:rPr>
              <w:t>红土地镇</w:t>
            </w:r>
          </w:p>
        </w:tc>
        <w:tc>
          <w:tcPr>
            <w:tcW w:w="1380" w:type="dxa"/>
            <w:tcBorders>
              <w:top w:val="nil"/>
              <w:left w:val="single" w:color="auto" w:sz="4" w:space="0"/>
              <w:bottom w:val="single" w:color="auto" w:sz="4" w:space="0"/>
              <w:right w:val="single" w:color="auto" w:sz="4" w:space="0"/>
            </w:tcBorders>
            <w:shd w:val="clear" w:color="auto" w:fill="auto"/>
            <w:vAlign w:val="center"/>
          </w:tcPr>
          <w:p w14:paraId="0FD1D7B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433.47 </w:t>
            </w:r>
          </w:p>
        </w:tc>
        <w:tc>
          <w:tcPr>
            <w:tcW w:w="1026" w:type="dxa"/>
            <w:tcBorders>
              <w:top w:val="nil"/>
              <w:left w:val="nil"/>
              <w:bottom w:val="single" w:color="auto" w:sz="4" w:space="0"/>
              <w:right w:val="single" w:color="auto" w:sz="4" w:space="0"/>
            </w:tcBorders>
            <w:shd w:val="clear" w:color="auto" w:fill="auto"/>
            <w:vAlign w:val="center"/>
          </w:tcPr>
          <w:p w14:paraId="300C270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0EE6AA0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5.96 </w:t>
            </w:r>
          </w:p>
        </w:tc>
        <w:tc>
          <w:tcPr>
            <w:tcW w:w="1211" w:type="dxa"/>
            <w:tcBorders>
              <w:top w:val="nil"/>
              <w:left w:val="nil"/>
              <w:bottom w:val="single" w:color="auto" w:sz="4" w:space="0"/>
              <w:right w:val="single" w:color="auto" w:sz="4" w:space="0"/>
            </w:tcBorders>
            <w:shd w:val="clear" w:color="auto" w:fill="auto"/>
            <w:vAlign w:val="center"/>
          </w:tcPr>
          <w:p w14:paraId="01D4860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273.45 </w:t>
            </w:r>
          </w:p>
        </w:tc>
        <w:tc>
          <w:tcPr>
            <w:tcW w:w="1301" w:type="dxa"/>
            <w:tcBorders>
              <w:top w:val="nil"/>
              <w:left w:val="nil"/>
              <w:bottom w:val="single" w:color="auto" w:sz="4" w:space="0"/>
              <w:right w:val="single" w:color="auto" w:sz="4" w:space="0"/>
            </w:tcBorders>
            <w:shd w:val="clear" w:color="auto" w:fill="auto"/>
            <w:vAlign w:val="center"/>
          </w:tcPr>
          <w:p w14:paraId="5D86447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94.75 </w:t>
            </w:r>
          </w:p>
        </w:tc>
        <w:tc>
          <w:tcPr>
            <w:tcW w:w="1543" w:type="dxa"/>
            <w:tcBorders>
              <w:top w:val="nil"/>
              <w:left w:val="nil"/>
              <w:bottom w:val="single" w:color="auto" w:sz="4" w:space="0"/>
              <w:right w:val="single" w:color="auto" w:sz="4" w:space="0"/>
            </w:tcBorders>
            <w:shd w:val="clear" w:color="auto" w:fill="auto"/>
            <w:vAlign w:val="center"/>
          </w:tcPr>
          <w:p w14:paraId="6EB2AE0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59.32 </w:t>
            </w:r>
          </w:p>
        </w:tc>
      </w:tr>
      <w:tr w14:paraId="5C87B940">
        <w:tblPrEx>
          <w:tblCellMar>
            <w:top w:w="0" w:type="dxa"/>
            <w:left w:w="108" w:type="dxa"/>
            <w:bottom w:w="0" w:type="dxa"/>
            <w:right w:w="108" w:type="dxa"/>
          </w:tblCellMar>
        </w:tblPrEx>
        <w:trPr>
          <w:trHeight w:val="300" w:hRule="atLeast"/>
          <w:jc w:val="center"/>
        </w:trPr>
        <w:tc>
          <w:tcPr>
            <w:tcW w:w="1296" w:type="dxa"/>
            <w:tcBorders>
              <w:top w:val="nil"/>
              <w:left w:val="single" w:color="auto" w:sz="8" w:space="0"/>
              <w:bottom w:val="single" w:color="auto" w:sz="8" w:space="0"/>
              <w:right w:val="single" w:color="auto" w:sz="8" w:space="0"/>
            </w:tcBorders>
            <w:shd w:val="clear" w:color="auto" w:fill="auto"/>
            <w:vAlign w:val="center"/>
          </w:tcPr>
          <w:p w14:paraId="1A253217">
            <w:pPr>
              <w:jc w:val="center"/>
              <w:rPr>
                <w:rFonts w:ascii="宋体" w:hAnsi="宋体" w:cs="宋体"/>
                <w:iCs/>
                <w:color w:val="000000"/>
                <w:kern w:val="0"/>
                <w:sz w:val="18"/>
                <w:szCs w:val="18"/>
              </w:rPr>
            </w:pPr>
            <w:r>
              <w:rPr>
                <w:rFonts w:hint="eastAsia" w:ascii="宋体" w:hAnsi="宋体" w:cs="宋体"/>
                <w:iCs/>
                <w:color w:val="000000"/>
                <w:kern w:val="0"/>
                <w:sz w:val="18"/>
                <w:szCs w:val="18"/>
              </w:rPr>
              <w:t>舍块乡</w:t>
            </w:r>
          </w:p>
        </w:tc>
        <w:tc>
          <w:tcPr>
            <w:tcW w:w="1380" w:type="dxa"/>
            <w:tcBorders>
              <w:top w:val="nil"/>
              <w:left w:val="single" w:color="auto" w:sz="4" w:space="0"/>
              <w:bottom w:val="single" w:color="auto" w:sz="4" w:space="0"/>
              <w:right w:val="single" w:color="auto" w:sz="4" w:space="0"/>
            </w:tcBorders>
            <w:shd w:val="clear" w:color="auto" w:fill="auto"/>
            <w:vAlign w:val="center"/>
          </w:tcPr>
          <w:p w14:paraId="37BBAA7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115.35 </w:t>
            </w:r>
          </w:p>
        </w:tc>
        <w:tc>
          <w:tcPr>
            <w:tcW w:w="1026" w:type="dxa"/>
            <w:tcBorders>
              <w:top w:val="nil"/>
              <w:left w:val="nil"/>
              <w:bottom w:val="single" w:color="auto" w:sz="4" w:space="0"/>
              <w:right w:val="single" w:color="auto" w:sz="4" w:space="0"/>
            </w:tcBorders>
            <w:shd w:val="clear" w:color="auto" w:fill="auto"/>
            <w:vAlign w:val="center"/>
          </w:tcPr>
          <w:p w14:paraId="1909FD2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43CCF7F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0.64 </w:t>
            </w:r>
          </w:p>
        </w:tc>
        <w:tc>
          <w:tcPr>
            <w:tcW w:w="1211" w:type="dxa"/>
            <w:tcBorders>
              <w:top w:val="nil"/>
              <w:left w:val="nil"/>
              <w:bottom w:val="single" w:color="auto" w:sz="4" w:space="0"/>
              <w:right w:val="single" w:color="auto" w:sz="4" w:space="0"/>
            </w:tcBorders>
            <w:shd w:val="clear" w:color="auto" w:fill="auto"/>
            <w:vAlign w:val="center"/>
          </w:tcPr>
          <w:p w14:paraId="64CD81E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12.31 </w:t>
            </w:r>
          </w:p>
        </w:tc>
        <w:tc>
          <w:tcPr>
            <w:tcW w:w="1301" w:type="dxa"/>
            <w:tcBorders>
              <w:top w:val="nil"/>
              <w:left w:val="nil"/>
              <w:bottom w:val="single" w:color="auto" w:sz="4" w:space="0"/>
              <w:right w:val="single" w:color="auto" w:sz="4" w:space="0"/>
            </w:tcBorders>
            <w:shd w:val="clear" w:color="auto" w:fill="auto"/>
            <w:vAlign w:val="center"/>
          </w:tcPr>
          <w:p w14:paraId="14CC525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12.15 </w:t>
            </w:r>
          </w:p>
        </w:tc>
        <w:tc>
          <w:tcPr>
            <w:tcW w:w="1543" w:type="dxa"/>
            <w:tcBorders>
              <w:top w:val="nil"/>
              <w:left w:val="nil"/>
              <w:bottom w:val="single" w:color="auto" w:sz="4" w:space="0"/>
              <w:right w:val="single" w:color="auto" w:sz="4" w:space="0"/>
            </w:tcBorders>
            <w:shd w:val="clear" w:color="auto" w:fill="auto"/>
            <w:vAlign w:val="center"/>
          </w:tcPr>
          <w:p w14:paraId="60BBAF2C">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90.25 </w:t>
            </w:r>
          </w:p>
        </w:tc>
      </w:tr>
      <w:tr w14:paraId="7F874013">
        <w:tblPrEx>
          <w:tblCellMar>
            <w:top w:w="0" w:type="dxa"/>
            <w:left w:w="108" w:type="dxa"/>
            <w:bottom w:w="0" w:type="dxa"/>
            <w:right w:w="108" w:type="dxa"/>
          </w:tblCellMar>
        </w:tblPrEx>
        <w:trPr>
          <w:trHeight w:val="300" w:hRule="atLeast"/>
          <w:jc w:val="center"/>
        </w:trPr>
        <w:tc>
          <w:tcPr>
            <w:tcW w:w="1296" w:type="dxa"/>
            <w:tcBorders>
              <w:top w:val="nil"/>
              <w:left w:val="single" w:color="auto" w:sz="8" w:space="0"/>
              <w:bottom w:val="single" w:color="auto" w:sz="8" w:space="0"/>
              <w:right w:val="single" w:color="auto" w:sz="8" w:space="0"/>
            </w:tcBorders>
            <w:shd w:val="clear" w:color="auto" w:fill="auto"/>
            <w:vAlign w:val="center"/>
          </w:tcPr>
          <w:p w14:paraId="071943AF">
            <w:pPr>
              <w:jc w:val="center"/>
              <w:rPr>
                <w:rFonts w:ascii="宋体" w:hAnsi="宋体" w:cs="宋体"/>
                <w:iCs/>
                <w:color w:val="000000"/>
                <w:kern w:val="0"/>
                <w:sz w:val="18"/>
                <w:szCs w:val="18"/>
              </w:rPr>
            </w:pPr>
            <w:r>
              <w:rPr>
                <w:rFonts w:hint="eastAsia" w:ascii="宋体" w:hAnsi="宋体" w:cs="宋体"/>
                <w:iCs/>
                <w:color w:val="000000"/>
                <w:kern w:val="0"/>
                <w:sz w:val="18"/>
                <w:szCs w:val="18"/>
              </w:rPr>
              <w:t>东川区</w:t>
            </w:r>
          </w:p>
        </w:tc>
        <w:tc>
          <w:tcPr>
            <w:tcW w:w="1380" w:type="dxa"/>
            <w:tcBorders>
              <w:top w:val="nil"/>
              <w:left w:val="single" w:color="auto" w:sz="4" w:space="0"/>
              <w:bottom w:val="single" w:color="auto" w:sz="4" w:space="0"/>
              <w:right w:val="single" w:color="auto" w:sz="4" w:space="0"/>
            </w:tcBorders>
            <w:shd w:val="clear" w:color="auto" w:fill="auto"/>
            <w:vAlign w:val="center"/>
          </w:tcPr>
          <w:p w14:paraId="68DEAEF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4235.20 </w:t>
            </w:r>
          </w:p>
        </w:tc>
        <w:tc>
          <w:tcPr>
            <w:tcW w:w="1026" w:type="dxa"/>
            <w:tcBorders>
              <w:top w:val="nil"/>
              <w:left w:val="nil"/>
              <w:bottom w:val="single" w:color="auto" w:sz="4" w:space="0"/>
              <w:right w:val="single" w:color="auto" w:sz="4" w:space="0"/>
            </w:tcBorders>
            <w:shd w:val="clear" w:color="auto" w:fill="auto"/>
            <w:vAlign w:val="center"/>
          </w:tcPr>
          <w:p w14:paraId="5CED45F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167.27 </w:t>
            </w:r>
          </w:p>
        </w:tc>
        <w:tc>
          <w:tcPr>
            <w:tcW w:w="960" w:type="dxa"/>
            <w:tcBorders>
              <w:top w:val="nil"/>
              <w:left w:val="nil"/>
              <w:bottom w:val="single" w:color="auto" w:sz="4" w:space="0"/>
              <w:right w:val="single" w:color="auto" w:sz="4" w:space="0"/>
            </w:tcBorders>
            <w:shd w:val="clear" w:color="auto" w:fill="auto"/>
            <w:vAlign w:val="center"/>
          </w:tcPr>
          <w:p w14:paraId="5B6070D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272.35 </w:t>
            </w:r>
          </w:p>
        </w:tc>
        <w:tc>
          <w:tcPr>
            <w:tcW w:w="1211" w:type="dxa"/>
            <w:tcBorders>
              <w:top w:val="nil"/>
              <w:left w:val="nil"/>
              <w:bottom w:val="single" w:color="auto" w:sz="4" w:space="0"/>
              <w:right w:val="single" w:color="auto" w:sz="4" w:space="0"/>
            </w:tcBorders>
            <w:shd w:val="clear" w:color="auto" w:fill="auto"/>
            <w:vAlign w:val="center"/>
          </w:tcPr>
          <w:p w14:paraId="2974E27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1608.25 </w:t>
            </w:r>
          </w:p>
        </w:tc>
        <w:tc>
          <w:tcPr>
            <w:tcW w:w="1301" w:type="dxa"/>
            <w:tcBorders>
              <w:top w:val="nil"/>
              <w:left w:val="nil"/>
              <w:bottom w:val="single" w:color="auto" w:sz="4" w:space="0"/>
              <w:right w:val="single" w:color="auto" w:sz="4" w:space="0"/>
            </w:tcBorders>
            <w:shd w:val="clear" w:color="auto" w:fill="auto"/>
            <w:vAlign w:val="center"/>
          </w:tcPr>
          <w:p w14:paraId="67E4E75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1014.66 </w:t>
            </w:r>
          </w:p>
        </w:tc>
        <w:tc>
          <w:tcPr>
            <w:tcW w:w="1543" w:type="dxa"/>
            <w:tcBorders>
              <w:top w:val="nil"/>
              <w:left w:val="nil"/>
              <w:bottom w:val="single" w:color="auto" w:sz="4" w:space="0"/>
              <w:right w:val="single" w:color="auto" w:sz="4" w:space="0"/>
            </w:tcBorders>
            <w:shd w:val="clear" w:color="auto" w:fill="auto"/>
            <w:vAlign w:val="center"/>
          </w:tcPr>
          <w:p w14:paraId="730AB45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1172.66 </w:t>
            </w:r>
          </w:p>
        </w:tc>
      </w:tr>
      <w:tr w14:paraId="11112605">
        <w:tblPrEx>
          <w:tblCellMar>
            <w:top w:w="0" w:type="dxa"/>
            <w:left w:w="108" w:type="dxa"/>
            <w:bottom w:w="0" w:type="dxa"/>
            <w:right w:w="108" w:type="dxa"/>
          </w:tblCellMar>
        </w:tblPrEx>
        <w:trPr>
          <w:trHeight w:val="300" w:hRule="atLeast"/>
          <w:jc w:val="center"/>
        </w:trPr>
        <w:tc>
          <w:tcPr>
            <w:tcW w:w="1296" w:type="dxa"/>
            <w:tcBorders>
              <w:top w:val="nil"/>
              <w:left w:val="single" w:color="auto" w:sz="8" w:space="0"/>
              <w:bottom w:val="single" w:color="auto" w:sz="8" w:space="0"/>
              <w:right w:val="single" w:color="auto" w:sz="8" w:space="0"/>
            </w:tcBorders>
            <w:shd w:val="clear" w:color="auto" w:fill="auto"/>
            <w:vAlign w:val="center"/>
          </w:tcPr>
          <w:p w14:paraId="061CBBEC">
            <w:pPr>
              <w:jc w:val="center"/>
              <w:rPr>
                <w:rFonts w:ascii="宋体" w:hAnsi="宋体" w:cs="宋体"/>
                <w:iCs/>
                <w:color w:val="000000"/>
                <w:kern w:val="0"/>
                <w:sz w:val="18"/>
                <w:szCs w:val="18"/>
              </w:rPr>
            </w:pPr>
            <w:r>
              <w:rPr>
                <w:rFonts w:hint="eastAsia" w:ascii="宋体" w:hAnsi="宋体" w:cs="宋体"/>
                <w:iCs/>
                <w:color w:val="000000"/>
                <w:kern w:val="0"/>
                <w:sz w:val="18"/>
                <w:szCs w:val="18"/>
              </w:rPr>
              <w:t>比例</w:t>
            </w:r>
          </w:p>
        </w:tc>
        <w:tc>
          <w:tcPr>
            <w:tcW w:w="1380" w:type="dxa"/>
            <w:tcBorders>
              <w:top w:val="nil"/>
              <w:left w:val="nil"/>
              <w:bottom w:val="single" w:color="auto" w:sz="8" w:space="0"/>
              <w:right w:val="single" w:color="auto" w:sz="8" w:space="0"/>
            </w:tcBorders>
            <w:shd w:val="clear" w:color="auto" w:fill="auto"/>
            <w:vAlign w:val="center"/>
          </w:tcPr>
          <w:p w14:paraId="3C503F2F">
            <w:pPr>
              <w:jc w:val="center"/>
              <w:rPr>
                <w:rFonts w:ascii="宋体" w:hAnsi="宋体" w:cs="宋体"/>
                <w:iCs/>
                <w:color w:val="000000"/>
                <w:kern w:val="0"/>
                <w:sz w:val="18"/>
                <w:szCs w:val="18"/>
              </w:rPr>
            </w:pPr>
            <w:r>
              <w:rPr>
                <w:rFonts w:hint="eastAsia" w:ascii="宋体" w:hAnsi="宋体" w:cs="宋体"/>
                <w:iCs/>
                <w:color w:val="000000"/>
                <w:kern w:val="0"/>
                <w:sz w:val="18"/>
                <w:szCs w:val="18"/>
              </w:rPr>
              <w:t>100.00%</w:t>
            </w:r>
          </w:p>
        </w:tc>
        <w:tc>
          <w:tcPr>
            <w:tcW w:w="1026" w:type="dxa"/>
            <w:tcBorders>
              <w:top w:val="nil"/>
              <w:left w:val="nil"/>
              <w:bottom w:val="single" w:color="auto" w:sz="8" w:space="0"/>
              <w:right w:val="single" w:color="auto" w:sz="8" w:space="0"/>
            </w:tcBorders>
            <w:shd w:val="clear" w:color="auto" w:fill="auto"/>
            <w:vAlign w:val="center"/>
          </w:tcPr>
          <w:p w14:paraId="72517E73">
            <w:pPr>
              <w:jc w:val="center"/>
              <w:rPr>
                <w:rFonts w:ascii="宋体" w:hAnsi="宋体" w:cs="宋体"/>
                <w:iCs/>
                <w:color w:val="000000"/>
                <w:kern w:val="0"/>
                <w:sz w:val="18"/>
                <w:szCs w:val="18"/>
              </w:rPr>
            </w:pPr>
            <w:r>
              <w:rPr>
                <w:rFonts w:hint="eastAsia" w:ascii="宋体" w:hAnsi="宋体" w:cs="宋体"/>
                <w:iCs/>
                <w:color w:val="000000"/>
                <w:kern w:val="0"/>
                <w:sz w:val="18"/>
                <w:szCs w:val="18"/>
              </w:rPr>
              <w:t>3.90%</w:t>
            </w:r>
          </w:p>
        </w:tc>
        <w:tc>
          <w:tcPr>
            <w:tcW w:w="960" w:type="dxa"/>
            <w:tcBorders>
              <w:top w:val="nil"/>
              <w:left w:val="nil"/>
              <w:bottom w:val="single" w:color="auto" w:sz="8" w:space="0"/>
              <w:right w:val="single" w:color="auto" w:sz="8" w:space="0"/>
            </w:tcBorders>
            <w:shd w:val="clear" w:color="auto" w:fill="auto"/>
            <w:vAlign w:val="center"/>
          </w:tcPr>
          <w:p w14:paraId="0D782964">
            <w:pPr>
              <w:jc w:val="center"/>
              <w:rPr>
                <w:rFonts w:ascii="宋体" w:hAnsi="宋体" w:cs="宋体"/>
                <w:iCs/>
                <w:color w:val="000000"/>
                <w:kern w:val="0"/>
                <w:sz w:val="18"/>
                <w:szCs w:val="18"/>
              </w:rPr>
            </w:pPr>
            <w:r>
              <w:rPr>
                <w:rFonts w:hint="eastAsia" w:ascii="宋体" w:hAnsi="宋体" w:cs="宋体"/>
                <w:iCs/>
                <w:color w:val="000000"/>
                <w:kern w:val="0"/>
                <w:sz w:val="18"/>
                <w:szCs w:val="18"/>
              </w:rPr>
              <w:t>6.40%</w:t>
            </w:r>
          </w:p>
        </w:tc>
        <w:tc>
          <w:tcPr>
            <w:tcW w:w="1211" w:type="dxa"/>
            <w:tcBorders>
              <w:top w:val="nil"/>
              <w:left w:val="nil"/>
              <w:bottom w:val="single" w:color="auto" w:sz="8" w:space="0"/>
              <w:right w:val="single" w:color="auto" w:sz="8" w:space="0"/>
            </w:tcBorders>
            <w:shd w:val="clear" w:color="auto" w:fill="auto"/>
            <w:vAlign w:val="center"/>
          </w:tcPr>
          <w:p w14:paraId="0F84BE9E">
            <w:pPr>
              <w:jc w:val="center"/>
              <w:rPr>
                <w:rFonts w:ascii="宋体" w:hAnsi="宋体" w:cs="宋体"/>
                <w:iCs/>
                <w:color w:val="000000"/>
                <w:kern w:val="0"/>
                <w:sz w:val="18"/>
                <w:szCs w:val="18"/>
              </w:rPr>
            </w:pPr>
            <w:r>
              <w:rPr>
                <w:rFonts w:hint="eastAsia" w:ascii="宋体" w:hAnsi="宋体" w:cs="宋体"/>
                <w:iCs/>
                <w:color w:val="000000"/>
                <w:kern w:val="0"/>
                <w:sz w:val="18"/>
                <w:szCs w:val="18"/>
              </w:rPr>
              <w:t>38.00%</w:t>
            </w:r>
          </w:p>
        </w:tc>
        <w:tc>
          <w:tcPr>
            <w:tcW w:w="1301" w:type="dxa"/>
            <w:tcBorders>
              <w:top w:val="nil"/>
              <w:left w:val="nil"/>
              <w:bottom w:val="single" w:color="auto" w:sz="8" w:space="0"/>
              <w:right w:val="single" w:color="auto" w:sz="8" w:space="0"/>
            </w:tcBorders>
            <w:shd w:val="clear" w:color="auto" w:fill="auto"/>
            <w:vAlign w:val="center"/>
          </w:tcPr>
          <w:p w14:paraId="3DE8FA0D">
            <w:pPr>
              <w:jc w:val="center"/>
              <w:rPr>
                <w:rFonts w:ascii="宋体" w:hAnsi="宋体" w:cs="宋体"/>
                <w:iCs/>
                <w:color w:val="000000"/>
                <w:kern w:val="0"/>
                <w:sz w:val="18"/>
                <w:szCs w:val="18"/>
              </w:rPr>
            </w:pPr>
            <w:r>
              <w:rPr>
                <w:rFonts w:hint="eastAsia" w:ascii="宋体" w:hAnsi="宋体" w:cs="宋体"/>
                <w:iCs/>
                <w:color w:val="000000"/>
                <w:kern w:val="0"/>
                <w:sz w:val="18"/>
                <w:szCs w:val="18"/>
              </w:rPr>
              <w:t>24.00%</w:t>
            </w:r>
          </w:p>
        </w:tc>
        <w:tc>
          <w:tcPr>
            <w:tcW w:w="1543" w:type="dxa"/>
            <w:tcBorders>
              <w:top w:val="nil"/>
              <w:left w:val="nil"/>
              <w:bottom w:val="single" w:color="auto" w:sz="8" w:space="0"/>
              <w:right w:val="single" w:color="auto" w:sz="8" w:space="0"/>
            </w:tcBorders>
            <w:shd w:val="clear" w:color="auto" w:fill="auto"/>
            <w:vAlign w:val="center"/>
          </w:tcPr>
          <w:p w14:paraId="231E19BD">
            <w:pPr>
              <w:jc w:val="center"/>
              <w:rPr>
                <w:rFonts w:ascii="宋体" w:hAnsi="宋体" w:cs="宋体"/>
                <w:iCs/>
                <w:color w:val="000000"/>
                <w:kern w:val="0"/>
                <w:sz w:val="18"/>
                <w:szCs w:val="18"/>
              </w:rPr>
            </w:pPr>
            <w:r>
              <w:rPr>
                <w:rFonts w:hint="eastAsia" w:ascii="宋体" w:hAnsi="宋体" w:cs="宋体"/>
                <w:iCs/>
                <w:color w:val="000000"/>
                <w:kern w:val="0"/>
                <w:sz w:val="18"/>
                <w:szCs w:val="18"/>
              </w:rPr>
              <w:t>27.70%</w:t>
            </w:r>
          </w:p>
        </w:tc>
      </w:tr>
    </w:tbl>
    <w:p w14:paraId="3159FEF1">
      <w:pPr>
        <w:ind w:firstLine="565" w:firstLineChars="202"/>
        <w:rPr>
          <w:rFonts w:ascii="仿宋" w:hAnsi="仿宋" w:eastAsia="仿宋" w:cs="仿宋"/>
          <w:sz w:val="28"/>
          <w:szCs w:val="28"/>
        </w:rPr>
      </w:pPr>
      <w:r>
        <w:rPr>
          <w:rFonts w:hint="eastAsia" w:ascii="仿宋" w:hAnsi="仿宋" w:eastAsia="仿宋" w:cs="仿宋"/>
          <w:sz w:val="28"/>
          <w:szCs w:val="28"/>
        </w:rPr>
        <w:t>（3）调出质量等别情况</w:t>
      </w:r>
    </w:p>
    <w:p w14:paraId="3126A5E9">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本次调出基本农田按照利用等别分，6等地调出161.87公顷，占3.8%；7等地调出152.99公顷，占3.6%；8等地调出863.09公顷，占20.4%；9等地调出455.05公顷，占10.7%；10等地调出728.54公顷，占17.2%；11等地调出806.74公顷，占19.0%；12等地调出322.37公顷，占7.6%；13等地调出744.56公顷，占17.6%。</w:t>
      </w:r>
    </w:p>
    <w:p w14:paraId="6BD2CFC0">
      <w:pPr>
        <w:jc w:val="center"/>
        <w:outlineLvl w:val="4"/>
        <w:rPr>
          <w:rFonts w:ascii="宋体" w:hAnsi="宋体"/>
          <w:b/>
          <w:sz w:val="24"/>
        </w:rPr>
      </w:pPr>
      <w:r>
        <w:rPr>
          <w:rFonts w:hint="eastAsia" w:ascii="宋体" w:hAnsi="宋体"/>
          <w:b/>
          <w:sz w:val="24"/>
        </w:rPr>
        <w:t>表4-3  东川区调出永久基本农田质量情况统计表</w:t>
      </w:r>
    </w:p>
    <w:p w14:paraId="3BE2E3C5">
      <w:pPr>
        <w:spacing w:line="360" w:lineRule="auto"/>
        <w:ind w:right="360" w:firstLine="360" w:firstLineChars="200"/>
        <w:jc w:val="right"/>
        <w:rPr>
          <w:rFonts w:ascii="宋体" w:hAnsi="宋体" w:cs="宋体"/>
          <w:iCs/>
          <w:color w:val="000000"/>
          <w:kern w:val="0"/>
          <w:sz w:val="18"/>
          <w:szCs w:val="18"/>
        </w:rPr>
      </w:pPr>
      <w:r>
        <w:rPr>
          <w:rFonts w:hint="eastAsia" w:ascii="宋体" w:hAnsi="宋体" w:cs="宋体"/>
          <w:iCs/>
          <w:color w:val="000000"/>
          <w:kern w:val="0"/>
          <w:sz w:val="18"/>
          <w:szCs w:val="18"/>
        </w:rPr>
        <w:t>单位：公顷</w:t>
      </w:r>
    </w:p>
    <w:tbl>
      <w:tblPr>
        <w:tblStyle w:val="27"/>
        <w:tblW w:w="11198" w:type="dxa"/>
        <w:jc w:val="center"/>
        <w:tblLayout w:type="autofit"/>
        <w:tblCellMar>
          <w:top w:w="0" w:type="dxa"/>
          <w:left w:w="108" w:type="dxa"/>
          <w:bottom w:w="0" w:type="dxa"/>
          <w:right w:w="108" w:type="dxa"/>
        </w:tblCellMar>
      </w:tblPr>
      <w:tblGrid>
        <w:gridCol w:w="960"/>
        <w:gridCol w:w="1380"/>
        <w:gridCol w:w="960"/>
        <w:gridCol w:w="960"/>
        <w:gridCol w:w="960"/>
        <w:gridCol w:w="960"/>
        <w:gridCol w:w="960"/>
        <w:gridCol w:w="1026"/>
        <w:gridCol w:w="980"/>
        <w:gridCol w:w="1026"/>
        <w:gridCol w:w="1026"/>
      </w:tblGrid>
      <w:tr w14:paraId="5771A0A9">
        <w:tblPrEx>
          <w:tblCellMar>
            <w:top w:w="0" w:type="dxa"/>
            <w:left w:w="108" w:type="dxa"/>
            <w:bottom w:w="0" w:type="dxa"/>
            <w:right w:w="108" w:type="dxa"/>
          </w:tblCellMar>
        </w:tblPrEx>
        <w:trPr>
          <w:trHeight w:val="288" w:hRule="atLeast"/>
          <w:jc w:val="center"/>
        </w:trPr>
        <w:tc>
          <w:tcPr>
            <w:tcW w:w="9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B4B21B">
            <w:pPr>
              <w:jc w:val="center"/>
              <w:rPr>
                <w:rFonts w:ascii="宋体" w:hAnsi="宋体" w:cs="宋体"/>
                <w:b/>
                <w:iCs/>
                <w:color w:val="000000"/>
                <w:kern w:val="0"/>
                <w:sz w:val="18"/>
                <w:szCs w:val="18"/>
              </w:rPr>
            </w:pPr>
            <w:r>
              <w:rPr>
                <w:rFonts w:hint="eastAsia" w:ascii="宋体" w:hAnsi="宋体" w:cs="宋体"/>
                <w:b/>
                <w:iCs/>
                <w:color w:val="000000"/>
                <w:kern w:val="0"/>
                <w:sz w:val="18"/>
                <w:szCs w:val="18"/>
              </w:rPr>
              <w:t>行政辖区</w:t>
            </w:r>
          </w:p>
        </w:tc>
        <w:tc>
          <w:tcPr>
            <w:tcW w:w="13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FF2A88">
            <w:pPr>
              <w:jc w:val="center"/>
              <w:rPr>
                <w:rFonts w:ascii="宋体" w:hAnsi="宋体" w:cs="宋体"/>
                <w:b/>
                <w:iCs/>
                <w:color w:val="000000"/>
                <w:kern w:val="0"/>
                <w:sz w:val="18"/>
                <w:szCs w:val="18"/>
              </w:rPr>
            </w:pPr>
            <w:r>
              <w:rPr>
                <w:rFonts w:hint="eastAsia" w:ascii="宋体" w:hAnsi="宋体" w:cs="宋体"/>
                <w:b/>
                <w:iCs/>
                <w:color w:val="000000"/>
                <w:kern w:val="0"/>
                <w:sz w:val="18"/>
                <w:szCs w:val="18"/>
              </w:rPr>
              <w:t>基本农田面积</w:t>
            </w:r>
          </w:p>
        </w:tc>
        <w:tc>
          <w:tcPr>
            <w:tcW w:w="9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5508FC">
            <w:pPr>
              <w:jc w:val="center"/>
              <w:rPr>
                <w:rFonts w:ascii="宋体" w:hAnsi="宋体" w:cs="宋体"/>
                <w:b/>
                <w:iCs/>
                <w:color w:val="000000"/>
                <w:kern w:val="0"/>
                <w:sz w:val="18"/>
                <w:szCs w:val="18"/>
              </w:rPr>
            </w:pPr>
            <w:r>
              <w:rPr>
                <w:rFonts w:hint="eastAsia" w:ascii="宋体" w:hAnsi="宋体" w:cs="宋体"/>
                <w:b/>
                <w:iCs/>
                <w:color w:val="000000"/>
                <w:kern w:val="0"/>
                <w:sz w:val="18"/>
                <w:szCs w:val="18"/>
              </w:rPr>
              <w:t>分布占比</w:t>
            </w:r>
          </w:p>
        </w:tc>
        <w:tc>
          <w:tcPr>
            <w:tcW w:w="7898" w:type="dxa"/>
            <w:gridSpan w:val="8"/>
            <w:tcBorders>
              <w:top w:val="single" w:color="auto" w:sz="4" w:space="0"/>
              <w:left w:val="nil"/>
              <w:bottom w:val="single" w:color="auto" w:sz="4" w:space="0"/>
              <w:right w:val="single" w:color="auto" w:sz="4" w:space="0"/>
            </w:tcBorders>
            <w:shd w:val="clear" w:color="auto" w:fill="auto"/>
            <w:vAlign w:val="center"/>
          </w:tcPr>
          <w:p w14:paraId="01AB1255">
            <w:pPr>
              <w:jc w:val="center"/>
              <w:rPr>
                <w:rFonts w:ascii="宋体" w:hAnsi="宋体" w:cs="宋体"/>
                <w:b/>
                <w:iCs/>
                <w:color w:val="000000"/>
                <w:kern w:val="0"/>
                <w:sz w:val="18"/>
                <w:szCs w:val="18"/>
              </w:rPr>
            </w:pPr>
            <w:r>
              <w:rPr>
                <w:rFonts w:hint="eastAsia" w:ascii="宋体" w:hAnsi="宋体" w:cs="宋体"/>
                <w:b/>
                <w:iCs/>
                <w:color w:val="000000"/>
                <w:kern w:val="0"/>
                <w:sz w:val="18"/>
                <w:szCs w:val="18"/>
              </w:rPr>
              <w:t>质量等级</w:t>
            </w:r>
          </w:p>
        </w:tc>
      </w:tr>
      <w:tr w14:paraId="6F311B2F">
        <w:tblPrEx>
          <w:tblCellMar>
            <w:top w:w="0" w:type="dxa"/>
            <w:left w:w="108" w:type="dxa"/>
            <w:bottom w:w="0" w:type="dxa"/>
            <w:right w:w="108" w:type="dxa"/>
          </w:tblCellMar>
        </w:tblPrEx>
        <w:trPr>
          <w:trHeight w:val="288" w:hRule="atLeast"/>
          <w:jc w:val="center"/>
        </w:trPr>
        <w:tc>
          <w:tcPr>
            <w:tcW w:w="960" w:type="dxa"/>
            <w:vMerge w:val="continue"/>
            <w:tcBorders>
              <w:top w:val="single" w:color="auto" w:sz="4" w:space="0"/>
              <w:left w:val="single" w:color="auto" w:sz="4" w:space="0"/>
              <w:bottom w:val="single" w:color="auto" w:sz="4" w:space="0"/>
              <w:right w:val="single" w:color="auto" w:sz="4" w:space="0"/>
            </w:tcBorders>
            <w:vAlign w:val="center"/>
          </w:tcPr>
          <w:p w14:paraId="34DB3ACA">
            <w:pPr>
              <w:jc w:val="center"/>
              <w:rPr>
                <w:rFonts w:ascii="宋体" w:hAnsi="宋体" w:cs="宋体"/>
                <w:b/>
                <w:iCs/>
                <w:color w:val="000000"/>
                <w:kern w:val="0"/>
                <w:sz w:val="18"/>
                <w:szCs w:val="18"/>
              </w:rPr>
            </w:pPr>
          </w:p>
        </w:tc>
        <w:tc>
          <w:tcPr>
            <w:tcW w:w="1380" w:type="dxa"/>
            <w:vMerge w:val="continue"/>
            <w:tcBorders>
              <w:top w:val="single" w:color="auto" w:sz="4" w:space="0"/>
              <w:left w:val="single" w:color="auto" w:sz="4" w:space="0"/>
              <w:bottom w:val="single" w:color="auto" w:sz="4" w:space="0"/>
              <w:right w:val="single" w:color="auto" w:sz="4" w:space="0"/>
            </w:tcBorders>
            <w:vAlign w:val="center"/>
          </w:tcPr>
          <w:p w14:paraId="67264975">
            <w:pPr>
              <w:jc w:val="center"/>
              <w:rPr>
                <w:rFonts w:ascii="宋体" w:hAnsi="宋体" w:cs="宋体"/>
                <w:b/>
                <w:iCs/>
                <w:color w:val="000000"/>
                <w:kern w:val="0"/>
                <w:sz w:val="18"/>
                <w:szCs w:val="18"/>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14:paraId="794D6810">
            <w:pPr>
              <w:jc w:val="center"/>
              <w:rPr>
                <w:rFonts w:ascii="宋体" w:hAnsi="宋体" w:cs="宋体"/>
                <w:b/>
                <w:iCs/>
                <w:color w:val="000000"/>
                <w:kern w:val="0"/>
                <w:sz w:val="18"/>
                <w:szCs w:val="18"/>
              </w:rPr>
            </w:pPr>
          </w:p>
        </w:tc>
        <w:tc>
          <w:tcPr>
            <w:tcW w:w="960" w:type="dxa"/>
            <w:tcBorders>
              <w:top w:val="nil"/>
              <w:left w:val="nil"/>
              <w:bottom w:val="single" w:color="auto" w:sz="4" w:space="0"/>
              <w:right w:val="single" w:color="auto" w:sz="4" w:space="0"/>
            </w:tcBorders>
            <w:shd w:val="clear" w:color="auto" w:fill="auto"/>
            <w:vAlign w:val="center"/>
          </w:tcPr>
          <w:p w14:paraId="5D725843">
            <w:pPr>
              <w:jc w:val="center"/>
              <w:rPr>
                <w:rFonts w:ascii="宋体" w:hAnsi="宋体" w:cs="宋体"/>
                <w:b/>
                <w:iCs/>
                <w:color w:val="000000"/>
                <w:kern w:val="0"/>
                <w:sz w:val="18"/>
                <w:szCs w:val="18"/>
              </w:rPr>
            </w:pPr>
            <w:r>
              <w:rPr>
                <w:rFonts w:hint="eastAsia" w:ascii="宋体" w:hAnsi="宋体" w:cs="宋体"/>
                <w:b/>
                <w:iCs/>
                <w:color w:val="000000"/>
                <w:kern w:val="0"/>
                <w:sz w:val="18"/>
                <w:szCs w:val="18"/>
              </w:rPr>
              <w:t>6等</w:t>
            </w:r>
          </w:p>
        </w:tc>
        <w:tc>
          <w:tcPr>
            <w:tcW w:w="960" w:type="dxa"/>
            <w:tcBorders>
              <w:top w:val="nil"/>
              <w:left w:val="nil"/>
              <w:bottom w:val="single" w:color="auto" w:sz="4" w:space="0"/>
              <w:right w:val="single" w:color="auto" w:sz="4" w:space="0"/>
            </w:tcBorders>
            <w:shd w:val="clear" w:color="auto" w:fill="auto"/>
            <w:vAlign w:val="center"/>
          </w:tcPr>
          <w:p w14:paraId="43578691">
            <w:pPr>
              <w:jc w:val="center"/>
              <w:rPr>
                <w:rFonts w:ascii="宋体" w:hAnsi="宋体" w:cs="宋体"/>
                <w:b/>
                <w:iCs/>
                <w:color w:val="000000"/>
                <w:kern w:val="0"/>
                <w:sz w:val="18"/>
                <w:szCs w:val="18"/>
              </w:rPr>
            </w:pPr>
            <w:r>
              <w:rPr>
                <w:rFonts w:hint="eastAsia" w:ascii="宋体" w:hAnsi="宋体" w:cs="宋体"/>
                <w:b/>
                <w:iCs/>
                <w:color w:val="000000"/>
                <w:kern w:val="0"/>
                <w:sz w:val="18"/>
                <w:szCs w:val="18"/>
              </w:rPr>
              <w:t>7等</w:t>
            </w:r>
          </w:p>
        </w:tc>
        <w:tc>
          <w:tcPr>
            <w:tcW w:w="960" w:type="dxa"/>
            <w:tcBorders>
              <w:top w:val="nil"/>
              <w:left w:val="nil"/>
              <w:bottom w:val="single" w:color="auto" w:sz="4" w:space="0"/>
              <w:right w:val="single" w:color="auto" w:sz="4" w:space="0"/>
            </w:tcBorders>
            <w:shd w:val="clear" w:color="auto" w:fill="auto"/>
            <w:vAlign w:val="center"/>
          </w:tcPr>
          <w:p w14:paraId="796B3A0C">
            <w:pPr>
              <w:jc w:val="center"/>
              <w:rPr>
                <w:rFonts w:ascii="宋体" w:hAnsi="宋体" w:cs="宋体"/>
                <w:b/>
                <w:iCs/>
                <w:color w:val="000000"/>
                <w:kern w:val="0"/>
                <w:sz w:val="18"/>
                <w:szCs w:val="18"/>
              </w:rPr>
            </w:pPr>
            <w:r>
              <w:rPr>
                <w:rFonts w:hint="eastAsia" w:ascii="宋体" w:hAnsi="宋体" w:cs="宋体"/>
                <w:b/>
                <w:iCs/>
                <w:color w:val="000000"/>
                <w:kern w:val="0"/>
                <w:sz w:val="18"/>
                <w:szCs w:val="18"/>
              </w:rPr>
              <w:t>8等</w:t>
            </w:r>
          </w:p>
        </w:tc>
        <w:tc>
          <w:tcPr>
            <w:tcW w:w="960" w:type="dxa"/>
            <w:tcBorders>
              <w:top w:val="nil"/>
              <w:left w:val="nil"/>
              <w:bottom w:val="single" w:color="auto" w:sz="4" w:space="0"/>
              <w:right w:val="single" w:color="auto" w:sz="4" w:space="0"/>
            </w:tcBorders>
            <w:shd w:val="clear" w:color="auto" w:fill="auto"/>
            <w:vAlign w:val="center"/>
          </w:tcPr>
          <w:p w14:paraId="28D598E0">
            <w:pPr>
              <w:jc w:val="center"/>
              <w:rPr>
                <w:rFonts w:ascii="宋体" w:hAnsi="宋体" w:cs="宋体"/>
                <w:b/>
                <w:iCs/>
                <w:color w:val="000000"/>
                <w:kern w:val="0"/>
                <w:sz w:val="18"/>
                <w:szCs w:val="18"/>
              </w:rPr>
            </w:pPr>
            <w:r>
              <w:rPr>
                <w:rFonts w:hint="eastAsia" w:ascii="宋体" w:hAnsi="宋体" w:cs="宋体"/>
                <w:b/>
                <w:iCs/>
                <w:color w:val="000000"/>
                <w:kern w:val="0"/>
                <w:sz w:val="18"/>
                <w:szCs w:val="18"/>
              </w:rPr>
              <w:t>9等</w:t>
            </w:r>
          </w:p>
        </w:tc>
        <w:tc>
          <w:tcPr>
            <w:tcW w:w="1026" w:type="dxa"/>
            <w:tcBorders>
              <w:top w:val="nil"/>
              <w:left w:val="nil"/>
              <w:bottom w:val="single" w:color="auto" w:sz="4" w:space="0"/>
              <w:right w:val="single" w:color="auto" w:sz="4" w:space="0"/>
            </w:tcBorders>
            <w:shd w:val="clear" w:color="auto" w:fill="auto"/>
            <w:vAlign w:val="center"/>
          </w:tcPr>
          <w:p w14:paraId="6CB4C46E">
            <w:pPr>
              <w:jc w:val="center"/>
              <w:rPr>
                <w:rFonts w:ascii="宋体" w:hAnsi="宋体" w:cs="宋体"/>
                <w:b/>
                <w:iCs/>
                <w:color w:val="000000"/>
                <w:kern w:val="0"/>
                <w:sz w:val="18"/>
                <w:szCs w:val="18"/>
              </w:rPr>
            </w:pPr>
            <w:r>
              <w:rPr>
                <w:rFonts w:hint="eastAsia" w:ascii="宋体" w:hAnsi="宋体" w:cs="宋体"/>
                <w:b/>
                <w:iCs/>
                <w:color w:val="000000"/>
                <w:kern w:val="0"/>
                <w:sz w:val="18"/>
                <w:szCs w:val="18"/>
              </w:rPr>
              <w:t>10等</w:t>
            </w:r>
          </w:p>
        </w:tc>
        <w:tc>
          <w:tcPr>
            <w:tcW w:w="980" w:type="dxa"/>
            <w:tcBorders>
              <w:top w:val="nil"/>
              <w:left w:val="nil"/>
              <w:bottom w:val="single" w:color="auto" w:sz="4" w:space="0"/>
              <w:right w:val="single" w:color="auto" w:sz="4" w:space="0"/>
            </w:tcBorders>
            <w:shd w:val="clear" w:color="auto" w:fill="auto"/>
            <w:vAlign w:val="center"/>
          </w:tcPr>
          <w:p w14:paraId="37CABD99">
            <w:pPr>
              <w:jc w:val="center"/>
              <w:rPr>
                <w:rFonts w:ascii="宋体" w:hAnsi="宋体" w:cs="宋体"/>
                <w:b/>
                <w:iCs/>
                <w:color w:val="000000"/>
                <w:kern w:val="0"/>
                <w:sz w:val="18"/>
                <w:szCs w:val="18"/>
              </w:rPr>
            </w:pPr>
            <w:r>
              <w:rPr>
                <w:rFonts w:hint="eastAsia" w:ascii="宋体" w:hAnsi="宋体" w:cs="宋体"/>
                <w:b/>
                <w:iCs/>
                <w:color w:val="000000"/>
                <w:kern w:val="0"/>
                <w:sz w:val="18"/>
                <w:szCs w:val="18"/>
              </w:rPr>
              <w:t>11等</w:t>
            </w:r>
          </w:p>
        </w:tc>
        <w:tc>
          <w:tcPr>
            <w:tcW w:w="1026" w:type="dxa"/>
            <w:tcBorders>
              <w:top w:val="nil"/>
              <w:left w:val="nil"/>
              <w:bottom w:val="single" w:color="auto" w:sz="4" w:space="0"/>
              <w:right w:val="single" w:color="auto" w:sz="4" w:space="0"/>
            </w:tcBorders>
            <w:shd w:val="clear" w:color="auto" w:fill="auto"/>
            <w:vAlign w:val="center"/>
          </w:tcPr>
          <w:p w14:paraId="4CCDA099">
            <w:pPr>
              <w:jc w:val="center"/>
              <w:rPr>
                <w:rFonts w:ascii="宋体" w:hAnsi="宋体" w:cs="宋体"/>
                <w:b/>
                <w:iCs/>
                <w:color w:val="000000"/>
                <w:kern w:val="0"/>
                <w:sz w:val="18"/>
                <w:szCs w:val="18"/>
              </w:rPr>
            </w:pPr>
            <w:r>
              <w:rPr>
                <w:rFonts w:hint="eastAsia" w:ascii="宋体" w:hAnsi="宋体" w:cs="宋体"/>
                <w:b/>
                <w:iCs/>
                <w:color w:val="000000"/>
                <w:kern w:val="0"/>
                <w:sz w:val="18"/>
                <w:szCs w:val="18"/>
              </w:rPr>
              <w:t>12等</w:t>
            </w:r>
          </w:p>
        </w:tc>
        <w:tc>
          <w:tcPr>
            <w:tcW w:w="1026" w:type="dxa"/>
            <w:tcBorders>
              <w:top w:val="nil"/>
              <w:left w:val="nil"/>
              <w:bottom w:val="single" w:color="auto" w:sz="4" w:space="0"/>
              <w:right w:val="single" w:color="auto" w:sz="4" w:space="0"/>
            </w:tcBorders>
            <w:shd w:val="clear" w:color="auto" w:fill="auto"/>
            <w:vAlign w:val="center"/>
          </w:tcPr>
          <w:p w14:paraId="6B0D0969">
            <w:pPr>
              <w:jc w:val="center"/>
              <w:rPr>
                <w:rFonts w:ascii="宋体" w:hAnsi="宋体" w:cs="宋体"/>
                <w:b/>
                <w:iCs/>
                <w:color w:val="000000"/>
                <w:kern w:val="0"/>
                <w:sz w:val="18"/>
                <w:szCs w:val="18"/>
              </w:rPr>
            </w:pPr>
            <w:r>
              <w:rPr>
                <w:rFonts w:hint="eastAsia" w:ascii="宋体" w:hAnsi="宋体" w:cs="宋体"/>
                <w:b/>
                <w:iCs/>
                <w:color w:val="000000"/>
                <w:kern w:val="0"/>
                <w:sz w:val="18"/>
                <w:szCs w:val="18"/>
              </w:rPr>
              <w:t>13等</w:t>
            </w:r>
          </w:p>
        </w:tc>
      </w:tr>
      <w:tr w14:paraId="039E8897">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1763200F">
            <w:pPr>
              <w:jc w:val="center"/>
              <w:rPr>
                <w:rFonts w:ascii="宋体" w:hAnsi="宋体" w:cs="宋体"/>
                <w:iCs/>
                <w:color w:val="000000"/>
                <w:kern w:val="0"/>
                <w:sz w:val="18"/>
                <w:szCs w:val="18"/>
              </w:rPr>
            </w:pPr>
            <w:r>
              <w:rPr>
                <w:rFonts w:hint="eastAsia" w:ascii="宋体" w:hAnsi="宋体" w:cs="宋体"/>
                <w:iCs/>
                <w:color w:val="000000"/>
                <w:kern w:val="0"/>
                <w:sz w:val="18"/>
                <w:szCs w:val="18"/>
              </w:rPr>
              <w:t>铜都街道</w:t>
            </w:r>
          </w:p>
        </w:tc>
        <w:tc>
          <w:tcPr>
            <w:tcW w:w="1380" w:type="dxa"/>
            <w:tcBorders>
              <w:top w:val="nil"/>
              <w:left w:val="nil"/>
              <w:bottom w:val="single" w:color="auto" w:sz="4" w:space="0"/>
              <w:right w:val="single" w:color="auto" w:sz="4" w:space="0"/>
            </w:tcBorders>
            <w:shd w:val="clear" w:color="auto" w:fill="auto"/>
            <w:vAlign w:val="center"/>
          </w:tcPr>
          <w:p w14:paraId="446DFBC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956.01 </w:t>
            </w:r>
          </w:p>
        </w:tc>
        <w:tc>
          <w:tcPr>
            <w:tcW w:w="960" w:type="dxa"/>
            <w:tcBorders>
              <w:top w:val="nil"/>
              <w:left w:val="nil"/>
              <w:bottom w:val="single" w:color="auto" w:sz="4" w:space="0"/>
              <w:right w:val="single" w:color="auto" w:sz="4" w:space="0"/>
            </w:tcBorders>
            <w:shd w:val="clear" w:color="auto" w:fill="auto"/>
            <w:vAlign w:val="center"/>
          </w:tcPr>
          <w:p w14:paraId="2A5B9DFE">
            <w:pPr>
              <w:jc w:val="center"/>
              <w:rPr>
                <w:rFonts w:ascii="宋体" w:hAnsi="宋体" w:cs="宋体"/>
                <w:iCs/>
                <w:color w:val="000000"/>
                <w:kern w:val="0"/>
                <w:sz w:val="18"/>
                <w:szCs w:val="18"/>
              </w:rPr>
            </w:pPr>
            <w:r>
              <w:rPr>
                <w:rFonts w:hint="eastAsia" w:ascii="宋体" w:hAnsi="宋体" w:cs="宋体"/>
                <w:iCs/>
                <w:color w:val="000000"/>
                <w:kern w:val="0"/>
                <w:sz w:val="18"/>
                <w:szCs w:val="18"/>
              </w:rPr>
              <w:t>22.60%</w:t>
            </w:r>
          </w:p>
        </w:tc>
        <w:tc>
          <w:tcPr>
            <w:tcW w:w="960" w:type="dxa"/>
            <w:tcBorders>
              <w:top w:val="nil"/>
              <w:left w:val="nil"/>
              <w:bottom w:val="single" w:color="auto" w:sz="4" w:space="0"/>
              <w:right w:val="single" w:color="auto" w:sz="4" w:space="0"/>
            </w:tcBorders>
            <w:shd w:val="clear" w:color="auto" w:fill="auto"/>
            <w:vAlign w:val="center"/>
          </w:tcPr>
          <w:p w14:paraId="06F1E70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44.43 </w:t>
            </w:r>
          </w:p>
        </w:tc>
        <w:tc>
          <w:tcPr>
            <w:tcW w:w="960" w:type="dxa"/>
            <w:tcBorders>
              <w:top w:val="nil"/>
              <w:left w:val="nil"/>
              <w:bottom w:val="single" w:color="auto" w:sz="4" w:space="0"/>
              <w:right w:val="single" w:color="auto" w:sz="4" w:space="0"/>
            </w:tcBorders>
            <w:shd w:val="clear" w:color="auto" w:fill="auto"/>
            <w:vAlign w:val="center"/>
          </w:tcPr>
          <w:p w14:paraId="787764E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33.57 </w:t>
            </w:r>
          </w:p>
        </w:tc>
        <w:tc>
          <w:tcPr>
            <w:tcW w:w="960" w:type="dxa"/>
            <w:tcBorders>
              <w:top w:val="nil"/>
              <w:left w:val="nil"/>
              <w:bottom w:val="single" w:color="auto" w:sz="4" w:space="0"/>
              <w:right w:val="single" w:color="auto" w:sz="4" w:space="0"/>
            </w:tcBorders>
            <w:shd w:val="clear" w:color="auto" w:fill="auto"/>
            <w:vAlign w:val="center"/>
          </w:tcPr>
          <w:p w14:paraId="399C7AA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104.27 </w:t>
            </w:r>
          </w:p>
        </w:tc>
        <w:tc>
          <w:tcPr>
            <w:tcW w:w="960" w:type="dxa"/>
            <w:tcBorders>
              <w:top w:val="nil"/>
              <w:left w:val="nil"/>
              <w:bottom w:val="single" w:color="auto" w:sz="4" w:space="0"/>
              <w:right w:val="single" w:color="auto" w:sz="4" w:space="0"/>
            </w:tcBorders>
            <w:shd w:val="clear" w:color="auto" w:fill="auto"/>
            <w:vAlign w:val="center"/>
          </w:tcPr>
          <w:p w14:paraId="501B4E8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209.35 </w:t>
            </w:r>
          </w:p>
        </w:tc>
        <w:tc>
          <w:tcPr>
            <w:tcW w:w="1026" w:type="dxa"/>
            <w:tcBorders>
              <w:top w:val="nil"/>
              <w:left w:val="nil"/>
              <w:bottom w:val="single" w:color="auto" w:sz="4" w:space="0"/>
              <w:right w:val="single" w:color="auto" w:sz="4" w:space="0"/>
            </w:tcBorders>
            <w:shd w:val="clear" w:color="auto" w:fill="auto"/>
            <w:vAlign w:val="center"/>
          </w:tcPr>
          <w:p w14:paraId="7BE67F5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272.59 </w:t>
            </w:r>
          </w:p>
        </w:tc>
        <w:tc>
          <w:tcPr>
            <w:tcW w:w="980" w:type="dxa"/>
            <w:tcBorders>
              <w:top w:val="nil"/>
              <w:left w:val="nil"/>
              <w:bottom w:val="single" w:color="auto" w:sz="4" w:space="0"/>
              <w:right w:val="single" w:color="auto" w:sz="4" w:space="0"/>
            </w:tcBorders>
            <w:shd w:val="clear" w:color="auto" w:fill="auto"/>
            <w:vAlign w:val="center"/>
          </w:tcPr>
          <w:p w14:paraId="419B065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286.35 </w:t>
            </w:r>
          </w:p>
        </w:tc>
        <w:tc>
          <w:tcPr>
            <w:tcW w:w="1026" w:type="dxa"/>
            <w:tcBorders>
              <w:top w:val="nil"/>
              <w:left w:val="nil"/>
              <w:bottom w:val="single" w:color="auto" w:sz="4" w:space="0"/>
              <w:right w:val="single" w:color="auto" w:sz="4" w:space="0"/>
            </w:tcBorders>
            <w:shd w:val="clear" w:color="auto" w:fill="auto"/>
            <w:vAlign w:val="center"/>
          </w:tcPr>
          <w:p w14:paraId="7FF83DB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4.65 </w:t>
            </w:r>
          </w:p>
        </w:tc>
        <w:tc>
          <w:tcPr>
            <w:tcW w:w="1026" w:type="dxa"/>
            <w:tcBorders>
              <w:top w:val="nil"/>
              <w:left w:val="nil"/>
              <w:bottom w:val="single" w:color="auto" w:sz="4" w:space="0"/>
              <w:right w:val="single" w:color="auto" w:sz="4" w:space="0"/>
            </w:tcBorders>
            <w:shd w:val="clear" w:color="auto" w:fill="auto"/>
            <w:vAlign w:val="center"/>
          </w:tcPr>
          <w:p w14:paraId="1991885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0.80 </w:t>
            </w:r>
          </w:p>
        </w:tc>
      </w:tr>
      <w:tr w14:paraId="70E91E0B">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5538C293">
            <w:pPr>
              <w:jc w:val="center"/>
              <w:rPr>
                <w:rFonts w:ascii="宋体" w:hAnsi="宋体" w:cs="宋体"/>
                <w:iCs/>
                <w:color w:val="000000"/>
                <w:kern w:val="0"/>
                <w:sz w:val="18"/>
                <w:szCs w:val="18"/>
              </w:rPr>
            </w:pPr>
            <w:r>
              <w:rPr>
                <w:rFonts w:hint="eastAsia" w:ascii="宋体" w:hAnsi="宋体" w:cs="宋体"/>
                <w:iCs/>
                <w:color w:val="000000"/>
                <w:kern w:val="0"/>
                <w:sz w:val="18"/>
                <w:szCs w:val="18"/>
              </w:rPr>
              <w:t>阿旺镇</w:t>
            </w:r>
          </w:p>
        </w:tc>
        <w:tc>
          <w:tcPr>
            <w:tcW w:w="1380" w:type="dxa"/>
            <w:tcBorders>
              <w:top w:val="nil"/>
              <w:left w:val="nil"/>
              <w:bottom w:val="single" w:color="auto" w:sz="4" w:space="0"/>
              <w:right w:val="single" w:color="auto" w:sz="4" w:space="0"/>
            </w:tcBorders>
            <w:shd w:val="clear" w:color="auto" w:fill="auto"/>
            <w:vAlign w:val="center"/>
          </w:tcPr>
          <w:p w14:paraId="2D936DC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650.19 </w:t>
            </w:r>
          </w:p>
        </w:tc>
        <w:tc>
          <w:tcPr>
            <w:tcW w:w="960" w:type="dxa"/>
            <w:tcBorders>
              <w:top w:val="nil"/>
              <w:left w:val="nil"/>
              <w:bottom w:val="single" w:color="auto" w:sz="4" w:space="0"/>
              <w:right w:val="single" w:color="auto" w:sz="4" w:space="0"/>
            </w:tcBorders>
            <w:shd w:val="clear" w:color="auto" w:fill="auto"/>
            <w:vAlign w:val="center"/>
          </w:tcPr>
          <w:p w14:paraId="7E77BC57">
            <w:pPr>
              <w:jc w:val="center"/>
              <w:rPr>
                <w:rFonts w:ascii="宋体" w:hAnsi="宋体" w:cs="宋体"/>
                <w:iCs/>
                <w:color w:val="000000"/>
                <w:kern w:val="0"/>
                <w:sz w:val="18"/>
                <w:szCs w:val="18"/>
              </w:rPr>
            </w:pPr>
            <w:r>
              <w:rPr>
                <w:rFonts w:hint="eastAsia" w:ascii="宋体" w:hAnsi="宋体" w:cs="宋体"/>
                <w:iCs/>
                <w:color w:val="000000"/>
                <w:kern w:val="0"/>
                <w:sz w:val="18"/>
                <w:szCs w:val="18"/>
              </w:rPr>
              <w:t>15.40%</w:t>
            </w:r>
          </w:p>
        </w:tc>
        <w:tc>
          <w:tcPr>
            <w:tcW w:w="960" w:type="dxa"/>
            <w:tcBorders>
              <w:top w:val="nil"/>
              <w:left w:val="nil"/>
              <w:bottom w:val="single" w:color="auto" w:sz="4" w:space="0"/>
              <w:right w:val="single" w:color="auto" w:sz="4" w:space="0"/>
            </w:tcBorders>
            <w:shd w:val="clear" w:color="auto" w:fill="auto"/>
            <w:vAlign w:val="center"/>
          </w:tcPr>
          <w:p w14:paraId="6D88AA7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42.31 </w:t>
            </w:r>
          </w:p>
        </w:tc>
        <w:tc>
          <w:tcPr>
            <w:tcW w:w="960" w:type="dxa"/>
            <w:tcBorders>
              <w:top w:val="nil"/>
              <w:left w:val="nil"/>
              <w:bottom w:val="single" w:color="auto" w:sz="4" w:space="0"/>
              <w:right w:val="single" w:color="auto" w:sz="4" w:space="0"/>
            </w:tcBorders>
            <w:shd w:val="clear" w:color="auto" w:fill="auto"/>
            <w:vAlign w:val="center"/>
          </w:tcPr>
          <w:p w14:paraId="575F356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25.91 </w:t>
            </w:r>
          </w:p>
        </w:tc>
        <w:tc>
          <w:tcPr>
            <w:tcW w:w="960" w:type="dxa"/>
            <w:tcBorders>
              <w:top w:val="nil"/>
              <w:left w:val="nil"/>
              <w:bottom w:val="single" w:color="auto" w:sz="4" w:space="0"/>
              <w:right w:val="single" w:color="auto" w:sz="4" w:space="0"/>
            </w:tcBorders>
            <w:shd w:val="clear" w:color="auto" w:fill="auto"/>
            <w:vAlign w:val="center"/>
          </w:tcPr>
          <w:p w14:paraId="08AEE62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91.45 </w:t>
            </w:r>
          </w:p>
        </w:tc>
        <w:tc>
          <w:tcPr>
            <w:tcW w:w="960" w:type="dxa"/>
            <w:tcBorders>
              <w:top w:val="nil"/>
              <w:left w:val="nil"/>
              <w:bottom w:val="single" w:color="auto" w:sz="4" w:space="0"/>
              <w:right w:val="single" w:color="auto" w:sz="4" w:space="0"/>
            </w:tcBorders>
            <w:shd w:val="clear" w:color="auto" w:fill="auto"/>
            <w:vAlign w:val="center"/>
          </w:tcPr>
          <w:p w14:paraId="3603BA6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78.41 </w:t>
            </w:r>
          </w:p>
        </w:tc>
        <w:tc>
          <w:tcPr>
            <w:tcW w:w="1026" w:type="dxa"/>
            <w:tcBorders>
              <w:top w:val="nil"/>
              <w:left w:val="nil"/>
              <w:bottom w:val="single" w:color="auto" w:sz="4" w:space="0"/>
              <w:right w:val="single" w:color="auto" w:sz="4" w:space="0"/>
            </w:tcBorders>
            <w:shd w:val="clear" w:color="auto" w:fill="auto"/>
            <w:vAlign w:val="center"/>
          </w:tcPr>
          <w:p w14:paraId="67FE1F1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289.01 </w:t>
            </w:r>
          </w:p>
        </w:tc>
        <w:tc>
          <w:tcPr>
            <w:tcW w:w="980" w:type="dxa"/>
            <w:tcBorders>
              <w:top w:val="nil"/>
              <w:left w:val="nil"/>
              <w:bottom w:val="single" w:color="auto" w:sz="4" w:space="0"/>
              <w:right w:val="single" w:color="auto" w:sz="4" w:space="0"/>
            </w:tcBorders>
            <w:shd w:val="clear" w:color="auto" w:fill="auto"/>
            <w:vAlign w:val="center"/>
          </w:tcPr>
          <w:p w14:paraId="2A022B0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123.10 </w:t>
            </w:r>
          </w:p>
        </w:tc>
        <w:tc>
          <w:tcPr>
            <w:tcW w:w="1026" w:type="dxa"/>
            <w:tcBorders>
              <w:top w:val="nil"/>
              <w:left w:val="nil"/>
              <w:bottom w:val="single" w:color="auto" w:sz="4" w:space="0"/>
              <w:right w:val="single" w:color="auto" w:sz="4" w:space="0"/>
            </w:tcBorders>
            <w:shd w:val="clear" w:color="auto" w:fill="auto"/>
            <w:vAlign w:val="center"/>
          </w:tcPr>
          <w:p w14:paraId="522076F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026" w:type="dxa"/>
            <w:tcBorders>
              <w:top w:val="nil"/>
              <w:left w:val="nil"/>
              <w:bottom w:val="single" w:color="auto" w:sz="4" w:space="0"/>
              <w:right w:val="single" w:color="auto" w:sz="4" w:space="0"/>
            </w:tcBorders>
            <w:shd w:val="clear" w:color="auto" w:fill="auto"/>
            <w:vAlign w:val="center"/>
          </w:tcPr>
          <w:p w14:paraId="74C71C1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r>
      <w:tr w14:paraId="314E7517">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3D91C61C">
            <w:pPr>
              <w:jc w:val="center"/>
              <w:rPr>
                <w:rFonts w:ascii="宋体" w:hAnsi="宋体" w:cs="宋体"/>
                <w:iCs/>
                <w:color w:val="000000"/>
                <w:kern w:val="0"/>
                <w:sz w:val="18"/>
                <w:szCs w:val="18"/>
              </w:rPr>
            </w:pPr>
            <w:r>
              <w:rPr>
                <w:rFonts w:hint="eastAsia" w:ascii="宋体" w:hAnsi="宋体" w:cs="宋体"/>
                <w:iCs/>
                <w:color w:val="000000"/>
                <w:kern w:val="0"/>
                <w:sz w:val="18"/>
                <w:szCs w:val="18"/>
              </w:rPr>
              <w:t>乌龙镇</w:t>
            </w:r>
          </w:p>
        </w:tc>
        <w:tc>
          <w:tcPr>
            <w:tcW w:w="1380" w:type="dxa"/>
            <w:tcBorders>
              <w:top w:val="nil"/>
              <w:left w:val="nil"/>
              <w:bottom w:val="single" w:color="auto" w:sz="4" w:space="0"/>
              <w:right w:val="single" w:color="auto" w:sz="4" w:space="0"/>
            </w:tcBorders>
            <w:shd w:val="clear" w:color="auto" w:fill="auto"/>
            <w:vAlign w:val="center"/>
          </w:tcPr>
          <w:p w14:paraId="2767CD1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326.71 </w:t>
            </w:r>
          </w:p>
        </w:tc>
        <w:tc>
          <w:tcPr>
            <w:tcW w:w="960" w:type="dxa"/>
            <w:tcBorders>
              <w:top w:val="nil"/>
              <w:left w:val="nil"/>
              <w:bottom w:val="single" w:color="auto" w:sz="4" w:space="0"/>
              <w:right w:val="single" w:color="auto" w:sz="4" w:space="0"/>
            </w:tcBorders>
            <w:shd w:val="clear" w:color="auto" w:fill="auto"/>
            <w:vAlign w:val="center"/>
          </w:tcPr>
          <w:p w14:paraId="0BB3A6AD">
            <w:pPr>
              <w:jc w:val="center"/>
              <w:rPr>
                <w:rFonts w:ascii="宋体" w:hAnsi="宋体" w:cs="宋体"/>
                <w:iCs/>
                <w:color w:val="000000"/>
                <w:kern w:val="0"/>
                <w:sz w:val="18"/>
                <w:szCs w:val="18"/>
              </w:rPr>
            </w:pPr>
            <w:r>
              <w:rPr>
                <w:rFonts w:hint="eastAsia" w:ascii="宋体" w:hAnsi="宋体" w:cs="宋体"/>
                <w:iCs/>
                <w:color w:val="000000"/>
                <w:kern w:val="0"/>
                <w:sz w:val="18"/>
                <w:szCs w:val="18"/>
              </w:rPr>
              <w:t>7.70%</w:t>
            </w:r>
          </w:p>
        </w:tc>
        <w:tc>
          <w:tcPr>
            <w:tcW w:w="960" w:type="dxa"/>
            <w:tcBorders>
              <w:top w:val="nil"/>
              <w:left w:val="nil"/>
              <w:bottom w:val="single" w:color="auto" w:sz="4" w:space="0"/>
              <w:right w:val="single" w:color="auto" w:sz="4" w:space="0"/>
            </w:tcBorders>
            <w:shd w:val="clear" w:color="auto" w:fill="auto"/>
            <w:vAlign w:val="center"/>
          </w:tcPr>
          <w:p w14:paraId="424A7D2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4.85 </w:t>
            </w:r>
          </w:p>
        </w:tc>
        <w:tc>
          <w:tcPr>
            <w:tcW w:w="960" w:type="dxa"/>
            <w:tcBorders>
              <w:top w:val="nil"/>
              <w:left w:val="nil"/>
              <w:bottom w:val="single" w:color="auto" w:sz="4" w:space="0"/>
              <w:right w:val="single" w:color="auto" w:sz="4" w:space="0"/>
            </w:tcBorders>
            <w:shd w:val="clear" w:color="auto" w:fill="auto"/>
            <w:vAlign w:val="center"/>
          </w:tcPr>
          <w:p w14:paraId="2CD37B9C">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06670D0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22.89 </w:t>
            </w:r>
          </w:p>
        </w:tc>
        <w:tc>
          <w:tcPr>
            <w:tcW w:w="960" w:type="dxa"/>
            <w:tcBorders>
              <w:top w:val="nil"/>
              <w:left w:val="nil"/>
              <w:bottom w:val="single" w:color="auto" w:sz="4" w:space="0"/>
              <w:right w:val="single" w:color="auto" w:sz="4" w:space="0"/>
            </w:tcBorders>
            <w:shd w:val="clear" w:color="auto" w:fill="auto"/>
            <w:vAlign w:val="center"/>
          </w:tcPr>
          <w:p w14:paraId="14D2EF1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18.09 </w:t>
            </w:r>
          </w:p>
        </w:tc>
        <w:tc>
          <w:tcPr>
            <w:tcW w:w="1026" w:type="dxa"/>
            <w:tcBorders>
              <w:top w:val="nil"/>
              <w:left w:val="nil"/>
              <w:bottom w:val="single" w:color="auto" w:sz="4" w:space="0"/>
              <w:right w:val="single" w:color="auto" w:sz="4" w:space="0"/>
            </w:tcBorders>
            <w:shd w:val="clear" w:color="auto" w:fill="auto"/>
            <w:vAlign w:val="center"/>
          </w:tcPr>
          <w:p w14:paraId="5CA9498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61.31 </w:t>
            </w:r>
          </w:p>
        </w:tc>
        <w:tc>
          <w:tcPr>
            <w:tcW w:w="980" w:type="dxa"/>
            <w:tcBorders>
              <w:top w:val="nil"/>
              <w:left w:val="nil"/>
              <w:bottom w:val="single" w:color="auto" w:sz="4" w:space="0"/>
              <w:right w:val="single" w:color="auto" w:sz="4" w:space="0"/>
            </w:tcBorders>
            <w:shd w:val="clear" w:color="auto" w:fill="auto"/>
            <w:vAlign w:val="center"/>
          </w:tcPr>
          <w:p w14:paraId="75B8EA6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135.07 </w:t>
            </w:r>
          </w:p>
        </w:tc>
        <w:tc>
          <w:tcPr>
            <w:tcW w:w="1026" w:type="dxa"/>
            <w:tcBorders>
              <w:top w:val="nil"/>
              <w:left w:val="nil"/>
              <w:bottom w:val="single" w:color="auto" w:sz="4" w:space="0"/>
              <w:right w:val="single" w:color="auto" w:sz="4" w:space="0"/>
            </w:tcBorders>
            <w:shd w:val="clear" w:color="auto" w:fill="auto"/>
            <w:vAlign w:val="center"/>
          </w:tcPr>
          <w:p w14:paraId="24619AD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84.47 </w:t>
            </w:r>
          </w:p>
        </w:tc>
        <w:tc>
          <w:tcPr>
            <w:tcW w:w="1026" w:type="dxa"/>
            <w:tcBorders>
              <w:top w:val="nil"/>
              <w:left w:val="nil"/>
              <w:bottom w:val="single" w:color="auto" w:sz="4" w:space="0"/>
              <w:right w:val="single" w:color="auto" w:sz="4" w:space="0"/>
            </w:tcBorders>
            <w:shd w:val="clear" w:color="auto" w:fill="auto"/>
            <w:vAlign w:val="center"/>
          </w:tcPr>
          <w:p w14:paraId="5675797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0.03 </w:t>
            </w:r>
          </w:p>
        </w:tc>
      </w:tr>
      <w:tr w14:paraId="55336133">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04164616">
            <w:pPr>
              <w:jc w:val="center"/>
              <w:rPr>
                <w:rFonts w:ascii="宋体" w:hAnsi="宋体" w:cs="宋体"/>
                <w:iCs/>
                <w:color w:val="000000"/>
                <w:kern w:val="0"/>
                <w:sz w:val="18"/>
                <w:szCs w:val="18"/>
              </w:rPr>
            </w:pPr>
            <w:r>
              <w:rPr>
                <w:rFonts w:hint="eastAsia" w:ascii="宋体" w:hAnsi="宋体" w:cs="宋体"/>
                <w:iCs/>
                <w:color w:val="000000"/>
                <w:kern w:val="0"/>
                <w:sz w:val="18"/>
                <w:szCs w:val="18"/>
              </w:rPr>
              <w:t>汤丹镇</w:t>
            </w:r>
          </w:p>
        </w:tc>
        <w:tc>
          <w:tcPr>
            <w:tcW w:w="1380" w:type="dxa"/>
            <w:tcBorders>
              <w:top w:val="nil"/>
              <w:left w:val="nil"/>
              <w:bottom w:val="single" w:color="auto" w:sz="4" w:space="0"/>
              <w:right w:val="single" w:color="auto" w:sz="4" w:space="0"/>
            </w:tcBorders>
            <w:shd w:val="clear" w:color="auto" w:fill="auto"/>
            <w:vAlign w:val="center"/>
          </w:tcPr>
          <w:p w14:paraId="389A10E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847.79 </w:t>
            </w:r>
          </w:p>
        </w:tc>
        <w:tc>
          <w:tcPr>
            <w:tcW w:w="960" w:type="dxa"/>
            <w:tcBorders>
              <w:top w:val="nil"/>
              <w:left w:val="nil"/>
              <w:bottom w:val="single" w:color="auto" w:sz="4" w:space="0"/>
              <w:right w:val="single" w:color="auto" w:sz="4" w:space="0"/>
            </w:tcBorders>
            <w:shd w:val="clear" w:color="auto" w:fill="auto"/>
            <w:vAlign w:val="center"/>
          </w:tcPr>
          <w:p w14:paraId="0078490C">
            <w:pPr>
              <w:jc w:val="center"/>
              <w:rPr>
                <w:rFonts w:ascii="宋体" w:hAnsi="宋体" w:cs="宋体"/>
                <w:iCs/>
                <w:color w:val="000000"/>
                <w:kern w:val="0"/>
                <w:sz w:val="18"/>
                <w:szCs w:val="18"/>
              </w:rPr>
            </w:pPr>
            <w:r>
              <w:rPr>
                <w:rFonts w:hint="eastAsia" w:ascii="宋体" w:hAnsi="宋体" w:cs="宋体"/>
                <w:iCs/>
                <w:color w:val="000000"/>
                <w:kern w:val="0"/>
                <w:sz w:val="18"/>
                <w:szCs w:val="18"/>
              </w:rPr>
              <w:t>20.00%</w:t>
            </w:r>
          </w:p>
        </w:tc>
        <w:tc>
          <w:tcPr>
            <w:tcW w:w="960" w:type="dxa"/>
            <w:tcBorders>
              <w:top w:val="nil"/>
              <w:left w:val="nil"/>
              <w:bottom w:val="single" w:color="auto" w:sz="4" w:space="0"/>
              <w:right w:val="single" w:color="auto" w:sz="4" w:space="0"/>
            </w:tcBorders>
            <w:shd w:val="clear" w:color="auto" w:fill="auto"/>
            <w:vAlign w:val="center"/>
          </w:tcPr>
          <w:p w14:paraId="61EED9C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1.67 </w:t>
            </w:r>
          </w:p>
        </w:tc>
        <w:tc>
          <w:tcPr>
            <w:tcW w:w="960" w:type="dxa"/>
            <w:tcBorders>
              <w:top w:val="nil"/>
              <w:left w:val="nil"/>
              <w:bottom w:val="single" w:color="auto" w:sz="4" w:space="0"/>
              <w:right w:val="single" w:color="auto" w:sz="4" w:space="0"/>
            </w:tcBorders>
            <w:shd w:val="clear" w:color="auto" w:fill="auto"/>
            <w:vAlign w:val="center"/>
          </w:tcPr>
          <w:p w14:paraId="4F36E5A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23F7B87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3.84 </w:t>
            </w:r>
          </w:p>
        </w:tc>
        <w:tc>
          <w:tcPr>
            <w:tcW w:w="960" w:type="dxa"/>
            <w:tcBorders>
              <w:top w:val="nil"/>
              <w:left w:val="nil"/>
              <w:bottom w:val="single" w:color="auto" w:sz="4" w:space="0"/>
              <w:right w:val="single" w:color="auto" w:sz="4" w:space="0"/>
            </w:tcBorders>
            <w:shd w:val="clear" w:color="auto" w:fill="auto"/>
            <w:vAlign w:val="center"/>
          </w:tcPr>
          <w:p w14:paraId="01C8DA3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2.22 </w:t>
            </w:r>
          </w:p>
        </w:tc>
        <w:tc>
          <w:tcPr>
            <w:tcW w:w="1026" w:type="dxa"/>
            <w:tcBorders>
              <w:top w:val="nil"/>
              <w:left w:val="nil"/>
              <w:bottom w:val="single" w:color="auto" w:sz="4" w:space="0"/>
              <w:right w:val="single" w:color="auto" w:sz="4" w:space="0"/>
            </w:tcBorders>
            <w:shd w:val="clear" w:color="auto" w:fill="auto"/>
            <w:vAlign w:val="center"/>
          </w:tcPr>
          <w:p w14:paraId="30BA12E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35.32 </w:t>
            </w:r>
          </w:p>
        </w:tc>
        <w:tc>
          <w:tcPr>
            <w:tcW w:w="980" w:type="dxa"/>
            <w:tcBorders>
              <w:top w:val="nil"/>
              <w:left w:val="nil"/>
              <w:bottom w:val="single" w:color="auto" w:sz="4" w:space="0"/>
              <w:right w:val="single" w:color="auto" w:sz="4" w:space="0"/>
            </w:tcBorders>
            <w:shd w:val="clear" w:color="auto" w:fill="auto"/>
            <w:vAlign w:val="center"/>
          </w:tcPr>
          <w:p w14:paraId="5DACC2F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026" w:type="dxa"/>
            <w:tcBorders>
              <w:top w:val="nil"/>
              <w:left w:val="nil"/>
              <w:bottom w:val="single" w:color="auto" w:sz="4" w:space="0"/>
              <w:right w:val="single" w:color="auto" w:sz="4" w:space="0"/>
            </w:tcBorders>
            <w:shd w:val="clear" w:color="auto" w:fill="auto"/>
            <w:vAlign w:val="center"/>
          </w:tcPr>
          <w:p w14:paraId="4DBCE5E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64.66 </w:t>
            </w:r>
          </w:p>
        </w:tc>
        <w:tc>
          <w:tcPr>
            <w:tcW w:w="1026" w:type="dxa"/>
            <w:tcBorders>
              <w:top w:val="nil"/>
              <w:left w:val="nil"/>
              <w:bottom w:val="single" w:color="auto" w:sz="4" w:space="0"/>
              <w:right w:val="single" w:color="auto" w:sz="4" w:space="0"/>
            </w:tcBorders>
            <w:shd w:val="clear" w:color="auto" w:fill="auto"/>
            <w:vAlign w:val="center"/>
          </w:tcPr>
          <w:p w14:paraId="7872CA6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740.08 </w:t>
            </w:r>
          </w:p>
        </w:tc>
      </w:tr>
      <w:tr w14:paraId="3AB425D3">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1B10A958">
            <w:pPr>
              <w:jc w:val="center"/>
              <w:rPr>
                <w:rFonts w:ascii="宋体" w:hAnsi="宋体" w:cs="宋体"/>
                <w:iCs/>
                <w:color w:val="000000"/>
                <w:kern w:val="0"/>
                <w:sz w:val="18"/>
                <w:szCs w:val="18"/>
              </w:rPr>
            </w:pPr>
            <w:r>
              <w:rPr>
                <w:rFonts w:hint="eastAsia" w:ascii="宋体" w:hAnsi="宋体" w:cs="宋体"/>
                <w:iCs/>
                <w:color w:val="000000"/>
                <w:kern w:val="0"/>
                <w:sz w:val="18"/>
                <w:szCs w:val="18"/>
              </w:rPr>
              <w:t>拖布卡镇</w:t>
            </w:r>
          </w:p>
        </w:tc>
        <w:tc>
          <w:tcPr>
            <w:tcW w:w="1380" w:type="dxa"/>
            <w:tcBorders>
              <w:top w:val="nil"/>
              <w:left w:val="nil"/>
              <w:bottom w:val="single" w:color="auto" w:sz="4" w:space="0"/>
              <w:right w:val="single" w:color="auto" w:sz="4" w:space="0"/>
            </w:tcBorders>
            <w:shd w:val="clear" w:color="auto" w:fill="auto"/>
            <w:vAlign w:val="center"/>
          </w:tcPr>
          <w:p w14:paraId="621E93F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709.81 </w:t>
            </w:r>
          </w:p>
        </w:tc>
        <w:tc>
          <w:tcPr>
            <w:tcW w:w="960" w:type="dxa"/>
            <w:tcBorders>
              <w:top w:val="nil"/>
              <w:left w:val="nil"/>
              <w:bottom w:val="single" w:color="auto" w:sz="4" w:space="0"/>
              <w:right w:val="single" w:color="auto" w:sz="4" w:space="0"/>
            </w:tcBorders>
            <w:shd w:val="clear" w:color="auto" w:fill="auto"/>
            <w:vAlign w:val="center"/>
          </w:tcPr>
          <w:p w14:paraId="3F25CBAE">
            <w:pPr>
              <w:jc w:val="center"/>
              <w:rPr>
                <w:rFonts w:ascii="宋体" w:hAnsi="宋体" w:cs="宋体"/>
                <w:iCs/>
                <w:color w:val="000000"/>
                <w:kern w:val="0"/>
                <w:sz w:val="18"/>
                <w:szCs w:val="18"/>
              </w:rPr>
            </w:pPr>
            <w:r>
              <w:rPr>
                <w:rFonts w:hint="eastAsia" w:ascii="宋体" w:hAnsi="宋体" w:cs="宋体"/>
                <w:iCs/>
                <w:color w:val="000000"/>
                <w:kern w:val="0"/>
                <w:sz w:val="18"/>
                <w:szCs w:val="18"/>
              </w:rPr>
              <w:t>16.80%</w:t>
            </w:r>
          </w:p>
        </w:tc>
        <w:tc>
          <w:tcPr>
            <w:tcW w:w="960" w:type="dxa"/>
            <w:tcBorders>
              <w:top w:val="nil"/>
              <w:left w:val="nil"/>
              <w:bottom w:val="single" w:color="auto" w:sz="4" w:space="0"/>
              <w:right w:val="single" w:color="auto" w:sz="4" w:space="0"/>
            </w:tcBorders>
            <w:shd w:val="clear" w:color="auto" w:fill="auto"/>
            <w:vAlign w:val="center"/>
          </w:tcPr>
          <w:p w14:paraId="77070EC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64.35 </w:t>
            </w:r>
          </w:p>
        </w:tc>
        <w:tc>
          <w:tcPr>
            <w:tcW w:w="960" w:type="dxa"/>
            <w:tcBorders>
              <w:top w:val="nil"/>
              <w:left w:val="nil"/>
              <w:bottom w:val="single" w:color="auto" w:sz="4" w:space="0"/>
              <w:right w:val="single" w:color="auto" w:sz="4" w:space="0"/>
            </w:tcBorders>
            <w:shd w:val="clear" w:color="auto" w:fill="auto"/>
            <w:vAlign w:val="center"/>
          </w:tcPr>
          <w:p w14:paraId="69733E8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6.53 </w:t>
            </w:r>
          </w:p>
        </w:tc>
        <w:tc>
          <w:tcPr>
            <w:tcW w:w="960" w:type="dxa"/>
            <w:tcBorders>
              <w:top w:val="nil"/>
              <w:left w:val="nil"/>
              <w:bottom w:val="single" w:color="auto" w:sz="4" w:space="0"/>
              <w:right w:val="single" w:color="auto" w:sz="4" w:space="0"/>
            </w:tcBorders>
            <w:shd w:val="clear" w:color="auto" w:fill="auto"/>
            <w:vAlign w:val="center"/>
          </w:tcPr>
          <w:p w14:paraId="6A0E7FB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350.80 </w:t>
            </w:r>
          </w:p>
        </w:tc>
        <w:tc>
          <w:tcPr>
            <w:tcW w:w="960" w:type="dxa"/>
            <w:tcBorders>
              <w:top w:val="nil"/>
              <w:left w:val="nil"/>
              <w:bottom w:val="single" w:color="auto" w:sz="4" w:space="0"/>
              <w:right w:val="single" w:color="auto" w:sz="4" w:space="0"/>
            </w:tcBorders>
            <w:shd w:val="clear" w:color="auto" w:fill="auto"/>
            <w:vAlign w:val="center"/>
          </w:tcPr>
          <w:p w14:paraId="4DD82E6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101.69 </w:t>
            </w:r>
          </w:p>
        </w:tc>
        <w:tc>
          <w:tcPr>
            <w:tcW w:w="1026" w:type="dxa"/>
            <w:tcBorders>
              <w:top w:val="nil"/>
              <w:left w:val="nil"/>
              <w:bottom w:val="single" w:color="auto" w:sz="4" w:space="0"/>
              <w:right w:val="single" w:color="auto" w:sz="4" w:space="0"/>
            </w:tcBorders>
            <w:shd w:val="clear" w:color="auto" w:fill="auto"/>
            <w:vAlign w:val="center"/>
          </w:tcPr>
          <w:p w14:paraId="4C76CEA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47.09 </w:t>
            </w:r>
          </w:p>
        </w:tc>
        <w:tc>
          <w:tcPr>
            <w:tcW w:w="980" w:type="dxa"/>
            <w:tcBorders>
              <w:top w:val="nil"/>
              <w:left w:val="nil"/>
              <w:bottom w:val="single" w:color="auto" w:sz="4" w:space="0"/>
              <w:right w:val="single" w:color="auto" w:sz="4" w:space="0"/>
            </w:tcBorders>
            <w:shd w:val="clear" w:color="auto" w:fill="auto"/>
            <w:vAlign w:val="center"/>
          </w:tcPr>
          <w:p w14:paraId="7655520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131.22 </w:t>
            </w:r>
          </w:p>
        </w:tc>
        <w:tc>
          <w:tcPr>
            <w:tcW w:w="1026" w:type="dxa"/>
            <w:tcBorders>
              <w:top w:val="nil"/>
              <w:left w:val="nil"/>
              <w:bottom w:val="single" w:color="auto" w:sz="4" w:space="0"/>
              <w:right w:val="single" w:color="auto" w:sz="4" w:space="0"/>
            </w:tcBorders>
            <w:shd w:val="clear" w:color="auto" w:fill="auto"/>
            <w:vAlign w:val="center"/>
          </w:tcPr>
          <w:p w14:paraId="3E8DE8B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8.12 </w:t>
            </w:r>
          </w:p>
        </w:tc>
        <w:tc>
          <w:tcPr>
            <w:tcW w:w="1026" w:type="dxa"/>
            <w:tcBorders>
              <w:top w:val="nil"/>
              <w:left w:val="nil"/>
              <w:bottom w:val="single" w:color="auto" w:sz="4" w:space="0"/>
              <w:right w:val="single" w:color="auto" w:sz="4" w:space="0"/>
            </w:tcBorders>
            <w:shd w:val="clear" w:color="auto" w:fill="auto"/>
            <w:vAlign w:val="center"/>
          </w:tcPr>
          <w:p w14:paraId="5BD8522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r>
      <w:tr w14:paraId="57BD5F04">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5C852DA2">
            <w:pPr>
              <w:jc w:val="center"/>
              <w:rPr>
                <w:rFonts w:ascii="宋体" w:hAnsi="宋体" w:cs="宋体"/>
                <w:iCs/>
                <w:color w:val="000000"/>
                <w:kern w:val="0"/>
                <w:sz w:val="18"/>
                <w:szCs w:val="18"/>
              </w:rPr>
            </w:pPr>
            <w:r>
              <w:rPr>
                <w:rFonts w:hint="eastAsia" w:ascii="宋体" w:hAnsi="宋体" w:cs="宋体"/>
                <w:iCs/>
                <w:color w:val="000000"/>
                <w:kern w:val="0"/>
                <w:sz w:val="18"/>
                <w:szCs w:val="18"/>
              </w:rPr>
              <w:t>因民镇</w:t>
            </w:r>
          </w:p>
        </w:tc>
        <w:tc>
          <w:tcPr>
            <w:tcW w:w="1380" w:type="dxa"/>
            <w:tcBorders>
              <w:top w:val="nil"/>
              <w:left w:val="nil"/>
              <w:bottom w:val="single" w:color="auto" w:sz="4" w:space="0"/>
              <w:right w:val="single" w:color="auto" w:sz="4" w:space="0"/>
            </w:tcBorders>
            <w:shd w:val="clear" w:color="auto" w:fill="auto"/>
            <w:vAlign w:val="center"/>
          </w:tcPr>
          <w:p w14:paraId="611A1D1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195.86 </w:t>
            </w:r>
          </w:p>
        </w:tc>
        <w:tc>
          <w:tcPr>
            <w:tcW w:w="960" w:type="dxa"/>
            <w:tcBorders>
              <w:top w:val="nil"/>
              <w:left w:val="nil"/>
              <w:bottom w:val="single" w:color="auto" w:sz="4" w:space="0"/>
              <w:right w:val="single" w:color="auto" w:sz="4" w:space="0"/>
            </w:tcBorders>
            <w:shd w:val="clear" w:color="auto" w:fill="auto"/>
            <w:vAlign w:val="center"/>
          </w:tcPr>
          <w:p w14:paraId="7DDEE615">
            <w:pPr>
              <w:jc w:val="center"/>
              <w:rPr>
                <w:rFonts w:ascii="宋体" w:hAnsi="宋体" w:cs="宋体"/>
                <w:iCs/>
                <w:color w:val="000000"/>
                <w:kern w:val="0"/>
                <w:sz w:val="18"/>
                <w:szCs w:val="18"/>
              </w:rPr>
            </w:pPr>
            <w:r>
              <w:rPr>
                <w:rFonts w:hint="eastAsia" w:ascii="宋体" w:hAnsi="宋体" w:cs="宋体"/>
                <w:iCs/>
                <w:color w:val="000000"/>
                <w:kern w:val="0"/>
                <w:sz w:val="18"/>
                <w:szCs w:val="18"/>
              </w:rPr>
              <w:t>4.60%</w:t>
            </w:r>
          </w:p>
        </w:tc>
        <w:tc>
          <w:tcPr>
            <w:tcW w:w="960" w:type="dxa"/>
            <w:tcBorders>
              <w:top w:val="nil"/>
              <w:left w:val="nil"/>
              <w:bottom w:val="single" w:color="auto" w:sz="4" w:space="0"/>
              <w:right w:val="single" w:color="auto" w:sz="4" w:space="0"/>
            </w:tcBorders>
            <w:shd w:val="clear" w:color="auto" w:fill="auto"/>
            <w:vAlign w:val="center"/>
          </w:tcPr>
          <w:p w14:paraId="53A4C0A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308998D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391A73D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49D2602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026" w:type="dxa"/>
            <w:tcBorders>
              <w:top w:val="nil"/>
              <w:left w:val="nil"/>
              <w:bottom w:val="single" w:color="auto" w:sz="4" w:space="0"/>
              <w:right w:val="single" w:color="auto" w:sz="4" w:space="0"/>
            </w:tcBorders>
            <w:shd w:val="clear" w:color="auto" w:fill="auto"/>
            <w:vAlign w:val="center"/>
          </w:tcPr>
          <w:p w14:paraId="470C546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3.81 </w:t>
            </w:r>
          </w:p>
        </w:tc>
        <w:tc>
          <w:tcPr>
            <w:tcW w:w="980" w:type="dxa"/>
            <w:tcBorders>
              <w:top w:val="nil"/>
              <w:left w:val="nil"/>
              <w:bottom w:val="single" w:color="auto" w:sz="4" w:space="0"/>
              <w:right w:val="single" w:color="auto" w:sz="4" w:space="0"/>
            </w:tcBorders>
            <w:shd w:val="clear" w:color="auto" w:fill="auto"/>
            <w:vAlign w:val="center"/>
          </w:tcPr>
          <w:p w14:paraId="350AF13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128.45 </w:t>
            </w:r>
          </w:p>
        </w:tc>
        <w:tc>
          <w:tcPr>
            <w:tcW w:w="1026" w:type="dxa"/>
            <w:tcBorders>
              <w:top w:val="nil"/>
              <w:left w:val="nil"/>
              <w:bottom w:val="single" w:color="auto" w:sz="4" w:space="0"/>
              <w:right w:val="single" w:color="auto" w:sz="4" w:space="0"/>
            </w:tcBorders>
            <w:shd w:val="clear" w:color="auto" w:fill="auto"/>
            <w:vAlign w:val="center"/>
          </w:tcPr>
          <w:p w14:paraId="62F5A3B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63.60 </w:t>
            </w:r>
          </w:p>
        </w:tc>
        <w:tc>
          <w:tcPr>
            <w:tcW w:w="1026" w:type="dxa"/>
            <w:tcBorders>
              <w:top w:val="nil"/>
              <w:left w:val="nil"/>
              <w:bottom w:val="single" w:color="auto" w:sz="4" w:space="0"/>
              <w:right w:val="single" w:color="auto" w:sz="4" w:space="0"/>
            </w:tcBorders>
            <w:shd w:val="clear" w:color="auto" w:fill="auto"/>
            <w:vAlign w:val="center"/>
          </w:tcPr>
          <w:p w14:paraId="679CC97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r>
      <w:tr w14:paraId="559AB3FF">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739C64DF">
            <w:pPr>
              <w:jc w:val="center"/>
              <w:rPr>
                <w:rFonts w:ascii="宋体" w:hAnsi="宋体" w:cs="宋体"/>
                <w:iCs/>
                <w:color w:val="000000"/>
                <w:kern w:val="0"/>
                <w:sz w:val="18"/>
                <w:szCs w:val="18"/>
              </w:rPr>
            </w:pPr>
            <w:r>
              <w:rPr>
                <w:rFonts w:hint="eastAsia" w:ascii="宋体" w:hAnsi="宋体" w:cs="宋体"/>
                <w:iCs/>
                <w:color w:val="000000"/>
                <w:kern w:val="0"/>
                <w:sz w:val="18"/>
                <w:szCs w:val="18"/>
              </w:rPr>
              <w:t>红土地镇</w:t>
            </w:r>
          </w:p>
        </w:tc>
        <w:tc>
          <w:tcPr>
            <w:tcW w:w="1380" w:type="dxa"/>
            <w:tcBorders>
              <w:top w:val="nil"/>
              <w:left w:val="nil"/>
              <w:bottom w:val="single" w:color="auto" w:sz="4" w:space="0"/>
              <w:right w:val="single" w:color="auto" w:sz="4" w:space="0"/>
            </w:tcBorders>
            <w:shd w:val="clear" w:color="auto" w:fill="auto"/>
            <w:vAlign w:val="center"/>
          </w:tcPr>
          <w:p w14:paraId="352EF4F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433.47 </w:t>
            </w:r>
          </w:p>
        </w:tc>
        <w:tc>
          <w:tcPr>
            <w:tcW w:w="960" w:type="dxa"/>
            <w:tcBorders>
              <w:top w:val="nil"/>
              <w:left w:val="nil"/>
              <w:bottom w:val="single" w:color="auto" w:sz="4" w:space="0"/>
              <w:right w:val="single" w:color="auto" w:sz="4" w:space="0"/>
            </w:tcBorders>
            <w:shd w:val="clear" w:color="auto" w:fill="auto"/>
            <w:vAlign w:val="center"/>
          </w:tcPr>
          <w:p w14:paraId="47BD8343">
            <w:pPr>
              <w:jc w:val="center"/>
              <w:rPr>
                <w:rFonts w:ascii="宋体" w:hAnsi="宋体" w:cs="宋体"/>
                <w:iCs/>
                <w:color w:val="000000"/>
                <w:kern w:val="0"/>
                <w:sz w:val="18"/>
                <w:szCs w:val="18"/>
              </w:rPr>
            </w:pPr>
            <w:r>
              <w:rPr>
                <w:rFonts w:hint="eastAsia" w:ascii="宋体" w:hAnsi="宋体" w:cs="宋体"/>
                <w:iCs/>
                <w:color w:val="000000"/>
                <w:kern w:val="0"/>
                <w:sz w:val="18"/>
                <w:szCs w:val="18"/>
              </w:rPr>
              <w:t>10.20%</w:t>
            </w:r>
          </w:p>
        </w:tc>
        <w:tc>
          <w:tcPr>
            <w:tcW w:w="960" w:type="dxa"/>
            <w:tcBorders>
              <w:top w:val="nil"/>
              <w:left w:val="nil"/>
              <w:bottom w:val="single" w:color="auto" w:sz="4" w:space="0"/>
              <w:right w:val="single" w:color="auto" w:sz="4" w:space="0"/>
            </w:tcBorders>
            <w:shd w:val="clear" w:color="auto" w:fill="auto"/>
            <w:vAlign w:val="center"/>
          </w:tcPr>
          <w:p w14:paraId="47A3936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4.24 </w:t>
            </w:r>
          </w:p>
        </w:tc>
        <w:tc>
          <w:tcPr>
            <w:tcW w:w="960" w:type="dxa"/>
            <w:tcBorders>
              <w:top w:val="nil"/>
              <w:left w:val="nil"/>
              <w:bottom w:val="single" w:color="auto" w:sz="4" w:space="0"/>
              <w:right w:val="single" w:color="auto" w:sz="4" w:space="0"/>
            </w:tcBorders>
            <w:shd w:val="clear" w:color="auto" w:fill="auto"/>
            <w:vAlign w:val="center"/>
          </w:tcPr>
          <w:p w14:paraId="2A87934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86.98 </w:t>
            </w:r>
          </w:p>
        </w:tc>
        <w:tc>
          <w:tcPr>
            <w:tcW w:w="960" w:type="dxa"/>
            <w:tcBorders>
              <w:top w:val="nil"/>
              <w:left w:val="nil"/>
              <w:bottom w:val="single" w:color="auto" w:sz="4" w:space="0"/>
              <w:right w:val="single" w:color="auto" w:sz="4" w:space="0"/>
            </w:tcBorders>
            <w:shd w:val="clear" w:color="auto" w:fill="auto"/>
            <w:vAlign w:val="center"/>
          </w:tcPr>
          <w:p w14:paraId="3D3463E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289.83 </w:t>
            </w:r>
          </w:p>
        </w:tc>
        <w:tc>
          <w:tcPr>
            <w:tcW w:w="960" w:type="dxa"/>
            <w:tcBorders>
              <w:top w:val="nil"/>
              <w:left w:val="nil"/>
              <w:bottom w:val="single" w:color="auto" w:sz="4" w:space="0"/>
              <w:right w:val="single" w:color="auto" w:sz="4" w:space="0"/>
            </w:tcBorders>
            <w:shd w:val="clear" w:color="auto" w:fill="auto"/>
            <w:vAlign w:val="center"/>
          </w:tcPr>
          <w:p w14:paraId="6746F64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45.29 </w:t>
            </w:r>
          </w:p>
        </w:tc>
        <w:tc>
          <w:tcPr>
            <w:tcW w:w="1026" w:type="dxa"/>
            <w:tcBorders>
              <w:top w:val="nil"/>
              <w:left w:val="nil"/>
              <w:bottom w:val="single" w:color="auto" w:sz="4" w:space="0"/>
              <w:right w:val="single" w:color="auto" w:sz="4" w:space="0"/>
            </w:tcBorders>
            <w:shd w:val="clear" w:color="auto" w:fill="auto"/>
            <w:vAlign w:val="center"/>
          </w:tcPr>
          <w:p w14:paraId="2B515D6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4.61 </w:t>
            </w:r>
          </w:p>
        </w:tc>
        <w:tc>
          <w:tcPr>
            <w:tcW w:w="980" w:type="dxa"/>
            <w:tcBorders>
              <w:top w:val="nil"/>
              <w:left w:val="nil"/>
              <w:bottom w:val="single" w:color="auto" w:sz="4" w:space="0"/>
              <w:right w:val="single" w:color="auto" w:sz="4" w:space="0"/>
            </w:tcBorders>
            <w:shd w:val="clear" w:color="auto" w:fill="auto"/>
            <w:vAlign w:val="center"/>
          </w:tcPr>
          <w:p w14:paraId="2700A22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2.52 </w:t>
            </w:r>
          </w:p>
        </w:tc>
        <w:tc>
          <w:tcPr>
            <w:tcW w:w="1026" w:type="dxa"/>
            <w:tcBorders>
              <w:top w:val="nil"/>
              <w:left w:val="nil"/>
              <w:bottom w:val="single" w:color="auto" w:sz="4" w:space="0"/>
              <w:right w:val="single" w:color="auto" w:sz="4" w:space="0"/>
            </w:tcBorders>
            <w:shd w:val="clear" w:color="auto" w:fill="auto"/>
            <w:vAlign w:val="center"/>
          </w:tcPr>
          <w:p w14:paraId="093B14C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026" w:type="dxa"/>
            <w:tcBorders>
              <w:top w:val="nil"/>
              <w:left w:val="nil"/>
              <w:bottom w:val="single" w:color="auto" w:sz="4" w:space="0"/>
              <w:right w:val="single" w:color="auto" w:sz="4" w:space="0"/>
            </w:tcBorders>
            <w:shd w:val="clear" w:color="auto" w:fill="auto"/>
            <w:vAlign w:val="center"/>
          </w:tcPr>
          <w:p w14:paraId="7919CF2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r>
      <w:tr w14:paraId="068A96B0">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4DF0675B">
            <w:pPr>
              <w:jc w:val="center"/>
              <w:rPr>
                <w:rFonts w:ascii="宋体" w:hAnsi="宋体" w:cs="宋体"/>
                <w:iCs/>
                <w:color w:val="000000"/>
                <w:kern w:val="0"/>
                <w:sz w:val="18"/>
                <w:szCs w:val="18"/>
              </w:rPr>
            </w:pPr>
            <w:r>
              <w:rPr>
                <w:rFonts w:hint="eastAsia" w:ascii="宋体" w:hAnsi="宋体" w:cs="宋体"/>
                <w:iCs/>
                <w:color w:val="000000"/>
                <w:kern w:val="0"/>
                <w:sz w:val="18"/>
                <w:szCs w:val="18"/>
              </w:rPr>
              <w:t>舍块乡</w:t>
            </w:r>
          </w:p>
        </w:tc>
        <w:tc>
          <w:tcPr>
            <w:tcW w:w="1380" w:type="dxa"/>
            <w:tcBorders>
              <w:top w:val="nil"/>
              <w:left w:val="nil"/>
              <w:bottom w:val="single" w:color="auto" w:sz="4" w:space="0"/>
              <w:right w:val="single" w:color="auto" w:sz="4" w:space="0"/>
            </w:tcBorders>
            <w:shd w:val="clear" w:color="auto" w:fill="auto"/>
            <w:vAlign w:val="center"/>
          </w:tcPr>
          <w:p w14:paraId="79AFBE3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115.35 </w:t>
            </w:r>
          </w:p>
        </w:tc>
        <w:tc>
          <w:tcPr>
            <w:tcW w:w="960" w:type="dxa"/>
            <w:tcBorders>
              <w:top w:val="nil"/>
              <w:left w:val="nil"/>
              <w:bottom w:val="single" w:color="auto" w:sz="4" w:space="0"/>
              <w:right w:val="single" w:color="auto" w:sz="4" w:space="0"/>
            </w:tcBorders>
            <w:shd w:val="clear" w:color="auto" w:fill="auto"/>
            <w:vAlign w:val="center"/>
          </w:tcPr>
          <w:p w14:paraId="37D55D5F">
            <w:pPr>
              <w:jc w:val="center"/>
              <w:rPr>
                <w:rFonts w:ascii="宋体" w:hAnsi="宋体" w:cs="宋体"/>
                <w:iCs/>
                <w:color w:val="000000"/>
                <w:kern w:val="0"/>
                <w:sz w:val="18"/>
                <w:szCs w:val="18"/>
              </w:rPr>
            </w:pPr>
            <w:r>
              <w:rPr>
                <w:rFonts w:hint="eastAsia" w:ascii="宋体" w:hAnsi="宋体" w:cs="宋体"/>
                <w:iCs/>
                <w:color w:val="000000"/>
                <w:kern w:val="0"/>
                <w:sz w:val="18"/>
                <w:szCs w:val="18"/>
              </w:rPr>
              <w:t>2.70%</w:t>
            </w:r>
          </w:p>
        </w:tc>
        <w:tc>
          <w:tcPr>
            <w:tcW w:w="960" w:type="dxa"/>
            <w:tcBorders>
              <w:top w:val="nil"/>
              <w:left w:val="nil"/>
              <w:bottom w:val="single" w:color="auto" w:sz="4" w:space="0"/>
              <w:right w:val="single" w:color="auto" w:sz="4" w:space="0"/>
            </w:tcBorders>
            <w:shd w:val="clear" w:color="auto" w:fill="auto"/>
            <w:vAlign w:val="center"/>
          </w:tcPr>
          <w:p w14:paraId="5BC51EE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344149C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1DEE673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199CF02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026" w:type="dxa"/>
            <w:tcBorders>
              <w:top w:val="nil"/>
              <w:left w:val="nil"/>
              <w:bottom w:val="single" w:color="auto" w:sz="4" w:space="0"/>
              <w:right w:val="single" w:color="auto" w:sz="4" w:space="0"/>
            </w:tcBorders>
            <w:shd w:val="clear" w:color="auto" w:fill="auto"/>
            <w:vAlign w:val="center"/>
          </w:tcPr>
          <w:p w14:paraId="44719D0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14.81 </w:t>
            </w:r>
          </w:p>
        </w:tc>
        <w:tc>
          <w:tcPr>
            <w:tcW w:w="980" w:type="dxa"/>
            <w:tcBorders>
              <w:top w:val="nil"/>
              <w:left w:val="nil"/>
              <w:bottom w:val="single" w:color="auto" w:sz="4" w:space="0"/>
              <w:right w:val="single" w:color="auto" w:sz="4" w:space="0"/>
            </w:tcBorders>
            <w:shd w:val="clear" w:color="auto" w:fill="auto"/>
            <w:vAlign w:val="center"/>
          </w:tcPr>
          <w:p w14:paraId="292B94D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0.02 </w:t>
            </w:r>
          </w:p>
        </w:tc>
        <w:tc>
          <w:tcPr>
            <w:tcW w:w="1026" w:type="dxa"/>
            <w:tcBorders>
              <w:top w:val="nil"/>
              <w:left w:val="nil"/>
              <w:bottom w:val="single" w:color="auto" w:sz="4" w:space="0"/>
              <w:right w:val="single" w:color="auto" w:sz="4" w:space="0"/>
            </w:tcBorders>
            <w:shd w:val="clear" w:color="auto" w:fill="auto"/>
            <w:vAlign w:val="center"/>
          </w:tcPr>
          <w:p w14:paraId="642B32E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96.88 </w:t>
            </w:r>
          </w:p>
        </w:tc>
        <w:tc>
          <w:tcPr>
            <w:tcW w:w="1026" w:type="dxa"/>
            <w:tcBorders>
              <w:top w:val="nil"/>
              <w:left w:val="nil"/>
              <w:bottom w:val="single" w:color="auto" w:sz="4" w:space="0"/>
              <w:right w:val="single" w:color="auto" w:sz="4" w:space="0"/>
            </w:tcBorders>
            <w:shd w:val="clear" w:color="auto" w:fill="auto"/>
            <w:vAlign w:val="center"/>
          </w:tcPr>
          <w:p w14:paraId="4DF7739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3.65 </w:t>
            </w:r>
          </w:p>
        </w:tc>
      </w:tr>
      <w:tr w14:paraId="75BF6BE8">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348A5280">
            <w:pPr>
              <w:jc w:val="center"/>
              <w:rPr>
                <w:rFonts w:ascii="宋体" w:hAnsi="宋体" w:cs="宋体"/>
                <w:iCs/>
                <w:color w:val="000000"/>
                <w:kern w:val="0"/>
                <w:sz w:val="18"/>
                <w:szCs w:val="18"/>
              </w:rPr>
            </w:pPr>
            <w:r>
              <w:rPr>
                <w:rFonts w:hint="eastAsia" w:ascii="宋体" w:hAnsi="宋体" w:cs="宋体"/>
                <w:iCs/>
                <w:color w:val="000000"/>
                <w:kern w:val="0"/>
                <w:sz w:val="18"/>
                <w:szCs w:val="18"/>
              </w:rPr>
              <w:t>东川区</w:t>
            </w:r>
          </w:p>
        </w:tc>
        <w:tc>
          <w:tcPr>
            <w:tcW w:w="1380" w:type="dxa"/>
            <w:tcBorders>
              <w:top w:val="nil"/>
              <w:left w:val="nil"/>
              <w:bottom w:val="single" w:color="auto" w:sz="4" w:space="0"/>
              <w:right w:val="single" w:color="auto" w:sz="4" w:space="0"/>
            </w:tcBorders>
            <w:shd w:val="clear" w:color="auto" w:fill="auto"/>
            <w:vAlign w:val="center"/>
          </w:tcPr>
          <w:p w14:paraId="1E3FDE5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4235.20 </w:t>
            </w:r>
          </w:p>
        </w:tc>
        <w:tc>
          <w:tcPr>
            <w:tcW w:w="960" w:type="dxa"/>
            <w:tcBorders>
              <w:top w:val="nil"/>
              <w:left w:val="nil"/>
              <w:bottom w:val="single" w:color="auto" w:sz="4" w:space="0"/>
              <w:right w:val="single" w:color="auto" w:sz="4" w:space="0"/>
            </w:tcBorders>
            <w:shd w:val="clear" w:color="auto" w:fill="auto"/>
            <w:vAlign w:val="center"/>
          </w:tcPr>
          <w:p w14:paraId="2C708F55">
            <w:pPr>
              <w:jc w:val="center"/>
              <w:rPr>
                <w:rFonts w:ascii="宋体" w:hAnsi="宋体" w:cs="宋体"/>
                <w:iCs/>
                <w:color w:val="000000"/>
                <w:kern w:val="0"/>
                <w:sz w:val="18"/>
                <w:szCs w:val="18"/>
              </w:rPr>
            </w:pPr>
            <w:r>
              <w:rPr>
                <w:rFonts w:hint="eastAsia" w:ascii="宋体" w:hAnsi="宋体" w:cs="宋体"/>
                <w:iCs/>
                <w:color w:val="000000"/>
                <w:kern w:val="0"/>
                <w:sz w:val="18"/>
                <w:szCs w:val="18"/>
              </w:rPr>
              <w:t>100. 0%</w:t>
            </w:r>
          </w:p>
        </w:tc>
        <w:tc>
          <w:tcPr>
            <w:tcW w:w="960" w:type="dxa"/>
            <w:tcBorders>
              <w:top w:val="nil"/>
              <w:left w:val="nil"/>
              <w:bottom w:val="single" w:color="auto" w:sz="4" w:space="0"/>
              <w:right w:val="single" w:color="auto" w:sz="4" w:space="0"/>
            </w:tcBorders>
            <w:shd w:val="clear" w:color="auto" w:fill="auto"/>
            <w:vAlign w:val="center"/>
          </w:tcPr>
          <w:p w14:paraId="3073B1F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161.87 </w:t>
            </w:r>
          </w:p>
        </w:tc>
        <w:tc>
          <w:tcPr>
            <w:tcW w:w="960" w:type="dxa"/>
            <w:tcBorders>
              <w:top w:val="nil"/>
              <w:left w:val="nil"/>
              <w:bottom w:val="single" w:color="auto" w:sz="4" w:space="0"/>
              <w:right w:val="single" w:color="auto" w:sz="4" w:space="0"/>
            </w:tcBorders>
            <w:shd w:val="clear" w:color="auto" w:fill="auto"/>
            <w:vAlign w:val="center"/>
          </w:tcPr>
          <w:p w14:paraId="6938032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152.99 </w:t>
            </w:r>
          </w:p>
        </w:tc>
        <w:tc>
          <w:tcPr>
            <w:tcW w:w="960" w:type="dxa"/>
            <w:tcBorders>
              <w:top w:val="nil"/>
              <w:left w:val="nil"/>
              <w:bottom w:val="single" w:color="auto" w:sz="4" w:space="0"/>
              <w:right w:val="single" w:color="auto" w:sz="4" w:space="0"/>
            </w:tcBorders>
            <w:shd w:val="clear" w:color="auto" w:fill="auto"/>
            <w:vAlign w:val="center"/>
          </w:tcPr>
          <w:p w14:paraId="54CFC4F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863.09 </w:t>
            </w:r>
          </w:p>
        </w:tc>
        <w:tc>
          <w:tcPr>
            <w:tcW w:w="960" w:type="dxa"/>
            <w:tcBorders>
              <w:top w:val="nil"/>
              <w:left w:val="nil"/>
              <w:bottom w:val="single" w:color="auto" w:sz="4" w:space="0"/>
              <w:right w:val="single" w:color="auto" w:sz="4" w:space="0"/>
            </w:tcBorders>
            <w:shd w:val="clear" w:color="auto" w:fill="auto"/>
            <w:vAlign w:val="center"/>
          </w:tcPr>
          <w:p w14:paraId="4606E6FC">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455.05 </w:t>
            </w:r>
          </w:p>
        </w:tc>
        <w:tc>
          <w:tcPr>
            <w:tcW w:w="1026" w:type="dxa"/>
            <w:tcBorders>
              <w:top w:val="nil"/>
              <w:left w:val="nil"/>
              <w:bottom w:val="single" w:color="auto" w:sz="4" w:space="0"/>
              <w:right w:val="single" w:color="auto" w:sz="4" w:space="0"/>
            </w:tcBorders>
            <w:shd w:val="clear" w:color="auto" w:fill="auto"/>
            <w:vAlign w:val="center"/>
          </w:tcPr>
          <w:p w14:paraId="0D74BC6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728.54 </w:t>
            </w:r>
          </w:p>
        </w:tc>
        <w:tc>
          <w:tcPr>
            <w:tcW w:w="980" w:type="dxa"/>
            <w:tcBorders>
              <w:top w:val="nil"/>
              <w:left w:val="nil"/>
              <w:bottom w:val="single" w:color="auto" w:sz="4" w:space="0"/>
              <w:right w:val="single" w:color="auto" w:sz="4" w:space="0"/>
            </w:tcBorders>
            <w:shd w:val="clear" w:color="auto" w:fill="auto"/>
            <w:vAlign w:val="center"/>
          </w:tcPr>
          <w:p w14:paraId="731D8A4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806.74 </w:t>
            </w:r>
          </w:p>
        </w:tc>
        <w:tc>
          <w:tcPr>
            <w:tcW w:w="1026" w:type="dxa"/>
            <w:tcBorders>
              <w:top w:val="nil"/>
              <w:left w:val="nil"/>
              <w:bottom w:val="single" w:color="auto" w:sz="4" w:space="0"/>
              <w:right w:val="single" w:color="auto" w:sz="4" w:space="0"/>
            </w:tcBorders>
            <w:shd w:val="clear" w:color="auto" w:fill="auto"/>
            <w:vAlign w:val="center"/>
          </w:tcPr>
          <w:p w14:paraId="283F0AB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322.37 </w:t>
            </w:r>
          </w:p>
        </w:tc>
        <w:tc>
          <w:tcPr>
            <w:tcW w:w="1026" w:type="dxa"/>
            <w:tcBorders>
              <w:top w:val="nil"/>
              <w:left w:val="nil"/>
              <w:bottom w:val="single" w:color="auto" w:sz="4" w:space="0"/>
              <w:right w:val="single" w:color="auto" w:sz="4" w:space="0"/>
            </w:tcBorders>
            <w:shd w:val="clear" w:color="auto" w:fill="auto"/>
            <w:vAlign w:val="center"/>
          </w:tcPr>
          <w:p w14:paraId="5AFAFC3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744.56 </w:t>
            </w:r>
          </w:p>
        </w:tc>
      </w:tr>
      <w:tr w14:paraId="631F6ADB">
        <w:tblPrEx>
          <w:tblCellMar>
            <w:top w:w="0" w:type="dxa"/>
            <w:left w:w="108" w:type="dxa"/>
            <w:bottom w:w="0" w:type="dxa"/>
            <w:right w:w="108" w:type="dxa"/>
          </w:tblCellMar>
        </w:tblPrEx>
        <w:trPr>
          <w:trHeight w:val="288" w:hRule="atLeast"/>
          <w:jc w:val="center"/>
        </w:trPr>
        <w:tc>
          <w:tcPr>
            <w:tcW w:w="33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AEA5BB7">
            <w:pPr>
              <w:jc w:val="center"/>
              <w:rPr>
                <w:rFonts w:ascii="宋体" w:hAnsi="宋体" w:cs="宋体"/>
                <w:iCs/>
                <w:color w:val="000000"/>
                <w:kern w:val="0"/>
                <w:sz w:val="18"/>
                <w:szCs w:val="18"/>
              </w:rPr>
            </w:pPr>
            <w:r>
              <w:rPr>
                <w:rFonts w:hint="eastAsia" w:ascii="宋体" w:hAnsi="宋体" w:cs="宋体"/>
                <w:iCs/>
                <w:color w:val="000000"/>
                <w:kern w:val="0"/>
                <w:sz w:val="18"/>
                <w:szCs w:val="18"/>
              </w:rPr>
              <w:t>类型占比</w:t>
            </w:r>
          </w:p>
        </w:tc>
        <w:tc>
          <w:tcPr>
            <w:tcW w:w="960" w:type="dxa"/>
            <w:tcBorders>
              <w:top w:val="nil"/>
              <w:left w:val="nil"/>
              <w:bottom w:val="single" w:color="auto" w:sz="4" w:space="0"/>
              <w:right w:val="single" w:color="auto" w:sz="4" w:space="0"/>
            </w:tcBorders>
            <w:shd w:val="clear" w:color="auto" w:fill="auto"/>
            <w:vAlign w:val="center"/>
          </w:tcPr>
          <w:p w14:paraId="34A59ABD">
            <w:pPr>
              <w:jc w:val="center"/>
              <w:rPr>
                <w:rFonts w:ascii="宋体" w:hAnsi="宋体" w:cs="宋体"/>
                <w:iCs/>
                <w:color w:val="000000"/>
                <w:kern w:val="0"/>
                <w:sz w:val="18"/>
                <w:szCs w:val="18"/>
              </w:rPr>
            </w:pPr>
            <w:r>
              <w:rPr>
                <w:rFonts w:hint="eastAsia" w:ascii="宋体" w:hAnsi="宋体" w:cs="宋体"/>
                <w:iCs/>
                <w:color w:val="000000"/>
                <w:kern w:val="0"/>
                <w:sz w:val="18"/>
                <w:szCs w:val="18"/>
              </w:rPr>
              <w:t>3.80%</w:t>
            </w:r>
          </w:p>
        </w:tc>
        <w:tc>
          <w:tcPr>
            <w:tcW w:w="960" w:type="dxa"/>
            <w:tcBorders>
              <w:top w:val="nil"/>
              <w:left w:val="nil"/>
              <w:bottom w:val="single" w:color="auto" w:sz="4" w:space="0"/>
              <w:right w:val="single" w:color="auto" w:sz="4" w:space="0"/>
            </w:tcBorders>
            <w:shd w:val="clear" w:color="auto" w:fill="auto"/>
            <w:vAlign w:val="center"/>
          </w:tcPr>
          <w:p w14:paraId="06933E77">
            <w:pPr>
              <w:jc w:val="center"/>
              <w:rPr>
                <w:rFonts w:ascii="宋体" w:hAnsi="宋体" w:cs="宋体"/>
                <w:iCs/>
                <w:color w:val="000000"/>
                <w:kern w:val="0"/>
                <w:sz w:val="18"/>
                <w:szCs w:val="18"/>
              </w:rPr>
            </w:pPr>
            <w:r>
              <w:rPr>
                <w:rFonts w:hint="eastAsia" w:ascii="宋体" w:hAnsi="宋体" w:cs="宋体"/>
                <w:iCs/>
                <w:color w:val="000000"/>
                <w:kern w:val="0"/>
                <w:sz w:val="18"/>
                <w:szCs w:val="18"/>
              </w:rPr>
              <w:t>3.60%</w:t>
            </w:r>
          </w:p>
        </w:tc>
        <w:tc>
          <w:tcPr>
            <w:tcW w:w="960" w:type="dxa"/>
            <w:tcBorders>
              <w:top w:val="nil"/>
              <w:left w:val="nil"/>
              <w:bottom w:val="single" w:color="auto" w:sz="4" w:space="0"/>
              <w:right w:val="single" w:color="auto" w:sz="4" w:space="0"/>
            </w:tcBorders>
            <w:shd w:val="clear" w:color="auto" w:fill="auto"/>
            <w:vAlign w:val="center"/>
          </w:tcPr>
          <w:p w14:paraId="6F734900">
            <w:pPr>
              <w:jc w:val="center"/>
              <w:rPr>
                <w:rFonts w:ascii="宋体" w:hAnsi="宋体" w:cs="宋体"/>
                <w:iCs/>
                <w:color w:val="000000"/>
                <w:kern w:val="0"/>
                <w:sz w:val="18"/>
                <w:szCs w:val="18"/>
              </w:rPr>
            </w:pPr>
            <w:r>
              <w:rPr>
                <w:rFonts w:hint="eastAsia" w:ascii="宋体" w:hAnsi="宋体" w:cs="宋体"/>
                <w:iCs/>
                <w:color w:val="000000"/>
                <w:kern w:val="0"/>
                <w:sz w:val="18"/>
                <w:szCs w:val="18"/>
              </w:rPr>
              <w:t>20.40%</w:t>
            </w:r>
          </w:p>
        </w:tc>
        <w:tc>
          <w:tcPr>
            <w:tcW w:w="960" w:type="dxa"/>
            <w:tcBorders>
              <w:top w:val="nil"/>
              <w:left w:val="nil"/>
              <w:bottom w:val="single" w:color="auto" w:sz="4" w:space="0"/>
              <w:right w:val="single" w:color="auto" w:sz="4" w:space="0"/>
            </w:tcBorders>
            <w:shd w:val="clear" w:color="auto" w:fill="auto"/>
            <w:vAlign w:val="center"/>
          </w:tcPr>
          <w:p w14:paraId="6ECC323C">
            <w:pPr>
              <w:jc w:val="center"/>
              <w:rPr>
                <w:rFonts w:ascii="宋体" w:hAnsi="宋体" w:cs="宋体"/>
                <w:iCs/>
                <w:color w:val="000000"/>
                <w:kern w:val="0"/>
                <w:sz w:val="18"/>
                <w:szCs w:val="18"/>
              </w:rPr>
            </w:pPr>
            <w:r>
              <w:rPr>
                <w:rFonts w:hint="eastAsia" w:ascii="宋体" w:hAnsi="宋体" w:cs="宋体"/>
                <w:iCs/>
                <w:color w:val="000000"/>
                <w:kern w:val="0"/>
                <w:sz w:val="18"/>
                <w:szCs w:val="18"/>
              </w:rPr>
              <w:t>10.70%</w:t>
            </w:r>
          </w:p>
        </w:tc>
        <w:tc>
          <w:tcPr>
            <w:tcW w:w="1026" w:type="dxa"/>
            <w:tcBorders>
              <w:top w:val="nil"/>
              <w:left w:val="nil"/>
              <w:bottom w:val="single" w:color="auto" w:sz="4" w:space="0"/>
              <w:right w:val="single" w:color="auto" w:sz="4" w:space="0"/>
            </w:tcBorders>
            <w:shd w:val="clear" w:color="auto" w:fill="auto"/>
            <w:vAlign w:val="center"/>
          </w:tcPr>
          <w:p w14:paraId="28224598">
            <w:pPr>
              <w:jc w:val="center"/>
              <w:rPr>
                <w:rFonts w:ascii="宋体" w:hAnsi="宋体" w:cs="宋体"/>
                <w:iCs/>
                <w:color w:val="000000"/>
                <w:kern w:val="0"/>
                <w:sz w:val="18"/>
                <w:szCs w:val="18"/>
              </w:rPr>
            </w:pPr>
            <w:r>
              <w:rPr>
                <w:rFonts w:hint="eastAsia" w:ascii="宋体" w:hAnsi="宋体" w:cs="宋体"/>
                <w:iCs/>
                <w:color w:val="000000"/>
                <w:kern w:val="0"/>
                <w:sz w:val="18"/>
                <w:szCs w:val="18"/>
              </w:rPr>
              <w:t>17.20%</w:t>
            </w:r>
          </w:p>
        </w:tc>
        <w:tc>
          <w:tcPr>
            <w:tcW w:w="980" w:type="dxa"/>
            <w:tcBorders>
              <w:top w:val="nil"/>
              <w:left w:val="nil"/>
              <w:bottom w:val="single" w:color="auto" w:sz="4" w:space="0"/>
              <w:right w:val="single" w:color="auto" w:sz="4" w:space="0"/>
            </w:tcBorders>
            <w:shd w:val="clear" w:color="auto" w:fill="auto"/>
            <w:vAlign w:val="center"/>
          </w:tcPr>
          <w:p w14:paraId="6118BB31">
            <w:pPr>
              <w:jc w:val="center"/>
              <w:rPr>
                <w:rFonts w:ascii="宋体" w:hAnsi="宋体" w:cs="宋体"/>
                <w:iCs/>
                <w:color w:val="000000"/>
                <w:kern w:val="0"/>
                <w:sz w:val="18"/>
                <w:szCs w:val="18"/>
              </w:rPr>
            </w:pPr>
            <w:r>
              <w:rPr>
                <w:rFonts w:hint="eastAsia" w:ascii="宋体" w:hAnsi="宋体" w:cs="宋体"/>
                <w:iCs/>
                <w:color w:val="000000"/>
                <w:kern w:val="0"/>
                <w:sz w:val="18"/>
                <w:szCs w:val="18"/>
              </w:rPr>
              <w:t>19.00%</w:t>
            </w:r>
          </w:p>
        </w:tc>
        <w:tc>
          <w:tcPr>
            <w:tcW w:w="1026" w:type="dxa"/>
            <w:tcBorders>
              <w:top w:val="nil"/>
              <w:left w:val="nil"/>
              <w:bottom w:val="single" w:color="auto" w:sz="4" w:space="0"/>
              <w:right w:val="single" w:color="auto" w:sz="4" w:space="0"/>
            </w:tcBorders>
            <w:shd w:val="clear" w:color="auto" w:fill="auto"/>
            <w:vAlign w:val="center"/>
          </w:tcPr>
          <w:p w14:paraId="394D9E14">
            <w:pPr>
              <w:jc w:val="center"/>
              <w:rPr>
                <w:rFonts w:ascii="宋体" w:hAnsi="宋体" w:cs="宋体"/>
                <w:iCs/>
                <w:color w:val="000000"/>
                <w:kern w:val="0"/>
                <w:sz w:val="18"/>
                <w:szCs w:val="18"/>
              </w:rPr>
            </w:pPr>
            <w:r>
              <w:rPr>
                <w:rFonts w:hint="eastAsia" w:ascii="宋体" w:hAnsi="宋体" w:cs="宋体"/>
                <w:iCs/>
                <w:color w:val="000000"/>
                <w:kern w:val="0"/>
                <w:sz w:val="18"/>
                <w:szCs w:val="18"/>
              </w:rPr>
              <w:t>7.60%</w:t>
            </w:r>
          </w:p>
        </w:tc>
        <w:tc>
          <w:tcPr>
            <w:tcW w:w="1026" w:type="dxa"/>
            <w:tcBorders>
              <w:top w:val="nil"/>
              <w:left w:val="nil"/>
              <w:bottom w:val="single" w:color="auto" w:sz="4" w:space="0"/>
              <w:right w:val="single" w:color="auto" w:sz="4" w:space="0"/>
            </w:tcBorders>
            <w:shd w:val="clear" w:color="auto" w:fill="auto"/>
            <w:vAlign w:val="center"/>
          </w:tcPr>
          <w:p w14:paraId="616A44DB">
            <w:pPr>
              <w:jc w:val="center"/>
              <w:rPr>
                <w:rFonts w:ascii="宋体" w:hAnsi="宋体" w:cs="宋体"/>
                <w:iCs/>
                <w:color w:val="000000"/>
                <w:kern w:val="0"/>
                <w:sz w:val="18"/>
                <w:szCs w:val="18"/>
              </w:rPr>
            </w:pPr>
            <w:r>
              <w:rPr>
                <w:rFonts w:hint="eastAsia" w:ascii="宋体" w:hAnsi="宋体" w:cs="宋体"/>
                <w:iCs/>
                <w:color w:val="000000"/>
                <w:kern w:val="0"/>
                <w:sz w:val="18"/>
                <w:szCs w:val="18"/>
              </w:rPr>
              <w:t>17.60%</w:t>
            </w:r>
          </w:p>
        </w:tc>
      </w:tr>
    </w:tbl>
    <w:p w14:paraId="65B6FFD4">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通过上述对比，东川区调出永久基本农田4235.20公顷，从分布看铜都街道、汤丹镇、拖布卡镇调出占比最大。从质量上看，旱地调出占90.27%，水田水浇地调出比例较小；10等以下调出占46.6%；坡度小于15°的调出面积占38.9%。</w:t>
      </w:r>
    </w:p>
    <w:p w14:paraId="31F87197">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（三）永久基本农田划入情况</w:t>
      </w:r>
    </w:p>
    <w:p w14:paraId="3CAE3604">
      <w:pPr>
        <w:ind w:firstLine="565" w:firstLineChars="202"/>
        <w:rPr>
          <w:rFonts w:ascii="仿宋" w:hAnsi="仿宋" w:eastAsia="仿宋" w:cs="仿宋"/>
          <w:sz w:val="28"/>
          <w:szCs w:val="28"/>
        </w:rPr>
      </w:pPr>
      <w:r>
        <w:rPr>
          <w:rFonts w:hint="eastAsia" w:ascii="仿宋" w:hAnsi="仿宋" w:eastAsia="仿宋" w:cs="仿宋"/>
          <w:sz w:val="28"/>
          <w:szCs w:val="28"/>
        </w:rPr>
        <w:t>（1）调入地类情况</w:t>
      </w:r>
    </w:p>
    <w:p w14:paraId="128BE67D">
      <w:pPr>
        <w:spacing w:line="360" w:lineRule="auto"/>
        <w:ind w:firstLine="420"/>
        <w:rPr>
          <w:rFonts w:ascii="仿宋" w:hAnsi="仿宋" w:eastAsia="仿宋" w:cs="仿宋"/>
          <w:sz w:val="28"/>
          <w:szCs w:val="28"/>
        </w:rPr>
      </w:pPr>
      <w:r>
        <w:rPr>
          <w:rFonts w:hint="eastAsia" w:ascii="仿宋" w:hAnsi="仿宋" w:eastAsia="仿宋" w:cs="仿宋"/>
          <w:sz w:val="28"/>
          <w:szCs w:val="28"/>
        </w:rPr>
        <w:t>东川区本次调入基本农田1072.82公顷，其中水田调入399.15公顷，占调入总面积的37.2%；水浇地未调入基本农田；旱地调入673.67公顷，占调入总面积的62.8%。具体情况如表4-4所示：</w:t>
      </w:r>
    </w:p>
    <w:p w14:paraId="51CC9FC2">
      <w:pPr>
        <w:jc w:val="center"/>
        <w:outlineLvl w:val="4"/>
        <w:rPr>
          <w:rFonts w:ascii="宋体" w:hAnsi="宋体"/>
          <w:b/>
          <w:sz w:val="24"/>
        </w:rPr>
      </w:pPr>
      <w:r>
        <w:rPr>
          <w:rFonts w:hint="eastAsia" w:ascii="宋体" w:hAnsi="宋体"/>
          <w:b/>
          <w:sz w:val="24"/>
        </w:rPr>
        <w:t>表4-4  东川区调入基本农田地类情况统计表</w:t>
      </w:r>
    </w:p>
    <w:p w14:paraId="23AF0D32">
      <w:pPr>
        <w:spacing w:line="360" w:lineRule="auto"/>
        <w:ind w:right="720" w:firstLine="360" w:firstLineChars="200"/>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                                                                            单位：公顷</w:t>
      </w:r>
    </w:p>
    <w:tbl>
      <w:tblPr>
        <w:tblStyle w:val="27"/>
        <w:tblW w:w="7943" w:type="dxa"/>
        <w:jc w:val="center"/>
        <w:tblLayout w:type="autofit"/>
        <w:tblCellMar>
          <w:top w:w="0" w:type="dxa"/>
          <w:left w:w="108" w:type="dxa"/>
          <w:bottom w:w="0" w:type="dxa"/>
          <w:right w:w="108" w:type="dxa"/>
        </w:tblCellMar>
      </w:tblPr>
      <w:tblGrid>
        <w:gridCol w:w="1467"/>
        <w:gridCol w:w="1297"/>
        <w:gridCol w:w="1380"/>
        <w:gridCol w:w="1384"/>
        <w:gridCol w:w="993"/>
        <w:gridCol w:w="1422"/>
      </w:tblGrid>
      <w:tr w14:paraId="0B0EB832">
        <w:tblPrEx>
          <w:tblCellMar>
            <w:top w:w="0" w:type="dxa"/>
            <w:left w:w="108" w:type="dxa"/>
            <w:bottom w:w="0" w:type="dxa"/>
            <w:right w:w="108" w:type="dxa"/>
          </w:tblCellMar>
        </w:tblPrEx>
        <w:trPr>
          <w:trHeight w:val="300" w:hRule="atLeast"/>
          <w:jc w:val="center"/>
        </w:trPr>
        <w:tc>
          <w:tcPr>
            <w:tcW w:w="14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231B29">
            <w:pPr>
              <w:jc w:val="center"/>
              <w:rPr>
                <w:rFonts w:ascii="宋体" w:hAnsi="宋体" w:cs="宋体"/>
                <w:b/>
                <w:iCs/>
                <w:color w:val="000000"/>
                <w:kern w:val="0"/>
                <w:sz w:val="18"/>
                <w:szCs w:val="18"/>
              </w:rPr>
            </w:pPr>
            <w:r>
              <w:rPr>
                <w:rFonts w:hint="eastAsia" w:ascii="宋体" w:hAnsi="宋体" w:cs="宋体"/>
                <w:b/>
                <w:iCs/>
                <w:color w:val="000000"/>
                <w:kern w:val="0"/>
                <w:sz w:val="18"/>
                <w:szCs w:val="18"/>
              </w:rPr>
              <w:t>行政区名称</w:t>
            </w:r>
          </w:p>
        </w:tc>
        <w:tc>
          <w:tcPr>
            <w:tcW w:w="12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AE90B7">
            <w:pPr>
              <w:jc w:val="center"/>
              <w:rPr>
                <w:rFonts w:ascii="宋体" w:hAnsi="宋体" w:cs="宋体"/>
                <w:b/>
                <w:iCs/>
                <w:color w:val="000000"/>
                <w:kern w:val="0"/>
                <w:sz w:val="18"/>
                <w:szCs w:val="18"/>
              </w:rPr>
            </w:pPr>
            <w:r>
              <w:rPr>
                <w:rFonts w:hint="eastAsia" w:ascii="宋体" w:hAnsi="宋体" w:cs="宋体"/>
                <w:b/>
                <w:iCs/>
                <w:color w:val="000000"/>
                <w:kern w:val="0"/>
                <w:sz w:val="18"/>
                <w:szCs w:val="18"/>
              </w:rPr>
              <w:t>分布占比</w:t>
            </w:r>
          </w:p>
        </w:tc>
        <w:tc>
          <w:tcPr>
            <w:tcW w:w="13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F4479F">
            <w:pPr>
              <w:jc w:val="center"/>
              <w:rPr>
                <w:rFonts w:ascii="宋体" w:hAnsi="宋体" w:cs="宋体"/>
                <w:b/>
                <w:iCs/>
                <w:color w:val="000000"/>
                <w:kern w:val="0"/>
                <w:sz w:val="18"/>
                <w:szCs w:val="18"/>
              </w:rPr>
            </w:pPr>
            <w:r>
              <w:rPr>
                <w:rFonts w:hint="eastAsia" w:ascii="宋体" w:hAnsi="宋体" w:cs="宋体"/>
                <w:b/>
                <w:iCs/>
                <w:color w:val="000000"/>
                <w:kern w:val="0"/>
                <w:sz w:val="18"/>
                <w:szCs w:val="18"/>
              </w:rPr>
              <w:t>合计</w:t>
            </w:r>
          </w:p>
        </w:tc>
        <w:tc>
          <w:tcPr>
            <w:tcW w:w="3799" w:type="dxa"/>
            <w:gridSpan w:val="3"/>
            <w:tcBorders>
              <w:top w:val="single" w:color="auto" w:sz="4" w:space="0"/>
              <w:left w:val="nil"/>
              <w:bottom w:val="single" w:color="auto" w:sz="4" w:space="0"/>
              <w:right w:val="single" w:color="auto" w:sz="4" w:space="0"/>
            </w:tcBorders>
            <w:shd w:val="clear" w:color="auto" w:fill="auto"/>
            <w:vAlign w:val="center"/>
          </w:tcPr>
          <w:p w14:paraId="3E841BD6">
            <w:pPr>
              <w:jc w:val="center"/>
              <w:rPr>
                <w:rFonts w:ascii="宋体" w:hAnsi="宋体" w:cs="宋体"/>
                <w:b/>
                <w:iCs/>
                <w:color w:val="000000"/>
                <w:kern w:val="0"/>
                <w:sz w:val="18"/>
                <w:szCs w:val="18"/>
              </w:rPr>
            </w:pPr>
            <w:r>
              <w:rPr>
                <w:rFonts w:hint="eastAsia" w:ascii="宋体" w:hAnsi="宋体" w:cs="宋体"/>
                <w:b/>
                <w:iCs/>
                <w:color w:val="000000"/>
                <w:kern w:val="0"/>
                <w:sz w:val="18"/>
                <w:szCs w:val="18"/>
              </w:rPr>
              <w:t>地类</w:t>
            </w:r>
          </w:p>
        </w:tc>
      </w:tr>
      <w:tr w14:paraId="0CF53244">
        <w:tblPrEx>
          <w:tblCellMar>
            <w:top w:w="0" w:type="dxa"/>
            <w:left w:w="108" w:type="dxa"/>
            <w:bottom w:w="0" w:type="dxa"/>
            <w:right w:w="108" w:type="dxa"/>
          </w:tblCellMar>
        </w:tblPrEx>
        <w:trPr>
          <w:trHeight w:val="300" w:hRule="atLeast"/>
          <w:jc w:val="center"/>
        </w:trPr>
        <w:tc>
          <w:tcPr>
            <w:tcW w:w="1467" w:type="dxa"/>
            <w:vMerge w:val="continue"/>
            <w:tcBorders>
              <w:top w:val="single" w:color="auto" w:sz="4" w:space="0"/>
              <w:left w:val="single" w:color="auto" w:sz="4" w:space="0"/>
              <w:bottom w:val="single" w:color="auto" w:sz="4" w:space="0"/>
              <w:right w:val="single" w:color="auto" w:sz="4" w:space="0"/>
            </w:tcBorders>
            <w:vAlign w:val="center"/>
          </w:tcPr>
          <w:p w14:paraId="5B7AF233">
            <w:pPr>
              <w:jc w:val="center"/>
              <w:rPr>
                <w:rFonts w:ascii="宋体" w:hAnsi="宋体" w:cs="宋体"/>
                <w:b/>
                <w:iCs/>
                <w:color w:val="000000"/>
                <w:kern w:val="0"/>
                <w:sz w:val="18"/>
                <w:szCs w:val="18"/>
              </w:rPr>
            </w:pPr>
          </w:p>
        </w:tc>
        <w:tc>
          <w:tcPr>
            <w:tcW w:w="1297" w:type="dxa"/>
            <w:vMerge w:val="continue"/>
            <w:tcBorders>
              <w:top w:val="single" w:color="auto" w:sz="4" w:space="0"/>
              <w:left w:val="single" w:color="auto" w:sz="4" w:space="0"/>
              <w:bottom w:val="single" w:color="auto" w:sz="4" w:space="0"/>
              <w:right w:val="single" w:color="auto" w:sz="4" w:space="0"/>
            </w:tcBorders>
            <w:vAlign w:val="center"/>
          </w:tcPr>
          <w:p w14:paraId="082A1D8E">
            <w:pPr>
              <w:jc w:val="center"/>
              <w:rPr>
                <w:rFonts w:ascii="宋体" w:hAnsi="宋体" w:cs="宋体"/>
                <w:b/>
                <w:iCs/>
                <w:color w:val="000000"/>
                <w:kern w:val="0"/>
                <w:sz w:val="18"/>
                <w:szCs w:val="18"/>
              </w:rPr>
            </w:pPr>
          </w:p>
        </w:tc>
        <w:tc>
          <w:tcPr>
            <w:tcW w:w="1380" w:type="dxa"/>
            <w:vMerge w:val="continue"/>
            <w:tcBorders>
              <w:top w:val="single" w:color="auto" w:sz="4" w:space="0"/>
              <w:left w:val="single" w:color="auto" w:sz="4" w:space="0"/>
              <w:bottom w:val="single" w:color="auto" w:sz="4" w:space="0"/>
              <w:right w:val="single" w:color="auto" w:sz="4" w:space="0"/>
            </w:tcBorders>
            <w:vAlign w:val="center"/>
          </w:tcPr>
          <w:p w14:paraId="31555831">
            <w:pPr>
              <w:jc w:val="center"/>
              <w:rPr>
                <w:rFonts w:ascii="宋体" w:hAnsi="宋体" w:cs="宋体"/>
                <w:b/>
                <w:iCs/>
                <w:color w:val="000000"/>
                <w:kern w:val="0"/>
                <w:sz w:val="18"/>
                <w:szCs w:val="18"/>
              </w:rPr>
            </w:pPr>
          </w:p>
        </w:tc>
        <w:tc>
          <w:tcPr>
            <w:tcW w:w="1384" w:type="dxa"/>
            <w:tcBorders>
              <w:top w:val="nil"/>
              <w:left w:val="nil"/>
              <w:bottom w:val="single" w:color="auto" w:sz="4" w:space="0"/>
              <w:right w:val="single" w:color="auto" w:sz="4" w:space="0"/>
            </w:tcBorders>
            <w:shd w:val="clear" w:color="auto" w:fill="auto"/>
            <w:vAlign w:val="center"/>
          </w:tcPr>
          <w:p w14:paraId="435B95CE">
            <w:pPr>
              <w:jc w:val="center"/>
              <w:rPr>
                <w:rFonts w:ascii="宋体" w:hAnsi="宋体" w:cs="宋体"/>
                <w:b/>
                <w:iCs/>
                <w:color w:val="000000"/>
                <w:kern w:val="0"/>
                <w:sz w:val="18"/>
                <w:szCs w:val="18"/>
              </w:rPr>
            </w:pPr>
            <w:r>
              <w:rPr>
                <w:rFonts w:hint="eastAsia" w:ascii="宋体" w:hAnsi="宋体" w:cs="宋体"/>
                <w:b/>
                <w:iCs/>
                <w:color w:val="000000"/>
                <w:kern w:val="0"/>
                <w:sz w:val="18"/>
                <w:szCs w:val="18"/>
              </w:rPr>
              <w:t>水田</w:t>
            </w:r>
          </w:p>
        </w:tc>
        <w:tc>
          <w:tcPr>
            <w:tcW w:w="993" w:type="dxa"/>
            <w:tcBorders>
              <w:top w:val="nil"/>
              <w:left w:val="nil"/>
              <w:bottom w:val="single" w:color="auto" w:sz="4" w:space="0"/>
              <w:right w:val="single" w:color="auto" w:sz="4" w:space="0"/>
            </w:tcBorders>
            <w:shd w:val="clear" w:color="auto" w:fill="auto"/>
            <w:vAlign w:val="center"/>
          </w:tcPr>
          <w:p w14:paraId="56EE0241">
            <w:pPr>
              <w:jc w:val="center"/>
              <w:rPr>
                <w:rFonts w:ascii="宋体" w:hAnsi="宋体" w:cs="宋体"/>
                <w:b/>
                <w:iCs/>
                <w:color w:val="000000"/>
                <w:kern w:val="0"/>
                <w:sz w:val="18"/>
                <w:szCs w:val="18"/>
              </w:rPr>
            </w:pPr>
            <w:r>
              <w:rPr>
                <w:rFonts w:hint="eastAsia" w:ascii="宋体" w:hAnsi="宋体" w:cs="宋体"/>
                <w:b/>
                <w:iCs/>
                <w:color w:val="000000"/>
                <w:kern w:val="0"/>
                <w:sz w:val="18"/>
                <w:szCs w:val="18"/>
              </w:rPr>
              <w:t>水浇地</w:t>
            </w:r>
          </w:p>
        </w:tc>
        <w:tc>
          <w:tcPr>
            <w:tcW w:w="1422" w:type="dxa"/>
            <w:tcBorders>
              <w:top w:val="nil"/>
              <w:left w:val="nil"/>
              <w:bottom w:val="single" w:color="auto" w:sz="4" w:space="0"/>
              <w:right w:val="single" w:color="auto" w:sz="4" w:space="0"/>
            </w:tcBorders>
            <w:shd w:val="clear" w:color="auto" w:fill="auto"/>
            <w:vAlign w:val="center"/>
          </w:tcPr>
          <w:p w14:paraId="765609CA">
            <w:pPr>
              <w:jc w:val="center"/>
              <w:rPr>
                <w:rFonts w:ascii="宋体" w:hAnsi="宋体" w:cs="宋体"/>
                <w:b/>
                <w:iCs/>
                <w:color w:val="000000"/>
                <w:kern w:val="0"/>
                <w:sz w:val="18"/>
                <w:szCs w:val="18"/>
              </w:rPr>
            </w:pPr>
            <w:r>
              <w:rPr>
                <w:rFonts w:hint="eastAsia" w:ascii="宋体" w:hAnsi="宋体" w:cs="宋体"/>
                <w:b/>
                <w:iCs/>
                <w:color w:val="000000"/>
                <w:kern w:val="0"/>
                <w:sz w:val="18"/>
                <w:szCs w:val="18"/>
              </w:rPr>
              <w:t>旱地</w:t>
            </w:r>
          </w:p>
        </w:tc>
      </w:tr>
      <w:tr w14:paraId="4722478E">
        <w:tblPrEx>
          <w:tblCellMar>
            <w:top w:w="0" w:type="dxa"/>
            <w:left w:w="108" w:type="dxa"/>
            <w:bottom w:w="0" w:type="dxa"/>
            <w:right w:w="108" w:type="dxa"/>
          </w:tblCellMar>
        </w:tblPrEx>
        <w:trPr>
          <w:trHeight w:val="300" w:hRule="atLeast"/>
          <w:jc w:val="center"/>
        </w:trPr>
        <w:tc>
          <w:tcPr>
            <w:tcW w:w="1467" w:type="dxa"/>
            <w:tcBorders>
              <w:top w:val="nil"/>
              <w:left w:val="single" w:color="auto" w:sz="4" w:space="0"/>
              <w:bottom w:val="single" w:color="auto" w:sz="4" w:space="0"/>
              <w:right w:val="single" w:color="auto" w:sz="4" w:space="0"/>
            </w:tcBorders>
            <w:shd w:val="clear" w:color="auto" w:fill="auto"/>
            <w:vAlign w:val="center"/>
          </w:tcPr>
          <w:p w14:paraId="05A7604B">
            <w:pPr>
              <w:jc w:val="center"/>
              <w:rPr>
                <w:rFonts w:ascii="宋体" w:hAnsi="宋体" w:cs="宋体"/>
                <w:iCs/>
                <w:color w:val="000000"/>
                <w:kern w:val="0"/>
                <w:sz w:val="18"/>
                <w:szCs w:val="18"/>
              </w:rPr>
            </w:pPr>
            <w:r>
              <w:rPr>
                <w:rFonts w:hint="eastAsia" w:ascii="宋体" w:hAnsi="宋体" w:cs="宋体"/>
                <w:iCs/>
                <w:color w:val="000000"/>
                <w:kern w:val="0"/>
                <w:sz w:val="18"/>
                <w:szCs w:val="18"/>
              </w:rPr>
              <w:t>铜都街道</w:t>
            </w:r>
          </w:p>
        </w:tc>
        <w:tc>
          <w:tcPr>
            <w:tcW w:w="1297" w:type="dxa"/>
            <w:tcBorders>
              <w:top w:val="nil"/>
              <w:left w:val="nil"/>
              <w:bottom w:val="single" w:color="auto" w:sz="4" w:space="0"/>
              <w:right w:val="single" w:color="auto" w:sz="4" w:space="0"/>
            </w:tcBorders>
            <w:shd w:val="clear" w:color="auto" w:fill="auto"/>
            <w:vAlign w:val="center"/>
          </w:tcPr>
          <w:p w14:paraId="5B12818B">
            <w:pPr>
              <w:jc w:val="center"/>
              <w:rPr>
                <w:rFonts w:ascii="宋体" w:hAnsi="宋体" w:cs="宋体"/>
                <w:iCs/>
                <w:color w:val="000000"/>
                <w:kern w:val="0"/>
                <w:sz w:val="18"/>
                <w:szCs w:val="18"/>
              </w:rPr>
            </w:pPr>
            <w:r>
              <w:rPr>
                <w:rFonts w:hint="eastAsia" w:ascii="宋体" w:hAnsi="宋体" w:cs="宋体"/>
                <w:iCs/>
                <w:color w:val="000000"/>
                <w:kern w:val="0"/>
                <w:sz w:val="18"/>
                <w:szCs w:val="18"/>
              </w:rPr>
              <w:t>16.30%</w:t>
            </w:r>
          </w:p>
        </w:tc>
        <w:tc>
          <w:tcPr>
            <w:tcW w:w="1380" w:type="dxa"/>
            <w:tcBorders>
              <w:top w:val="nil"/>
              <w:left w:val="nil"/>
              <w:bottom w:val="single" w:color="auto" w:sz="4" w:space="0"/>
              <w:right w:val="single" w:color="auto" w:sz="4" w:space="0"/>
            </w:tcBorders>
            <w:shd w:val="clear" w:color="auto" w:fill="auto"/>
            <w:vAlign w:val="center"/>
          </w:tcPr>
          <w:p w14:paraId="434BBCD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174.87 </w:t>
            </w:r>
          </w:p>
        </w:tc>
        <w:tc>
          <w:tcPr>
            <w:tcW w:w="1384" w:type="dxa"/>
            <w:tcBorders>
              <w:top w:val="nil"/>
              <w:left w:val="nil"/>
              <w:bottom w:val="single" w:color="auto" w:sz="4" w:space="0"/>
              <w:right w:val="single" w:color="auto" w:sz="4" w:space="0"/>
            </w:tcBorders>
            <w:shd w:val="clear" w:color="auto" w:fill="auto"/>
            <w:vAlign w:val="center"/>
          </w:tcPr>
          <w:p w14:paraId="1F06F7A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58.60 </w:t>
            </w:r>
          </w:p>
        </w:tc>
        <w:tc>
          <w:tcPr>
            <w:tcW w:w="993" w:type="dxa"/>
            <w:tcBorders>
              <w:top w:val="nil"/>
              <w:left w:val="nil"/>
              <w:bottom w:val="single" w:color="auto" w:sz="4" w:space="0"/>
              <w:right w:val="single" w:color="auto" w:sz="4" w:space="0"/>
            </w:tcBorders>
            <w:shd w:val="clear" w:color="auto" w:fill="auto"/>
            <w:vAlign w:val="center"/>
          </w:tcPr>
          <w:p w14:paraId="27F9BF7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422" w:type="dxa"/>
            <w:tcBorders>
              <w:top w:val="nil"/>
              <w:left w:val="nil"/>
              <w:bottom w:val="single" w:color="auto" w:sz="4" w:space="0"/>
              <w:right w:val="single" w:color="auto" w:sz="4" w:space="0"/>
            </w:tcBorders>
            <w:shd w:val="clear" w:color="auto" w:fill="auto"/>
            <w:vAlign w:val="center"/>
          </w:tcPr>
          <w:p w14:paraId="2F3E5B9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116.27 </w:t>
            </w:r>
          </w:p>
        </w:tc>
      </w:tr>
      <w:tr w14:paraId="25F352F9">
        <w:tblPrEx>
          <w:tblCellMar>
            <w:top w:w="0" w:type="dxa"/>
            <w:left w:w="108" w:type="dxa"/>
            <w:bottom w:w="0" w:type="dxa"/>
            <w:right w:w="108" w:type="dxa"/>
          </w:tblCellMar>
        </w:tblPrEx>
        <w:trPr>
          <w:trHeight w:val="300" w:hRule="atLeast"/>
          <w:jc w:val="center"/>
        </w:trPr>
        <w:tc>
          <w:tcPr>
            <w:tcW w:w="1467" w:type="dxa"/>
            <w:tcBorders>
              <w:top w:val="nil"/>
              <w:left w:val="single" w:color="auto" w:sz="4" w:space="0"/>
              <w:bottom w:val="single" w:color="auto" w:sz="4" w:space="0"/>
              <w:right w:val="single" w:color="auto" w:sz="4" w:space="0"/>
            </w:tcBorders>
            <w:shd w:val="clear" w:color="auto" w:fill="auto"/>
            <w:vAlign w:val="center"/>
          </w:tcPr>
          <w:p w14:paraId="2F84AEA4">
            <w:pPr>
              <w:jc w:val="center"/>
              <w:rPr>
                <w:rFonts w:ascii="宋体" w:hAnsi="宋体" w:cs="宋体"/>
                <w:iCs/>
                <w:color w:val="000000"/>
                <w:kern w:val="0"/>
                <w:sz w:val="18"/>
                <w:szCs w:val="18"/>
              </w:rPr>
            </w:pPr>
            <w:r>
              <w:rPr>
                <w:rFonts w:hint="eastAsia" w:ascii="宋体" w:hAnsi="宋体" w:cs="宋体"/>
                <w:iCs/>
                <w:color w:val="000000"/>
                <w:kern w:val="0"/>
                <w:sz w:val="18"/>
                <w:szCs w:val="18"/>
              </w:rPr>
              <w:t>阿旺镇</w:t>
            </w:r>
          </w:p>
        </w:tc>
        <w:tc>
          <w:tcPr>
            <w:tcW w:w="1297" w:type="dxa"/>
            <w:tcBorders>
              <w:top w:val="nil"/>
              <w:left w:val="nil"/>
              <w:bottom w:val="single" w:color="auto" w:sz="4" w:space="0"/>
              <w:right w:val="single" w:color="auto" w:sz="4" w:space="0"/>
            </w:tcBorders>
            <w:shd w:val="clear" w:color="auto" w:fill="auto"/>
            <w:vAlign w:val="center"/>
          </w:tcPr>
          <w:p w14:paraId="55B6FC3F">
            <w:pPr>
              <w:jc w:val="center"/>
              <w:rPr>
                <w:rFonts w:ascii="宋体" w:hAnsi="宋体" w:cs="宋体"/>
                <w:iCs/>
                <w:color w:val="000000"/>
                <w:kern w:val="0"/>
                <w:sz w:val="18"/>
                <w:szCs w:val="18"/>
              </w:rPr>
            </w:pPr>
            <w:r>
              <w:rPr>
                <w:rFonts w:hint="eastAsia" w:ascii="宋体" w:hAnsi="宋体" w:cs="宋体"/>
                <w:iCs/>
                <w:color w:val="000000"/>
                <w:kern w:val="0"/>
                <w:sz w:val="18"/>
                <w:szCs w:val="18"/>
              </w:rPr>
              <w:t>15.90%</w:t>
            </w:r>
          </w:p>
        </w:tc>
        <w:tc>
          <w:tcPr>
            <w:tcW w:w="1380" w:type="dxa"/>
            <w:tcBorders>
              <w:top w:val="nil"/>
              <w:left w:val="nil"/>
              <w:bottom w:val="single" w:color="auto" w:sz="4" w:space="0"/>
              <w:right w:val="single" w:color="auto" w:sz="4" w:space="0"/>
            </w:tcBorders>
            <w:shd w:val="clear" w:color="auto" w:fill="auto"/>
            <w:vAlign w:val="center"/>
          </w:tcPr>
          <w:p w14:paraId="69658DF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170.43 </w:t>
            </w:r>
          </w:p>
        </w:tc>
        <w:tc>
          <w:tcPr>
            <w:tcW w:w="1384" w:type="dxa"/>
            <w:tcBorders>
              <w:top w:val="nil"/>
              <w:left w:val="nil"/>
              <w:bottom w:val="single" w:color="auto" w:sz="4" w:space="0"/>
              <w:right w:val="single" w:color="auto" w:sz="4" w:space="0"/>
            </w:tcBorders>
            <w:shd w:val="clear" w:color="auto" w:fill="auto"/>
            <w:vAlign w:val="center"/>
          </w:tcPr>
          <w:p w14:paraId="49EA7F5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19.67 </w:t>
            </w:r>
          </w:p>
        </w:tc>
        <w:tc>
          <w:tcPr>
            <w:tcW w:w="993" w:type="dxa"/>
            <w:tcBorders>
              <w:top w:val="nil"/>
              <w:left w:val="nil"/>
              <w:bottom w:val="single" w:color="auto" w:sz="4" w:space="0"/>
              <w:right w:val="single" w:color="auto" w:sz="4" w:space="0"/>
            </w:tcBorders>
            <w:shd w:val="clear" w:color="auto" w:fill="auto"/>
            <w:vAlign w:val="center"/>
          </w:tcPr>
          <w:p w14:paraId="6B7ADED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422" w:type="dxa"/>
            <w:tcBorders>
              <w:top w:val="nil"/>
              <w:left w:val="nil"/>
              <w:bottom w:val="single" w:color="auto" w:sz="4" w:space="0"/>
              <w:right w:val="single" w:color="auto" w:sz="4" w:space="0"/>
            </w:tcBorders>
            <w:shd w:val="clear" w:color="auto" w:fill="auto"/>
            <w:vAlign w:val="center"/>
          </w:tcPr>
          <w:p w14:paraId="273F0F8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150.75 </w:t>
            </w:r>
          </w:p>
        </w:tc>
      </w:tr>
      <w:tr w14:paraId="47026C7D">
        <w:tblPrEx>
          <w:tblCellMar>
            <w:top w:w="0" w:type="dxa"/>
            <w:left w:w="108" w:type="dxa"/>
            <w:bottom w:w="0" w:type="dxa"/>
            <w:right w:w="108" w:type="dxa"/>
          </w:tblCellMar>
        </w:tblPrEx>
        <w:trPr>
          <w:trHeight w:val="300" w:hRule="atLeast"/>
          <w:jc w:val="center"/>
        </w:trPr>
        <w:tc>
          <w:tcPr>
            <w:tcW w:w="1467" w:type="dxa"/>
            <w:tcBorders>
              <w:top w:val="nil"/>
              <w:left w:val="single" w:color="auto" w:sz="4" w:space="0"/>
              <w:bottom w:val="single" w:color="auto" w:sz="4" w:space="0"/>
              <w:right w:val="single" w:color="auto" w:sz="4" w:space="0"/>
            </w:tcBorders>
            <w:shd w:val="clear" w:color="auto" w:fill="auto"/>
            <w:vAlign w:val="center"/>
          </w:tcPr>
          <w:p w14:paraId="1CE5105F">
            <w:pPr>
              <w:jc w:val="center"/>
              <w:rPr>
                <w:rFonts w:ascii="宋体" w:hAnsi="宋体" w:cs="宋体"/>
                <w:iCs/>
                <w:color w:val="000000"/>
                <w:kern w:val="0"/>
                <w:sz w:val="18"/>
                <w:szCs w:val="18"/>
              </w:rPr>
            </w:pPr>
            <w:r>
              <w:rPr>
                <w:rFonts w:hint="eastAsia" w:ascii="宋体" w:hAnsi="宋体" w:cs="宋体"/>
                <w:iCs/>
                <w:color w:val="000000"/>
                <w:kern w:val="0"/>
                <w:sz w:val="18"/>
                <w:szCs w:val="18"/>
              </w:rPr>
              <w:t>乌龙镇</w:t>
            </w:r>
          </w:p>
        </w:tc>
        <w:tc>
          <w:tcPr>
            <w:tcW w:w="1297" w:type="dxa"/>
            <w:tcBorders>
              <w:top w:val="nil"/>
              <w:left w:val="nil"/>
              <w:bottom w:val="single" w:color="auto" w:sz="4" w:space="0"/>
              <w:right w:val="single" w:color="auto" w:sz="4" w:space="0"/>
            </w:tcBorders>
            <w:shd w:val="clear" w:color="auto" w:fill="auto"/>
            <w:vAlign w:val="center"/>
          </w:tcPr>
          <w:p w14:paraId="5C7D01B8">
            <w:pPr>
              <w:jc w:val="center"/>
              <w:rPr>
                <w:rFonts w:ascii="宋体" w:hAnsi="宋体" w:cs="宋体"/>
                <w:iCs/>
                <w:color w:val="000000"/>
                <w:kern w:val="0"/>
                <w:sz w:val="18"/>
                <w:szCs w:val="18"/>
              </w:rPr>
            </w:pPr>
            <w:r>
              <w:rPr>
                <w:rFonts w:hint="eastAsia" w:ascii="宋体" w:hAnsi="宋体" w:cs="宋体"/>
                <w:iCs/>
                <w:color w:val="000000"/>
                <w:kern w:val="0"/>
                <w:sz w:val="18"/>
                <w:szCs w:val="18"/>
              </w:rPr>
              <w:t>15.90%</w:t>
            </w:r>
          </w:p>
        </w:tc>
        <w:tc>
          <w:tcPr>
            <w:tcW w:w="1380" w:type="dxa"/>
            <w:tcBorders>
              <w:top w:val="nil"/>
              <w:left w:val="nil"/>
              <w:bottom w:val="single" w:color="auto" w:sz="4" w:space="0"/>
              <w:right w:val="single" w:color="auto" w:sz="4" w:space="0"/>
            </w:tcBorders>
            <w:shd w:val="clear" w:color="auto" w:fill="auto"/>
            <w:vAlign w:val="center"/>
          </w:tcPr>
          <w:p w14:paraId="2882599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288.53 </w:t>
            </w:r>
          </w:p>
        </w:tc>
        <w:tc>
          <w:tcPr>
            <w:tcW w:w="1384" w:type="dxa"/>
            <w:tcBorders>
              <w:top w:val="nil"/>
              <w:left w:val="nil"/>
              <w:bottom w:val="single" w:color="auto" w:sz="4" w:space="0"/>
              <w:right w:val="single" w:color="auto" w:sz="4" w:space="0"/>
            </w:tcBorders>
            <w:shd w:val="clear" w:color="auto" w:fill="auto"/>
            <w:vAlign w:val="center"/>
          </w:tcPr>
          <w:p w14:paraId="3463422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131.31 </w:t>
            </w:r>
          </w:p>
        </w:tc>
        <w:tc>
          <w:tcPr>
            <w:tcW w:w="993" w:type="dxa"/>
            <w:tcBorders>
              <w:top w:val="nil"/>
              <w:left w:val="nil"/>
              <w:bottom w:val="single" w:color="auto" w:sz="4" w:space="0"/>
              <w:right w:val="single" w:color="auto" w:sz="4" w:space="0"/>
            </w:tcBorders>
            <w:shd w:val="clear" w:color="auto" w:fill="auto"/>
            <w:vAlign w:val="center"/>
          </w:tcPr>
          <w:p w14:paraId="617A2DF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422" w:type="dxa"/>
            <w:tcBorders>
              <w:top w:val="nil"/>
              <w:left w:val="nil"/>
              <w:bottom w:val="single" w:color="auto" w:sz="4" w:space="0"/>
              <w:right w:val="single" w:color="auto" w:sz="4" w:space="0"/>
            </w:tcBorders>
            <w:shd w:val="clear" w:color="auto" w:fill="auto"/>
            <w:vAlign w:val="center"/>
          </w:tcPr>
          <w:p w14:paraId="2A853FB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157.22 </w:t>
            </w:r>
          </w:p>
        </w:tc>
      </w:tr>
      <w:tr w14:paraId="2A95B381">
        <w:tblPrEx>
          <w:tblCellMar>
            <w:top w:w="0" w:type="dxa"/>
            <w:left w:w="108" w:type="dxa"/>
            <w:bottom w:w="0" w:type="dxa"/>
            <w:right w:w="108" w:type="dxa"/>
          </w:tblCellMar>
        </w:tblPrEx>
        <w:trPr>
          <w:trHeight w:val="300" w:hRule="atLeast"/>
          <w:jc w:val="center"/>
        </w:trPr>
        <w:tc>
          <w:tcPr>
            <w:tcW w:w="1467" w:type="dxa"/>
            <w:tcBorders>
              <w:top w:val="nil"/>
              <w:left w:val="single" w:color="auto" w:sz="4" w:space="0"/>
              <w:bottom w:val="single" w:color="auto" w:sz="4" w:space="0"/>
              <w:right w:val="single" w:color="auto" w:sz="4" w:space="0"/>
            </w:tcBorders>
            <w:shd w:val="clear" w:color="auto" w:fill="auto"/>
            <w:vAlign w:val="center"/>
          </w:tcPr>
          <w:p w14:paraId="18152CF4">
            <w:pPr>
              <w:jc w:val="center"/>
              <w:rPr>
                <w:rFonts w:ascii="宋体" w:hAnsi="宋体" w:cs="宋体"/>
                <w:iCs/>
                <w:color w:val="000000"/>
                <w:kern w:val="0"/>
                <w:sz w:val="18"/>
                <w:szCs w:val="18"/>
              </w:rPr>
            </w:pPr>
            <w:r>
              <w:rPr>
                <w:rFonts w:hint="eastAsia" w:ascii="宋体" w:hAnsi="宋体" w:cs="宋体"/>
                <w:iCs/>
                <w:color w:val="000000"/>
                <w:kern w:val="0"/>
                <w:sz w:val="18"/>
                <w:szCs w:val="18"/>
              </w:rPr>
              <w:t>汤丹镇</w:t>
            </w:r>
          </w:p>
        </w:tc>
        <w:tc>
          <w:tcPr>
            <w:tcW w:w="1297" w:type="dxa"/>
            <w:tcBorders>
              <w:top w:val="nil"/>
              <w:left w:val="nil"/>
              <w:bottom w:val="single" w:color="auto" w:sz="4" w:space="0"/>
              <w:right w:val="single" w:color="auto" w:sz="4" w:space="0"/>
            </w:tcBorders>
            <w:shd w:val="clear" w:color="auto" w:fill="auto"/>
            <w:vAlign w:val="center"/>
          </w:tcPr>
          <w:p w14:paraId="7D2956AD">
            <w:pPr>
              <w:jc w:val="center"/>
              <w:rPr>
                <w:rFonts w:ascii="宋体" w:hAnsi="宋体" w:cs="宋体"/>
                <w:iCs/>
                <w:color w:val="000000"/>
                <w:kern w:val="0"/>
                <w:sz w:val="18"/>
                <w:szCs w:val="18"/>
              </w:rPr>
            </w:pPr>
            <w:r>
              <w:rPr>
                <w:rFonts w:hint="eastAsia" w:ascii="宋体" w:hAnsi="宋体" w:cs="宋体"/>
                <w:iCs/>
                <w:color w:val="000000"/>
                <w:kern w:val="0"/>
                <w:sz w:val="18"/>
                <w:szCs w:val="18"/>
              </w:rPr>
              <w:t>10.70%</w:t>
            </w:r>
          </w:p>
        </w:tc>
        <w:tc>
          <w:tcPr>
            <w:tcW w:w="1380" w:type="dxa"/>
            <w:tcBorders>
              <w:top w:val="nil"/>
              <w:left w:val="nil"/>
              <w:bottom w:val="single" w:color="auto" w:sz="4" w:space="0"/>
              <w:right w:val="single" w:color="auto" w:sz="4" w:space="0"/>
            </w:tcBorders>
            <w:shd w:val="clear" w:color="auto" w:fill="auto"/>
            <w:vAlign w:val="center"/>
          </w:tcPr>
          <w:p w14:paraId="02D6CD1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115.23 </w:t>
            </w:r>
          </w:p>
        </w:tc>
        <w:tc>
          <w:tcPr>
            <w:tcW w:w="1384" w:type="dxa"/>
            <w:tcBorders>
              <w:top w:val="nil"/>
              <w:left w:val="nil"/>
              <w:bottom w:val="single" w:color="auto" w:sz="4" w:space="0"/>
              <w:right w:val="single" w:color="auto" w:sz="4" w:space="0"/>
            </w:tcBorders>
            <w:shd w:val="clear" w:color="auto" w:fill="auto"/>
            <w:vAlign w:val="center"/>
          </w:tcPr>
          <w:p w14:paraId="0A1D906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103.03 </w:t>
            </w:r>
          </w:p>
        </w:tc>
        <w:tc>
          <w:tcPr>
            <w:tcW w:w="993" w:type="dxa"/>
            <w:tcBorders>
              <w:top w:val="nil"/>
              <w:left w:val="nil"/>
              <w:bottom w:val="single" w:color="auto" w:sz="4" w:space="0"/>
              <w:right w:val="single" w:color="auto" w:sz="4" w:space="0"/>
            </w:tcBorders>
            <w:shd w:val="clear" w:color="auto" w:fill="auto"/>
            <w:vAlign w:val="center"/>
          </w:tcPr>
          <w:p w14:paraId="75BE9B0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422" w:type="dxa"/>
            <w:tcBorders>
              <w:top w:val="nil"/>
              <w:left w:val="nil"/>
              <w:bottom w:val="single" w:color="auto" w:sz="4" w:space="0"/>
              <w:right w:val="single" w:color="auto" w:sz="4" w:space="0"/>
            </w:tcBorders>
            <w:shd w:val="clear" w:color="auto" w:fill="auto"/>
            <w:vAlign w:val="center"/>
          </w:tcPr>
          <w:p w14:paraId="45AFAA1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12.19 </w:t>
            </w:r>
          </w:p>
        </w:tc>
      </w:tr>
      <w:tr w14:paraId="6CA8D2F5">
        <w:tblPrEx>
          <w:tblCellMar>
            <w:top w:w="0" w:type="dxa"/>
            <w:left w:w="108" w:type="dxa"/>
            <w:bottom w:w="0" w:type="dxa"/>
            <w:right w:w="108" w:type="dxa"/>
          </w:tblCellMar>
        </w:tblPrEx>
        <w:trPr>
          <w:trHeight w:val="300" w:hRule="atLeast"/>
          <w:jc w:val="center"/>
        </w:trPr>
        <w:tc>
          <w:tcPr>
            <w:tcW w:w="1467" w:type="dxa"/>
            <w:tcBorders>
              <w:top w:val="nil"/>
              <w:left w:val="single" w:color="auto" w:sz="4" w:space="0"/>
              <w:bottom w:val="single" w:color="auto" w:sz="4" w:space="0"/>
              <w:right w:val="single" w:color="auto" w:sz="4" w:space="0"/>
            </w:tcBorders>
            <w:shd w:val="clear" w:color="auto" w:fill="auto"/>
            <w:vAlign w:val="center"/>
          </w:tcPr>
          <w:p w14:paraId="68A1A2A1">
            <w:pPr>
              <w:jc w:val="center"/>
              <w:rPr>
                <w:rFonts w:ascii="宋体" w:hAnsi="宋体" w:cs="宋体"/>
                <w:iCs/>
                <w:color w:val="000000"/>
                <w:kern w:val="0"/>
                <w:sz w:val="18"/>
                <w:szCs w:val="18"/>
              </w:rPr>
            </w:pPr>
            <w:r>
              <w:rPr>
                <w:rFonts w:hint="eastAsia" w:ascii="宋体" w:hAnsi="宋体" w:cs="宋体"/>
                <w:iCs/>
                <w:color w:val="000000"/>
                <w:kern w:val="0"/>
                <w:sz w:val="18"/>
                <w:szCs w:val="18"/>
              </w:rPr>
              <w:t>拖布卡镇</w:t>
            </w:r>
          </w:p>
        </w:tc>
        <w:tc>
          <w:tcPr>
            <w:tcW w:w="1297" w:type="dxa"/>
            <w:tcBorders>
              <w:top w:val="nil"/>
              <w:left w:val="nil"/>
              <w:bottom w:val="single" w:color="auto" w:sz="4" w:space="0"/>
              <w:right w:val="single" w:color="auto" w:sz="4" w:space="0"/>
            </w:tcBorders>
            <w:shd w:val="clear" w:color="auto" w:fill="auto"/>
            <w:vAlign w:val="center"/>
          </w:tcPr>
          <w:p w14:paraId="6E957013">
            <w:pPr>
              <w:jc w:val="center"/>
              <w:rPr>
                <w:rFonts w:ascii="宋体" w:hAnsi="宋体" w:cs="宋体"/>
                <w:iCs/>
                <w:color w:val="000000"/>
                <w:kern w:val="0"/>
                <w:sz w:val="18"/>
                <w:szCs w:val="18"/>
              </w:rPr>
            </w:pPr>
            <w:r>
              <w:rPr>
                <w:rFonts w:hint="eastAsia" w:ascii="宋体" w:hAnsi="宋体" w:cs="宋体"/>
                <w:iCs/>
                <w:color w:val="000000"/>
                <w:kern w:val="0"/>
                <w:sz w:val="18"/>
                <w:szCs w:val="18"/>
              </w:rPr>
              <w:t>28.90%</w:t>
            </w:r>
          </w:p>
        </w:tc>
        <w:tc>
          <w:tcPr>
            <w:tcW w:w="1380" w:type="dxa"/>
            <w:tcBorders>
              <w:top w:val="nil"/>
              <w:left w:val="nil"/>
              <w:bottom w:val="single" w:color="auto" w:sz="4" w:space="0"/>
              <w:right w:val="single" w:color="auto" w:sz="4" w:space="0"/>
            </w:tcBorders>
            <w:shd w:val="clear" w:color="auto" w:fill="auto"/>
            <w:vAlign w:val="center"/>
          </w:tcPr>
          <w:p w14:paraId="2032C31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309.97 </w:t>
            </w:r>
          </w:p>
        </w:tc>
        <w:tc>
          <w:tcPr>
            <w:tcW w:w="1384" w:type="dxa"/>
            <w:tcBorders>
              <w:top w:val="nil"/>
              <w:left w:val="nil"/>
              <w:bottom w:val="single" w:color="auto" w:sz="4" w:space="0"/>
              <w:right w:val="single" w:color="auto" w:sz="4" w:space="0"/>
            </w:tcBorders>
            <w:shd w:val="clear" w:color="auto" w:fill="auto"/>
            <w:vAlign w:val="center"/>
          </w:tcPr>
          <w:p w14:paraId="2A8C260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86.55 </w:t>
            </w:r>
          </w:p>
        </w:tc>
        <w:tc>
          <w:tcPr>
            <w:tcW w:w="993" w:type="dxa"/>
            <w:tcBorders>
              <w:top w:val="nil"/>
              <w:left w:val="nil"/>
              <w:bottom w:val="single" w:color="auto" w:sz="4" w:space="0"/>
              <w:right w:val="single" w:color="auto" w:sz="4" w:space="0"/>
            </w:tcBorders>
            <w:shd w:val="clear" w:color="auto" w:fill="auto"/>
            <w:vAlign w:val="center"/>
          </w:tcPr>
          <w:p w14:paraId="7C687A2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422" w:type="dxa"/>
            <w:tcBorders>
              <w:top w:val="nil"/>
              <w:left w:val="nil"/>
              <w:bottom w:val="single" w:color="auto" w:sz="4" w:space="0"/>
              <w:right w:val="single" w:color="auto" w:sz="4" w:space="0"/>
            </w:tcBorders>
            <w:shd w:val="clear" w:color="auto" w:fill="auto"/>
            <w:vAlign w:val="center"/>
          </w:tcPr>
          <w:p w14:paraId="2C55152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223.43 </w:t>
            </w:r>
          </w:p>
        </w:tc>
      </w:tr>
      <w:tr w14:paraId="0DB77C4B">
        <w:tblPrEx>
          <w:tblCellMar>
            <w:top w:w="0" w:type="dxa"/>
            <w:left w:w="108" w:type="dxa"/>
            <w:bottom w:w="0" w:type="dxa"/>
            <w:right w:w="108" w:type="dxa"/>
          </w:tblCellMar>
        </w:tblPrEx>
        <w:trPr>
          <w:trHeight w:val="300" w:hRule="atLeast"/>
          <w:jc w:val="center"/>
        </w:trPr>
        <w:tc>
          <w:tcPr>
            <w:tcW w:w="1467" w:type="dxa"/>
            <w:tcBorders>
              <w:top w:val="nil"/>
              <w:left w:val="single" w:color="auto" w:sz="4" w:space="0"/>
              <w:bottom w:val="single" w:color="auto" w:sz="4" w:space="0"/>
              <w:right w:val="single" w:color="auto" w:sz="4" w:space="0"/>
            </w:tcBorders>
            <w:shd w:val="clear" w:color="auto" w:fill="auto"/>
            <w:vAlign w:val="center"/>
          </w:tcPr>
          <w:p w14:paraId="0A758BFC">
            <w:pPr>
              <w:jc w:val="center"/>
              <w:rPr>
                <w:rFonts w:ascii="宋体" w:hAnsi="宋体" w:cs="宋体"/>
                <w:iCs/>
                <w:color w:val="000000"/>
                <w:kern w:val="0"/>
                <w:sz w:val="18"/>
                <w:szCs w:val="18"/>
              </w:rPr>
            </w:pPr>
            <w:r>
              <w:rPr>
                <w:rFonts w:hint="eastAsia" w:ascii="宋体" w:hAnsi="宋体" w:cs="宋体"/>
                <w:iCs/>
                <w:color w:val="000000"/>
                <w:kern w:val="0"/>
                <w:sz w:val="18"/>
                <w:szCs w:val="18"/>
              </w:rPr>
              <w:t>因民镇</w:t>
            </w:r>
          </w:p>
        </w:tc>
        <w:tc>
          <w:tcPr>
            <w:tcW w:w="1297" w:type="dxa"/>
            <w:tcBorders>
              <w:top w:val="nil"/>
              <w:left w:val="nil"/>
              <w:bottom w:val="single" w:color="auto" w:sz="4" w:space="0"/>
              <w:right w:val="single" w:color="auto" w:sz="4" w:space="0"/>
            </w:tcBorders>
            <w:shd w:val="clear" w:color="auto" w:fill="auto"/>
            <w:vAlign w:val="center"/>
          </w:tcPr>
          <w:p w14:paraId="4D836AC4">
            <w:pPr>
              <w:jc w:val="center"/>
              <w:rPr>
                <w:rFonts w:ascii="宋体" w:hAnsi="宋体" w:cs="宋体"/>
                <w:iCs/>
                <w:color w:val="000000"/>
                <w:kern w:val="0"/>
                <w:sz w:val="18"/>
                <w:szCs w:val="18"/>
              </w:rPr>
            </w:pPr>
            <w:r>
              <w:rPr>
                <w:rFonts w:hint="eastAsia" w:ascii="宋体" w:hAnsi="宋体" w:cs="宋体"/>
                <w:iCs/>
                <w:color w:val="000000"/>
                <w:kern w:val="0"/>
                <w:sz w:val="18"/>
                <w:szCs w:val="18"/>
              </w:rPr>
              <w:t>1.30%</w:t>
            </w:r>
          </w:p>
        </w:tc>
        <w:tc>
          <w:tcPr>
            <w:tcW w:w="1380" w:type="dxa"/>
            <w:tcBorders>
              <w:top w:val="nil"/>
              <w:left w:val="nil"/>
              <w:bottom w:val="single" w:color="auto" w:sz="4" w:space="0"/>
              <w:right w:val="single" w:color="auto" w:sz="4" w:space="0"/>
            </w:tcBorders>
            <w:shd w:val="clear" w:color="auto" w:fill="auto"/>
            <w:vAlign w:val="center"/>
          </w:tcPr>
          <w:p w14:paraId="2444B42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13.79 </w:t>
            </w:r>
          </w:p>
        </w:tc>
        <w:tc>
          <w:tcPr>
            <w:tcW w:w="1384" w:type="dxa"/>
            <w:tcBorders>
              <w:top w:val="nil"/>
              <w:left w:val="nil"/>
              <w:bottom w:val="single" w:color="auto" w:sz="4" w:space="0"/>
              <w:right w:val="single" w:color="auto" w:sz="4" w:space="0"/>
            </w:tcBorders>
            <w:shd w:val="clear" w:color="auto" w:fill="auto"/>
            <w:vAlign w:val="center"/>
          </w:tcPr>
          <w:p w14:paraId="56FBA50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93" w:type="dxa"/>
            <w:tcBorders>
              <w:top w:val="nil"/>
              <w:left w:val="nil"/>
              <w:bottom w:val="single" w:color="auto" w:sz="4" w:space="0"/>
              <w:right w:val="single" w:color="auto" w:sz="4" w:space="0"/>
            </w:tcBorders>
            <w:shd w:val="clear" w:color="auto" w:fill="auto"/>
            <w:vAlign w:val="center"/>
          </w:tcPr>
          <w:p w14:paraId="0C826B7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422" w:type="dxa"/>
            <w:tcBorders>
              <w:top w:val="nil"/>
              <w:left w:val="nil"/>
              <w:bottom w:val="single" w:color="auto" w:sz="4" w:space="0"/>
              <w:right w:val="single" w:color="auto" w:sz="4" w:space="0"/>
            </w:tcBorders>
            <w:shd w:val="clear" w:color="auto" w:fill="auto"/>
            <w:vAlign w:val="center"/>
          </w:tcPr>
          <w:p w14:paraId="0C18836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13.79 </w:t>
            </w:r>
          </w:p>
        </w:tc>
      </w:tr>
      <w:tr w14:paraId="041E3F82">
        <w:tblPrEx>
          <w:tblCellMar>
            <w:top w:w="0" w:type="dxa"/>
            <w:left w:w="108" w:type="dxa"/>
            <w:bottom w:w="0" w:type="dxa"/>
            <w:right w:w="108" w:type="dxa"/>
          </w:tblCellMar>
        </w:tblPrEx>
        <w:trPr>
          <w:trHeight w:val="300" w:hRule="atLeast"/>
          <w:jc w:val="center"/>
        </w:trPr>
        <w:tc>
          <w:tcPr>
            <w:tcW w:w="1467" w:type="dxa"/>
            <w:tcBorders>
              <w:top w:val="nil"/>
              <w:left w:val="single" w:color="auto" w:sz="4" w:space="0"/>
              <w:bottom w:val="single" w:color="auto" w:sz="4" w:space="0"/>
              <w:right w:val="single" w:color="auto" w:sz="4" w:space="0"/>
            </w:tcBorders>
            <w:shd w:val="clear" w:color="auto" w:fill="auto"/>
            <w:vAlign w:val="center"/>
          </w:tcPr>
          <w:p w14:paraId="7831A109">
            <w:pPr>
              <w:jc w:val="center"/>
              <w:rPr>
                <w:rFonts w:ascii="宋体" w:hAnsi="宋体" w:cs="宋体"/>
                <w:iCs/>
                <w:color w:val="000000"/>
                <w:kern w:val="0"/>
                <w:sz w:val="18"/>
                <w:szCs w:val="18"/>
              </w:rPr>
            </w:pPr>
            <w:r>
              <w:rPr>
                <w:rFonts w:hint="eastAsia" w:ascii="宋体" w:hAnsi="宋体" w:cs="宋体"/>
                <w:iCs/>
                <w:color w:val="000000"/>
                <w:kern w:val="0"/>
                <w:sz w:val="18"/>
                <w:szCs w:val="18"/>
              </w:rPr>
              <w:t>东川区</w:t>
            </w:r>
          </w:p>
        </w:tc>
        <w:tc>
          <w:tcPr>
            <w:tcW w:w="1297" w:type="dxa"/>
            <w:tcBorders>
              <w:top w:val="nil"/>
              <w:left w:val="nil"/>
              <w:bottom w:val="single" w:color="auto" w:sz="4" w:space="0"/>
              <w:right w:val="single" w:color="auto" w:sz="4" w:space="0"/>
            </w:tcBorders>
            <w:shd w:val="clear" w:color="auto" w:fill="auto"/>
            <w:vAlign w:val="center"/>
          </w:tcPr>
          <w:p w14:paraId="4D10DA9B">
            <w:pPr>
              <w:jc w:val="center"/>
              <w:rPr>
                <w:rFonts w:ascii="宋体" w:hAnsi="宋体" w:cs="宋体"/>
                <w:iCs/>
                <w:color w:val="000000"/>
                <w:kern w:val="0"/>
                <w:sz w:val="18"/>
                <w:szCs w:val="18"/>
              </w:rPr>
            </w:pPr>
            <w:r>
              <w:rPr>
                <w:rFonts w:hint="eastAsia" w:ascii="宋体" w:hAnsi="宋体" w:cs="宋体"/>
                <w:iCs/>
                <w:color w:val="000000"/>
                <w:kern w:val="0"/>
                <w:sz w:val="18"/>
                <w:szCs w:val="18"/>
              </w:rPr>
              <w:t>100.00%</w:t>
            </w:r>
          </w:p>
        </w:tc>
        <w:tc>
          <w:tcPr>
            <w:tcW w:w="1380" w:type="dxa"/>
            <w:tcBorders>
              <w:top w:val="nil"/>
              <w:left w:val="nil"/>
              <w:bottom w:val="single" w:color="auto" w:sz="4" w:space="0"/>
              <w:right w:val="single" w:color="auto" w:sz="4" w:space="0"/>
            </w:tcBorders>
            <w:shd w:val="clear" w:color="auto" w:fill="auto"/>
            <w:vAlign w:val="center"/>
          </w:tcPr>
          <w:p w14:paraId="69943A3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1072.82 </w:t>
            </w:r>
          </w:p>
        </w:tc>
        <w:tc>
          <w:tcPr>
            <w:tcW w:w="1384" w:type="dxa"/>
            <w:tcBorders>
              <w:top w:val="nil"/>
              <w:left w:val="nil"/>
              <w:bottom w:val="single" w:color="auto" w:sz="4" w:space="0"/>
              <w:right w:val="single" w:color="auto" w:sz="4" w:space="0"/>
            </w:tcBorders>
            <w:shd w:val="clear" w:color="auto" w:fill="auto"/>
            <w:vAlign w:val="center"/>
          </w:tcPr>
          <w:p w14:paraId="647A7B9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399.15 </w:t>
            </w:r>
          </w:p>
        </w:tc>
        <w:tc>
          <w:tcPr>
            <w:tcW w:w="993" w:type="dxa"/>
            <w:tcBorders>
              <w:top w:val="nil"/>
              <w:left w:val="nil"/>
              <w:bottom w:val="single" w:color="auto" w:sz="4" w:space="0"/>
              <w:right w:val="single" w:color="auto" w:sz="4" w:space="0"/>
            </w:tcBorders>
            <w:shd w:val="clear" w:color="auto" w:fill="auto"/>
            <w:vAlign w:val="center"/>
          </w:tcPr>
          <w:p w14:paraId="5B10433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422" w:type="dxa"/>
            <w:tcBorders>
              <w:top w:val="nil"/>
              <w:left w:val="nil"/>
              <w:bottom w:val="single" w:color="auto" w:sz="4" w:space="0"/>
              <w:right w:val="single" w:color="auto" w:sz="4" w:space="0"/>
            </w:tcBorders>
            <w:shd w:val="clear" w:color="auto" w:fill="auto"/>
            <w:vAlign w:val="center"/>
          </w:tcPr>
          <w:p w14:paraId="2867E48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673.67 </w:t>
            </w:r>
          </w:p>
        </w:tc>
      </w:tr>
      <w:tr w14:paraId="178DE9DE">
        <w:tblPrEx>
          <w:tblCellMar>
            <w:top w:w="0" w:type="dxa"/>
            <w:left w:w="108" w:type="dxa"/>
            <w:bottom w:w="0" w:type="dxa"/>
            <w:right w:w="108" w:type="dxa"/>
          </w:tblCellMar>
        </w:tblPrEx>
        <w:trPr>
          <w:trHeight w:val="300" w:hRule="atLeast"/>
          <w:jc w:val="center"/>
        </w:trPr>
        <w:tc>
          <w:tcPr>
            <w:tcW w:w="27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D9ABAC">
            <w:pPr>
              <w:jc w:val="center"/>
              <w:rPr>
                <w:rFonts w:ascii="宋体" w:hAnsi="宋体" w:cs="宋体"/>
                <w:iCs/>
                <w:color w:val="000000"/>
                <w:kern w:val="0"/>
                <w:sz w:val="18"/>
                <w:szCs w:val="18"/>
              </w:rPr>
            </w:pPr>
            <w:r>
              <w:rPr>
                <w:rFonts w:hint="eastAsia" w:ascii="宋体" w:hAnsi="宋体" w:cs="宋体"/>
                <w:iCs/>
                <w:color w:val="000000"/>
                <w:kern w:val="0"/>
                <w:sz w:val="18"/>
                <w:szCs w:val="18"/>
              </w:rPr>
              <w:t>比值</w:t>
            </w:r>
          </w:p>
        </w:tc>
        <w:tc>
          <w:tcPr>
            <w:tcW w:w="1380" w:type="dxa"/>
            <w:tcBorders>
              <w:top w:val="nil"/>
              <w:left w:val="nil"/>
              <w:bottom w:val="single" w:color="auto" w:sz="4" w:space="0"/>
              <w:right w:val="single" w:color="auto" w:sz="4" w:space="0"/>
            </w:tcBorders>
            <w:shd w:val="clear" w:color="auto" w:fill="auto"/>
            <w:vAlign w:val="center"/>
          </w:tcPr>
          <w:p w14:paraId="3370F04F">
            <w:pPr>
              <w:jc w:val="center"/>
              <w:rPr>
                <w:rFonts w:ascii="宋体" w:hAnsi="宋体" w:cs="宋体"/>
                <w:iCs/>
                <w:color w:val="000000"/>
                <w:kern w:val="0"/>
                <w:sz w:val="18"/>
                <w:szCs w:val="18"/>
              </w:rPr>
            </w:pPr>
            <w:r>
              <w:rPr>
                <w:rFonts w:hint="eastAsia" w:ascii="宋体" w:hAnsi="宋体" w:cs="宋体"/>
                <w:iCs/>
                <w:color w:val="000000"/>
                <w:kern w:val="0"/>
                <w:sz w:val="18"/>
                <w:szCs w:val="18"/>
              </w:rPr>
              <w:t>100.00%</w:t>
            </w:r>
          </w:p>
        </w:tc>
        <w:tc>
          <w:tcPr>
            <w:tcW w:w="1384" w:type="dxa"/>
            <w:tcBorders>
              <w:top w:val="nil"/>
              <w:left w:val="nil"/>
              <w:bottom w:val="single" w:color="auto" w:sz="4" w:space="0"/>
              <w:right w:val="single" w:color="auto" w:sz="4" w:space="0"/>
            </w:tcBorders>
            <w:shd w:val="clear" w:color="auto" w:fill="auto"/>
            <w:vAlign w:val="center"/>
          </w:tcPr>
          <w:p w14:paraId="7DE0C7CA">
            <w:pPr>
              <w:jc w:val="center"/>
              <w:rPr>
                <w:rFonts w:ascii="宋体" w:hAnsi="宋体" w:cs="宋体"/>
                <w:iCs/>
                <w:color w:val="000000"/>
                <w:kern w:val="0"/>
                <w:sz w:val="18"/>
                <w:szCs w:val="18"/>
              </w:rPr>
            </w:pPr>
            <w:r>
              <w:rPr>
                <w:rFonts w:hint="eastAsia" w:ascii="宋体" w:hAnsi="宋体" w:cs="宋体"/>
                <w:iCs/>
                <w:color w:val="000000"/>
                <w:kern w:val="0"/>
                <w:sz w:val="18"/>
                <w:szCs w:val="18"/>
              </w:rPr>
              <w:t>37.20%</w:t>
            </w:r>
          </w:p>
        </w:tc>
        <w:tc>
          <w:tcPr>
            <w:tcW w:w="993" w:type="dxa"/>
            <w:tcBorders>
              <w:top w:val="nil"/>
              <w:left w:val="nil"/>
              <w:bottom w:val="single" w:color="auto" w:sz="4" w:space="0"/>
              <w:right w:val="single" w:color="auto" w:sz="4" w:space="0"/>
            </w:tcBorders>
            <w:shd w:val="clear" w:color="auto" w:fill="auto"/>
            <w:vAlign w:val="center"/>
          </w:tcPr>
          <w:p w14:paraId="78D5AEFD">
            <w:pPr>
              <w:jc w:val="center"/>
              <w:rPr>
                <w:rFonts w:ascii="宋体" w:hAnsi="宋体" w:cs="宋体"/>
                <w:iCs/>
                <w:color w:val="000000"/>
                <w:kern w:val="0"/>
                <w:sz w:val="18"/>
                <w:szCs w:val="18"/>
              </w:rPr>
            </w:pPr>
            <w:r>
              <w:rPr>
                <w:rFonts w:hint="eastAsia" w:ascii="宋体" w:hAnsi="宋体" w:cs="宋体"/>
                <w:iCs/>
                <w:color w:val="000000"/>
                <w:kern w:val="0"/>
                <w:sz w:val="18"/>
                <w:szCs w:val="18"/>
              </w:rPr>
              <w:t>0%</w:t>
            </w:r>
          </w:p>
        </w:tc>
        <w:tc>
          <w:tcPr>
            <w:tcW w:w="1422" w:type="dxa"/>
            <w:tcBorders>
              <w:top w:val="nil"/>
              <w:left w:val="nil"/>
              <w:bottom w:val="single" w:color="auto" w:sz="4" w:space="0"/>
              <w:right w:val="single" w:color="auto" w:sz="4" w:space="0"/>
            </w:tcBorders>
            <w:shd w:val="clear" w:color="auto" w:fill="auto"/>
            <w:vAlign w:val="center"/>
          </w:tcPr>
          <w:p w14:paraId="291696AF">
            <w:pPr>
              <w:jc w:val="center"/>
              <w:rPr>
                <w:rFonts w:ascii="宋体" w:hAnsi="宋体" w:cs="宋体"/>
                <w:iCs/>
                <w:color w:val="000000"/>
                <w:kern w:val="0"/>
                <w:sz w:val="18"/>
                <w:szCs w:val="18"/>
              </w:rPr>
            </w:pPr>
            <w:r>
              <w:rPr>
                <w:rFonts w:hint="eastAsia" w:ascii="宋体" w:hAnsi="宋体" w:cs="宋体"/>
                <w:iCs/>
                <w:color w:val="000000"/>
                <w:kern w:val="0"/>
                <w:sz w:val="18"/>
                <w:szCs w:val="18"/>
              </w:rPr>
              <w:t>62.80%</w:t>
            </w:r>
          </w:p>
        </w:tc>
      </w:tr>
    </w:tbl>
    <w:p w14:paraId="1B8AEA6D">
      <w:pPr>
        <w:ind w:firstLine="565" w:firstLineChars="202"/>
        <w:rPr>
          <w:rFonts w:ascii="仿宋" w:hAnsi="仿宋" w:eastAsia="仿宋" w:cs="仿宋"/>
          <w:sz w:val="28"/>
          <w:szCs w:val="28"/>
        </w:rPr>
      </w:pPr>
      <w:r>
        <w:rPr>
          <w:rFonts w:hint="eastAsia" w:ascii="仿宋" w:hAnsi="仿宋" w:eastAsia="仿宋" w:cs="仿宋"/>
          <w:sz w:val="28"/>
          <w:szCs w:val="28"/>
        </w:rPr>
        <w:t>（2）调入坡度情况</w:t>
      </w:r>
    </w:p>
    <w:p w14:paraId="56C4DFA6">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东川区本次调入基本农田16092.3公顷，其中0～2度调入213.30公顷，占19.9%；2～6度调入243.81公顷，占22.7%；6～15度调入385.95公顷，占36.0%；15～25度调入229.77公顷，占21.4%；25°以上无调入基本农田。</w:t>
      </w:r>
    </w:p>
    <w:p w14:paraId="1C545FD4">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585390B6">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0A9D4D13">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34E54E51">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4E1E855B">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002B6B32">
      <w:pPr>
        <w:jc w:val="center"/>
        <w:outlineLvl w:val="4"/>
        <w:rPr>
          <w:rFonts w:ascii="宋体" w:hAnsi="宋体"/>
          <w:b/>
          <w:sz w:val="24"/>
        </w:rPr>
      </w:pPr>
      <w:r>
        <w:rPr>
          <w:rFonts w:hint="eastAsia" w:ascii="宋体" w:hAnsi="宋体"/>
          <w:b/>
          <w:sz w:val="24"/>
        </w:rPr>
        <w:t>表4-5  东川区调入基本农田坡度情况统计表</w:t>
      </w:r>
    </w:p>
    <w:p w14:paraId="545ED524">
      <w:pPr>
        <w:spacing w:line="360" w:lineRule="auto"/>
        <w:ind w:right="720" w:firstLine="360" w:firstLineChars="200"/>
        <w:jc w:val="right"/>
        <w:rPr>
          <w:rFonts w:ascii="宋体" w:hAnsi="宋体" w:cs="宋体"/>
          <w:iCs/>
          <w:color w:val="000000"/>
          <w:kern w:val="0"/>
          <w:sz w:val="18"/>
          <w:szCs w:val="18"/>
        </w:rPr>
      </w:pPr>
      <w:r>
        <w:rPr>
          <w:rFonts w:hint="eastAsia" w:ascii="宋体" w:hAnsi="宋体" w:cs="宋体"/>
          <w:iCs/>
          <w:color w:val="000000"/>
          <w:kern w:val="0"/>
          <w:sz w:val="18"/>
          <w:szCs w:val="18"/>
        </w:rPr>
        <w:t>单位：公顷</w:t>
      </w:r>
    </w:p>
    <w:tbl>
      <w:tblPr>
        <w:tblStyle w:val="27"/>
        <w:tblW w:w="8553" w:type="dxa"/>
        <w:jc w:val="center"/>
        <w:tblLayout w:type="autofit"/>
        <w:tblCellMar>
          <w:top w:w="0" w:type="dxa"/>
          <w:left w:w="108" w:type="dxa"/>
          <w:bottom w:w="0" w:type="dxa"/>
          <w:right w:w="108" w:type="dxa"/>
        </w:tblCellMar>
      </w:tblPr>
      <w:tblGrid>
        <w:gridCol w:w="1236"/>
        <w:gridCol w:w="1656"/>
        <w:gridCol w:w="1190"/>
        <w:gridCol w:w="1170"/>
        <w:gridCol w:w="1040"/>
        <w:gridCol w:w="1301"/>
        <w:gridCol w:w="960"/>
      </w:tblGrid>
      <w:tr w14:paraId="0C8E4B80">
        <w:tblPrEx>
          <w:tblCellMar>
            <w:top w:w="0" w:type="dxa"/>
            <w:left w:w="108" w:type="dxa"/>
            <w:bottom w:w="0" w:type="dxa"/>
            <w:right w:w="108" w:type="dxa"/>
          </w:tblCellMar>
        </w:tblPrEx>
        <w:trPr>
          <w:trHeight w:val="312" w:hRule="atLeast"/>
          <w:jc w:val="center"/>
        </w:trPr>
        <w:tc>
          <w:tcPr>
            <w:tcW w:w="12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38BA16">
            <w:pPr>
              <w:jc w:val="center"/>
              <w:rPr>
                <w:rFonts w:ascii="宋体" w:hAnsi="宋体" w:cs="宋体"/>
                <w:b/>
                <w:iCs/>
                <w:color w:val="000000"/>
                <w:kern w:val="0"/>
                <w:sz w:val="18"/>
                <w:szCs w:val="18"/>
              </w:rPr>
            </w:pPr>
            <w:r>
              <w:rPr>
                <w:rFonts w:hint="eastAsia" w:ascii="宋体" w:hAnsi="宋体" w:cs="宋体"/>
                <w:b/>
                <w:iCs/>
                <w:color w:val="000000"/>
                <w:kern w:val="0"/>
                <w:sz w:val="18"/>
                <w:szCs w:val="18"/>
              </w:rPr>
              <w:t>行政辖区</w:t>
            </w:r>
          </w:p>
        </w:tc>
        <w:tc>
          <w:tcPr>
            <w:tcW w:w="16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852855C">
            <w:pPr>
              <w:jc w:val="center"/>
              <w:rPr>
                <w:rFonts w:ascii="宋体" w:hAnsi="宋体" w:cs="宋体"/>
                <w:b/>
                <w:iCs/>
                <w:color w:val="000000"/>
                <w:kern w:val="0"/>
                <w:sz w:val="18"/>
                <w:szCs w:val="18"/>
              </w:rPr>
            </w:pPr>
            <w:r>
              <w:rPr>
                <w:rFonts w:hint="eastAsia" w:ascii="宋体" w:hAnsi="宋体" w:cs="宋体"/>
                <w:b/>
                <w:iCs/>
                <w:color w:val="000000"/>
                <w:kern w:val="0"/>
                <w:sz w:val="18"/>
                <w:szCs w:val="18"/>
              </w:rPr>
              <w:t>基本农田面积</w:t>
            </w:r>
          </w:p>
        </w:tc>
        <w:tc>
          <w:tcPr>
            <w:tcW w:w="5661" w:type="dxa"/>
            <w:gridSpan w:val="5"/>
            <w:tcBorders>
              <w:top w:val="single" w:color="auto" w:sz="4" w:space="0"/>
              <w:left w:val="nil"/>
              <w:bottom w:val="single" w:color="auto" w:sz="4" w:space="0"/>
              <w:right w:val="single" w:color="auto" w:sz="4" w:space="0"/>
            </w:tcBorders>
            <w:shd w:val="clear" w:color="auto" w:fill="auto"/>
            <w:vAlign w:val="center"/>
          </w:tcPr>
          <w:p w14:paraId="30CB2FFD">
            <w:pPr>
              <w:jc w:val="center"/>
              <w:rPr>
                <w:rFonts w:ascii="宋体" w:hAnsi="宋体" w:cs="宋体"/>
                <w:b/>
                <w:iCs/>
                <w:color w:val="000000"/>
                <w:kern w:val="0"/>
                <w:sz w:val="18"/>
                <w:szCs w:val="18"/>
              </w:rPr>
            </w:pPr>
            <w:r>
              <w:rPr>
                <w:rFonts w:hint="eastAsia" w:ascii="宋体" w:hAnsi="宋体" w:cs="宋体"/>
                <w:b/>
                <w:iCs/>
                <w:color w:val="000000"/>
                <w:kern w:val="0"/>
                <w:sz w:val="18"/>
                <w:szCs w:val="18"/>
              </w:rPr>
              <w:t>耕地坡度构成</w:t>
            </w:r>
          </w:p>
        </w:tc>
      </w:tr>
      <w:tr w14:paraId="47968CB9">
        <w:tblPrEx>
          <w:tblCellMar>
            <w:top w:w="0" w:type="dxa"/>
            <w:left w:w="108" w:type="dxa"/>
            <w:bottom w:w="0" w:type="dxa"/>
            <w:right w:w="108" w:type="dxa"/>
          </w:tblCellMar>
        </w:tblPrEx>
        <w:trPr>
          <w:trHeight w:val="312" w:hRule="atLeast"/>
          <w:jc w:val="center"/>
        </w:trPr>
        <w:tc>
          <w:tcPr>
            <w:tcW w:w="1236" w:type="dxa"/>
            <w:vMerge w:val="continue"/>
            <w:tcBorders>
              <w:top w:val="single" w:color="auto" w:sz="4" w:space="0"/>
              <w:left w:val="single" w:color="auto" w:sz="4" w:space="0"/>
              <w:bottom w:val="single" w:color="auto" w:sz="4" w:space="0"/>
              <w:right w:val="single" w:color="auto" w:sz="4" w:space="0"/>
            </w:tcBorders>
            <w:vAlign w:val="center"/>
          </w:tcPr>
          <w:p w14:paraId="62904450">
            <w:pPr>
              <w:jc w:val="center"/>
              <w:rPr>
                <w:rFonts w:ascii="宋体" w:hAnsi="宋体" w:cs="宋体"/>
                <w:b/>
                <w:iCs/>
                <w:color w:val="000000"/>
                <w:kern w:val="0"/>
                <w:sz w:val="18"/>
                <w:szCs w:val="18"/>
              </w:rPr>
            </w:pPr>
          </w:p>
        </w:tc>
        <w:tc>
          <w:tcPr>
            <w:tcW w:w="1656" w:type="dxa"/>
            <w:vMerge w:val="continue"/>
            <w:tcBorders>
              <w:top w:val="single" w:color="auto" w:sz="4" w:space="0"/>
              <w:left w:val="single" w:color="auto" w:sz="4" w:space="0"/>
              <w:bottom w:val="single" w:color="auto" w:sz="4" w:space="0"/>
              <w:right w:val="single" w:color="auto" w:sz="4" w:space="0"/>
            </w:tcBorders>
            <w:vAlign w:val="center"/>
          </w:tcPr>
          <w:p w14:paraId="04C1AE0A">
            <w:pPr>
              <w:jc w:val="center"/>
              <w:rPr>
                <w:rFonts w:ascii="宋体" w:hAnsi="宋体" w:cs="宋体"/>
                <w:b/>
                <w:iCs/>
                <w:color w:val="000000"/>
                <w:kern w:val="0"/>
                <w:sz w:val="18"/>
                <w:szCs w:val="18"/>
              </w:rPr>
            </w:pPr>
          </w:p>
        </w:tc>
        <w:tc>
          <w:tcPr>
            <w:tcW w:w="1190" w:type="dxa"/>
            <w:tcBorders>
              <w:top w:val="nil"/>
              <w:left w:val="nil"/>
              <w:bottom w:val="single" w:color="auto" w:sz="4" w:space="0"/>
              <w:right w:val="single" w:color="auto" w:sz="4" w:space="0"/>
            </w:tcBorders>
            <w:shd w:val="clear" w:color="auto" w:fill="auto"/>
            <w:vAlign w:val="center"/>
          </w:tcPr>
          <w:p w14:paraId="1967AE39">
            <w:pPr>
              <w:jc w:val="center"/>
              <w:rPr>
                <w:rFonts w:ascii="宋体" w:hAnsi="宋体" w:cs="宋体"/>
                <w:b/>
                <w:iCs/>
                <w:color w:val="000000"/>
                <w:kern w:val="0"/>
                <w:sz w:val="18"/>
                <w:szCs w:val="18"/>
              </w:rPr>
            </w:pPr>
            <w:r>
              <w:rPr>
                <w:rFonts w:hint="eastAsia" w:ascii="宋体" w:hAnsi="宋体" w:cs="宋体"/>
                <w:b/>
                <w:iCs/>
                <w:color w:val="000000"/>
                <w:kern w:val="0"/>
                <w:sz w:val="18"/>
                <w:szCs w:val="18"/>
              </w:rPr>
              <w:t>≤2°</w:t>
            </w:r>
          </w:p>
        </w:tc>
        <w:tc>
          <w:tcPr>
            <w:tcW w:w="1170" w:type="dxa"/>
            <w:tcBorders>
              <w:top w:val="nil"/>
              <w:left w:val="nil"/>
              <w:bottom w:val="single" w:color="auto" w:sz="4" w:space="0"/>
              <w:right w:val="single" w:color="auto" w:sz="4" w:space="0"/>
            </w:tcBorders>
            <w:shd w:val="clear" w:color="auto" w:fill="auto"/>
            <w:vAlign w:val="center"/>
          </w:tcPr>
          <w:p w14:paraId="74108908">
            <w:pPr>
              <w:jc w:val="center"/>
              <w:rPr>
                <w:rFonts w:ascii="宋体" w:hAnsi="宋体" w:cs="宋体"/>
                <w:b/>
                <w:iCs/>
                <w:color w:val="000000"/>
                <w:kern w:val="0"/>
                <w:sz w:val="18"/>
                <w:szCs w:val="18"/>
              </w:rPr>
            </w:pPr>
            <w:r>
              <w:rPr>
                <w:rFonts w:hint="eastAsia" w:ascii="宋体" w:hAnsi="宋体" w:cs="宋体"/>
                <w:b/>
                <w:iCs/>
                <w:color w:val="000000"/>
                <w:kern w:val="0"/>
                <w:sz w:val="18"/>
                <w:szCs w:val="18"/>
              </w:rPr>
              <w:t>2°～6°</w:t>
            </w:r>
          </w:p>
        </w:tc>
        <w:tc>
          <w:tcPr>
            <w:tcW w:w="1040" w:type="dxa"/>
            <w:tcBorders>
              <w:top w:val="nil"/>
              <w:left w:val="nil"/>
              <w:bottom w:val="single" w:color="auto" w:sz="4" w:space="0"/>
              <w:right w:val="single" w:color="auto" w:sz="4" w:space="0"/>
            </w:tcBorders>
            <w:shd w:val="clear" w:color="auto" w:fill="auto"/>
            <w:vAlign w:val="center"/>
          </w:tcPr>
          <w:p w14:paraId="26DE2F0E">
            <w:pPr>
              <w:jc w:val="center"/>
              <w:rPr>
                <w:rFonts w:ascii="宋体" w:hAnsi="宋体" w:cs="宋体"/>
                <w:b/>
                <w:iCs/>
                <w:color w:val="000000"/>
                <w:kern w:val="0"/>
                <w:sz w:val="18"/>
                <w:szCs w:val="18"/>
              </w:rPr>
            </w:pPr>
            <w:r>
              <w:rPr>
                <w:rFonts w:hint="eastAsia" w:ascii="宋体" w:hAnsi="宋体" w:cs="宋体"/>
                <w:b/>
                <w:iCs/>
                <w:color w:val="000000"/>
                <w:kern w:val="0"/>
                <w:sz w:val="18"/>
                <w:szCs w:val="18"/>
              </w:rPr>
              <w:t>6°～15°</w:t>
            </w:r>
          </w:p>
        </w:tc>
        <w:tc>
          <w:tcPr>
            <w:tcW w:w="1301" w:type="dxa"/>
            <w:tcBorders>
              <w:top w:val="nil"/>
              <w:left w:val="nil"/>
              <w:bottom w:val="single" w:color="auto" w:sz="4" w:space="0"/>
              <w:right w:val="single" w:color="auto" w:sz="4" w:space="0"/>
            </w:tcBorders>
            <w:shd w:val="clear" w:color="auto" w:fill="auto"/>
            <w:vAlign w:val="center"/>
          </w:tcPr>
          <w:p w14:paraId="1D626FC3">
            <w:pPr>
              <w:jc w:val="center"/>
              <w:rPr>
                <w:rFonts w:ascii="宋体" w:hAnsi="宋体" w:cs="宋体"/>
                <w:b/>
                <w:iCs/>
                <w:color w:val="000000"/>
                <w:kern w:val="0"/>
                <w:sz w:val="18"/>
                <w:szCs w:val="18"/>
              </w:rPr>
            </w:pPr>
            <w:r>
              <w:rPr>
                <w:rFonts w:hint="eastAsia" w:ascii="宋体" w:hAnsi="宋体" w:cs="宋体"/>
                <w:b/>
                <w:iCs/>
                <w:color w:val="000000"/>
                <w:kern w:val="0"/>
                <w:sz w:val="18"/>
                <w:szCs w:val="18"/>
              </w:rPr>
              <w:t>15°～25°</w:t>
            </w:r>
          </w:p>
        </w:tc>
        <w:tc>
          <w:tcPr>
            <w:tcW w:w="960" w:type="dxa"/>
            <w:tcBorders>
              <w:top w:val="nil"/>
              <w:left w:val="nil"/>
              <w:bottom w:val="single" w:color="auto" w:sz="4" w:space="0"/>
              <w:right w:val="single" w:color="auto" w:sz="4" w:space="0"/>
            </w:tcBorders>
            <w:shd w:val="clear" w:color="auto" w:fill="auto"/>
            <w:vAlign w:val="center"/>
          </w:tcPr>
          <w:p w14:paraId="075F388E">
            <w:pPr>
              <w:jc w:val="center"/>
              <w:rPr>
                <w:rFonts w:ascii="宋体" w:hAnsi="宋体" w:cs="宋体"/>
                <w:b/>
                <w:iCs/>
                <w:color w:val="000000"/>
                <w:kern w:val="0"/>
                <w:sz w:val="18"/>
                <w:szCs w:val="18"/>
              </w:rPr>
            </w:pPr>
            <w:r>
              <w:rPr>
                <w:rFonts w:hint="eastAsia" w:ascii="宋体" w:hAnsi="宋体" w:cs="宋体"/>
                <w:b/>
                <w:iCs/>
                <w:color w:val="000000"/>
                <w:kern w:val="0"/>
                <w:sz w:val="18"/>
                <w:szCs w:val="18"/>
              </w:rPr>
              <w:t>＞25°</w:t>
            </w:r>
          </w:p>
        </w:tc>
      </w:tr>
      <w:tr w14:paraId="7707661D">
        <w:tblPrEx>
          <w:tblCellMar>
            <w:top w:w="0" w:type="dxa"/>
            <w:left w:w="108" w:type="dxa"/>
            <w:bottom w:w="0" w:type="dxa"/>
            <w:right w:w="108" w:type="dxa"/>
          </w:tblCellMar>
        </w:tblPrEx>
        <w:trPr>
          <w:trHeight w:val="312" w:hRule="atLeast"/>
          <w:jc w:val="center"/>
        </w:trPr>
        <w:tc>
          <w:tcPr>
            <w:tcW w:w="1236" w:type="dxa"/>
            <w:tcBorders>
              <w:top w:val="nil"/>
              <w:left w:val="single" w:color="auto" w:sz="4" w:space="0"/>
              <w:bottom w:val="single" w:color="auto" w:sz="4" w:space="0"/>
              <w:right w:val="single" w:color="auto" w:sz="4" w:space="0"/>
            </w:tcBorders>
            <w:shd w:val="clear" w:color="auto" w:fill="auto"/>
            <w:vAlign w:val="center"/>
          </w:tcPr>
          <w:p w14:paraId="4A804E9C">
            <w:pPr>
              <w:jc w:val="center"/>
              <w:rPr>
                <w:rFonts w:ascii="宋体" w:hAnsi="宋体" w:cs="宋体"/>
                <w:iCs/>
                <w:color w:val="000000"/>
                <w:kern w:val="0"/>
                <w:sz w:val="18"/>
                <w:szCs w:val="18"/>
              </w:rPr>
            </w:pPr>
            <w:r>
              <w:rPr>
                <w:rFonts w:hint="eastAsia" w:ascii="宋体" w:hAnsi="宋体" w:cs="宋体"/>
                <w:iCs/>
                <w:color w:val="000000"/>
                <w:kern w:val="0"/>
                <w:sz w:val="18"/>
                <w:szCs w:val="18"/>
              </w:rPr>
              <w:t>铜都街道</w:t>
            </w:r>
          </w:p>
        </w:tc>
        <w:tc>
          <w:tcPr>
            <w:tcW w:w="1656" w:type="dxa"/>
            <w:tcBorders>
              <w:top w:val="nil"/>
              <w:left w:val="nil"/>
              <w:bottom w:val="single" w:color="auto" w:sz="4" w:space="0"/>
              <w:right w:val="single" w:color="auto" w:sz="4" w:space="0"/>
            </w:tcBorders>
            <w:shd w:val="clear" w:color="auto" w:fill="auto"/>
            <w:vAlign w:val="center"/>
          </w:tcPr>
          <w:p w14:paraId="5A104D1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174.87 </w:t>
            </w:r>
          </w:p>
        </w:tc>
        <w:tc>
          <w:tcPr>
            <w:tcW w:w="1190" w:type="dxa"/>
            <w:tcBorders>
              <w:top w:val="nil"/>
              <w:left w:val="nil"/>
              <w:bottom w:val="single" w:color="auto" w:sz="4" w:space="0"/>
              <w:right w:val="single" w:color="auto" w:sz="4" w:space="0"/>
            </w:tcBorders>
            <w:shd w:val="clear" w:color="auto" w:fill="auto"/>
            <w:vAlign w:val="center"/>
          </w:tcPr>
          <w:p w14:paraId="21DF7A3C">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27.08 </w:t>
            </w:r>
          </w:p>
        </w:tc>
        <w:tc>
          <w:tcPr>
            <w:tcW w:w="1170" w:type="dxa"/>
            <w:tcBorders>
              <w:top w:val="nil"/>
              <w:left w:val="nil"/>
              <w:bottom w:val="single" w:color="auto" w:sz="4" w:space="0"/>
              <w:right w:val="single" w:color="auto" w:sz="4" w:space="0"/>
            </w:tcBorders>
            <w:shd w:val="clear" w:color="auto" w:fill="auto"/>
            <w:vAlign w:val="center"/>
          </w:tcPr>
          <w:p w14:paraId="117E150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54.50 </w:t>
            </w:r>
          </w:p>
        </w:tc>
        <w:tc>
          <w:tcPr>
            <w:tcW w:w="1040" w:type="dxa"/>
            <w:tcBorders>
              <w:top w:val="nil"/>
              <w:left w:val="nil"/>
              <w:bottom w:val="single" w:color="auto" w:sz="4" w:space="0"/>
              <w:right w:val="single" w:color="auto" w:sz="4" w:space="0"/>
            </w:tcBorders>
            <w:shd w:val="clear" w:color="auto" w:fill="auto"/>
            <w:vAlign w:val="center"/>
          </w:tcPr>
          <w:p w14:paraId="0FCC0A6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77.36 </w:t>
            </w:r>
          </w:p>
        </w:tc>
        <w:tc>
          <w:tcPr>
            <w:tcW w:w="1301" w:type="dxa"/>
            <w:tcBorders>
              <w:top w:val="nil"/>
              <w:left w:val="nil"/>
              <w:bottom w:val="single" w:color="auto" w:sz="4" w:space="0"/>
              <w:right w:val="single" w:color="auto" w:sz="4" w:space="0"/>
            </w:tcBorders>
            <w:shd w:val="clear" w:color="auto" w:fill="auto"/>
            <w:vAlign w:val="center"/>
          </w:tcPr>
          <w:p w14:paraId="3626E4D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15.93 </w:t>
            </w:r>
          </w:p>
        </w:tc>
        <w:tc>
          <w:tcPr>
            <w:tcW w:w="960" w:type="dxa"/>
            <w:tcBorders>
              <w:top w:val="nil"/>
              <w:left w:val="nil"/>
              <w:bottom w:val="single" w:color="auto" w:sz="4" w:space="0"/>
              <w:right w:val="single" w:color="auto" w:sz="4" w:space="0"/>
            </w:tcBorders>
            <w:shd w:val="clear" w:color="auto" w:fill="auto"/>
          </w:tcPr>
          <w:p w14:paraId="176ABDBA">
            <w:pPr>
              <w:jc w:val="center"/>
            </w:pPr>
            <w:r>
              <w:rPr>
                <w:rFonts w:hint="eastAsia" w:ascii="宋体" w:hAnsi="宋体" w:cs="宋体"/>
                <w:iCs/>
                <w:color w:val="000000"/>
                <w:kern w:val="0"/>
                <w:sz w:val="18"/>
                <w:szCs w:val="18"/>
              </w:rPr>
              <w:t>0</w:t>
            </w:r>
          </w:p>
        </w:tc>
      </w:tr>
      <w:tr w14:paraId="30D13D57">
        <w:tblPrEx>
          <w:tblCellMar>
            <w:top w:w="0" w:type="dxa"/>
            <w:left w:w="108" w:type="dxa"/>
            <w:bottom w:w="0" w:type="dxa"/>
            <w:right w:w="108" w:type="dxa"/>
          </w:tblCellMar>
        </w:tblPrEx>
        <w:trPr>
          <w:trHeight w:val="312" w:hRule="atLeast"/>
          <w:jc w:val="center"/>
        </w:trPr>
        <w:tc>
          <w:tcPr>
            <w:tcW w:w="1236" w:type="dxa"/>
            <w:tcBorders>
              <w:top w:val="nil"/>
              <w:left w:val="single" w:color="auto" w:sz="4" w:space="0"/>
              <w:bottom w:val="single" w:color="auto" w:sz="4" w:space="0"/>
              <w:right w:val="single" w:color="auto" w:sz="4" w:space="0"/>
            </w:tcBorders>
            <w:shd w:val="clear" w:color="auto" w:fill="auto"/>
            <w:vAlign w:val="center"/>
          </w:tcPr>
          <w:p w14:paraId="16324E1D">
            <w:pPr>
              <w:jc w:val="center"/>
              <w:rPr>
                <w:rFonts w:ascii="宋体" w:hAnsi="宋体" w:cs="宋体"/>
                <w:iCs/>
                <w:color w:val="000000"/>
                <w:kern w:val="0"/>
                <w:sz w:val="18"/>
                <w:szCs w:val="18"/>
              </w:rPr>
            </w:pPr>
            <w:r>
              <w:rPr>
                <w:rFonts w:hint="eastAsia" w:ascii="宋体" w:hAnsi="宋体" w:cs="宋体"/>
                <w:iCs/>
                <w:color w:val="000000"/>
                <w:kern w:val="0"/>
                <w:sz w:val="18"/>
                <w:szCs w:val="18"/>
              </w:rPr>
              <w:t>阿旺镇</w:t>
            </w:r>
          </w:p>
        </w:tc>
        <w:tc>
          <w:tcPr>
            <w:tcW w:w="1656" w:type="dxa"/>
            <w:tcBorders>
              <w:top w:val="nil"/>
              <w:left w:val="nil"/>
              <w:bottom w:val="single" w:color="auto" w:sz="4" w:space="0"/>
              <w:right w:val="single" w:color="auto" w:sz="4" w:space="0"/>
            </w:tcBorders>
            <w:shd w:val="clear" w:color="auto" w:fill="auto"/>
            <w:vAlign w:val="center"/>
          </w:tcPr>
          <w:p w14:paraId="5FB14ECC">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170.43 </w:t>
            </w:r>
          </w:p>
        </w:tc>
        <w:tc>
          <w:tcPr>
            <w:tcW w:w="1190" w:type="dxa"/>
            <w:tcBorders>
              <w:top w:val="nil"/>
              <w:left w:val="nil"/>
              <w:bottom w:val="single" w:color="auto" w:sz="4" w:space="0"/>
              <w:right w:val="single" w:color="auto" w:sz="4" w:space="0"/>
            </w:tcBorders>
            <w:shd w:val="clear" w:color="auto" w:fill="auto"/>
            <w:vAlign w:val="center"/>
          </w:tcPr>
          <w:p w14:paraId="2B6AE79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11.38 </w:t>
            </w:r>
          </w:p>
        </w:tc>
        <w:tc>
          <w:tcPr>
            <w:tcW w:w="1170" w:type="dxa"/>
            <w:tcBorders>
              <w:top w:val="nil"/>
              <w:left w:val="nil"/>
              <w:bottom w:val="single" w:color="auto" w:sz="4" w:space="0"/>
              <w:right w:val="single" w:color="auto" w:sz="4" w:space="0"/>
            </w:tcBorders>
            <w:shd w:val="clear" w:color="auto" w:fill="auto"/>
            <w:vAlign w:val="center"/>
          </w:tcPr>
          <w:p w14:paraId="0E33CAA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4.99 </w:t>
            </w:r>
          </w:p>
        </w:tc>
        <w:tc>
          <w:tcPr>
            <w:tcW w:w="1040" w:type="dxa"/>
            <w:tcBorders>
              <w:top w:val="nil"/>
              <w:left w:val="nil"/>
              <w:bottom w:val="single" w:color="auto" w:sz="4" w:space="0"/>
              <w:right w:val="single" w:color="auto" w:sz="4" w:space="0"/>
            </w:tcBorders>
            <w:shd w:val="clear" w:color="auto" w:fill="auto"/>
            <w:vAlign w:val="center"/>
          </w:tcPr>
          <w:p w14:paraId="33351DD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79.51 </w:t>
            </w:r>
          </w:p>
        </w:tc>
        <w:tc>
          <w:tcPr>
            <w:tcW w:w="1301" w:type="dxa"/>
            <w:tcBorders>
              <w:top w:val="nil"/>
              <w:left w:val="nil"/>
              <w:bottom w:val="single" w:color="auto" w:sz="4" w:space="0"/>
              <w:right w:val="single" w:color="auto" w:sz="4" w:space="0"/>
            </w:tcBorders>
            <w:shd w:val="clear" w:color="auto" w:fill="auto"/>
            <w:vAlign w:val="center"/>
          </w:tcPr>
          <w:p w14:paraId="62FAD12C">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74.55 </w:t>
            </w:r>
          </w:p>
        </w:tc>
        <w:tc>
          <w:tcPr>
            <w:tcW w:w="960" w:type="dxa"/>
            <w:tcBorders>
              <w:top w:val="nil"/>
              <w:left w:val="nil"/>
              <w:bottom w:val="single" w:color="auto" w:sz="4" w:space="0"/>
              <w:right w:val="single" w:color="auto" w:sz="4" w:space="0"/>
            </w:tcBorders>
            <w:shd w:val="clear" w:color="auto" w:fill="auto"/>
          </w:tcPr>
          <w:p w14:paraId="68B09292">
            <w:pPr>
              <w:jc w:val="center"/>
            </w:pPr>
            <w:r>
              <w:rPr>
                <w:rFonts w:hint="eastAsia" w:ascii="宋体" w:hAnsi="宋体" w:cs="宋体"/>
                <w:iCs/>
                <w:color w:val="000000"/>
                <w:kern w:val="0"/>
                <w:sz w:val="18"/>
                <w:szCs w:val="18"/>
              </w:rPr>
              <w:t>0</w:t>
            </w:r>
          </w:p>
        </w:tc>
      </w:tr>
      <w:tr w14:paraId="449E53A6">
        <w:tblPrEx>
          <w:tblCellMar>
            <w:top w:w="0" w:type="dxa"/>
            <w:left w:w="108" w:type="dxa"/>
            <w:bottom w:w="0" w:type="dxa"/>
            <w:right w:w="108" w:type="dxa"/>
          </w:tblCellMar>
        </w:tblPrEx>
        <w:trPr>
          <w:trHeight w:val="312" w:hRule="atLeast"/>
          <w:jc w:val="center"/>
        </w:trPr>
        <w:tc>
          <w:tcPr>
            <w:tcW w:w="1236" w:type="dxa"/>
            <w:tcBorders>
              <w:top w:val="nil"/>
              <w:left w:val="single" w:color="auto" w:sz="4" w:space="0"/>
              <w:bottom w:val="single" w:color="auto" w:sz="4" w:space="0"/>
              <w:right w:val="single" w:color="auto" w:sz="4" w:space="0"/>
            </w:tcBorders>
            <w:shd w:val="clear" w:color="auto" w:fill="auto"/>
            <w:vAlign w:val="center"/>
          </w:tcPr>
          <w:p w14:paraId="7A6F6540">
            <w:pPr>
              <w:jc w:val="center"/>
              <w:rPr>
                <w:rFonts w:ascii="宋体" w:hAnsi="宋体" w:cs="宋体"/>
                <w:iCs/>
                <w:color w:val="000000"/>
                <w:kern w:val="0"/>
                <w:sz w:val="18"/>
                <w:szCs w:val="18"/>
              </w:rPr>
            </w:pPr>
            <w:r>
              <w:rPr>
                <w:rFonts w:hint="eastAsia" w:ascii="宋体" w:hAnsi="宋体" w:cs="宋体"/>
                <w:iCs/>
                <w:color w:val="000000"/>
                <w:kern w:val="0"/>
                <w:sz w:val="18"/>
                <w:szCs w:val="18"/>
              </w:rPr>
              <w:t>乌龙镇</w:t>
            </w:r>
          </w:p>
        </w:tc>
        <w:tc>
          <w:tcPr>
            <w:tcW w:w="1656" w:type="dxa"/>
            <w:tcBorders>
              <w:top w:val="nil"/>
              <w:left w:val="nil"/>
              <w:bottom w:val="single" w:color="auto" w:sz="4" w:space="0"/>
              <w:right w:val="single" w:color="auto" w:sz="4" w:space="0"/>
            </w:tcBorders>
            <w:shd w:val="clear" w:color="auto" w:fill="auto"/>
            <w:vAlign w:val="center"/>
          </w:tcPr>
          <w:p w14:paraId="68282A4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288.53 </w:t>
            </w:r>
          </w:p>
        </w:tc>
        <w:tc>
          <w:tcPr>
            <w:tcW w:w="1190" w:type="dxa"/>
            <w:tcBorders>
              <w:top w:val="nil"/>
              <w:left w:val="nil"/>
              <w:bottom w:val="single" w:color="auto" w:sz="4" w:space="0"/>
              <w:right w:val="single" w:color="auto" w:sz="4" w:space="0"/>
            </w:tcBorders>
            <w:shd w:val="clear" w:color="auto" w:fill="auto"/>
            <w:vAlign w:val="center"/>
          </w:tcPr>
          <w:p w14:paraId="4CA418D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15.23 </w:t>
            </w:r>
          </w:p>
        </w:tc>
        <w:tc>
          <w:tcPr>
            <w:tcW w:w="1170" w:type="dxa"/>
            <w:tcBorders>
              <w:top w:val="nil"/>
              <w:left w:val="nil"/>
              <w:bottom w:val="single" w:color="auto" w:sz="4" w:space="0"/>
              <w:right w:val="single" w:color="auto" w:sz="4" w:space="0"/>
            </w:tcBorders>
            <w:shd w:val="clear" w:color="auto" w:fill="auto"/>
            <w:vAlign w:val="center"/>
          </w:tcPr>
          <w:p w14:paraId="365913B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59.54 </w:t>
            </w:r>
          </w:p>
        </w:tc>
        <w:tc>
          <w:tcPr>
            <w:tcW w:w="1040" w:type="dxa"/>
            <w:tcBorders>
              <w:top w:val="nil"/>
              <w:left w:val="nil"/>
              <w:bottom w:val="single" w:color="auto" w:sz="4" w:space="0"/>
              <w:right w:val="single" w:color="auto" w:sz="4" w:space="0"/>
            </w:tcBorders>
            <w:shd w:val="clear" w:color="auto" w:fill="auto"/>
            <w:vAlign w:val="center"/>
          </w:tcPr>
          <w:p w14:paraId="398199D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137.46 </w:t>
            </w:r>
          </w:p>
        </w:tc>
        <w:tc>
          <w:tcPr>
            <w:tcW w:w="1301" w:type="dxa"/>
            <w:tcBorders>
              <w:top w:val="nil"/>
              <w:left w:val="nil"/>
              <w:bottom w:val="single" w:color="auto" w:sz="4" w:space="0"/>
              <w:right w:val="single" w:color="auto" w:sz="4" w:space="0"/>
            </w:tcBorders>
            <w:shd w:val="clear" w:color="auto" w:fill="auto"/>
            <w:vAlign w:val="center"/>
          </w:tcPr>
          <w:p w14:paraId="34E6BBB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76.29 </w:t>
            </w:r>
          </w:p>
        </w:tc>
        <w:tc>
          <w:tcPr>
            <w:tcW w:w="960" w:type="dxa"/>
            <w:tcBorders>
              <w:top w:val="nil"/>
              <w:left w:val="nil"/>
              <w:bottom w:val="single" w:color="auto" w:sz="4" w:space="0"/>
              <w:right w:val="single" w:color="auto" w:sz="4" w:space="0"/>
            </w:tcBorders>
            <w:shd w:val="clear" w:color="auto" w:fill="auto"/>
          </w:tcPr>
          <w:p w14:paraId="1468E6F3">
            <w:pPr>
              <w:jc w:val="center"/>
            </w:pPr>
            <w:r>
              <w:rPr>
                <w:rFonts w:hint="eastAsia" w:ascii="宋体" w:hAnsi="宋体" w:cs="宋体"/>
                <w:iCs/>
                <w:color w:val="000000"/>
                <w:kern w:val="0"/>
                <w:sz w:val="18"/>
                <w:szCs w:val="18"/>
              </w:rPr>
              <w:t>0</w:t>
            </w:r>
          </w:p>
        </w:tc>
      </w:tr>
      <w:tr w14:paraId="7F9EAF91">
        <w:tblPrEx>
          <w:tblCellMar>
            <w:top w:w="0" w:type="dxa"/>
            <w:left w:w="108" w:type="dxa"/>
            <w:bottom w:w="0" w:type="dxa"/>
            <w:right w:w="108" w:type="dxa"/>
          </w:tblCellMar>
        </w:tblPrEx>
        <w:trPr>
          <w:trHeight w:val="312" w:hRule="atLeast"/>
          <w:jc w:val="center"/>
        </w:trPr>
        <w:tc>
          <w:tcPr>
            <w:tcW w:w="1236" w:type="dxa"/>
            <w:tcBorders>
              <w:top w:val="nil"/>
              <w:left w:val="single" w:color="auto" w:sz="4" w:space="0"/>
              <w:bottom w:val="single" w:color="auto" w:sz="4" w:space="0"/>
              <w:right w:val="single" w:color="auto" w:sz="4" w:space="0"/>
            </w:tcBorders>
            <w:shd w:val="clear" w:color="auto" w:fill="auto"/>
            <w:vAlign w:val="center"/>
          </w:tcPr>
          <w:p w14:paraId="1CFBF22B">
            <w:pPr>
              <w:jc w:val="center"/>
              <w:rPr>
                <w:rFonts w:ascii="宋体" w:hAnsi="宋体" w:cs="宋体"/>
                <w:iCs/>
                <w:color w:val="000000"/>
                <w:kern w:val="0"/>
                <w:sz w:val="18"/>
                <w:szCs w:val="18"/>
              </w:rPr>
            </w:pPr>
            <w:r>
              <w:rPr>
                <w:rFonts w:hint="eastAsia" w:ascii="宋体" w:hAnsi="宋体" w:cs="宋体"/>
                <w:iCs/>
                <w:color w:val="000000"/>
                <w:kern w:val="0"/>
                <w:sz w:val="18"/>
                <w:szCs w:val="18"/>
              </w:rPr>
              <w:t>汤丹镇</w:t>
            </w:r>
          </w:p>
        </w:tc>
        <w:tc>
          <w:tcPr>
            <w:tcW w:w="1656" w:type="dxa"/>
            <w:tcBorders>
              <w:top w:val="nil"/>
              <w:left w:val="nil"/>
              <w:bottom w:val="single" w:color="auto" w:sz="4" w:space="0"/>
              <w:right w:val="single" w:color="auto" w:sz="4" w:space="0"/>
            </w:tcBorders>
            <w:shd w:val="clear" w:color="auto" w:fill="auto"/>
            <w:vAlign w:val="center"/>
          </w:tcPr>
          <w:p w14:paraId="072942A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115.23 </w:t>
            </w:r>
          </w:p>
        </w:tc>
        <w:tc>
          <w:tcPr>
            <w:tcW w:w="1190" w:type="dxa"/>
            <w:tcBorders>
              <w:top w:val="nil"/>
              <w:left w:val="nil"/>
              <w:bottom w:val="single" w:color="auto" w:sz="4" w:space="0"/>
              <w:right w:val="single" w:color="auto" w:sz="4" w:space="0"/>
            </w:tcBorders>
            <w:shd w:val="clear" w:color="auto" w:fill="auto"/>
            <w:vAlign w:val="center"/>
          </w:tcPr>
          <w:p w14:paraId="10FF003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18.79 </w:t>
            </w:r>
          </w:p>
        </w:tc>
        <w:tc>
          <w:tcPr>
            <w:tcW w:w="1170" w:type="dxa"/>
            <w:tcBorders>
              <w:top w:val="nil"/>
              <w:left w:val="nil"/>
              <w:bottom w:val="single" w:color="auto" w:sz="4" w:space="0"/>
              <w:right w:val="single" w:color="auto" w:sz="4" w:space="0"/>
            </w:tcBorders>
            <w:shd w:val="clear" w:color="auto" w:fill="auto"/>
            <w:vAlign w:val="center"/>
          </w:tcPr>
          <w:p w14:paraId="5558191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81.14 </w:t>
            </w:r>
          </w:p>
        </w:tc>
        <w:tc>
          <w:tcPr>
            <w:tcW w:w="1040" w:type="dxa"/>
            <w:tcBorders>
              <w:top w:val="nil"/>
              <w:left w:val="nil"/>
              <w:bottom w:val="single" w:color="auto" w:sz="4" w:space="0"/>
              <w:right w:val="single" w:color="auto" w:sz="4" w:space="0"/>
            </w:tcBorders>
            <w:shd w:val="clear" w:color="auto" w:fill="auto"/>
            <w:vAlign w:val="center"/>
          </w:tcPr>
          <w:p w14:paraId="20FA26B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4.33 </w:t>
            </w:r>
          </w:p>
        </w:tc>
        <w:tc>
          <w:tcPr>
            <w:tcW w:w="1301" w:type="dxa"/>
            <w:tcBorders>
              <w:top w:val="nil"/>
              <w:left w:val="nil"/>
              <w:bottom w:val="single" w:color="auto" w:sz="4" w:space="0"/>
              <w:right w:val="single" w:color="auto" w:sz="4" w:space="0"/>
            </w:tcBorders>
            <w:shd w:val="clear" w:color="auto" w:fill="auto"/>
            <w:vAlign w:val="center"/>
          </w:tcPr>
          <w:p w14:paraId="6BA4A70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10.97 </w:t>
            </w:r>
          </w:p>
        </w:tc>
        <w:tc>
          <w:tcPr>
            <w:tcW w:w="960" w:type="dxa"/>
            <w:tcBorders>
              <w:top w:val="nil"/>
              <w:left w:val="nil"/>
              <w:bottom w:val="single" w:color="auto" w:sz="4" w:space="0"/>
              <w:right w:val="single" w:color="auto" w:sz="4" w:space="0"/>
            </w:tcBorders>
            <w:shd w:val="clear" w:color="auto" w:fill="auto"/>
          </w:tcPr>
          <w:p w14:paraId="6340ADC5">
            <w:pPr>
              <w:jc w:val="center"/>
            </w:pPr>
            <w:r>
              <w:rPr>
                <w:rFonts w:hint="eastAsia" w:ascii="宋体" w:hAnsi="宋体" w:cs="宋体"/>
                <w:iCs/>
                <w:color w:val="000000"/>
                <w:kern w:val="0"/>
                <w:sz w:val="18"/>
                <w:szCs w:val="18"/>
              </w:rPr>
              <w:t>0</w:t>
            </w:r>
          </w:p>
        </w:tc>
      </w:tr>
      <w:tr w14:paraId="35174D51">
        <w:tblPrEx>
          <w:tblCellMar>
            <w:top w:w="0" w:type="dxa"/>
            <w:left w:w="108" w:type="dxa"/>
            <w:bottom w:w="0" w:type="dxa"/>
            <w:right w:w="108" w:type="dxa"/>
          </w:tblCellMar>
        </w:tblPrEx>
        <w:trPr>
          <w:trHeight w:val="312" w:hRule="atLeast"/>
          <w:jc w:val="center"/>
        </w:trPr>
        <w:tc>
          <w:tcPr>
            <w:tcW w:w="1236" w:type="dxa"/>
            <w:tcBorders>
              <w:top w:val="nil"/>
              <w:left w:val="single" w:color="auto" w:sz="4" w:space="0"/>
              <w:bottom w:val="single" w:color="auto" w:sz="4" w:space="0"/>
              <w:right w:val="single" w:color="auto" w:sz="4" w:space="0"/>
            </w:tcBorders>
            <w:shd w:val="clear" w:color="auto" w:fill="auto"/>
            <w:vAlign w:val="center"/>
          </w:tcPr>
          <w:p w14:paraId="13C189D9">
            <w:pPr>
              <w:jc w:val="center"/>
              <w:rPr>
                <w:rFonts w:ascii="宋体" w:hAnsi="宋体" w:cs="宋体"/>
                <w:iCs/>
                <w:color w:val="000000"/>
                <w:kern w:val="0"/>
                <w:sz w:val="18"/>
                <w:szCs w:val="18"/>
              </w:rPr>
            </w:pPr>
            <w:r>
              <w:rPr>
                <w:rFonts w:hint="eastAsia" w:ascii="宋体" w:hAnsi="宋体" w:cs="宋体"/>
                <w:iCs/>
                <w:color w:val="000000"/>
                <w:kern w:val="0"/>
                <w:sz w:val="18"/>
                <w:szCs w:val="18"/>
              </w:rPr>
              <w:t>拖布卡镇</w:t>
            </w:r>
          </w:p>
        </w:tc>
        <w:tc>
          <w:tcPr>
            <w:tcW w:w="1656" w:type="dxa"/>
            <w:tcBorders>
              <w:top w:val="nil"/>
              <w:left w:val="nil"/>
              <w:bottom w:val="single" w:color="auto" w:sz="4" w:space="0"/>
              <w:right w:val="single" w:color="auto" w:sz="4" w:space="0"/>
            </w:tcBorders>
            <w:shd w:val="clear" w:color="auto" w:fill="auto"/>
            <w:vAlign w:val="center"/>
          </w:tcPr>
          <w:p w14:paraId="709967F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309.97 </w:t>
            </w:r>
          </w:p>
        </w:tc>
        <w:tc>
          <w:tcPr>
            <w:tcW w:w="1190" w:type="dxa"/>
            <w:tcBorders>
              <w:top w:val="nil"/>
              <w:left w:val="nil"/>
              <w:bottom w:val="single" w:color="auto" w:sz="4" w:space="0"/>
              <w:right w:val="single" w:color="auto" w:sz="4" w:space="0"/>
            </w:tcBorders>
            <w:shd w:val="clear" w:color="auto" w:fill="auto"/>
            <w:vAlign w:val="center"/>
          </w:tcPr>
          <w:p w14:paraId="2083B81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140.82 </w:t>
            </w:r>
          </w:p>
        </w:tc>
        <w:tc>
          <w:tcPr>
            <w:tcW w:w="1170" w:type="dxa"/>
            <w:tcBorders>
              <w:top w:val="nil"/>
              <w:left w:val="nil"/>
              <w:bottom w:val="single" w:color="auto" w:sz="4" w:space="0"/>
              <w:right w:val="single" w:color="auto" w:sz="4" w:space="0"/>
            </w:tcBorders>
            <w:shd w:val="clear" w:color="auto" w:fill="auto"/>
            <w:vAlign w:val="center"/>
          </w:tcPr>
          <w:p w14:paraId="1FCAAFA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43.63 </w:t>
            </w:r>
          </w:p>
        </w:tc>
        <w:tc>
          <w:tcPr>
            <w:tcW w:w="1040" w:type="dxa"/>
            <w:tcBorders>
              <w:top w:val="nil"/>
              <w:left w:val="nil"/>
              <w:bottom w:val="single" w:color="auto" w:sz="4" w:space="0"/>
              <w:right w:val="single" w:color="auto" w:sz="4" w:space="0"/>
            </w:tcBorders>
            <w:shd w:val="clear" w:color="auto" w:fill="auto"/>
            <w:vAlign w:val="center"/>
          </w:tcPr>
          <w:p w14:paraId="7D0B407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81.09 </w:t>
            </w:r>
          </w:p>
        </w:tc>
        <w:tc>
          <w:tcPr>
            <w:tcW w:w="1301" w:type="dxa"/>
            <w:tcBorders>
              <w:top w:val="nil"/>
              <w:left w:val="nil"/>
              <w:bottom w:val="single" w:color="auto" w:sz="4" w:space="0"/>
              <w:right w:val="single" w:color="auto" w:sz="4" w:space="0"/>
            </w:tcBorders>
            <w:shd w:val="clear" w:color="auto" w:fill="auto"/>
            <w:vAlign w:val="center"/>
          </w:tcPr>
          <w:p w14:paraId="7EC293B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44.43 </w:t>
            </w:r>
          </w:p>
        </w:tc>
        <w:tc>
          <w:tcPr>
            <w:tcW w:w="960" w:type="dxa"/>
            <w:tcBorders>
              <w:top w:val="nil"/>
              <w:left w:val="nil"/>
              <w:bottom w:val="single" w:color="auto" w:sz="4" w:space="0"/>
              <w:right w:val="single" w:color="auto" w:sz="4" w:space="0"/>
            </w:tcBorders>
            <w:shd w:val="clear" w:color="auto" w:fill="auto"/>
          </w:tcPr>
          <w:p w14:paraId="07001EF7">
            <w:pPr>
              <w:jc w:val="center"/>
            </w:pPr>
            <w:r>
              <w:rPr>
                <w:rFonts w:hint="eastAsia" w:ascii="宋体" w:hAnsi="宋体" w:cs="宋体"/>
                <w:iCs/>
                <w:color w:val="000000"/>
                <w:kern w:val="0"/>
                <w:sz w:val="18"/>
                <w:szCs w:val="18"/>
              </w:rPr>
              <w:t>0</w:t>
            </w:r>
          </w:p>
        </w:tc>
      </w:tr>
      <w:tr w14:paraId="3FC34949">
        <w:tblPrEx>
          <w:tblCellMar>
            <w:top w:w="0" w:type="dxa"/>
            <w:left w:w="108" w:type="dxa"/>
            <w:bottom w:w="0" w:type="dxa"/>
            <w:right w:w="108" w:type="dxa"/>
          </w:tblCellMar>
        </w:tblPrEx>
        <w:trPr>
          <w:trHeight w:val="312" w:hRule="atLeast"/>
          <w:jc w:val="center"/>
        </w:trPr>
        <w:tc>
          <w:tcPr>
            <w:tcW w:w="1236" w:type="dxa"/>
            <w:tcBorders>
              <w:top w:val="nil"/>
              <w:left w:val="single" w:color="auto" w:sz="4" w:space="0"/>
              <w:bottom w:val="single" w:color="auto" w:sz="4" w:space="0"/>
              <w:right w:val="single" w:color="auto" w:sz="4" w:space="0"/>
            </w:tcBorders>
            <w:shd w:val="clear" w:color="auto" w:fill="auto"/>
            <w:vAlign w:val="center"/>
          </w:tcPr>
          <w:p w14:paraId="36247D21">
            <w:pPr>
              <w:jc w:val="center"/>
              <w:rPr>
                <w:rFonts w:ascii="宋体" w:hAnsi="宋体" w:cs="宋体"/>
                <w:iCs/>
                <w:color w:val="000000"/>
                <w:kern w:val="0"/>
                <w:sz w:val="18"/>
                <w:szCs w:val="18"/>
              </w:rPr>
            </w:pPr>
            <w:r>
              <w:rPr>
                <w:rFonts w:hint="eastAsia" w:ascii="宋体" w:hAnsi="宋体" w:cs="宋体"/>
                <w:iCs/>
                <w:color w:val="000000"/>
                <w:kern w:val="0"/>
                <w:sz w:val="18"/>
                <w:szCs w:val="18"/>
              </w:rPr>
              <w:t>因民镇</w:t>
            </w:r>
          </w:p>
        </w:tc>
        <w:tc>
          <w:tcPr>
            <w:tcW w:w="1656" w:type="dxa"/>
            <w:tcBorders>
              <w:top w:val="nil"/>
              <w:left w:val="nil"/>
              <w:bottom w:val="single" w:color="auto" w:sz="4" w:space="0"/>
              <w:right w:val="single" w:color="auto" w:sz="4" w:space="0"/>
            </w:tcBorders>
            <w:shd w:val="clear" w:color="auto" w:fill="auto"/>
            <w:vAlign w:val="center"/>
          </w:tcPr>
          <w:p w14:paraId="4181628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13.79 </w:t>
            </w:r>
          </w:p>
        </w:tc>
        <w:tc>
          <w:tcPr>
            <w:tcW w:w="1190" w:type="dxa"/>
            <w:tcBorders>
              <w:top w:val="nil"/>
              <w:left w:val="nil"/>
              <w:bottom w:val="single" w:color="auto" w:sz="4" w:space="0"/>
              <w:right w:val="single" w:color="auto" w:sz="4" w:space="0"/>
            </w:tcBorders>
            <w:shd w:val="clear" w:color="auto" w:fill="auto"/>
            <w:vAlign w:val="center"/>
          </w:tcPr>
          <w:p w14:paraId="06737A2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170" w:type="dxa"/>
            <w:tcBorders>
              <w:top w:val="nil"/>
              <w:left w:val="nil"/>
              <w:bottom w:val="single" w:color="auto" w:sz="4" w:space="0"/>
              <w:right w:val="single" w:color="auto" w:sz="4" w:space="0"/>
            </w:tcBorders>
            <w:shd w:val="clear" w:color="auto" w:fill="auto"/>
            <w:vAlign w:val="center"/>
          </w:tcPr>
          <w:p w14:paraId="1BEA1E8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040" w:type="dxa"/>
            <w:tcBorders>
              <w:top w:val="nil"/>
              <w:left w:val="nil"/>
              <w:bottom w:val="single" w:color="auto" w:sz="4" w:space="0"/>
              <w:right w:val="single" w:color="auto" w:sz="4" w:space="0"/>
            </w:tcBorders>
            <w:shd w:val="clear" w:color="auto" w:fill="auto"/>
            <w:vAlign w:val="center"/>
          </w:tcPr>
          <w:p w14:paraId="46FE187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6.21 </w:t>
            </w:r>
          </w:p>
        </w:tc>
        <w:tc>
          <w:tcPr>
            <w:tcW w:w="1301" w:type="dxa"/>
            <w:tcBorders>
              <w:top w:val="nil"/>
              <w:left w:val="nil"/>
              <w:bottom w:val="single" w:color="auto" w:sz="4" w:space="0"/>
              <w:right w:val="single" w:color="auto" w:sz="4" w:space="0"/>
            </w:tcBorders>
            <w:shd w:val="clear" w:color="auto" w:fill="auto"/>
            <w:vAlign w:val="center"/>
          </w:tcPr>
          <w:p w14:paraId="4831A9C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7.59 </w:t>
            </w:r>
          </w:p>
        </w:tc>
        <w:tc>
          <w:tcPr>
            <w:tcW w:w="960" w:type="dxa"/>
            <w:tcBorders>
              <w:top w:val="nil"/>
              <w:left w:val="nil"/>
              <w:bottom w:val="single" w:color="auto" w:sz="4" w:space="0"/>
              <w:right w:val="single" w:color="auto" w:sz="4" w:space="0"/>
            </w:tcBorders>
            <w:shd w:val="clear" w:color="auto" w:fill="auto"/>
          </w:tcPr>
          <w:p w14:paraId="6305D884">
            <w:pPr>
              <w:jc w:val="center"/>
            </w:pPr>
            <w:r>
              <w:rPr>
                <w:rFonts w:hint="eastAsia" w:ascii="宋体" w:hAnsi="宋体" w:cs="宋体"/>
                <w:iCs/>
                <w:color w:val="000000"/>
                <w:kern w:val="0"/>
                <w:sz w:val="18"/>
                <w:szCs w:val="18"/>
              </w:rPr>
              <w:t>0</w:t>
            </w:r>
          </w:p>
        </w:tc>
      </w:tr>
      <w:tr w14:paraId="45FEA151">
        <w:tblPrEx>
          <w:tblCellMar>
            <w:top w:w="0" w:type="dxa"/>
            <w:left w:w="108" w:type="dxa"/>
            <w:bottom w:w="0" w:type="dxa"/>
            <w:right w:w="108" w:type="dxa"/>
          </w:tblCellMar>
        </w:tblPrEx>
        <w:trPr>
          <w:trHeight w:val="312" w:hRule="atLeast"/>
          <w:jc w:val="center"/>
        </w:trPr>
        <w:tc>
          <w:tcPr>
            <w:tcW w:w="1236" w:type="dxa"/>
            <w:tcBorders>
              <w:top w:val="nil"/>
              <w:left w:val="single" w:color="auto" w:sz="4" w:space="0"/>
              <w:bottom w:val="single" w:color="auto" w:sz="4" w:space="0"/>
              <w:right w:val="single" w:color="auto" w:sz="4" w:space="0"/>
            </w:tcBorders>
            <w:shd w:val="clear" w:color="auto" w:fill="auto"/>
            <w:vAlign w:val="center"/>
          </w:tcPr>
          <w:p w14:paraId="1102A91F">
            <w:pPr>
              <w:jc w:val="center"/>
              <w:rPr>
                <w:rFonts w:ascii="宋体" w:hAnsi="宋体" w:cs="宋体"/>
                <w:iCs/>
                <w:color w:val="000000"/>
                <w:kern w:val="0"/>
                <w:sz w:val="18"/>
                <w:szCs w:val="18"/>
              </w:rPr>
            </w:pPr>
            <w:r>
              <w:rPr>
                <w:rFonts w:hint="eastAsia" w:ascii="宋体" w:hAnsi="宋体" w:cs="宋体"/>
                <w:iCs/>
                <w:color w:val="000000"/>
                <w:kern w:val="0"/>
                <w:sz w:val="18"/>
                <w:szCs w:val="18"/>
              </w:rPr>
              <w:t>东川区</w:t>
            </w:r>
          </w:p>
        </w:tc>
        <w:tc>
          <w:tcPr>
            <w:tcW w:w="1656" w:type="dxa"/>
            <w:tcBorders>
              <w:top w:val="nil"/>
              <w:left w:val="nil"/>
              <w:bottom w:val="single" w:color="auto" w:sz="4" w:space="0"/>
              <w:right w:val="single" w:color="auto" w:sz="4" w:space="0"/>
            </w:tcBorders>
            <w:shd w:val="clear" w:color="auto" w:fill="auto"/>
            <w:vAlign w:val="center"/>
          </w:tcPr>
          <w:p w14:paraId="007C1C7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1072.82 </w:t>
            </w:r>
          </w:p>
        </w:tc>
        <w:tc>
          <w:tcPr>
            <w:tcW w:w="1190" w:type="dxa"/>
            <w:tcBorders>
              <w:top w:val="nil"/>
              <w:left w:val="nil"/>
              <w:bottom w:val="single" w:color="auto" w:sz="4" w:space="0"/>
              <w:right w:val="single" w:color="auto" w:sz="4" w:space="0"/>
            </w:tcBorders>
            <w:shd w:val="clear" w:color="auto" w:fill="auto"/>
            <w:vAlign w:val="center"/>
          </w:tcPr>
          <w:p w14:paraId="3B835B4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213.30 </w:t>
            </w:r>
          </w:p>
        </w:tc>
        <w:tc>
          <w:tcPr>
            <w:tcW w:w="1170" w:type="dxa"/>
            <w:tcBorders>
              <w:top w:val="nil"/>
              <w:left w:val="nil"/>
              <w:bottom w:val="single" w:color="auto" w:sz="4" w:space="0"/>
              <w:right w:val="single" w:color="auto" w:sz="4" w:space="0"/>
            </w:tcBorders>
            <w:shd w:val="clear" w:color="auto" w:fill="auto"/>
            <w:vAlign w:val="center"/>
          </w:tcPr>
          <w:p w14:paraId="105FCBC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243.81 </w:t>
            </w:r>
          </w:p>
        </w:tc>
        <w:tc>
          <w:tcPr>
            <w:tcW w:w="1040" w:type="dxa"/>
            <w:tcBorders>
              <w:top w:val="nil"/>
              <w:left w:val="nil"/>
              <w:bottom w:val="single" w:color="auto" w:sz="4" w:space="0"/>
              <w:right w:val="single" w:color="auto" w:sz="4" w:space="0"/>
            </w:tcBorders>
            <w:shd w:val="clear" w:color="auto" w:fill="auto"/>
            <w:vAlign w:val="center"/>
          </w:tcPr>
          <w:p w14:paraId="225DF5D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385.95 </w:t>
            </w:r>
          </w:p>
        </w:tc>
        <w:tc>
          <w:tcPr>
            <w:tcW w:w="1301" w:type="dxa"/>
            <w:tcBorders>
              <w:top w:val="nil"/>
              <w:left w:val="nil"/>
              <w:bottom w:val="single" w:color="auto" w:sz="4" w:space="0"/>
              <w:right w:val="single" w:color="auto" w:sz="4" w:space="0"/>
            </w:tcBorders>
            <w:shd w:val="clear" w:color="auto" w:fill="auto"/>
            <w:vAlign w:val="center"/>
          </w:tcPr>
          <w:p w14:paraId="0767304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229.77 </w:t>
            </w:r>
          </w:p>
        </w:tc>
        <w:tc>
          <w:tcPr>
            <w:tcW w:w="960" w:type="dxa"/>
            <w:tcBorders>
              <w:top w:val="nil"/>
              <w:left w:val="nil"/>
              <w:bottom w:val="single" w:color="auto" w:sz="4" w:space="0"/>
              <w:right w:val="single" w:color="auto" w:sz="4" w:space="0"/>
            </w:tcBorders>
            <w:shd w:val="clear" w:color="auto" w:fill="auto"/>
          </w:tcPr>
          <w:p w14:paraId="1BA0F0E0">
            <w:pPr>
              <w:jc w:val="center"/>
            </w:pPr>
            <w:r>
              <w:rPr>
                <w:rFonts w:hint="eastAsia" w:ascii="宋体" w:hAnsi="宋体" w:cs="宋体"/>
                <w:iCs/>
                <w:color w:val="000000"/>
                <w:kern w:val="0"/>
                <w:sz w:val="18"/>
                <w:szCs w:val="18"/>
              </w:rPr>
              <w:t>0</w:t>
            </w:r>
          </w:p>
        </w:tc>
      </w:tr>
      <w:tr w14:paraId="4CA75D9E">
        <w:tblPrEx>
          <w:tblCellMar>
            <w:top w:w="0" w:type="dxa"/>
            <w:left w:w="108" w:type="dxa"/>
            <w:bottom w:w="0" w:type="dxa"/>
            <w:right w:w="108" w:type="dxa"/>
          </w:tblCellMar>
        </w:tblPrEx>
        <w:trPr>
          <w:trHeight w:val="312" w:hRule="atLeast"/>
          <w:jc w:val="center"/>
        </w:trPr>
        <w:tc>
          <w:tcPr>
            <w:tcW w:w="1236" w:type="dxa"/>
            <w:tcBorders>
              <w:top w:val="nil"/>
              <w:left w:val="single" w:color="auto" w:sz="4" w:space="0"/>
              <w:bottom w:val="single" w:color="auto" w:sz="4" w:space="0"/>
              <w:right w:val="single" w:color="auto" w:sz="4" w:space="0"/>
            </w:tcBorders>
            <w:shd w:val="clear" w:color="auto" w:fill="auto"/>
            <w:vAlign w:val="center"/>
          </w:tcPr>
          <w:p w14:paraId="6CFB7674">
            <w:pPr>
              <w:jc w:val="center"/>
              <w:rPr>
                <w:rFonts w:ascii="宋体" w:hAnsi="宋体" w:cs="宋体"/>
                <w:iCs/>
                <w:color w:val="000000"/>
                <w:kern w:val="0"/>
                <w:sz w:val="18"/>
                <w:szCs w:val="18"/>
              </w:rPr>
            </w:pPr>
            <w:r>
              <w:rPr>
                <w:rFonts w:hint="eastAsia" w:ascii="宋体" w:hAnsi="宋体" w:cs="宋体"/>
                <w:iCs/>
                <w:color w:val="000000"/>
                <w:kern w:val="0"/>
                <w:sz w:val="18"/>
                <w:szCs w:val="18"/>
              </w:rPr>
              <w:t>比例</w:t>
            </w:r>
          </w:p>
        </w:tc>
        <w:tc>
          <w:tcPr>
            <w:tcW w:w="1656" w:type="dxa"/>
            <w:tcBorders>
              <w:top w:val="nil"/>
              <w:left w:val="nil"/>
              <w:bottom w:val="single" w:color="auto" w:sz="4" w:space="0"/>
              <w:right w:val="single" w:color="auto" w:sz="4" w:space="0"/>
            </w:tcBorders>
            <w:shd w:val="clear" w:color="auto" w:fill="auto"/>
            <w:vAlign w:val="center"/>
          </w:tcPr>
          <w:p w14:paraId="638E44DD">
            <w:pPr>
              <w:jc w:val="center"/>
              <w:rPr>
                <w:rFonts w:ascii="宋体" w:hAnsi="宋体" w:cs="宋体"/>
                <w:iCs/>
                <w:color w:val="000000"/>
                <w:kern w:val="0"/>
                <w:sz w:val="18"/>
                <w:szCs w:val="18"/>
              </w:rPr>
            </w:pPr>
            <w:r>
              <w:rPr>
                <w:rFonts w:hint="eastAsia" w:ascii="宋体" w:hAnsi="宋体" w:cs="宋体"/>
                <w:iCs/>
                <w:color w:val="000000"/>
                <w:kern w:val="0"/>
                <w:sz w:val="18"/>
                <w:szCs w:val="18"/>
              </w:rPr>
              <w:t>100.00%</w:t>
            </w:r>
          </w:p>
        </w:tc>
        <w:tc>
          <w:tcPr>
            <w:tcW w:w="1190" w:type="dxa"/>
            <w:tcBorders>
              <w:top w:val="nil"/>
              <w:left w:val="nil"/>
              <w:bottom w:val="single" w:color="auto" w:sz="4" w:space="0"/>
              <w:right w:val="single" w:color="auto" w:sz="4" w:space="0"/>
            </w:tcBorders>
            <w:shd w:val="clear" w:color="auto" w:fill="auto"/>
            <w:vAlign w:val="center"/>
          </w:tcPr>
          <w:p w14:paraId="76C083E7">
            <w:pPr>
              <w:jc w:val="center"/>
              <w:rPr>
                <w:rFonts w:ascii="宋体" w:hAnsi="宋体" w:cs="宋体"/>
                <w:iCs/>
                <w:color w:val="000000"/>
                <w:kern w:val="0"/>
                <w:sz w:val="18"/>
                <w:szCs w:val="18"/>
              </w:rPr>
            </w:pPr>
            <w:r>
              <w:rPr>
                <w:rFonts w:hint="eastAsia" w:ascii="宋体" w:hAnsi="宋体" w:cs="宋体"/>
                <w:iCs/>
                <w:color w:val="000000"/>
                <w:kern w:val="0"/>
                <w:sz w:val="18"/>
                <w:szCs w:val="18"/>
              </w:rPr>
              <w:t>19.90%</w:t>
            </w:r>
          </w:p>
        </w:tc>
        <w:tc>
          <w:tcPr>
            <w:tcW w:w="1170" w:type="dxa"/>
            <w:tcBorders>
              <w:top w:val="nil"/>
              <w:left w:val="nil"/>
              <w:bottom w:val="single" w:color="auto" w:sz="4" w:space="0"/>
              <w:right w:val="single" w:color="auto" w:sz="4" w:space="0"/>
            </w:tcBorders>
            <w:shd w:val="clear" w:color="auto" w:fill="auto"/>
            <w:vAlign w:val="center"/>
          </w:tcPr>
          <w:p w14:paraId="0717BCB7">
            <w:pPr>
              <w:jc w:val="center"/>
              <w:rPr>
                <w:rFonts w:ascii="宋体" w:hAnsi="宋体" w:cs="宋体"/>
                <w:iCs/>
                <w:color w:val="000000"/>
                <w:kern w:val="0"/>
                <w:sz w:val="18"/>
                <w:szCs w:val="18"/>
              </w:rPr>
            </w:pPr>
            <w:r>
              <w:rPr>
                <w:rFonts w:hint="eastAsia" w:ascii="宋体" w:hAnsi="宋体" w:cs="宋体"/>
                <w:iCs/>
                <w:color w:val="000000"/>
                <w:kern w:val="0"/>
                <w:sz w:val="18"/>
                <w:szCs w:val="18"/>
              </w:rPr>
              <w:t>22.70%</w:t>
            </w:r>
          </w:p>
        </w:tc>
        <w:tc>
          <w:tcPr>
            <w:tcW w:w="1040" w:type="dxa"/>
            <w:tcBorders>
              <w:top w:val="nil"/>
              <w:left w:val="nil"/>
              <w:bottom w:val="single" w:color="auto" w:sz="4" w:space="0"/>
              <w:right w:val="single" w:color="auto" w:sz="4" w:space="0"/>
            </w:tcBorders>
            <w:shd w:val="clear" w:color="auto" w:fill="auto"/>
            <w:vAlign w:val="center"/>
          </w:tcPr>
          <w:p w14:paraId="7FFB0CF7">
            <w:pPr>
              <w:jc w:val="center"/>
              <w:rPr>
                <w:rFonts w:ascii="宋体" w:hAnsi="宋体" w:cs="宋体"/>
                <w:iCs/>
                <w:color w:val="000000"/>
                <w:kern w:val="0"/>
                <w:sz w:val="18"/>
                <w:szCs w:val="18"/>
              </w:rPr>
            </w:pPr>
            <w:r>
              <w:rPr>
                <w:rFonts w:hint="eastAsia" w:ascii="宋体" w:hAnsi="宋体" w:cs="宋体"/>
                <w:iCs/>
                <w:color w:val="000000"/>
                <w:kern w:val="0"/>
                <w:sz w:val="18"/>
                <w:szCs w:val="18"/>
              </w:rPr>
              <w:t>36.00%</w:t>
            </w:r>
          </w:p>
        </w:tc>
        <w:tc>
          <w:tcPr>
            <w:tcW w:w="1301" w:type="dxa"/>
            <w:tcBorders>
              <w:top w:val="nil"/>
              <w:left w:val="nil"/>
              <w:bottom w:val="single" w:color="auto" w:sz="4" w:space="0"/>
              <w:right w:val="single" w:color="auto" w:sz="4" w:space="0"/>
            </w:tcBorders>
            <w:shd w:val="clear" w:color="auto" w:fill="auto"/>
            <w:vAlign w:val="center"/>
          </w:tcPr>
          <w:p w14:paraId="0FF6DF6A">
            <w:pPr>
              <w:jc w:val="center"/>
              <w:rPr>
                <w:rFonts w:ascii="宋体" w:hAnsi="宋体" w:cs="宋体"/>
                <w:iCs/>
                <w:color w:val="000000"/>
                <w:kern w:val="0"/>
                <w:sz w:val="18"/>
                <w:szCs w:val="18"/>
              </w:rPr>
            </w:pPr>
            <w:r>
              <w:rPr>
                <w:rFonts w:hint="eastAsia" w:ascii="宋体" w:hAnsi="宋体" w:cs="宋体"/>
                <w:iCs/>
                <w:color w:val="000000"/>
                <w:kern w:val="0"/>
                <w:sz w:val="18"/>
                <w:szCs w:val="18"/>
              </w:rPr>
              <w:t>21.40%</w:t>
            </w:r>
          </w:p>
        </w:tc>
        <w:tc>
          <w:tcPr>
            <w:tcW w:w="960" w:type="dxa"/>
            <w:tcBorders>
              <w:top w:val="nil"/>
              <w:left w:val="nil"/>
              <w:bottom w:val="single" w:color="auto" w:sz="4" w:space="0"/>
              <w:right w:val="single" w:color="auto" w:sz="4" w:space="0"/>
            </w:tcBorders>
            <w:shd w:val="clear" w:color="auto" w:fill="auto"/>
            <w:vAlign w:val="center"/>
          </w:tcPr>
          <w:p w14:paraId="471CEC32">
            <w:pPr>
              <w:jc w:val="center"/>
              <w:rPr>
                <w:rFonts w:ascii="宋体" w:hAnsi="宋体" w:cs="宋体"/>
                <w:iCs/>
                <w:color w:val="000000"/>
                <w:kern w:val="0"/>
                <w:sz w:val="18"/>
                <w:szCs w:val="18"/>
              </w:rPr>
            </w:pPr>
            <w:r>
              <w:rPr>
                <w:rFonts w:hint="eastAsia" w:ascii="宋体" w:hAnsi="宋体" w:cs="宋体"/>
                <w:iCs/>
                <w:color w:val="000000"/>
                <w:kern w:val="0"/>
                <w:sz w:val="18"/>
                <w:szCs w:val="18"/>
              </w:rPr>
              <w:t>0</w:t>
            </w:r>
          </w:p>
        </w:tc>
      </w:tr>
    </w:tbl>
    <w:p w14:paraId="04006690">
      <w:pPr>
        <w:ind w:firstLine="565" w:firstLineChars="202"/>
        <w:rPr>
          <w:rFonts w:ascii="仿宋" w:hAnsi="仿宋" w:eastAsia="仿宋" w:cs="仿宋"/>
          <w:sz w:val="28"/>
          <w:szCs w:val="28"/>
        </w:rPr>
      </w:pPr>
      <w:r>
        <w:rPr>
          <w:rFonts w:hint="eastAsia" w:ascii="仿宋" w:hAnsi="仿宋" w:eastAsia="仿宋" w:cs="仿宋"/>
          <w:sz w:val="28"/>
          <w:szCs w:val="28"/>
        </w:rPr>
        <w:t>（3）调入质量等别情况</w:t>
      </w:r>
    </w:p>
    <w:p w14:paraId="5A6BA09E">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本次调入基本农田按照利用等别分，6等地调入129.93公顷，占12.1%；7等地调入115.19公顷，占10.7%；8等地调入301.13公顷，占28.1%；9等地调入157.90公顷，占14.7%；10等地调入263.57公顷，占24.6%；11等地调入76.73公顷，占7.2%；12等地调入21.80公顷，占2.0%；13等地调入6.55公顷，占0.6%。</w:t>
      </w:r>
    </w:p>
    <w:p w14:paraId="74F0BB63">
      <w:pPr>
        <w:jc w:val="center"/>
        <w:outlineLvl w:val="4"/>
        <w:rPr>
          <w:rFonts w:ascii="仿宋" w:hAnsi="仿宋" w:eastAsia="仿宋"/>
          <w:sz w:val="24"/>
        </w:rPr>
      </w:pPr>
      <w:r>
        <w:rPr>
          <w:rFonts w:hint="eastAsia" w:ascii="宋体" w:hAnsi="宋体"/>
          <w:b/>
          <w:sz w:val="24"/>
        </w:rPr>
        <w:t>表4-6  东川区调入基本农田质量情况统计表</w:t>
      </w:r>
    </w:p>
    <w:p w14:paraId="3F2FB654">
      <w:pPr>
        <w:spacing w:line="360" w:lineRule="auto"/>
        <w:ind w:right="720" w:firstLine="360" w:firstLineChars="200"/>
        <w:jc w:val="right"/>
        <w:rPr>
          <w:rFonts w:ascii="宋体" w:hAnsi="宋体" w:cs="宋体"/>
          <w:iCs/>
          <w:color w:val="000000"/>
          <w:kern w:val="0"/>
          <w:sz w:val="18"/>
          <w:szCs w:val="18"/>
        </w:rPr>
      </w:pPr>
      <w:r>
        <w:rPr>
          <w:rFonts w:hint="eastAsia" w:ascii="宋体" w:hAnsi="宋体" w:cs="宋体"/>
          <w:iCs/>
          <w:color w:val="000000"/>
          <w:kern w:val="0"/>
          <w:sz w:val="18"/>
          <w:szCs w:val="18"/>
        </w:rPr>
        <w:t>单位：公顷</w:t>
      </w:r>
    </w:p>
    <w:tbl>
      <w:tblPr>
        <w:tblStyle w:val="27"/>
        <w:tblW w:w="11231" w:type="dxa"/>
        <w:jc w:val="center"/>
        <w:tblLayout w:type="autofit"/>
        <w:tblCellMar>
          <w:top w:w="0" w:type="dxa"/>
          <w:left w:w="108" w:type="dxa"/>
          <w:bottom w:w="0" w:type="dxa"/>
          <w:right w:w="108" w:type="dxa"/>
        </w:tblCellMar>
      </w:tblPr>
      <w:tblGrid>
        <w:gridCol w:w="960"/>
        <w:gridCol w:w="1415"/>
        <w:gridCol w:w="1116"/>
        <w:gridCol w:w="960"/>
        <w:gridCol w:w="1026"/>
        <w:gridCol w:w="960"/>
        <w:gridCol w:w="1026"/>
        <w:gridCol w:w="1026"/>
        <w:gridCol w:w="936"/>
        <w:gridCol w:w="960"/>
        <w:gridCol w:w="846"/>
      </w:tblGrid>
      <w:tr w14:paraId="7DD627A6">
        <w:tblPrEx>
          <w:tblCellMar>
            <w:top w:w="0" w:type="dxa"/>
            <w:left w:w="108" w:type="dxa"/>
            <w:bottom w:w="0" w:type="dxa"/>
            <w:right w:w="108" w:type="dxa"/>
          </w:tblCellMar>
        </w:tblPrEx>
        <w:trPr>
          <w:trHeight w:val="288" w:hRule="atLeast"/>
          <w:jc w:val="center"/>
        </w:trPr>
        <w:tc>
          <w:tcPr>
            <w:tcW w:w="9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1A9F37">
            <w:pPr>
              <w:jc w:val="center"/>
              <w:rPr>
                <w:rFonts w:ascii="宋体" w:hAnsi="宋体" w:cs="宋体"/>
                <w:b/>
                <w:iCs/>
                <w:color w:val="000000"/>
                <w:kern w:val="0"/>
                <w:sz w:val="18"/>
                <w:szCs w:val="18"/>
              </w:rPr>
            </w:pPr>
            <w:r>
              <w:rPr>
                <w:rFonts w:hint="eastAsia" w:ascii="宋体" w:hAnsi="宋体" w:cs="宋体"/>
                <w:b/>
                <w:iCs/>
                <w:color w:val="000000"/>
                <w:kern w:val="0"/>
                <w:sz w:val="18"/>
                <w:szCs w:val="18"/>
              </w:rPr>
              <w:t>行政辖区</w:t>
            </w:r>
          </w:p>
        </w:tc>
        <w:tc>
          <w:tcPr>
            <w:tcW w:w="14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B5A8F4">
            <w:pPr>
              <w:jc w:val="center"/>
              <w:rPr>
                <w:rFonts w:ascii="宋体" w:hAnsi="宋体" w:cs="宋体"/>
                <w:b/>
                <w:iCs/>
                <w:color w:val="000000"/>
                <w:kern w:val="0"/>
                <w:sz w:val="18"/>
                <w:szCs w:val="18"/>
              </w:rPr>
            </w:pPr>
            <w:r>
              <w:rPr>
                <w:rFonts w:hint="eastAsia" w:ascii="宋体" w:hAnsi="宋体" w:cs="宋体"/>
                <w:b/>
                <w:iCs/>
                <w:color w:val="000000"/>
                <w:kern w:val="0"/>
                <w:sz w:val="18"/>
                <w:szCs w:val="18"/>
              </w:rPr>
              <w:t>基本农田面积</w:t>
            </w:r>
          </w:p>
        </w:tc>
        <w:tc>
          <w:tcPr>
            <w:tcW w:w="11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C36C41">
            <w:pPr>
              <w:jc w:val="center"/>
              <w:rPr>
                <w:rFonts w:ascii="宋体" w:hAnsi="宋体" w:cs="宋体"/>
                <w:b/>
                <w:iCs/>
                <w:color w:val="000000"/>
                <w:kern w:val="0"/>
                <w:sz w:val="18"/>
                <w:szCs w:val="18"/>
              </w:rPr>
            </w:pPr>
            <w:r>
              <w:rPr>
                <w:rFonts w:hint="eastAsia" w:ascii="宋体" w:hAnsi="宋体" w:cs="宋体"/>
                <w:b/>
                <w:iCs/>
                <w:color w:val="000000"/>
                <w:kern w:val="0"/>
                <w:sz w:val="18"/>
                <w:szCs w:val="18"/>
              </w:rPr>
              <w:t>分布占比</w:t>
            </w:r>
          </w:p>
        </w:tc>
        <w:tc>
          <w:tcPr>
            <w:tcW w:w="7740" w:type="dxa"/>
            <w:gridSpan w:val="8"/>
            <w:tcBorders>
              <w:top w:val="single" w:color="auto" w:sz="4" w:space="0"/>
              <w:left w:val="nil"/>
              <w:bottom w:val="single" w:color="auto" w:sz="4" w:space="0"/>
              <w:right w:val="single" w:color="auto" w:sz="4" w:space="0"/>
            </w:tcBorders>
            <w:shd w:val="clear" w:color="auto" w:fill="auto"/>
            <w:vAlign w:val="center"/>
          </w:tcPr>
          <w:p w14:paraId="4827B1D4">
            <w:pPr>
              <w:jc w:val="center"/>
              <w:rPr>
                <w:rFonts w:ascii="宋体" w:hAnsi="宋体" w:cs="宋体"/>
                <w:b/>
                <w:iCs/>
                <w:color w:val="000000"/>
                <w:kern w:val="0"/>
                <w:sz w:val="18"/>
                <w:szCs w:val="18"/>
              </w:rPr>
            </w:pPr>
            <w:r>
              <w:rPr>
                <w:rFonts w:hint="eastAsia" w:ascii="宋体" w:hAnsi="宋体" w:cs="宋体"/>
                <w:b/>
                <w:iCs/>
                <w:color w:val="000000"/>
                <w:kern w:val="0"/>
                <w:sz w:val="18"/>
                <w:szCs w:val="18"/>
              </w:rPr>
              <w:t>质量等级</w:t>
            </w:r>
          </w:p>
        </w:tc>
      </w:tr>
      <w:tr w14:paraId="2364538C">
        <w:tblPrEx>
          <w:tblCellMar>
            <w:top w:w="0" w:type="dxa"/>
            <w:left w:w="108" w:type="dxa"/>
            <w:bottom w:w="0" w:type="dxa"/>
            <w:right w:w="108" w:type="dxa"/>
          </w:tblCellMar>
        </w:tblPrEx>
        <w:trPr>
          <w:trHeight w:val="288" w:hRule="atLeast"/>
          <w:jc w:val="center"/>
        </w:trPr>
        <w:tc>
          <w:tcPr>
            <w:tcW w:w="960" w:type="dxa"/>
            <w:vMerge w:val="continue"/>
            <w:tcBorders>
              <w:top w:val="single" w:color="auto" w:sz="4" w:space="0"/>
              <w:left w:val="single" w:color="auto" w:sz="4" w:space="0"/>
              <w:bottom w:val="single" w:color="auto" w:sz="4" w:space="0"/>
              <w:right w:val="single" w:color="auto" w:sz="4" w:space="0"/>
            </w:tcBorders>
            <w:vAlign w:val="center"/>
          </w:tcPr>
          <w:p w14:paraId="2D254D2B">
            <w:pPr>
              <w:jc w:val="center"/>
              <w:rPr>
                <w:rFonts w:ascii="宋体" w:hAnsi="宋体" w:cs="宋体"/>
                <w:iCs/>
                <w:color w:val="000000"/>
                <w:kern w:val="0"/>
                <w:sz w:val="18"/>
                <w:szCs w:val="18"/>
              </w:rPr>
            </w:pPr>
          </w:p>
        </w:tc>
        <w:tc>
          <w:tcPr>
            <w:tcW w:w="1415" w:type="dxa"/>
            <w:vMerge w:val="continue"/>
            <w:tcBorders>
              <w:top w:val="single" w:color="auto" w:sz="4" w:space="0"/>
              <w:left w:val="single" w:color="auto" w:sz="4" w:space="0"/>
              <w:bottom w:val="single" w:color="auto" w:sz="4" w:space="0"/>
              <w:right w:val="single" w:color="auto" w:sz="4" w:space="0"/>
            </w:tcBorders>
            <w:vAlign w:val="center"/>
          </w:tcPr>
          <w:p w14:paraId="7C4C68D5">
            <w:pPr>
              <w:jc w:val="center"/>
              <w:rPr>
                <w:rFonts w:ascii="宋体" w:hAnsi="宋体" w:cs="宋体"/>
                <w:iCs/>
                <w:color w:val="000000"/>
                <w:kern w:val="0"/>
                <w:sz w:val="18"/>
                <w:szCs w:val="18"/>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14:paraId="01C0F2D0">
            <w:pPr>
              <w:jc w:val="center"/>
              <w:rPr>
                <w:rFonts w:ascii="宋体" w:hAnsi="宋体" w:cs="宋体"/>
                <w:iCs/>
                <w:color w:val="000000"/>
                <w:kern w:val="0"/>
                <w:sz w:val="18"/>
                <w:szCs w:val="18"/>
              </w:rPr>
            </w:pPr>
          </w:p>
        </w:tc>
        <w:tc>
          <w:tcPr>
            <w:tcW w:w="960" w:type="dxa"/>
            <w:tcBorders>
              <w:top w:val="nil"/>
              <w:left w:val="nil"/>
              <w:bottom w:val="single" w:color="auto" w:sz="4" w:space="0"/>
              <w:right w:val="single" w:color="auto" w:sz="4" w:space="0"/>
            </w:tcBorders>
            <w:shd w:val="clear" w:color="auto" w:fill="auto"/>
            <w:vAlign w:val="center"/>
          </w:tcPr>
          <w:p w14:paraId="0C752BA4">
            <w:pPr>
              <w:jc w:val="center"/>
              <w:rPr>
                <w:rFonts w:ascii="宋体" w:hAnsi="宋体" w:cs="宋体"/>
                <w:iCs/>
                <w:color w:val="000000"/>
                <w:kern w:val="0"/>
                <w:sz w:val="18"/>
                <w:szCs w:val="18"/>
              </w:rPr>
            </w:pPr>
            <w:r>
              <w:rPr>
                <w:rFonts w:hint="eastAsia" w:ascii="宋体" w:hAnsi="宋体" w:cs="宋体"/>
                <w:iCs/>
                <w:color w:val="000000"/>
                <w:kern w:val="0"/>
                <w:sz w:val="18"/>
                <w:szCs w:val="18"/>
              </w:rPr>
              <w:t>6</w:t>
            </w:r>
            <w:r>
              <w:rPr>
                <w:rFonts w:hint="eastAsia" w:ascii="宋体" w:hAnsi="宋体" w:cs="宋体"/>
                <w:b/>
                <w:iCs/>
                <w:color w:val="000000"/>
                <w:kern w:val="0"/>
                <w:sz w:val="18"/>
                <w:szCs w:val="18"/>
              </w:rPr>
              <w:t>等</w:t>
            </w:r>
          </w:p>
        </w:tc>
        <w:tc>
          <w:tcPr>
            <w:tcW w:w="1026" w:type="dxa"/>
            <w:tcBorders>
              <w:top w:val="nil"/>
              <w:left w:val="nil"/>
              <w:bottom w:val="single" w:color="auto" w:sz="4" w:space="0"/>
              <w:right w:val="single" w:color="auto" w:sz="4" w:space="0"/>
            </w:tcBorders>
            <w:shd w:val="clear" w:color="auto" w:fill="auto"/>
            <w:vAlign w:val="center"/>
          </w:tcPr>
          <w:p w14:paraId="2271F63C">
            <w:pPr>
              <w:jc w:val="center"/>
              <w:rPr>
                <w:rFonts w:ascii="宋体" w:hAnsi="宋体" w:cs="宋体"/>
                <w:iCs/>
                <w:color w:val="000000"/>
                <w:kern w:val="0"/>
                <w:sz w:val="18"/>
                <w:szCs w:val="18"/>
              </w:rPr>
            </w:pPr>
            <w:r>
              <w:rPr>
                <w:rFonts w:hint="eastAsia" w:ascii="宋体" w:hAnsi="宋体" w:cs="宋体"/>
                <w:iCs/>
                <w:color w:val="000000"/>
                <w:kern w:val="0"/>
                <w:sz w:val="18"/>
                <w:szCs w:val="18"/>
              </w:rPr>
              <w:t>7</w:t>
            </w:r>
            <w:r>
              <w:rPr>
                <w:rFonts w:hint="eastAsia" w:ascii="宋体" w:hAnsi="宋体" w:cs="宋体"/>
                <w:b/>
                <w:iCs/>
                <w:color w:val="000000"/>
                <w:kern w:val="0"/>
                <w:sz w:val="18"/>
                <w:szCs w:val="18"/>
              </w:rPr>
              <w:t>等</w:t>
            </w:r>
          </w:p>
        </w:tc>
        <w:tc>
          <w:tcPr>
            <w:tcW w:w="960" w:type="dxa"/>
            <w:tcBorders>
              <w:top w:val="nil"/>
              <w:left w:val="nil"/>
              <w:bottom w:val="single" w:color="auto" w:sz="4" w:space="0"/>
              <w:right w:val="single" w:color="auto" w:sz="4" w:space="0"/>
            </w:tcBorders>
            <w:shd w:val="clear" w:color="auto" w:fill="auto"/>
            <w:vAlign w:val="center"/>
          </w:tcPr>
          <w:p w14:paraId="138B8A81">
            <w:pPr>
              <w:jc w:val="center"/>
              <w:rPr>
                <w:rFonts w:ascii="宋体" w:hAnsi="宋体" w:cs="宋体"/>
                <w:iCs/>
                <w:color w:val="000000"/>
                <w:kern w:val="0"/>
                <w:sz w:val="18"/>
                <w:szCs w:val="18"/>
              </w:rPr>
            </w:pPr>
            <w:r>
              <w:rPr>
                <w:rFonts w:hint="eastAsia" w:ascii="宋体" w:hAnsi="宋体" w:cs="宋体"/>
                <w:iCs/>
                <w:color w:val="000000"/>
                <w:kern w:val="0"/>
                <w:sz w:val="18"/>
                <w:szCs w:val="18"/>
              </w:rPr>
              <w:t>8</w:t>
            </w:r>
            <w:r>
              <w:rPr>
                <w:rFonts w:hint="eastAsia" w:ascii="宋体" w:hAnsi="宋体" w:cs="宋体"/>
                <w:b/>
                <w:iCs/>
                <w:color w:val="000000"/>
                <w:kern w:val="0"/>
                <w:sz w:val="18"/>
                <w:szCs w:val="18"/>
              </w:rPr>
              <w:t>等</w:t>
            </w:r>
          </w:p>
        </w:tc>
        <w:tc>
          <w:tcPr>
            <w:tcW w:w="1026" w:type="dxa"/>
            <w:tcBorders>
              <w:top w:val="nil"/>
              <w:left w:val="nil"/>
              <w:bottom w:val="single" w:color="auto" w:sz="4" w:space="0"/>
              <w:right w:val="single" w:color="auto" w:sz="4" w:space="0"/>
            </w:tcBorders>
            <w:shd w:val="clear" w:color="auto" w:fill="auto"/>
            <w:vAlign w:val="center"/>
          </w:tcPr>
          <w:p w14:paraId="74D88662">
            <w:pPr>
              <w:jc w:val="center"/>
              <w:rPr>
                <w:rFonts w:ascii="宋体" w:hAnsi="宋体" w:cs="宋体"/>
                <w:iCs/>
                <w:color w:val="000000"/>
                <w:kern w:val="0"/>
                <w:sz w:val="18"/>
                <w:szCs w:val="18"/>
              </w:rPr>
            </w:pPr>
            <w:r>
              <w:rPr>
                <w:rFonts w:hint="eastAsia" w:ascii="宋体" w:hAnsi="宋体" w:cs="宋体"/>
                <w:iCs/>
                <w:color w:val="000000"/>
                <w:kern w:val="0"/>
                <w:sz w:val="18"/>
                <w:szCs w:val="18"/>
              </w:rPr>
              <w:t>9</w:t>
            </w:r>
            <w:r>
              <w:rPr>
                <w:rFonts w:hint="eastAsia" w:ascii="宋体" w:hAnsi="宋体" w:cs="宋体"/>
                <w:b/>
                <w:iCs/>
                <w:color w:val="000000"/>
                <w:kern w:val="0"/>
                <w:sz w:val="18"/>
                <w:szCs w:val="18"/>
              </w:rPr>
              <w:t>等</w:t>
            </w:r>
          </w:p>
        </w:tc>
        <w:tc>
          <w:tcPr>
            <w:tcW w:w="1026" w:type="dxa"/>
            <w:tcBorders>
              <w:top w:val="nil"/>
              <w:left w:val="nil"/>
              <w:bottom w:val="single" w:color="auto" w:sz="4" w:space="0"/>
              <w:right w:val="single" w:color="auto" w:sz="4" w:space="0"/>
            </w:tcBorders>
            <w:shd w:val="clear" w:color="auto" w:fill="auto"/>
            <w:vAlign w:val="center"/>
          </w:tcPr>
          <w:p w14:paraId="5B05DBB0">
            <w:pPr>
              <w:jc w:val="center"/>
              <w:rPr>
                <w:rFonts w:ascii="宋体" w:hAnsi="宋体" w:cs="宋体"/>
                <w:iCs/>
                <w:color w:val="000000"/>
                <w:kern w:val="0"/>
                <w:sz w:val="18"/>
                <w:szCs w:val="18"/>
              </w:rPr>
            </w:pPr>
            <w:r>
              <w:rPr>
                <w:rFonts w:hint="eastAsia" w:ascii="宋体" w:hAnsi="宋体" w:cs="宋体"/>
                <w:iCs/>
                <w:color w:val="000000"/>
                <w:kern w:val="0"/>
                <w:sz w:val="18"/>
                <w:szCs w:val="18"/>
              </w:rPr>
              <w:t>10</w:t>
            </w:r>
            <w:r>
              <w:rPr>
                <w:rFonts w:hint="eastAsia" w:ascii="宋体" w:hAnsi="宋体" w:cs="宋体"/>
                <w:b/>
                <w:iCs/>
                <w:color w:val="000000"/>
                <w:kern w:val="0"/>
                <w:sz w:val="18"/>
                <w:szCs w:val="18"/>
              </w:rPr>
              <w:t>等</w:t>
            </w:r>
          </w:p>
        </w:tc>
        <w:tc>
          <w:tcPr>
            <w:tcW w:w="936" w:type="dxa"/>
            <w:tcBorders>
              <w:top w:val="nil"/>
              <w:left w:val="nil"/>
              <w:bottom w:val="single" w:color="auto" w:sz="4" w:space="0"/>
              <w:right w:val="single" w:color="auto" w:sz="4" w:space="0"/>
            </w:tcBorders>
            <w:shd w:val="clear" w:color="auto" w:fill="auto"/>
            <w:vAlign w:val="center"/>
          </w:tcPr>
          <w:p w14:paraId="1E6FBDC7">
            <w:pPr>
              <w:jc w:val="center"/>
              <w:rPr>
                <w:rFonts w:ascii="宋体" w:hAnsi="宋体" w:cs="宋体"/>
                <w:iCs/>
                <w:color w:val="000000"/>
                <w:kern w:val="0"/>
                <w:sz w:val="18"/>
                <w:szCs w:val="18"/>
              </w:rPr>
            </w:pPr>
            <w:r>
              <w:rPr>
                <w:rFonts w:hint="eastAsia" w:ascii="宋体" w:hAnsi="宋体" w:cs="宋体"/>
                <w:iCs/>
                <w:color w:val="000000"/>
                <w:kern w:val="0"/>
                <w:sz w:val="18"/>
                <w:szCs w:val="18"/>
              </w:rPr>
              <w:t>11</w:t>
            </w:r>
            <w:r>
              <w:rPr>
                <w:rFonts w:hint="eastAsia" w:ascii="宋体" w:hAnsi="宋体" w:cs="宋体"/>
                <w:b/>
                <w:iCs/>
                <w:color w:val="000000"/>
                <w:kern w:val="0"/>
                <w:sz w:val="18"/>
                <w:szCs w:val="18"/>
              </w:rPr>
              <w:t>等</w:t>
            </w:r>
          </w:p>
        </w:tc>
        <w:tc>
          <w:tcPr>
            <w:tcW w:w="960" w:type="dxa"/>
            <w:tcBorders>
              <w:top w:val="nil"/>
              <w:left w:val="nil"/>
              <w:bottom w:val="single" w:color="auto" w:sz="4" w:space="0"/>
              <w:right w:val="single" w:color="auto" w:sz="4" w:space="0"/>
            </w:tcBorders>
            <w:shd w:val="clear" w:color="auto" w:fill="auto"/>
            <w:vAlign w:val="center"/>
          </w:tcPr>
          <w:p w14:paraId="5F093B8F">
            <w:pPr>
              <w:jc w:val="center"/>
              <w:rPr>
                <w:rFonts w:ascii="宋体" w:hAnsi="宋体" w:cs="宋体"/>
                <w:iCs/>
                <w:color w:val="000000"/>
                <w:kern w:val="0"/>
                <w:sz w:val="18"/>
                <w:szCs w:val="18"/>
              </w:rPr>
            </w:pPr>
            <w:r>
              <w:rPr>
                <w:rFonts w:hint="eastAsia" w:ascii="宋体" w:hAnsi="宋体" w:cs="宋体"/>
                <w:iCs/>
                <w:color w:val="000000"/>
                <w:kern w:val="0"/>
                <w:sz w:val="18"/>
                <w:szCs w:val="18"/>
              </w:rPr>
              <w:t>12</w:t>
            </w:r>
            <w:r>
              <w:rPr>
                <w:rFonts w:hint="eastAsia" w:ascii="宋体" w:hAnsi="宋体" w:cs="宋体"/>
                <w:b/>
                <w:iCs/>
                <w:color w:val="000000"/>
                <w:kern w:val="0"/>
                <w:sz w:val="18"/>
                <w:szCs w:val="18"/>
              </w:rPr>
              <w:t>等</w:t>
            </w:r>
          </w:p>
        </w:tc>
        <w:tc>
          <w:tcPr>
            <w:tcW w:w="846" w:type="dxa"/>
            <w:tcBorders>
              <w:top w:val="nil"/>
              <w:left w:val="nil"/>
              <w:bottom w:val="single" w:color="auto" w:sz="4" w:space="0"/>
              <w:right w:val="single" w:color="auto" w:sz="4" w:space="0"/>
            </w:tcBorders>
            <w:shd w:val="clear" w:color="auto" w:fill="auto"/>
            <w:vAlign w:val="center"/>
          </w:tcPr>
          <w:p w14:paraId="66B614AB">
            <w:pPr>
              <w:jc w:val="center"/>
              <w:rPr>
                <w:rFonts w:ascii="宋体" w:hAnsi="宋体" w:cs="宋体"/>
                <w:iCs/>
                <w:color w:val="000000"/>
                <w:kern w:val="0"/>
                <w:sz w:val="18"/>
                <w:szCs w:val="18"/>
              </w:rPr>
            </w:pPr>
            <w:r>
              <w:rPr>
                <w:rFonts w:hint="eastAsia" w:ascii="宋体" w:hAnsi="宋体" w:cs="宋体"/>
                <w:iCs/>
                <w:color w:val="000000"/>
                <w:kern w:val="0"/>
                <w:sz w:val="18"/>
                <w:szCs w:val="18"/>
              </w:rPr>
              <w:t>13</w:t>
            </w:r>
            <w:r>
              <w:rPr>
                <w:rFonts w:hint="eastAsia" w:ascii="宋体" w:hAnsi="宋体" w:cs="宋体"/>
                <w:b/>
                <w:iCs/>
                <w:color w:val="000000"/>
                <w:kern w:val="0"/>
                <w:sz w:val="18"/>
                <w:szCs w:val="18"/>
              </w:rPr>
              <w:t>等</w:t>
            </w:r>
          </w:p>
        </w:tc>
      </w:tr>
      <w:tr w14:paraId="4A5E5043">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13A400A7">
            <w:pPr>
              <w:jc w:val="center"/>
              <w:rPr>
                <w:rFonts w:ascii="宋体" w:hAnsi="宋体" w:cs="宋体"/>
                <w:iCs/>
                <w:color w:val="000000"/>
                <w:kern w:val="0"/>
                <w:sz w:val="18"/>
                <w:szCs w:val="18"/>
              </w:rPr>
            </w:pPr>
            <w:r>
              <w:rPr>
                <w:rFonts w:hint="eastAsia" w:ascii="宋体" w:hAnsi="宋体" w:cs="宋体"/>
                <w:iCs/>
                <w:color w:val="000000"/>
                <w:kern w:val="0"/>
                <w:sz w:val="18"/>
                <w:szCs w:val="18"/>
              </w:rPr>
              <w:t>铜都街道</w:t>
            </w:r>
          </w:p>
        </w:tc>
        <w:tc>
          <w:tcPr>
            <w:tcW w:w="1415" w:type="dxa"/>
            <w:tcBorders>
              <w:top w:val="nil"/>
              <w:left w:val="nil"/>
              <w:bottom w:val="single" w:color="auto" w:sz="4" w:space="0"/>
              <w:right w:val="single" w:color="auto" w:sz="4" w:space="0"/>
            </w:tcBorders>
            <w:shd w:val="clear" w:color="auto" w:fill="auto"/>
            <w:vAlign w:val="center"/>
          </w:tcPr>
          <w:p w14:paraId="15ACFF6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174.87 </w:t>
            </w:r>
          </w:p>
        </w:tc>
        <w:tc>
          <w:tcPr>
            <w:tcW w:w="1116" w:type="dxa"/>
            <w:tcBorders>
              <w:top w:val="nil"/>
              <w:left w:val="nil"/>
              <w:bottom w:val="single" w:color="auto" w:sz="4" w:space="0"/>
              <w:right w:val="single" w:color="auto" w:sz="4" w:space="0"/>
            </w:tcBorders>
            <w:shd w:val="clear" w:color="auto" w:fill="auto"/>
            <w:vAlign w:val="center"/>
          </w:tcPr>
          <w:p w14:paraId="34BA54A2">
            <w:pPr>
              <w:jc w:val="center"/>
              <w:rPr>
                <w:rFonts w:ascii="宋体" w:hAnsi="宋体" w:cs="宋体"/>
                <w:iCs/>
                <w:color w:val="000000"/>
                <w:kern w:val="0"/>
                <w:sz w:val="18"/>
                <w:szCs w:val="18"/>
              </w:rPr>
            </w:pPr>
            <w:r>
              <w:rPr>
                <w:rFonts w:hint="eastAsia" w:ascii="宋体" w:hAnsi="宋体" w:cs="宋体"/>
                <w:iCs/>
                <w:color w:val="000000"/>
                <w:kern w:val="0"/>
                <w:sz w:val="18"/>
                <w:szCs w:val="18"/>
              </w:rPr>
              <w:t>16.30%</w:t>
            </w:r>
          </w:p>
        </w:tc>
        <w:tc>
          <w:tcPr>
            <w:tcW w:w="960" w:type="dxa"/>
            <w:tcBorders>
              <w:top w:val="nil"/>
              <w:left w:val="nil"/>
              <w:bottom w:val="single" w:color="auto" w:sz="4" w:space="0"/>
              <w:right w:val="single" w:color="auto" w:sz="4" w:space="0"/>
            </w:tcBorders>
            <w:shd w:val="clear" w:color="auto" w:fill="auto"/>
            <w:vAlign w:val="center"/>
          </w:tcPr>
          <w:p w14:paraId="3E530AF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22.71 </w:t>
            </w:r>
          </w:p>
        </w:tc>
        <w:tc>
          <w:tcPr>
            <w:tcW w:w="1026" w:type="dxa"/>
            <w:tcBorders>
              <w:top w:val="nil"/>
              <w:left w:val="nil"/>
              <w:bottom w:val="single" w:color="auto" w:sz="4" w:space="0"/>
              <w:right w:val="single" w:color="auto" w:sz="4" w:space="0"/>
            </w:tcBorders>
            <w:shd w:val="clear" w:color="auto" w:fill="auto"/>
            <w:vAlign w:val="center"/>
          </w:tcPr>
          <w:p w14:paraId="2D071E9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11.35 </w:t>
            </w:r>
          </w:p>
        </w:tc>
        <w:tc>
          <w:tcPr>
            <w:tcW w:w="960" w:type="dxa"/>
            <w:tcBorders>
              <w:top w:val="nil"/>
              <w:left w:val="nil"/>
              <w:bottom w:val="single" w:color="auto" w:sz="4" w:space="0"/>
              <w:right w:val="single" w:color="auto" w:sz="4" w:space="0"/>
            </w:tcBorders>
            <w:shd w:val="clear" w:color="auto" w:fill="auto"/>
            <w:vAlign w:val="center"/>
          </w:tcPr>
          <w:p w14:paraId="318064A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40.01 </w:t>
            </w:r>
          </w:p>
        </w:tc>
        <w:tc>
          <w:tcPr>
            <w:tcW w:w="1026" w:type="dxa"/>
            <w:tcBorders>
              <w:top w:val="nil"/>
              <w:left w:val="nil"/>
              <w:bottom w:val="single" w:color="auto" w:sz="4" w:space="0"/>
              <w:right w:val="single" w:color="auto" w:sz="4" w:space="0"/>
            </w:tcBorders>
            <w:shd w:val="clear" w:color="auto" w:fill="auto"/>
            <w:vAlign w:val="center"/>
          </w:tcPr>
          <w:p w14:paraId="06EA461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50.93 </w:t>
            </w:r>
          </w:p>
        </w:tc>
        <w:tc>
          <w:tcPr>
            <w:tcW w:w="1026" w:type="dxa"/>
            <w:tcBorders>
              <w:top w:val="nil"/>
              <w:left w:val="nil"/>
              <w:bottom w:val="single" w:color="auto" w:sz="4" w:space="0"/>
              <w:right w:val="single" w:color="auto" w:sz="4" w:space="0"/>
            </w:tcBorders>
            <w:shd w:val="clear" w:color="auto" w:fill="auto"/>
            <w:vAlign w:val="center"/>
          </w:tcPr>
          <w:p w14:paraId="083B04E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36.98 </w:t>
            </w:r>
          </w:p>
        </w:tc>
        <w:tc>
          <w:tcPr>
            <w:tcW w:w="936" w:type="dxa"/>
            <w:tcBorders>
              <w:top w:val="nil"/>
              <w:left w:val="nil"/>
              <w:bottom w:val="single" w:color="auto" w:sz="4" w:space="0"/>
              <w:right w:val="single" w:color="auto" w:sz="4" w:space="0"/>
            </w:tcBorders>
            <w:shd w:val="clear" w:color="auto" w:fill="auto"/>
            <w:vAlign w:val="center"/>
          </w:tcPr>
          <w:p w14:paraId="196BE32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12.13 </w:t>
            </w:r>
          </w:p>
        </w:tc>
        <w:tc>
          <w:tcPr>
            <w:tcW w:w="960" w:type="dxa"/>
            <w:tcBorders>
              <w:top w:val="nil"/>
              <w:left w:val="nil"/>
              <w:bottom w:val="single" w:color="auto" w:sz="4" w:space="0"/>
              <w:right w:val="single" w:color="auto" w:sz="4" w:space="0"/>
            </w:tcBorders>
            <w:shd w:val="clear" w:color="auto" w:fill="auto"/>
            <w:vAlign w:val="center"/>
          </w:tcPr>
          <w:p w14:paraId="4B8DBEC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0.45 </w:t>
            </w:r>
          </w:p>
        </w:tc>
        <w:tc>
          <w:tcPr>
            <w:tcW w:w="846" w:type="dxa"/>
            <w:tcBorders>
              <w:top w:val="nil"/>
              <w:left w:val="nil"/>
              <w:bottom w:val="single" w:color="auto" w:sz="4" w:space="0"/>
              <w:right w:val="single" w:color="auto" w:sz="4" w:space="0"/>
            </w:tcBorders>
            <w:shd w:val="clear" w:color="auto" w:fill="auto"/>
            <w:vAlign w:val="center"/>
          </w:tcPr>
          <w:p w14:paraId="6E278BB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0.31 </w:t>
            </w:r>
          </w:p>
        </w:tc>
      </w:tr>
      <w:tr w14:paraId="7DD93E12">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6782B919">
            <w:pPr>
              <w:jc w:val="center"/>
              <w:rPr>
                <w:rFonts w:ascii="宋体" w:hAnsi="宋体" w:cs="宋体"/>
                <w:iCs/>
                <w:color w:val="000000"/>
                <w:kern w:val="0"/>
                <w:sz w:val="18"/>
                <w:szCs w:val="18"/>
              </w:rPr>
            </w:pPr>
            <w:r>
              <w:rPr>
                <w:rFonts w:hint="eastAsia" w:ascii="宋体" w:hAnsi="宋体" w:cs="宋体"/>
                <w:iCs/>
                <w:color w:val="000000"/>
                <w:kern w:val="0"/>
                <w:sz w:val="18"/>
                <w:szCs w:val="18"/>
              </w:rPr>
              <w:t>阿旺镇</w:t>
            </w:r>
          </w:p>
        </w:tc>
        <w:tc>
          <w:tcPr>
            <w:tcW w:w="1415" w:type="dxa"/>
            <w:tcBorders>
              <w:top w:val="nil"/>
              <w:left w:val="nil"/>
              <w:bottom w:val="single" w:color="auto" w:sz="4" w:space="0"/>
              <w:right w:val="single" w:color="auto" w:sz="4" w:space="0"/>
            </w:tcBorders>
            <w:shd w:val="clear" w:color="auto" w:fill="auto"/>
            <w:vAlign w:val="center"/>
          </w:tcPr>
          <w:p w14:paraId="4FBFB0E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170.43 </w:t>
            </w:r>
          </w:p>
        </w:tc>
        <w:tc>
          <w:tcPr>
            <w:tcW w:w="1116" w:type="dxa"/>
            <w:tcBorders>
              <w:top w:val="nil"/>
              <w:left w:val="nil"/>
              <w:bottom w:val="single" w:color="auto" w:sz="4" w:space="0"/>
              <w:right w:val="single" w:color="auto" w:sz="4" w:space="0"/>
            </w:tcBorders>
            <w:shd w:val="clear" w:color="auto" w:fill="auto"/>
            <w:vAlign w:val="center"/>
          </w:tcPr>
          <w:p w14:paraId="36119991">
            <w:pPr>
              <w:jc w:val="center"/>
              <w:rPr>
                <w:rFonts w:ascii="宋体" w:hAnsi="宋体" w:cs="宋体"/>
                <w:iCs/>
                <w:color w:val="000000"/>
                <w:kern w:val="0"/>
                <w:sz w:val="18"/>
                <w:szCs w:val="18"/>
              </w:rPr>
            </w:pPr>
            <w:r>
              <w:rPr>
                <w:rFonts w:hint="eastAsia" w:ascii="宋体" w:hAnsi="宋体" w:cs="宋体"/>
                <w:iCs/>
                <w:color w:val="000000"/>
                <w:kern w:val="0"/>
                <w:sz w:val="18"/>
                <w:szCs w:val="18"/>
              </w:rPr>
              <w:t>15.90%</w:t>
            </w:r>
          </w:p>
        </w:tc>
        <w:tc>
          <w:tcPr>
            <w:tcW w:w="960" w:type="dxa"/>
            <w:tcBorders>
              <w:top w:val="nil"/>
              <w:left w:val="nil"/>
              <w:bottom w:val="single" w:color="auto" w:sz="4" w:space="0"/>
              <w:right w:val="single" w:color="auto" w:sz="4" w:space="0"/>
            </w:tcBorders>
            <w:shd w:val="clear" w:color="auto" w:fill="auto"/>
            <w:vAlign w:val="center"/>
          </w:tcPr>
          <w:p w14:paraId="384617D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7.08 </w:t>
            </w:r>
          </w:p>
        </w:tc>
        <w:tc>
          <w:tcPr>
            <w:tcW w:w="1026" w:type="dxa"/>
            <w:tcBorders>
              <w:top w:val="nil"/>
              <w:left w:val="nil"/>
              <w:bottom w:val="single" w:color="auto" w:sz="4" w:space="0"/>
              <w:right w:val="single" w:color="auto" w:sz="4" w:space="0"/>
            </w:tcBorders>
            <w:shd w:val="clear" w:color="auto" w:fill="auto"/>
            <w:vAlign w:val="center"/>
          </w:tcPr>
          <w:p w14:paraId="73AEC7A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31.53 </w:t>
            </w:r>
          </w:p>
        </w:tc>
        <w:tc>
          <w:tcPr>
            <w:tcW w:w="960" w:type="dxa"/>
            <w:tcBorders>
              <w:top w:val="nil"/>
              <w:left w:val="nil"/>
              <w:bottom w:val="single" w:color="auto" w:sz="4" w:space="0"/>
              <w:right w:val="single" w:color="auto" w:sz="4" w:space="0"/>
            </w:tcBorders>
            <w:shd w:val="clear" w:color="auto" w:fill="auto"/>
            <w:vAlign w:val="center"/>
          </w:tcPr>
          <w:p w14:paraId="15B54FA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22.98 </w:t>
            </w:r>
          </w:p>
        </w:tc>
        <w:tc>
          <w:tcPr>
            <w:tcW w:w="1026" w:type="dxa"/>
            <w:tcBorders>
              <w:top w:val="nil"/>
              <w:left w:val="nil"/>
              <w:bottom w:val="single" w:color="auto" w:sz="4" w:space="0"/>
              <w:right w:val="single" w:color="auto" w:sz="4" w:space="0"/>
            </w:tcBorders>
            <w:shd w:val="clear" w:color="auto" w:fill="auto"/>
            <w:vAlign w:val="center"/>
          </w:tcPr>
          <w:p w14:paraId="1CFC25A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24.46 </w:t>
            </w:r>
          </w:p>
        </w:tc>
        <w:tc>
          <w:tcPr>
            <w:tcW w:w="1026" w:type="dxa"/>
            <w:tcBorders>
              <w:top w:val="nil"/>
              <w:left w:val="nil"/>
              <w:bottom w:val="single" w:color="auto" w:sz="4" w:space="0"/>
              <w:right w:val="single" w:color="auto" w:sz="4" w:space="0"/>
            </w:tcBorders>
            <w:shd w:val="clear" w:color="auto" w:fill="auto"/>
            <w:vAlign w:val="center"/>
          </w:tcPr>
          <w:p w14:paraId="4576A11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64.51 </w:t>
            </w:r>
          </w:p>
        </w:tc>
        <w:tc>
          <w:tcPr>
            <w:tcW w:w="936" w:type="dxa"/>
            <w:tcBorders>
              <w:top w:val="nil"/>
              <w:left w:val="nil"/>
              <w:bottom w:val="single" w:color="auto" w:sz="4" w:space="0"/>
              <w:right w:val="single" w:color="auto" w:sz="4" w:space="0"/>
            </w:tcBorders>
            <w:shd w:val="clear" w:color="auto" w:fill="auto"/>
            <w:vAlign w:val="center"/>
          </w:tcPr>
          <w:p w14:paraId="718A138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19.87 </w:t>
            </w:r>
          </w:p>
        </w:tc>
        <w:tc>
          <w:tcPr>
            <w:tcW w:w="960" w:type="dxa"/>
            <w:tcBorders>
              <w:top w:val="nil"/>
              <w:left w:val="nil"/>
              <w:bottom w:val="single" w:color="auto" w:sz="4" w:space="0"/>
              <w:right w:val="single" w:color="auto" w:sz="4" w:space="0"/>
            </w:tcBorders>
            <w:shd w:val="clear" w:color="auto" w:fill="auto"/>
            <w:vAlign w:val="center"/>
          </w:tcPr>
          <w:p w14:paraId="78C93A2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846" w:type="dxa"/>
            <w:tcBorders>
              <w:top w:val="nil"/>
              <w:left w:val="nil"/>
              <w:bottom w:val="single" w:color="auto" w:sz="4" w:space="0"/>
              <w:right w:val="single" w:color="auto" w:sz="4" w:space="0"/>
            </w:tcBorders>
            <w:shd w:val="clear" w:color="auto" w:fill="auto"/>
            <w:vAlign w:val="center"/>
          </w:tcPr>
          <w:p w14:paraId="6404705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r>
      <w:tr w14:paraId="18E03428">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6F3875EC">
            <w:pPr>
              <w:jc w:val="center"/>
              <w:rPr>
                <w:rFonts w:ascii="宋体" w:hAnsi="宋体" w:cs="宋体"/>
                <w:iCs/>
                <w:color w:val="000000"/>
                <w:kern w:val="0"/>
                <w:sz w:val="18"/>
                <w:szCs w:val="18"/>
              </w:rPr>
            </w:pPr>
            <w:r>
              <w:rPr>
                <w:rFonts w:hint="eastAsia" w:ascii="宋体" w:hAnsi="宋体" w:cs="宋体"/>
                <w:iCs/>
                <w:color w:val="000000"/>
                <w:kern w:val="0"/>
                <w:sz w:val="18"/>
                <w:szCs w:val="18"/>
              </w:rPr>
              <w:t>乌龙镇</w:t>
            </w:r>
          </w:p>
        </w:tc>
        <w:tc>
          <w:tcPr>
            <w:tcW w:w="1415" w:type="dxa"/>
            <w:tcBorders>
              <w:top w:val="nil"/>
              <w:left w:val="nil"/>
              <w:bottom w:val="single" w:color="auto" w:sz="4" w:space="0"/>
              <w:right w:val="single" w:color="auto" w:sz="4" w:space="0"/>
            </w:tcBorders>
            <w:shd w:val="clear" w:color="auto" w:fill="auto"/>
            <w:vAlign w:val="center"/>
          </w:tcPr>
          <w:p w14:paraId="47258E15">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288.53 </w:t>
            </w:r>
          </w:p>
        </w:tc>
        <w:tc>
          <w:tcPr>
            <w:tcW w:w="1116" w:type="dxa"/>
            <w:tcBorders>
              <w:top w:val="nil"/>
              <w:left w:val="nil"/>
              <w:bottom w:val="single" w:color="auto" w:sz="4" w:space="0"/>
              <w:right w:val="single" w:color="auto" w:sz="4" w:space="0"/>
            </w:tcBorders>
            <w:shd w:val="clear" w:color="auto" w:fill="auto"/>
            <w:vAlign w:val="center"/>
          </w:tcPr>
          <w:p w14:paraId="4FDF42EF">
            <w:pPr>
              <w:jc w:val="center"/>
              <w:rPr>
                <w:rFonts w:ascii="宋体" w:hAnsi="宋体" w:cs="宋体"/>
                <w:iCs/>
                <w:color w:val="000000"/>
                <w:kern w:val="0"/>
                <w:sz w:val="18"/>
                <w:szCs w:val="18"/>
              </w:rPr>
            </w:pPr>
            <w:r>
              <w:rPr>
                <w:rFonts w:hint="eastAsia" w:ascii="宋体" w:hAnsi="宋体" w:cs="宋体"/>
                <w:iCs/>
                <w:color w:val="000000"/>
                <w:kern w:val="0"/>
                <w:sz w:val="18"/>
                <w:szCs w:val="18"/>
              </w:rPr>
              <w:t>26.90%</w:t>
            </w:r>
          </w:p>
        </w:tc>
        <w:tc>
          <w:tcPr>
            <w:tcW w:w="960" w:type="dxa"/>
            <w:tcBorders>
              <w:top w:val="nil"/>
              <w:left w:val="nil"/>
              <w:bottom w:val="single" w:color="auto" w:sz="4" w:space="0"/>
              <w:right w:val="single" w:color="auto" w:sz="4" w:space="0"/>
            </w:tcBorders>
            <w:shd w:val="clear" w:color="auto" w:fill="auto"/>
            <w:vAlign w:val="center"/>
          </w:tcPr>
          <w:p w14:paraId="0BE0A1F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3.63 </w:t>
            </w:r>
          </w:p>
        </w:tc>
        <w:tc>
          <w:tcPr>
            <w:tcW w:w="1026" w:type="dxa"/>
            <w:tcBorders>
              <w:top w:val="nil"/>
              <w:left w:val="nil"/>
              <w:bottom w:val="single" w:color="auto" w:sz="4" w:space="0"/>
              <w:right w:val="single" w:color="auto" w:sz="4" w:space="0"/>
            </w:tcBorders>
            <w:shd w:val="clear" w:color="auto" w:fill="auto"/>
            <w:vAlign w:val="center"/>
          </w:tcPr>
          <w:p w14:paraId="0F4D30A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38500FEC">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126.89 </w:t>
            </w:r>
          </w:p>
        </w:tc>
        <w:tc>
          <w:tcPr>
            <w:tcW w:w="1026" w:type="dxa"/>
            <w:tcBorders>
              <w:top w:val="nil"/>
              <w:left w:val="nil"/>
              <w:bottom w:val="single" w:color="auto" w:sz="4" w:space="0"/>
              <w:right w:val="single" w:color="auto" w:sz="4" w:space="0"/>
            </w:tcBorders>
            <w:shd w:val="clear" w:color="auto" w:fill="auto"/>
            <w:vAlign w:val="center"/>
          </w:tcPr>
          <w:p w14:paraId="139E6E1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64.60 </w:t>
            </w:r>
          </w:p>
        </w:tc>
        <w:tc>
          <w:tcPr>
            <w:tcW w:w="1026" w:type="dxa"/>
            <w:tcBorders>
              <w:top w:val="nil"/>
              <w:left w:val="nil"/>
              <w:bottom w:val="single" w:color="auto" w:sz="4" w:space="0"/>
              <w:right w:val="single" w:color="auto" w:sz="4" w:space="0"/>
            </w:tcBorders>
            <w:shd w:val="clear" w:color="auto" w:fill="auto"/>
            <w:vAlign w:val="center"/>
          </w:tcPr>
          <w:p w14:paraId="5321B77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77.25 </w:t>
            </w:r>
          </w:p>
        </w:tc>
        <w:tc>
          <w:tcPr>
            <w:tcW w:w="936" w:type="dxa"/>
            <w:tcBorders>
              <w:top w:val="nil"/>
              <w:left w:val="nil"/>
              <w:bottom w:val="single" w:color="auto" w:sz="4" w:space="0"/>
              <w:right w:val="single" w:color="auto" w:sz="4" w:space="0"/>
            </w:tcBorders>
            <w:shd w:val="clear" w:color="auto" w:fill="auto"/>
            <w:vAlign w:val="center"/>
          </w:tcPr>
          <w:p w14:paraId="1F34A93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16.16 </w:t>
            </w:r>
          </w:p>
        </w:tc>
        <w:tc>
          <w:tcPr>
            <w:tcW w:w="960" w:type="dxa"/>
            <w:tcBorders>
              <w:top w:val="nil"/>
              <w:left w:val="nil"/>
              <w:bottom w:val="single" w:color="auto" w:sz="4" w:space="0"/>
              <w:right w:val="single" w:color="auto" w:sz="4" w:space="0"/>
            </w:tcBorders>
            <w:shd w:val="clear" w:color="auto" w:fill="auto"/>
            <w:vAlign w:val="center"/>
          </w:tcPr>
          <w:p w14:paraId="2F1275C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846" w:type="dxa"/>
            <w:tcBorders>
              <w:top w:val="nil"/>
              <w:left w:val="nil"/>
              <w:bottom w:val="single" w:color="auto" w:sz="4" w:space="0"/>
              <w:right w:val="single" w:color="auto" w:sz="4" w:space="0"/>
            </w:tcBorders>
            <w:shd w:val="clear" w:color="auto" w:fill="auto"/>
            <w:vAlign w:val="center"/>
          </w:tcPr>
          <w:p w14:paraId="42C6EFF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r>
      <w:tr w14:paraId="7F2A8A29">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1573FD46">
            <w:pPr>
              <w:jc w:val="center"/>
              <w:rPr>
                <w:rFonts w:ascii="宋体" w:hAnsi="宋体" w:cs="宋体"/>
                <w:iCs/>
                <w:color w:val="000000"/>
                <w:kern w:val="0"/>
                <w:sz w:val="18"/>
                <w:szCs w:val="18"/>
              </w:rPr>
            </w:pPr>
            <w:r>
              <w:rPr>
                <w:rFonts w:hint="eastAsia" w:ascii="宋体" w:hAnsi="宋体" w:cs="宋体"/>
                <w:iCs/>
                <w:color w:val="000000"/>
                <w:kern w:val="0"/>
                <w:sz w:val="18"/>
                <w:szCs w:val="18"/>
              </w:rPr>
              <w:t>汤丹镇</w:t>
            </w:r>
          </w:p>
        </w:tc>
        <w:tc>
          <w:tcPr>
            <w:tcW w:w="1415" w:type="dxa"/>
            <w:tcBorders>
              <w:top w:val="nil"/>
              <w:left w:val="nil"/>
              <w:bottom w:val="single" w:color="auto" w:sz="4" w:space="0"/>
              <w:right w:val="single" w:color="auto" w:sz="4" w:space="0"/>
            </w:tcBorders>
            <w:shd w:val="clear" w:color="auto" w:fill="auto"/>
            <w:vAlign w:val="center"/>
          </w:tcPr>
          <w:p w14:paraId="5B016BA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115.23 </w:t>
            </w:r>
          </w:p>
        </w:tc>
        <w:tc>
          <w:tcPr>
            <w:tcW w:w="1116" w:type="dxa"/>
            <w:tcBorders>
              <w:top w:val="nil"/>
              <w:left w:val="nil"/>
              <w:bottom w:val="single" w:color="auto" w:sz="4" w:space="0"/>
              <w:right w:val="single" w:color="auto" w:sz="4" w:space="0"/>
            </w:tcBorders>
            <w:shd w:val="clear" w:color="auto" w:fill="auto"/>
            <w:vAlign w:val="center"/>
          </w:tcPr>
          <w:p w14:paraId="48C32D0E">
            <w:pPr>
              <w:jc w:val="center"/>
              <w:rPr>
                <w:rFonts w:ascii="宋体" w:hAnsi="宋体" w:cs="宋体"/>
                <w:iCs/>
                <w:color w:val="000000"/>
                <w:kern w:val="0"/>
                <w:sz w:val="18"/>
                <w:szCs w:val="18"/>
              </w:rPr>
            </w:pPr>
            <w:r>
              <w:rPr>
                <w:rFonts w:hint="eastAsia" w:ascii="宋体" w:hAnsi="宋体" w:cs="宋体"/>
                <w:iCs/>
                <w:color w:val="000000"/>
                <w:kern w:val="0"/>
                <w:sz w:val="18"/>
                <w:szCs w:val="18"/>
              </w:rPr>
              <w:t>10.70%</w:t>
            </w:r>
          </w:p>
        </w:tc>
        <w:tc>
          <w:tcPr>
            <w:tcW w:w="960" w:type="dxa"/>
            <w:tcBorders>
              <w:top w:val="nil"/>
              <w:left w:val="nil"/>
              <w:bottom w:val="single" w:color="auto" w:sz="4" w:space="0"/>
              <w:right w:val="single" w:color="auto" w:sz="4" w:space="0"/>
            </w:tcBorders>
            <w:shd w:val="clear" w:color="auto" w:fill="auto"/>
            <w:vAlign w:val="center"/>
          </w:tcPr>
          <w:p w14:paraId="6FC29767">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9.98 </w:t>
            </w:r>
          </w:p>
        </w:tc>
        <w:tc>
          <w:tcPr>
            <w:tcW w:w="1026" w:type="dxa"/>
            <w:tcBorders>
              <w:top w:val="nil"/>
              <w:left w:val="nil"/>
              <w:bottom w:val="single" w:color="auto" w:sz="4" w:space="0"/>
              <w:right w:val="single" w:color="auto" w:sz="4" w:space="0"/>
            </w:tcBorders>
            <w:shd w:val="clear" w:color="auto" w:fill="auto"/>
            <w:vAlign w:val="center"/>
          </w:tcPr>
          <w:p w14:paraId="192034F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71.85 </w:t>
            </w:r>
          </w:p>
        </w:tc>
        <w:tc>
          <w:tcPr>
            <w:tcW w:w="960" w:type="dxa"/>
            <w:tcBorders>
              <w:top w:val="nil"/>
              <w:left w:val="nil"/>
              <w:bottom w:val="single" w:color="auto" w:sz="4" w:space="0"/>
              <w:right w:val="single" w:color="auto" w:sz="4" w:space="0"/>
            </w:tcBorders>
            <w:shd w:val="clear" w:color="auto" w:fill="auto"/>
            <w:vAlign w:val="center"/>
          </w:tcPr>
          <w:p w14:paraId="09E0D06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026" w:type="dxa"/>
            <w:tcBorders>
              <w:top w:val="nil"/>
              <w:left w:val="nil"/>
              <w:bottom w:val="single" w:color="auto" w:sz="4" w:space="0"/>
              <w:right w:val="single" w:color="auto" w:sz="4" w:space="0"/>
            </w:tcBorders>
            <w:shd w:val="clear" w:color="auto" w:fill="auto"/>
            <w:vAlign w:val="center"/>
          </w:tcPr>
          <w:p w14:paraId="1DBCE3EC">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6.31 </w:t>
            </w:r>
          </w:p>
        </w:tc>
        <w:tc>
          <w:tcPr>
            <w:tcW w:w="1026" w:type="dxa"/>
            <w:tcBorders>
              <w:top w:val="nil"/>
              <w:left w:val="nil"/>
              <w:bottom w:val="single" w:color="auto" w:sz="4" w:space="0"/>
              <w:right w:val="single" w:color="auto" w:sz="4" w:space="0"/>
            </w:tcBorders>
            <w:shd w:val="clear" w:color="auto" w:fill="auto"/>
            <w:vAlign w:val="center"/>
          </w:tcPr>
          <w:p w14:paraId="757B4FB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2.27 </w:t>
            </w:r>
          </w:p>
        </w:tc>
        <w:tc>
          <w:tcPr>
            <w:tcW w:w="936" w:type="dxa"/>
            <w:tcBorders>
              <w:top w:val="nil"/>
              <w:left w:val="nil"/>
              <w:bottom w:val="single" w:color="auto" w:sz="4" w:space="0"/>
              <w:right w:val="single" w:color="auto" w:sz="4" w:space="0"/>
            </w:tcBorders>
            <w:shd w:val="clear" w:color="auto" w:fill="auto"/>
            <w:vAlign w:val="center"/>
          </w:tcPr>
          <w:p w14:paraId="6A2A3D1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50F14D4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18.57 </w:t>
            </w:r>
          </w:p>
        </w:tc>
        <w:tc>
          <w:tcPr>
            <w:tcW w:w="846" w:type="dxa"/>
            <w:tcBorders>
              <w:top w:val="nil"/>
              <w:left w:val="nil"/>
              <w:bottom w:val="single" w:color="auto" w:sz="4" w:space="0"/>
              <w:right w:val="single" w:color="auto" w:sz="4" w:space="0"/>
            </w:tcBorders>
            <w:shd w:val="clear" w:color="auto" w:fill="auto"/>
            <w:vAlign w:val="center"/>
          </w:tcPr>
          <w:p w14:paraId="3A9FCB26">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6.25 </w:t>
            </w:r>
          </w:p>
        </w:tc>
      </w:tr>
      <w:tr w14:paraId="6713270B">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2EFE193B">
            <w:pPr>
              <w:jc w:val="center"/>
              <w:rPr>
                <w:rFonts w:ascii="宋体" w:hAnsi="宋体" w:cs="宋体"/>
                <w:iCs/>
                <w:color w:val="000000"/>
                <w:kern w:val="0"/>
                <w:sz w:val="18"/>
                <w:szCs w:val="18"/>
              </w:rPr>
            </w:pPr>
            <w:r>
              <w:rPr>
                <w:rFonts w:hint="eastAsia" w:ascii="宋体" w:hAnsi="宋体" w:cs="宋体"/>
                <w:iCs/>
                <w:color w:val="000000"/>
                <w:kern w:val="0"/>
                <w:sz w:val="18"/>
                <w:szCs w:val="18"/>
              </w:rPr>
              <w:t>拖布卡镇</w:t>
            </w:r>
          </w:p>
        </w:tc>
        <w:tc>
          <w:tcPr>
            <w:tcW w:w="1415" w:type="dxa"/>
            <w:tcBorders>
              <w:top w:val="nil"/>
              <w:left w:val="nil"/>
              <w:bottom w:val="single" w:color="auto" w:sz="4" w:space="0"/>
              <w:right w:val="single" w:color="auto" w:sz="4" w:space="0"/>
            </w:tcBorders>
            <w:shd w:val="clear" w:color="auto" w:fill="auto"/>
            <w:vAlign w:val="center"/>
          </w:tcPr>
          <w:p w14:paraId="1DAABB1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309.97 </w:t>
            </w:r>
          </w:p>
        </w:tc>
        <w:tc>
          <w:tcPr>
            <w:tcW w:w="1116" w:type="dxa"/>
            <w:tcBorders>
              <w:top w:val="nil"/>
              <w:left w:val="nil"/>
              <w:bottom w:val="single" w:color="auto" w:sz="4" w:space="0"/>
              <w:right w:val="single" w:color="auto" w:sz="4" w:space="0"/>
            </w:tcBorders>
            <w:shd w:val="clear" w:color="auto" w:fill="auto"/>
            <w:vAlign w:val="center"/>
          </w:tcPr>
          <w:p w14:paraId="3BCC30C4">
            <w:pPr>
              <w:jc w:val="center"/>
              <w:rPr>
                <w:rFonts w:ascii="宋体" w:hAnsi="宋体" w:cs="宋体"/>
                <w:iCs/>
                <w:color w:val="000000"/>
                <w:kern w:val="0"/>
                <w:sz w:val="18"/>
                <w:szCs w:val="18"/>
              </w:rPr>
            </w:pPr>
            <w:r>
              <w:rPr>
                <w:rFonts w:hint="eastAsia" w:ascii="宋体" w:hAnsi="宋体" w:cs="宋体"/>
                <w:iCs/>
                <w:color w:val="000000"/>
                <w:kern w:val="0"/>
                <w:sz w:val="18"/>
                <w:szCs w:val="18"/>
              </w:rPr>
              <w:t>28.90%</w:t>
            </w:r>
          </w:p>
        </w:tc>
        <w:tc>
          <w:tcPr>
            <w:tcW w:w="960" w:type="dxa"/>
            <w:tcBorders>
              <w:top w:val="nil"/>
              <w:left w:val="nil"/>
              <w:bottom w:val="single" w:color="auto" w:sz="4" w:space="0"/>
              <w:right w:val="single" w:color="auto" w:sz="4" w:space="0"/>
            </w:tcBorders>
            <w:shd w:val="clear" w:color="auto" w:fill="auto"/>
            <w:vAlign w:val="center"/>
          </w:tcPr>
          <w:p w14:paraId="00057DE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86.55 </w:t>
            </w:r>
          </w:p>
        </w:tc>
        <w:tc>
          <w:tcPr>
            <w:tcW w:w="1026" w:type="dxa"/>
            <w:tcBorders>
              <w:top w:val="nil"/>
              <w:left w:val="nil"/>
              <w:bottom w:val="single" w:color="auto" w:sz="4" w:space="0"/>
              <w:right w:val="single" w:color="auto" w:sz="4" w:space="0"/>
            </w:tcBorders>
            <w:shd w:val="clear" w:color="auto" w:fill="auto"/>
            <w:vAlign w:val="center"/>
          </w:tcPr>
          <w:p w14:paraId="32FD252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0.45 </w:t>
            </w:r>
          </w:p>
        </w:tc>
        <w:tc>
          <w:tcPr>
            <w:tcW w:w="960" w:type="dxa"/>
            <w:tcBorders>
              <w:top w:val="nil"/>
              <w:left w:val="nil"/>
              <w:bottom w:val="single" w:color="auto" w:sz="4" w:space="0"/>
              <w:right w:val="single" w:color="auto" w:sz="4" w:space="0"/>
            </w:tcBorders>
            <w:shd w:val="clear" w:color="auto" w:fill="auto"/>
            <w:vAlign w:val="center"/>
          </w:tcPr>
          <w:p w14:paraId="567452C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111.27 </w:t>
            </w:r>
          </w:p>
        </w:tc>
        <w:tc>
          <w:tcPr>
            <w:tcW w:w="1026" w:type="dxa"/>
            <w:tcBorders>
              <w:top w:val="nil"/>
              <w:left w:val="nil"/>
              <w:bottom w:val="single" w:color="auto" w:sz="4" w:space="0"/>
              <w:right w:val="single" w:color="auto" w:sz="4" w:space="0"/>
            </w:tcBorders>
            <w:shd w:val="clear" w:color="auto" w:fill="auto"/>
            <w:vAlign w:val="center"/>
          </w:tcPr>
          <w:p w14:paraId="4137936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11.60 </w:t>
            </w:r>
          </w:p>
        </w:tc>
        <w:tc>
          <w:tcPr>
            <w:tcW w:w="1026" w:type="dxa"/>
            <w:tcBorders>
              <w:top w:val="nil"/>
              <w:left w:val="nil"/>
              <w:bottom w:val="single" w:color="auto" w:sz="4" w:space="0"/>
              <w:right w:val="single" w:color="auto" w:sz="4" w:space="0"/>
            </w:tcBorders>
            <w:shd w:val="clear" w:color="auto" w:fill="auto"/>
            <w:vAlign w:val="center"/>
          </w:tcPr>
          <w:p w14:paraId="2654140E">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82.55 </w:t>
            </w:r>
          </w:p>
        </w:tc>
        <w:tc>
          <w:tcPr>
            <w:tcW w:w="936" w:type="dxa"/>
            <w:tcBorders>
              <w:top w:val="nil"/>
              <w:left w:val="nil"/>
              <w:bottom w:val="single" w:color="auto" w:sz="4" w:space="0"/>
              <w:right w:val="single" w:color="auto" w:sz="4" w:space="0"/>
            </w:tcBorders>
            <w:shd w:val="clear" w:color="auto" w:fill="auto"/>
            <w:vAlign w:val="center"/>
          </w:tcPr>
          <w:p w14:paraId="7F3276A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17.55 </w:t>
            </w:r>
          </w:p>
        </w:tc>
        <w:tc>
          <w:tcPr>
            <w:tcW w:w="960" w:type="dxa"/>
            <w:tcBorders>
              <w:top w:val="nil"/>
              <w:left w:val="nil"/>
              <w:bottom w:val="single" w:color="auto" w:sz="4" w:space="0"/>
              <w:right w:val="single" w:color="auto" w:sz="4" w:space="0"/>
            </w:tcBorders>
            <w:shd w:val="clear" w:color="auto" w:fill="auto"/>
            <w:vAlign w:val="center"/>
          </w:tcPr>
          <w:p w14:paraId="3B03FCF4">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846" w:type="dxa"/>
            <w:tcBorders>
              <w:top w:val="nil"/>
              <w:left w:val="nil"/>
              <w:bottom w:val="single" w:color="auto" w:sz="4" w:space="0"/>
              <w:right w:val="single" w:color="auto" w:sz="4" w:space="0"/>
            </w:tcBorders>
            <w:shd w:val="clear" w:color="auto" w:fill="auto"/>
            <w:vAlign w:val="center"/>
          </w:tcPr>
          <w:p w14:paraId="198DD68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r>
      <w:tr w14:paraId="1D236E4D">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412B3983">
            <w:pPr>
              <w:jc w:val="center"/>
              <w:rPr>
                <w:rFonts w:ascii="宋体" w:hAnsi="宋体" w:cs="宋体"/>
                <w:iCs/>
                <w:color w:val="000000"/>
                <w:kern w:val="0"/>
                <w:sz w:val="18"/>
                <w:szCs w:val="18"/>
              </w:rPr>
            </w:pPr>
            <w:r>
              <w:rPr>
                <w:rFonts w:hint="eastAsia" w:ascii="宋体" w:hAnsi="宋体" w:cs="宋体"/>
                <w:iCs/>
                <w:color w:val="000000"/>
                <w:kern w:val="0"/>
                <w:sz w:val="18"/>
                <w:szCs w:val="18"/>
              </w:rPr>
              <w:t>因民镇</w:t>
            </w:r>
          </w:p>
        </w:tc>
        <w:tc>
          <w:tcPr>
            <w:tcW w:w="1415" w:type="dxa"/>
            <w:tcBorders>
              <w:top w:val="nil"/>
              <w:left w:val="nil"/>
              <w:bottom w:val="single" w:color="auto" w:sz="4" w:space="0"/>
              <w:right w:val="single" w:color="auto" w:sz="4" w:space="0"/>
            </w:tcBorders>
            <w:shd w:val="clear" w:color="auto" w:fill="auto"/>
            <w:vAlign w:val="center"/>
          </w:tcPr>
          <w:p w14:paraId="535AA18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13.79 </w:t>
            </w:r>
          </w:p>
        </w:tc>
        <w:tc>
          <w:tcPr>
            <w:tcW w:w="1116" w:type="dxa"/>
            <w:tcBorders>
              <w:top w:val="nil"/>
              <w:left w:val="nil"/>
              <w:bottom w:val="single" w:color="auto" w:sz="4" w:space="0"/>
              <w:right w:val="single" w:color="auto" w:sz="4" w:space="0"/>
            </w:tcBorders>
            <w:shd w:val="clear" w:color="auto" w:fill="auto"/>
            <w:vAlign w:val="center"/>
          </w:tcPr>
          <w:p w14:paraId="29020244">
            <w:pPr>
              <w:jc w:val="center"/>
              <w:rPr>
                <w:rFonts w:ascii="宋体" w:hAnsi="宋体" w:cs="宋体"/>
                <w:iCs/>
                <w:color w:val="000000"/>
                <w:kern w:val="0"/>
                <w:sz w:val="18"/>
                <w:szCs w:val="18"/>
              </w:rPr>
            </w:pPr>
            <w:r>
              <w:rPr>
                <w:rFonts w:hint="eastAsia" w:ascii="宋体" w:hAnsi="宋体" w:cs="宋体"/>
                <w:iCs/>
                <w:color w:val="000000"/>
                <w:kern w:val="0"/>
                <w:sz w:val="18"/>
                <w:szCs w:val="18"/>
              </w:rPr>
              <w:t>1.30%</w:t>
            </w:r>
          </w:p>
        </w:tc>
        <w:tc>
          <w:tcPr>
            <w:tcW w:w="960" w:type="dxa"/>
            <w:tcBorders>
              <w:top w:val="nil"/>
              <w:left w:val="nil"/>
              <w:bottom w:val="single" w:color="auto" w:sz="4" w:space="0"/>
              <w:right w:val="single" w:color="auto" w:sz="4" w:space="0"/>
            </w:tcBorders>
            <w:shd w:val="clear" w:color="auto" w:fill="auto"/>
            <w:vAlign w:val="center"/>
          </w:tcPr>
          <w:p w14:paraId="30F8D60F">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026" w:type="dxa"/>
            <w:tcBorders>
              <w:top w:val="nil"/>
              <w:left w:val="nil"/>
              <w:bottom w:val="single" w:color="auto" w:sz="4" w:space="0"/>
              <w:right w:val="single" w:color="auto" w:sz="4" w:space="0"/>
            </w:tcBorders>
            <w:shd w:val="clear" w:color="auto" w:fill="auto"/>
            <w:vAlign w:val="center"/>
          </w:tcPr>
          <w:p w14:paraId="5A46115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2B5217C2">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026" w:type="dxa"/>
            <w:tcBorders>
              <w:top w:val="nil"/>
              <w:left w:val="nil"/>
              <w:bottom w:val="single" w:color="auto" w:sz="4" w:space="0"/>
              <w:right w:val="single" w:color="auto" w:sz="4" w:space="0"/>
            </w:tcBorders>
            <w:shd w:val="clear" w:color="auto" w:fill="auto"/>
            <w:vAlign w:val="center"/>
          </w:tcPr>
          <w:p w14:paraId="1F282EE1">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1026" w:type="dxa"/>
            <w:tcBorders>
              <w:top w:val="nil"/>
              <w:left w:val="nil"/>
              <w:bottom w:val="single" w:color="auto" w:sz="4" w:space="0"/>
              <w:right w:val="single" w:color="auto" w:sz="4" w:space="0"/>
            </w:tcBorders>
            <w:shd w:val="clear" w:color="auto" w:fill="auto"/>
            <w:vAlign w:val="center"/>
          </w:tcPr>
          <w:p w14:paraId="2122D2B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c>
          <w:tcPr>
            <w:tcW w:w="936" w:type="dxa"/>
            <w:tcBorders>
              <w:top w:val="nil"/>
              <w:left w:val="nil"/>
              <w:bottom w:val="single" w:color="auto" w:sz="4" w:space="0"/>
              <w:right w:val="single" w:color="auto" w:sz="4" w:space="0"/>
            </w:tcBorders>
            <w:shd w:val="clear" w:color="auto" w:fill="auto"/>
            <w:vAlign w:val="center"/>
          </w:tcPr>
          <w:p w14:paraId="4D31C8C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11.01 </w:t>
            </w:r>
          </w:p>
        </w:tc>
        <w:tc>
          <w:tcPr>
            <w:tcW w:w="960" w:type="dxa"/>
            <w:tcBorders>
              <w:top w:val="nil"/>
              <w:left w:val="nil"/>
              <w:bottom w:val="single" w:color="auto" w:sz="4" w:space="0"/>
              <w:right w:val="single" w:color="auto" w:sz="4" w:space="0"/>
            </w:tcBorders>
            <w:shd w:val="clear" w:color="auto" w:fill="auto"/>
            <w:vAlign w:val="center"/>
          </w:tcPr>
          <w:p w14:paraId="643CD7F0">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2.78 </w:t>
            </w:r>
          </w:p>
        </w:tc>
        <w:tc>
          <w:tcPr>
            <w:tcW w:w="846" w:type="dxa"/>
            <w:tcBorders>
              <w:top w:val="nil"/>
              <w:left w:val="nil"/>
              <w:bottom w:val="single" w:color="auto" w:sz="4" w:space="0"/>
              <w:right w:val="single" w:color="auto" w:sz="4" w:space="0"/>
            </w:tcBorders>
            <w:shd w:val="clear" w:color="auto" w:fill="auto"/>
            <w:vAlign w:val="center"/>
          </w:tcPr>
          <w:p w14:paraId="3D8D2EBA">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0.00 </w:t>
            </w:r>
          </w:p>
        </w:tc>
      </w:tr>
      <w:tr w14:paraId="5F956CA2">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4B64DB99">
            <w:pPr>
              <w:jc w:val="center"/>
              <w:rPr>
                <w:rFonts w:ascii="宋体" w:hAnsi="宋体" w:cs="宋体"/>
                <w:iCs/>
                <w:color w:val="000000"/>
                <w:kern w:val="0"/>
                <w:sz w:val="18"/>
                <w:szCs w:val="18"/>
              </w:rPr>
            </w:pPr>
            <w:r>
              <w:rPr>
                <w:rFonts w:hint="eastAsia" w:ascii="宋体" w:hAnsi="宋体" w:cs="宋体"/>
                <w:iCs/>
                <w:color w:val="000000"/>
                <w:kern w:val="0"/>
                <w:sz w:val="18"/>
                <w:szCs w:val="18"/>
              </w:rPr>
              <w:t>东川区</w:t>
            </w:r>
          </w:p>
        </w:tc>
        <w:tc>
          <w:tcPr>
            <w:tcW w:w="1415" w:type="dxa"/>
            <w:tcBorders>
              <w:top w:val="nil"/>
              <w:left w:val="nil"/>
              <w:bottom w:val="single" w:color="auto" w:sz="4" w:space="0"/>
              <w:right w:val="single" w:color="auto" w:sz="4" w:space="0"/>
            </w:tcBorders>
            <w:shd w:val="clear" w:color="auto" w:fill="auto"/>
            <w:vAlign w:val="center"/>
          </w:tcPr>
          <w:p w14:paraId="39440793">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1072.82 </w:t>
            </w:r>
          </w:p>
        </w:tc>
        <w:tc>
          <w:tcPr>
            <w:tcW w:w="1116" w:type="dxa"/>
            <w:tcBorders>
              <w:top w:val="nil"/>
              <w:left w:val="nil"/>
              <w:bottom w:val="single" w:color="auto" w:sz="4" w:space="0"/>
              <w:right w:val="single" w:color="auto" w:sz="4" w:space="0"/>
            </w:tcBorders>
            <w:shd w:val="clear" w:color="auto" w:fill="auto"/>
            <w:vAlign w:val="center"/>
          </w:tcPr>
          <w:p w14:paraId="26F808C4">
            <w:pPr>
              <w:jc w:val="center"/>
              <w:rPr>
                <w:rFonts w:ascii="宋体" w:hAnsi="宋体" w:cs="宋体"/>
                <w:iCs/>
                <w:color w:val="000000"/>
                <w:kern w:val="0"/>
                <w:sz w:val="18"/>
                <w:szCs w:val="18"/>
              </w:rPr>
            </w:pPr>
            <w:r>
              <w:rPr>
                <w:rFonts w:hint="eastAsia" w:ascii="宋体" w:hAnsi="宋体" w:cs="宋体"/>
                <w:iCs/>
                <w:color w:val="000000"/>
                <w:kern w:val="0"/>
                <w:sz w:val="18"/>
                <w:szCs w:val="18"/>
              </w:rPr>
              <w:t>100.00%</w:t>
            </w:r>
          </w:p>
        </w:tc>
        <w:tc>
          <w:tcPr>
            <w:tcW w:w="960" w:type="dxa"/>
            <w:tcBorders>
              <w:top w:val="nil"/>
              <w:left w:val="nil"/>
              <w:bottom w:val="single" w:color="auto" w:sz="4" w:space="0"/>
              <w:right w:val="single" w:color="auto" w:sz="4" w:space="0"/>
            </w:tcBorders>
            <w:shd w:val="clear" w:color="auto" w:fill="auto"/>
            <w:vAlign w:val="center"/>
          </w:tcPr>
          <w:p w14:paraId="6524838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129.93 </w:t>
            </w:r>
          </w:p>
        </w:tc>
        <w:tc>
          <w:tcPr>
            <w:tcW w:w="1026" w:type="dxa"/>
            <w:tcBorders>
              <w:top w:val="nil"/>
              <w:left w:val="nil"/>
              <w:bottom w:val="single" w:color="auto" w:sz="4" w:space="0"/>
              <w:right w:val="single" w:color="auto" w:sz="4" w:space="0"/>
            </w:tcBorders>
            <w:shd w:val="clear" w:color="auto" w:fill="auto"/>
            <w:vAlign w:val="center"/>
          </w:tcPr>
          <w:p w14:paraId="56D1B22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115.19 </w:t>
            </w:r>
          </w:p>
        </w:tc>
        <w:tc>
          <w:tcPr>
            <w:tcW w:w="960" w:type="dxa"/>
            <w:tcBorders>
              <w:top w:val="nil"/>
              <w:left w:val="nil"/>
              <w:bottom w:val="single" w:color="auto" w:sz="4" w:space="0"/>
              <w:right w:val="single" w:color="auto" w:sz="4" w:space="0"/>
            </w:tcBorders>
            <w:shd w:val="clear" w:color="auto" w:fill="auto"/>
            <w:vAlign w:val="center"/>
          </w:tcPr>
          <w:p w14:paraId="34FAD9A9">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301.13 </w:t>
            </w:r>
          </w:p>
        </w:tc>
        <w:tc>
          <w:tcPr>
            <w:tcW w:w="1026" w:type="dxa"/>
            <w:tcBorders>
              <w:top w:val="nil"/>
              <w:left w:val="nil"/>
              <w:bottom w:val="single" w:color="auto" w:sz="4" w:space="0"/>
              <w:right w:val="single" w:color="auto" w:sz="4" w:space="0"/>
            </w:tcBorders>
            <w:shd w:val="clear" w:color="auto" w:fill="auto"/>
            <w:vAlign w:val="center"/>
          </w:tcPr>
          <w:p w14:paraId="54591ABC">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157.90 </w:t>
            </w:r>
          </w:p>
        </w:tc>
        <w:tc>
          <w:tcPr>
            <w:tcW w:w="1026" w:type="dxa"/>
            <w:tcBorders>
              <w:top w:val="nil"/>
              <w:left w:val="nil"/>
              <w:bottom w:val="single" w:color="auto" w:sz="4" w:space="0"/>
              <w:right w:val="single" w:color="auto" w:sz="4" w:space="0"/>
            </w:tcBorders>
            <w:shd w:val="clear" w:color="auto" w:fill="auto"/>
            <w:vAlign w:val="center"/>
          </w:tcPr>
          <w:p w14:paraId="471FCFC8">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263.57 </w:t>
            </w:r>
          </w:p>
        </w:tc>
        <w:tc>
          <w:tcPr>
            <w:tcW w:w="936" w:type="dxa"/>
            <w:tcBorders>
              <w:top w:val="nil"/>
              <w:left w:val="nil"/>
              <w:bottom w:val="single" w:color="auto" w:sz="4" w:space="0"/>
              <w:right w:val="single" w:color="auto" w:sz="4" w:space="0"/>
            </w:tcBorders>
            <w:shd w:val="clear" w:color="auto" w:fill="auto"/>
            <w:vAlign w:val="center"/>
          </w:tcPr>
          <w:p w14:paraId="25711A5D">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76.73 </w:t>
            </w:r>
          </w:p>
        </w:tc>
        <w:tc>
          <w:tcPr>
            <w:tcW w:w="960" w:type="dxa"/>
            <w:tcBorders>
              <w:top w:val="nil"/>
              <w:left w:val="nil"/>
              <w:bottom w:val="single" w:color="auto" w:sz="4" w:space="0"/>
              <w:right w:val="single" w:color="auto" w:sz="4" w:space="0"/>
            </w:tcBorders>
            <w:shd w:val="clear" w:color="auto" w:fill="auto"/>
            <w:vAlign w:val="center"/>
          </w:tcPr>
          <w:p w14:paraId="5550D05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21.80 </w:t>
            </w:r>
          </w:p>
        </w:tc>
        <w:tc>
          <w:tcPr>
            <w:tcW w:w="846" w:type="dxa"/>
            <w:tcBorders>
              <w:top w:val="nil"/>
              <w:left w:val="nil"/>
              <w:bottom w:val="single" w:color="auto" w:sz="4" w:space="0"/>
              <w:right w:val="single" w:color="auto" w:sz="4" w:space="0"/>
            </w:tcBorders>
            <w:shd w:val="clear" w:color="auto" w:fill="auto"/>
            <w:vAlign w:val="center"/>
          </w:tcPr>
          <w:p w14:paraId="4E0F48FB">
            <w:pPr>
              <w:jc w:val="center"/>
              <w:rPr>
                <w:rFonts w:ascii="宋体" w:hAnsi="宋体" w:cs="宋体"/>
                <w:iCs/>
                <w:color w:val="000000"/>
                <w:kern w:val="0"/>
                <w:sz w:val="18"/>
                <w:szCs w:val="18"/>
              </w:rPr>
            </w:pPr>
            <w:r>
              <w:rPr>
                <w:rFonts w:hint="eastAsia" w:ascii="宋体" w:hAnsi="宋体" w:cs="宋体"/>
                <w:iCs/>
                <w:color w:val="000000"/>
                <w:kern w:val="0"/>
                <w:sz w:val="18"/>
                <w:szCs w:val="18"/>
              </w:rPr>
              <w:t xml:space="preserve">6.55 </w:t>
            </w:r>
          </w:p>
        </w:tc>
      </w:tr>
      <w:tr w14:paraId="66A69B41">
        <w:tblPrEx>
          <w:tblCellMar>
            <w:top w:w="0" w:type="dxa"/>
            <w:left w:w="108" w:type="dxa"/>
            <w:bottom w:w="0" w:type="dxa"/>
            <w:right w:w="108" w:type="dxa"/>
          </w:tblCellMar>
        </w:tblPrEx>
        <w:trPr>
          <w:trHeight w:val="288" w:hRule="atLeast"/>
          <w:jc w:val="center"/>
        </w:trPr>
        <w:tc>
          <w:tcPr>
            <w:tcW w:w="349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D8CDF91">
            <w:pPr>
              <w:jc w:val="center"/>
              <w:rPr>
                <w:rFonts w:ascii="宋体" w:hAnsi="宋体" w:cs="宋体"/>
                <w:iCs/>
                <w:color w:val="000000"/>
                <w:kern w:val="0"/>
                <w:sz w:val="18"/>
                <w:szCs w:val="18"/>
              </w:rPr>
            </w:pPr>
            <w:r>
              <w:rPr>
                <w:rFonts w:hint="eastAsia" w:ascii="宋体" w:hAnsi="宋体" w:cs="宋体"/>
                <w:iCs/>
                <w:color w:val="000000"/>
                <w:kern w:val="0"/>
                <w:sz w:val="18"/>
                <w:szCs w:val="18"/>
              </w:rPr>
              <w:t>类型占比</w:t>
            </w:r>
          </w:p>
        </w:tc>
        <w:tc>
          <w:tcPr>
            <w:tcW w:w="960" w:type="dxa"/>
            <w:tcBorders>
              <w:top w:val="nil"/>
              <w:left w:val="nil"/>
              <w:bottom w:val="single" w:color="auto" w:sz="4" w:space="0"/>
              <w:right w:val="single" w:color="auto" w:sz="4" w:space="0"/>
            </w:tcBorders>
            <w:shd w:val="clear" w:color="auto" w:fill="auto"/>
            <w:vAlign w:val="center"/>
          </w:tcPr>
          <w:p w14:paraId="07D8C7A9">
            <w:pPr>
              <w:jc w:val="center"/>
              <w:rPr>
                <w:rFonts w:ascii="宋体" w:hAnsi="宋体" w:cs="宋体"/>
                <w:iCs/>
                <w:color w:val="000000"/>
                <w:kern w:val="0"/>
                <w:sz w:val="18"/>
                <w:szCs w:val="18"/>
              </w:rPr>
            </w:pPr>
            <w:r>
              <w:rPr>
                <w:rFonts w:hint="eastAsia" w:ascii="宋体" w:hAnsi="宋体" w:cs="宋体"/>
                <w:iCs/>
                <w:color w:val="000000"/>
                <w:kern w:val="0"/>
                <w:sz w:val="18"/>
                <w:szCs w:val="18"/>
              </w:rPr>
              <w:t>12.10%</w:t>
            </w:r>
          </w:p>
        </w:tc>
        <w:tc>
          <w:tcPr>
            <w:tcW w:w="1026" w:type="dxa"/>
            <w:tcBorders>
              <w:top w:val="nil"/>
              <w:left w:val="nil"/>
              <w:bottom w:val="single" w:color="auto" w:sz="4" w:space="0"/>
              <w:right w:val="single" w:color="auto" w:sz="4" w:space="0"/>
            </w:tcBorders>
            <w:shd w:val="clear" w:color="auto" w:fill="auto"/>
            <w:vAlign w:val="center"/>
          </w:tcPr>
          <w:p w14:paraId="3A85C0A0">
            <w:pPr>
              <w:jc w:val="center"/>
              <w:rPr>
                <w:rFonts w:ascii="宋体" w:hAnsi="宋体" w:cs="宋体"/>
                <w:iCs/>
                <w:color w:val="000000"/>
                <w:kern w:val="0"/>
                <w:sz w:val="18"/>
                <w:szCs w:val="18"/>
              </w:rPr>
            </w:pPr>
            <w:r>
              <w:rPr>
                <w:rFonts w:hint="eastAsia" w:ascii="宋体" w:hAnsi="宋体" w:cs="宋体"/>
                <w:iCs/>
                <w:color w:val="000000"/>
                <w:kern w:val="0"/>
                <w:sz w:val="18"/>
                <w:szCs w:val="18"/>
              </w:rPr>
              <w:t>10.70%</w:t>
            </w:r>
          </w:p>
        </w:tc>
        <w:tc>
          <w:tcPr>
            <w:tcW w:w="960" w:type="dxa"/>
            <w:tcBorders>
              <w:top w:val="nil"/>
              <w:left w:val="nil"/>
              <w:bottom w:val="single" w:color="auto" w:sz="4" w:space="0"/>
              <w:right w:val="single" w:color="auto" w:sz="4" w:space="0"/>
            </w:tcBorders>
            <w:shd w:val="clear" w:color="auto" w:fill="auto"/>
            <w:vAlign w:val="center"/>
          </w:tcPr>
          <w:p w14:paraId="2D7A7D16">
            <w:pPr>
              <w:jc w:val="center"/>
              <w:rPr>
                <w:rFonts w:ascii="宋体" w:hAnsi="宋体" w:cs="宋体"/>
                <w:iCs/>
                <w:color w:val="000000"/>
                <w:kern w:val="0"/>
                <w:sz w:val="18"/>
                <w:szCs w:val="18"/>
              </w:rPr>
            </w:pPr>
            <w:r>
              <w:rPr>
                <w:rFonts w:hint="eastAsia" w:ascii="宋体" w:hAnsi="宋体" w:cs="宋体"/>
                <w:iCs/>
                <w:color w:val="000000"/>
                <w:kern w:val="0"/>
                <w:sz w:val="18"/>
                <w:szCs w:val="18"/>
              </w:rPr>
              <w:t>28.10%</w:t>
            </w:r>
          </w:p>
        </w:tc>
        <w:tc>
          <w:tcPr>
            <w:tcW w:w="1026" w:type="dxa"/>
            <w:tcBorders>
              <w:top w:val="nil"/>
              <w:left w:val="nil"/>
              <w:bottom w:val="single" w:color="auto" w:sz="4" w:space="0"/>
              <w:right w:val="single" w:color="auto" w:sz="4" w:space="0"/>
            </w:tcBorders>
            <w:shd w:val="clear" w:color="auto" w:fill="auto"/>
            <w:vAlign w:val="center"/>
          </w:tcPr>
          <w:p w14:paraId="1C307B80">
            <w:pPr>
              <w:jc w:val="center"/>
              <w:rPr>
                <w:rFonts w:ascii="宋体" w:hAnsi="宋体" w:cs="宋体"/>
                <w:iCs/>
                <w:color w:val="000000"/>
                <w:kern w:val="0"/>
                <w:sz w:val="18"/>
                <w:szCs w:val="18"/>
              </w:rPr>
            </w:pPr>
            <w:r>
              <w:rPr>
                <w:rFonts w:hint="eastAsia" w:ascii="宋体" w:hAnsi="宋体" w:cs="宋体"/>
                <w:iCs/>
                <w:color w:val="000000"/>
                <w:kern w:val="0"/>
                <w:sz w:val="18"/>
                <w:szCs w:val="18"/>
              </w:rPr>
              <w:t>14.70%</w:t>
            </w:r>
          </w:p>
        </w:tc>
        <w:tc>
          <w:tcPr>
            <w:tcW w:w="1026" w:type="dxa"/>
            <w:tcBorders>
              <w:top w:val="nil"/>
              <w:left w:val="nil"/>
              <w:bottom w:val="single" w:color="auto" w:sz="4" w:space="0"/>
              <w:right w:val="single" w:color="auto" w:sz="4" w:space="0"/>
            </w:tcBorders>
            <w:shd w:val="clear" w:color="auto" w:fill="auto"/>
            <w:vAlign w:val="center"/>
          </w:tcPr>
          <w:p w14:paraId="169663E1">
            <w:pPr>
              <w:jc w:val="center"/>
              <w:rPr>
                <w:rFonts w:ascii="宋体" w:hAnsi="宋体" w:cs="宋体"/>
                <w:iCs/>
                <w:color w:val="000000"/>
                <w:kern w:val="0"/>
                <w:sz w:val="18"/>
                <w:szCs w:val="18"/>
              </w:rPr>
            </w:pPr>
            <w:r>
              <w:rPr>
                <w:rFonts w:hint="eastAsia" w:ascii="宋体" w:hAnsi="宋体" w:cs="宋体"/>
                <w:iCs/>
                <w:color w:val="000000"/>
                <w:kern w:val="0"/>
                <w:sz w:val="18"/>
                <w:szCs w:val="18"/>
              </w:rPr>
              <w:t>24.60%</w:t>
            </w:r>
          </w:p>
        </w:tc>
        <w:tc>
          <w:tcPr>
            <w:tcW w:w="936" w:type="dxa"/>
            <w:tcBorders>
              <w:top w:val="nil"/>
              <w:left w:val="nil"/>
              <w:bottom w:val="single" w:color="auto" w:sz="4" w:space="0"/>
              <w:right w:val="single" w:color="auto" w:sz="4" w:space="0"/>
            </w:tcBorders>
            <w:shd w:val="clear" w:color="auto" w:fill="auto"/>
            <w:vAlign w:val="center"/>
          </w:tcPr>
          <w:p w14:paraId="2751E52E">
            <w:pPr>
              <w:jc w:val="center"/>
              <w:rPr>
                <w:rFonts w:ascii="宋体" w:hAnsi="宋体" w:cs="宋体"/>
                <w:iCs/>
                <w:color w:val="000000"/>
                <w:kern w:val="0"/>
                <w:sz w:val="18"/>
                <w:szCs w:val="18"/>
              </w:rPr>
            </w:pPr>
            <w:r>
              <w:rPr>
                <w:rFonts w:hint="eastAsia" w:ascii="宋体" w:hAnsi="宋体" w:cs="宋体"/>
                <w:iCs/>
                <w:color w:val="000000"/>
                <w:kern w:val="0"/>
                <w:sz w:val="18"/>
                <w:szCs w:val="18"/>
              </w:rPr>
              <w:t>7.20%</w:t>
            </w:r>
          </w:p>
        </w:tc>
        <w:tc>
          <w:tcPr>
            <w:tcW w:w="960" w:type="dxa"/>
            <w:tcBorders>
              <w:top w:val="nil"/>
              <w:left w:val="nil"/>
              <w:bottom w:val="single" w:color="auto" w:sz="4" w:space="0"/>
              <w:right w:val="single" w:color="auto" w:sz="4" w:space="0"/>
            </w:tcBorders>
            <w:shd w:val="clear" w:color="auto" w:fill="auto"/>
            <w:vAlign w:val="center"/>
          </w:tcPr>
          <w:p w14:paraId="05316904">
            <w:pPr>
              <w:jc w:val="center"/>
              <w:rPr>
                <w:rFonts w:ascii="宋体" w:hAnsi="宋体" w:cs="宋体"/>
                <w:iCs/>
                <w:color w:val="000000"/>
                <w:kern w:val="0"/>
                <w:sz w:val="18"/>
                <w:szCs w:val="18"/>
              </w:rPr>
            </w:pPr>
            <w:r>
              <w:rPr>
                <w:rFonts w:hint="eastAsia" w:ascii="宋体" w:hAnsi="宋体" w:cs="宋体"/>
                <w:iCs/>
                <w:color w:val="000000"/>
                <w:kern w:val="0"/>
                <w:sz w:val="18"/>
                <w:szCs w:val="18"/>
              </w:rPr>
              <w:t>2.00%</w:t>
            </w:r>
          </w:p>
        </w:tc>
        <w:tc>
          <w:tcPr>
            <w:tcW w:w="846" w:type="dxa"/>
            <w:tcBorders>
              <w:top w:val="nil"/>
              <w:left w:val="nil"/>
              <w:bottom w:val="single" w:color="auto" w:sz="4" w:space="0"/>
              <w:right w:val="single" w:color="auto" w:sz="4" w:space="0"/>
            </w:tcBorders>
            <w:shd w:val="clear" w:color="auto" w:fill="auto"/>
            <w:vAlign w:val="center"/>
          </w:tcPr>
          <w:p w14:paraId="187BDC24">
            <w:pPr>
              <w:jc w:val="center"/>
              <w:rPr>
                <w:rFonts w:ascii="宋体" w:hAnsi="宋体" w:cs="宋体"/>
                <w:iCs/>
                <w:color w:val="000000"/>
                <w:kern w:val="0"/>
                <w:sz w:val="18"/>
                <w:szCs w:val="18"/>
              </w:rPr>
            </w:pPr>
            <w:r>
              <w:rPr>
                <w:rFonts w:hint="eastAsia" w:ascii="宋体" w:hAnsi="宋体" w:cs="宋体"/>
                <w:iCs/>
                <w:color w:val="000000"/>
                <w:kern w:val="0"/>
                <w:sz w:val="18"/>
                <w:szCs w:val="18"/>
              </w:rPr>
              <w:t>0.60%</w:t>
            </w:r>
          </w:p>
        </w:tc>
      </w:tr>
    </w:tbl>
    <w:p w14:paraId="196C481A">
      <w:pPr>
        <w:autoSpaceDE w:val="0"/>
        <w:autoSpaceDN w:val="0"/>
        <w:adjustRightInd w:val="0"/>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通过上述对比，东川区调入基本农田16092.3公顷，从分布看拖布卡镇调入占比最大。从质量上看，旱地调入占62.8%，水田调入37.2%；10等以下调入占90.2%；坡度小于15°的调入面积占78.6%。</w:t>
      </w:r>
    </w:p>
    <w:p w14:paraId="23AB6D18">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三、全域永久基本农田划定情况</w:t>
      </w:r>
    </w:p>
    <w:p w14:paraId="38CF6B4D">
      <w:pPr>
        <w:autoSpaceDE w:val="0"/>
        <w:autoSpaceDN w:val="0"/>
        <w:adjustRightInd w:val="0"/>
        <w:spacing w:line="360" w:lineRule="auto"/>
        <w:ind w:firstLine="560" w:firstLineChars="200"/>
        <w:jc w:val="left"/>
        <w:rPr>
          <w:rFonts w:ascii="仿宋_GB2312" w:hAnsi="宋体" w:eastAsia="仿宋_GB2312"/>
          <w:sz w:val="28"/>
          <w:szCs w:val="28"/>
        </w:rPr>
      </w:pPr>
      <w:r>
        <w:rPr>
          <w:rFonts w:hint="eastAsia" w:ascii="仿宋_GB2312" w:hAnsi="宋体" w:eastAsia="仿宋_GB2312"/>
          <w:kern w:val="0"/>
          <w:sz w:val="28"/>
          <w:szCs w:val="28"/>
        </w:rPr>
        <w:t>根据《东川区全域永久基本农田划定方案》，</w:t>
      </w:r>
      <w:bookmarkEnd w:id="101"/>
      <w:bookmarkStart w:id="103" w:name="_Toc470545401"/>
      <w:r>
        <w:rPr>
          <w:rFonts w:hint="eastAsia" w:ascii="仿宋_GB2312" w:hAnsi="宋体" w:eastAsia="仿宋_GB2312"/>
          <w:kern w:val="0"/>
          <w:sz w:val="28"/>
          <w:szCs w:val="28"/>
        </w:rPr>
        <w:t>东川区全域永久基本农田划定后基本农田面积为23106.77公顷，比上级下达基本农田保护目标23066公顷多40.77公顷，基本农田保护面积满足指标要求。</w:t>
      </w:r>
    </w:p>
    <w:p w14:paraId="6962756C">
      <w:pPr>
        <w:jc w:val="center"/>
        <w:outlineLvl w:val="4"/>
        <w:rPr>
          <w:rFonts w:ascii="宋体" w:hAnsi="宋体"/>
          <w:b/>
          <w:sz w:val="24"/>
        </w:rPr>
      </w:pPr>
      <w:r>
        <w:rPr>
          <w:rFonts w:hint="eastAsia" w:ascii="宋体" w:hAnsi="宋体"/>
          <w:b/>
          <w:sz w:val="24"/>
        </w:rPr>
        <w:t>表4-7  东川区全域永久基本农田成果与下达指标对比表</w:t>
      </w:r>
    </w:p>
    <w:p w14:paraId="39ABC1B9">
      <w:pPr>
        <w:spacing w:line="360" w:lineRule="auto"/>
        <w:ind w:firstLine="600"/>
        <w:jc w:val="right"/>
        <w:rPr>
          <w:rFonts w:ascii="宋体" w:hAnsi="宋体"/>
          <w:color w:val="000000"/>
          <w:sz w:val="18"/>
          <w:szCs w:val="18"/>
        </w:rPr>
      </w:pPr>
      <w:r>
        <w:rPr>
          <w:rFonts w:hint="eastAsia" w:ascii="宋体" w:hAnsi="宋体"/>
          <w:color w:val="000000"/>
          <w:sz w:val="18"/>
          <w:szCs w:val="18"/>
        </w:rPr>
        <w:t>单位：公顷</w:t>
      </w:r>
    </w:p>
    <w:tbl>
      <w:tblPr>
        <w:tblStyle w:val="27"/>
        <w:tblW w:w="7655" w:type="dxa"/>
        <w:jc w:val="center"/>
        <w:tblLayout w:type="autofit"/>
        <w:tblCellMar>
          <w:top w:w="0" w:type="dxa"/>
          <w:left w:w="108" w:type="dxa"/>
          <w:bottom w:w="0" w:type="dxa"/>
          <w:right w:w="108" w:type="dxa"/>
        </w:tblCellMar>
      </w:tblPr>
      <w:tblGrid>
        <w:gridCol w:w="1616"/>
        <w:gridCol w:w="1481"/>
        <w:gridCol w:w="1294"/>
        <w:gridCol w:w="1258"/>
        <w:gridCol w:w="2006"/>
      </w:tblGrid>
      <w:tr w14:paraId="07261612">
        <w:tblPrEx>
          <w:tblCellMar>
            <w:top w:w="0" w:type="dxa"/>
            <w:left w:w="108" w:type="dxa"/>
            <w:bottom w:w="0" w:type="dxa"/>
            <w:right w:w="108" w:type="dxa"/>
          </w:tblCellMar>
        </w:tblPrEx>
        <w:trPr>
          <w:trHeight w:val="312" w:hRule="atLeast"/>
          <w:jc w:val="center"/>
        </w:trPr>
        <w:tc>
          <w:tcPr>
            <w:tcW w:w="16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7A4BA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行政区域</w:t>
            </w:r>
          </w:p>
        </w:tc>
        <w:tc>
          <w:tcPr>
            <w:tcW w:w="14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D08AC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已有基本农田</w:t>
            </w:r>
          </w:p>
        </w:tc>
        <w:tc>
          <w:tcPr>
            <w:tcW w:w="2552" w:type="dxa"/>
            <w:gridSpan w:val="2"/>
            <w:tcBorders>
              <w:top w:val="single" w:color="auto" w:sz="4" w:space="0"/>
              <w:left w:val="nil"/>
              <w:bottom w:val="single" w:color="auto" w:sz="4" w:space="0"/>
              <w:right w:val="single" w:color="auto" w:sz="4" w:space="0"/>
            </w:tcBorders>
            <w:shd w:val="clear" w:color="auto" w:fill="auto"/>
            <w:vAlign w:val="center"/>
          </w:tcPr>
          <w:p w14:paraId="6544FE6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全域永久基本农田变化情况</w:t>
            </w:r>
          </w:p>
        </w:tc>
        <w:tc>
          <w:tcPr>
            <w:tcW w:w="20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6EF77C">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全域永久划定后</w:t>
            </w:r>
          </w:p>
        </w:tc>
      </w:tr>
      <w:tr w14:paraId="594CCE30">
        <w:tblPrEx>
          <w:tblCellMar>
            <w:top w:w="0" w:type="dxa"/>
            <w:left w:w="108" w:type="dxa"/>
            <w:bottom w:w="0" w:type="dxa"/>
            <w:right w:w="108" w:type="dxa"/>
          </w:tblCellMar>
        </w:tblPrEx>
        <w:trPr>
          <w:trHeight w:val="312" w:hRule="atLeast"/>
          <w:jc w:val="center"/>
        </w:trPr>
        <w:tc>
          <w:tcPr>
            <w:tcW w:w="1616" w:type="dxa"/>
            <w:vMerge w:val="continue"/>
            <w:tcBorders>
              <w:top w:val="single" w:color="auto" w:sz="4" w:space="0"/>
              <w:left w:val="single" w:color="auto" w:sz="4" w:space="0"/>
              <w:bottom w:val="single" w:color="auto" w:sz="4" w:space="0"/>
              <w:right w:val="single" w:color="auto" w:sz="4" w:space="0"/>
            </w:tcBorders>
            <w:vAlign w:val="center"/>
          </w:tcPr>
          <w:p w14:paraId="361F4897">
            <w:pPr>
              <w:widowControl/>
              <w:jc w:val="left"/>
              <w:rPr>
                <w:rFonts w:ascii="仿宋" w:hAnsi="仿宋" w:eastAsia="仿宋" w:cs="宋体"/>
                <w:color w:val="000000"/>
                <w:kern w:val="0"/>
                <w:szCs w:val="21"/>
              </w:rPr>
            </w:pPr>
          </w:p>
        </w:tc>
        <w:tc>
          <w:tcPr>
            <w:tcW w:w="1481" w:type="dxa"/>
            <w:vMerge w:val="continue"/>
            <w:tcBorders>
              <w:top w:val="single" w:color="auto" w:sz="4" w:space="0"/>
              <w:left w:val="single" w:color="auto" w:sz="4" w:space="0"/>
              <w:bottom w:val="single" w:color="auto" w:sz="4" w:space="0"/>
              <w:right w:val="single" w:color="auto" w:sz="4" w:space="0"/>
            </w:tcBorders>
            <w:vAlign w:val="center"/>
          </w:tcPr>
          <w:p w14:paraId="7B18C033">
            <w:pPr>
              <w:widowControl/>
              <w:jc w:val="left"/>
              <w:rPr>
                <w:rFonts w:ascii="仿宋" w:hAnsi="仿宋" w:eastAsia="仿宋"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75A40FF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调出</w:t>
            </w:r>
          </w:p>
        </w:tc>
        <w:tc>
          <w:tcPr>
            <w:tcW w:w="1258" w:type="dxa"/>
            <w:tcBorders>
              <w:top w:val="nil"/>
              <w:left w:val="nil"/>
              <w:bottom w:val="single" w:color="auto" w:sz="4" w:space="0"/>
              <w:right w:val="single" w:color="auto" w:sz="4" w:space="0"/>
            </w:tcBorders>
            <w:shd w:val="clear" w:color="auto" w:fill="auto"/>
            <w:vAlign w:val="center"/>
          </w:tcPr>
          <w:p w14:paraId="1CEFA66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划入</w:t>
            </w:r>
          </w:p>
        </w:tc>
        <w:tc>
          <w:tcPr>
            <w:tcW w:w="2006" w:type="dxa"/>
            <w:vMerge w:val="continue"/>
            <w:tcBorders>
              <w:top w:val="single" w:color="auto" w:sz="4" w:space="0"/>
              <w:left w:val="single" w:color="auto" w:sz="4" w:space="0"/>
              <w:bottom w:val="single" w:color="auto" w:sz="4" w:space="0"/>
              <w:right w:val="single" w:color="auto" w:sz="4" w:space="0"/>
            </w:tcBorders>
            <w:vAlign w:val="center"/>
          </w:tcPr>
          <w:p w14:paraId="0C95ACE2">
            <w:pPr>
              <w:widowControl/>
              <w:jc w:val="left"/>
              <w:rPr>
                <w:rFonts w:ascii="仿宋" w:hAnsi="仿宋" w:eastAsia="仿宋" w:cs="宋体"/>
                <w:color w:val="000000"/>
                <w:kern w:val="0"/>
                <w:szCs w:val="21"/>
              </w:rPr>
            </w:pPr>
          </w:p>
        </w:tc>
      </w:tr>
      <w:tr w14:paraId="45B30B02">
        <w:tblPrEx>
          <w:tblCellMar>
            <w:top w:w="0" w:type="dxa"/>
            <w:left w:w="108" w:type="dxa"/>
            <w:bottom w:w="0" w:type="dxa"/>
            <w:right w:w="108" w:type="dxa"/>
          </w:tblCellMar>
        </w:tblPrEx>
        <w:trPr>
          <w:trHeight w:val="312" w:hRule="atLeast"/>
          <w:jc w:val="center"/>
        </w:trPr>
        <w:tc>
          <w:tcPr>
            <w:tcW w:w="1616" w:type="dxa"/>
            <w:tcBorders>
              <w:top w:val="nil"/>
              <w:left w:val="single" w:color="auto" w:sz="4" w:space="0"/>
              <w:bottom w:val="single" w:color="auto" w:sz="4" w:space="0"/>
              <w:right w:val="single" w:color="auto" w:sz="4" w:space="0"/>
            </w:tcBorders>
            <w:shd w:val="clear" w:color="auto" w:fill="auto"/>
            <w:vAlign w:val="center"/>
          </w:tcPr>
          <w:p w14:paraId="402E5532">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481" w:type="dxa"/>
            <w:tcBorders>
              <w:top w:val="nil"/>
              <w:left w:val="nil"/>
              <w:bottom w:val="single" w:color="auto" w:sz="4" w:space="0"/>
              <w:right w:val="single" w:color="auto" w:sz="4" w:space="0"/>
            </w:tcBorders>
            <w:shd w:val="clear" w:color="auto" w:fill="auto"/>
            <w:vAlign w:val="center"/>
          </w:tcPr>
          <w:p w14:paraId="23CB6AC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5266.84 </w:t>
            </w:r>
          </w:p>
        </w:tc>
        <w:tc>
          <w:tcPr>
            <w:tcW w:w="1294" w:type="dxa"/>
            <w:tcBorders>
              <w:top w:val="nil"/>
              <w:left w:val="nil"/>
              <w:bottom w:val="single" w:color="auto" w:sz="4" w:space="0"/>
              <w:right w:val="single" w:color="auto" w:sz="4" w:space="0"/>
            </w:tcBorders>
            <w:shd w:val="clear" w:color="auto" w:fill="auto"/>
            <w:vAlign w:val="center"/>
          </w:tcPr>
          <w:p w14:paraId="5E996EA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956.01 </w:t>
            </w:r>
          </w:p>
        </w:tc>
        <w:tc>
          <w:tcPr>
            <w:tcW w:w="1258" w:type="dxa"/>
            <w:tcBorders>
              <w:top w:val="nil"/>
              <w:left w:val="nil"/>
              <w:bottom w:val="single" w:color="auto" w:sz="4" w:space="0"/>
              <w:right w:val="single" w:color="auto" w:sz="4" w:space="0"/>
            </w:tcBorders>
            <w:shd w:val="clear" w:color="auto" w:fill="auto"/>
            <w:vAlign w:val="center"/>
          </w:tcPr>
          <w:p w14:paraId="5AA3F86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174.87 </w:t>
            </w:r>
          </w:p>
        </w:tc>
        <w:tc>
          <w:tcPr>
            <w:tcW w:w="2006" w:type="dxa"/>
            <w:tcBorders>
              <w:top w:val="nil"/>
              <w:left w:val="nil"/>
              <w:bottom w:val="single" w:color="auto" w:sz="4" w:space="0"/>
              <w:right w:val="single" w:color="auto" w:sz="4" w:space="0"/>
            </w:tcBorders>
            <w:shd w:val="clear" w:color="auto" w:fill="auto"/>
            <w:vAlign w:val="center"/>
          </w:tcPr>
          <w:p w14:paraId="5525479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4485.71 </w:t>
            </w:r>
          </w:p>
        </w:tc>
      </w:tr>
      <w:tr w14:paraId="65C83AAF">
        <w:tblPrEx>
          <w:tblCellMar>
            <w:top w:w="0" w:type="dxa"/>
            <w:left w:w="108" w:type="dxa"/>
            <w:bottom w:w="0" w:type="dxa"/>
            <w:right w:w="108" w:type="dxa"/>
          </w:tblCellMar>
        </w:tblPrEx>
        <w:trPr>
          <w:trHeight w:val="312" w:hRule="atLeast"/>
          <w:jc w:val="center"/>
        </w:trPr>
        <w:tc>
          <w:tcPr>
            <w:tcW w:w="1616" w:type="dxa"/>
            <w:tcBorders>
              <w:top w:val="nil"/>
              <w:left w:val="single" w:color="auto" w:sz="4" w:space="0"/>
              <w:bottom w:val="single" w:color="auto" w:sz="4" w:space="0"/>
              <w:right w:val="single" w:color="auto" w:sz="4" w:space="0"/>
            </w:tcBorders>
            <w:shd w:val="clear" w:color="auto" w:fill="auto"/>
            <w:vAlign w:val="center"/>
          </w:tcPr>
          <w:p w14:paraId="383CE82B">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481" w:type="dxa"/>
            <w:tcBorders>
              <w:top w:val="nil"/>
              <w:left w:val="nil"/>
              <w:bottom w:val="single" w:color="auto" w:sz="4" w:space="0"/>
              <w:right w:val="single" w:color="auto" w:sz="4" w:space="0"/>
            </w:tcBorders>
            <w:shd w:val="clear" w:color="auto" w:fill="auto"/>
            <w:vAlign w:val="center"/>
          </w:tcPr>
          <w:p w14:paraId="0026C9E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5217.39 </w:t>
            </w:r>
          </w:p>
        </w:tc>
        <w:tc>
          <w:tcPr>
            <w:tcW w:w="1294" w:type="dxa"/>
            <w:tcBorders>
              <w:top w:val="nil"/>
              <w:left w:val="nil"/>
              <w:bottom w:val="single" w:color="auto" w:sz="4" w:space="0"/>
              <w:right w:val="single" w:color="auto" w:sz="4" w:space="0"/>
            </w:tcBorders>
            <w:shd w:val="clear" w:color="auto" w:fill="auto"/>
            <w:vAlign w:val="center"/>
          </w:tcPr>
          <w:p w14:paraId="3C6242E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650.19 </w:t>
            </w:r>
          </w:p>
        </w:tc>
        <w:tc>
          <w:tcPr>
            <w:tcW w:w="1258" w:type="dxa"/>
            <w:tcBorders>
              <w:top w:val="nil"/>
              <w:left w:val="nil"/>
              <w:bottom w:val="single" w:color="auto" w:sz="4" w:space="0"/>
              <w:right w:val="single" w:color="auto" w:sz="4" w:space="0"/>
            </w:tcBorders>
            <w:shd w:val="clear" w:color="auto" w:fill="auto"/>
            <w:vAlign w:val="center"/>
          </w:tcPr>
          <w:p w14:paraId="219ABB1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170.43 </w:t>
            </w:r>
          </w:p>
        </w:tc>
        <w:tc>
          <w:tcPr>
            <w:tcW w:w="2006" w:type="dxa"/>
            <w:tcBorders>
              <w:top w:val="nil"/>
              <w:left w:val="nil"/>
              <w:bottom w:val="single" w:color="auto" w:sz="4" w:space="0"/>
              <w:right w:val="single" w:color="auto" w:sz="4" w:space="0"/>
            </w:tcBorders>
            <w:shd w:val="clear" w:color="auto" w:fill="auto"/>
            <w:vAlign w:val="center"/>
          </w:tcPr>
          <w:p w14:paraId="4A6A683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4737.63 </w:t>
            </w:r>
          </w:p>
        </w:tc>
      </w:tr>
      <w:tr w14:paraId="0DB5E7F0">
        <w:tblPrEx>
          <w:tblCellMar>
            <w:top w:w="0" w:type="dxa"/>
            <w:left w:w="108" w:type="dxa"/>
            <w:bottom w:w="0" w:type="dxa"/>
            <w:right w:w="108" w:type="dxa"/>
          </w:tblCellMar>
        </w:tblPrEx>
        <w:trPr>
          <w:trHeight w:val="312" w:hRule="atLeast"/>
          <w:jc w:val="center"/>
        </w:trPr>
        <w:tc>
          <w:tcPr>
            <w:tcW w:w="1616" w:type="dxa"/>
            <w:tcBorders>
              <w:top w:val="nil"/>
              <w:left w:val="single" w:color="auto" w:sz="4" w:space="0"/>
              <w:bottom w:val="single" w:color="auto" w:sz="4" w:space="0"/>
              <w:right w:val="single" w:color="auto" w:sz="4" w:space="0"/>
            </w:tcBorders>
            <w:shd w:val="clear" w:color="auto" w:fill="auto"/>
            <w:vAlign w:val="center"/>
          </w:tcPr>
          <w:p w14:paraId="32E5E4D4">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481" w:type="dxa"/>
            <w:tcBorders>
              <w:top w:val="nil"/>
              <w:left w:val="nil"/>
              <w:bottom w:val="single" w:color="auto" w:sz="4" w:space="0"/>
              <w:right w:val="single" w:color="auto" w:sz="4" w:space="0"/>
            </w:tcBorders>
            <w:shd w:val="clear" w:color="auto" w:fill="auto"/>
            <w:vAlign w:val="center"/>
          </w:tcPr>
          <w:p w14:paraId="6A128C1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2917.11 </w:t>
            </w:r>
          </w:p>
        </w:tc>
        <w:tc>
          <w:tcPr>
            <w:tcW w:w="1294" w:type="dxa"/>
            <w:tcBorders>
              <w:top w:val="nil"/>
              <w:left w:val="nil"/>
              <w:bottom w:val="single" w:color="auto" w:sz="4" w:space="0"/>
              <w:right w:val="single" w:color="auto" w:sz="4" w:space="0"/>
            </w:tcBorders>
            <w:shd w:val="clear" w:color="auto" w:fill="auto"/>
            <w:vAlign w:val="center"/>
          </w:tcPr>
          <w:p w14:paraId="1F9F8F8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326.71 </w:t>
            </w:r>
          </w:p>
        </w:tc>
        <w:tc>
          <w:tcPr>
            <w:tcW w:w="1258" w:type="dxa"/>
            <w:tcBorders>
              <w:top w:val="nil"/>
              <w:left w:val="nil"/>
              <w:bottom w:val="single" w:color="auto" w:sz="4" w:space="0"/>
              <w:right w:val="single" w:color="auto" w:sz="4" w:space="0"/>
            </w:tcBorders>
            <w:shd w:val="clear" w:color="auto" w:fill="auto"/>
            <w:vAlign w:val="center"/>
          </w:tcPr>
          <w:p w14:paraId="503C1B1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288.53 </w:t>
            </w:r>
          </w:p>
        </w:tc>
        <w:tc>
          <w:tcPr>
            <w:tcW w:w="2006" w:type="dxa"/>
            <w:tcBorders>
              <w:top w:val="nil"/>
              <w:left w:val="nil"/>
              <w:bottom w:val="single" w:color="auto" w:sz="4" w:space="0"/>
              <w:right w:val="single" w:color="auto" w:sz="4" w:space="0"/>
            </w:tcBorders>
            <w:shd w:val="clear" w:color="auto" w:fill="auto"/>
            <w:vAlign w:val="center"/>
          </w:tcPr>
          <w:p w14:paraId="5365743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2878.93 </w:t>
            </w:r>
          </w:p>
        </w:tc>
      </w:tr>
      <w:tr w14:paraId="348FB277">
        <w:tblPrEx>
          <w:tblCellMar>
            <w:top w:w="0" w:type="dxa"/>
            <w:left w:w="108" w:type="dxa"/>
            <w:bottom w:w="0" w:type="dxa"/>
            <w:right w:w="108" w:type="dxa"/>
          </w:tblCellMar>
        </w:tblPrEx>
        <w:trPr>
          <w:trHeight w:val="312" w:hRule="atLeast"/>
          <w:jc w:val="center"/>
        </w:trPr>
        <w:tc>
          <w:tcPr>
            <w:tcW w:w="1616" w:type="dxa"/>
            <w:tcBorders>
              <w:top w:val="nil"/>
              <w:left w:val="single" w:color="auto" w:sz="4" w:space="0"/>
              <w:bottom w:val="single" w:color="auto" w:sz="4" w:space="0"/>
              <w:right w:val="single" w:color="auto" w:sz="4" w:space="0"/>
            </w:tcBorders>
            <w:shd w:val="clear" w:color="auto" w:fill="auto"/>
            <w:vAlign w:val="center"/>
          </w:tcPr>
          <w:p w14:paraId="2A6EA8F6">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481" w:type="dxa"/>
            <w:tcBorders>
              <w:top w:val="nil"/>
              <w:left w:val="nil"/>
              <w:bottom w:val="single" w:color="auto" w:sz="4" w:space="0"/>
              <w:right w:val="single" w:color="auto" w:sz="4" w:space="0"/>
            </w:tcBorders>
            <w:shd w:val="clear" w:color="auto" w:fill="auto"/>
            <w:vAlign w:val="center"/>
          </w:tcPr>
          <w:p w14:paraId="6B58CB8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3385.49 </w:t>
            </w:r>
          </w:p>
        </w:tc>
        <w:tc>
          <w:tcPr>
            <w:tcW w:w="1294" w:type="dxa"/>
            <w:tcBorders>
              <w:top w:val="nil"/>
              <w:left w:val="nil"/>
              <w:bottom w:val="single" w:color="auto" w:sz="4" w:space="0"/>
              <w:right w:val="single" w:color="auto" w:sz="4" w:space="0"/>
            </w:tcBorders>
            <w:shd w:val="clear" w:color="auto" w:fill="auto"/>
            <w:vAlign w:val="center"/>
          </w:tcPr>
          <w:p w14:paraId="52ED141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847.79 </w:t>
            </w:r>
          </w:p>
        </w:tc>
        <w:tc>
          <w:tcPr>
            <w:tcW w:w="1258" w:type="dxa"/>
            <w:tcBorders>
              <w:top w:val="nil"/>
              <w:left w:val="nil"/>
              <w:bottom w:val="single" w:color="auto" w:sz="4" w:space="0"/>
              <w:right w:val="single" w:color="auto" w:sz="4" w:space="0"/>
            </w:tcBorders>
            <w:shd w:val="clear" w:color="auto" w:fill="auto"/>
            <w:vAlign w:val="center"/>
          </w:tcPr>
          <w:p w14:paraId="483CEEC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115.23 </w:t>
            </w:r>
          </w:p>
        </w:tc>
        <w:tc>
          <w:tcPr>
            <w:tcW w:w="2006" w:type="dxa"/>
            <w:tcBorders>
              <w:top w:val="nil"/>
              <w:left w:val="nil"/>
              <w:bottom w:val="single" w:color="auto" w:sz="4" w:space="0"/>
              <w:right w:val="single" w:color="auto" w:sz="4" w:space="0"/>
            </w:tcBorders>
            <w:shd w:val="clear" w:color="auto" w:fill="auto"/>
            <w:vAlign w:val="center"/>
          </w:tcPr>
          <w:p w14:paraId="7175F5C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2652.92 </w:t>
            </w:r>
          </w:p>
        </w:tc>
      </w:tr>
      <w:tr w14:paraId="39E13582">
        <w:tblPrEx>
          <w:tblCellMar>
            <w:top w:w="0" w:type="dxa"/>
            <w:left w:w="108" w:type="dxa"/>
            <w:bottom w:w="0" w:type="dxa"/>
            <w:right w:w="108" w:type="dxa"/>
          </w:tblCellMar>
        </w:tblPrEx>
        <w:trPr>
          <w:trHeight w:val="312" w:hRule="atLeast"/>
          <w:jc w:val="center"/>
        </w:trPr>
        <w:tc>
          <w:tcPr>
            <w:tcW w:w="1616" w:type="dxa"/>
            <w:tcBorders>
              <w:top w:val="nil"/>
              <w:left w:val="single" w:color="auto" w:sz="4" w:space="0"/>
              <w:bottom w:val="single" w:color="auto" w:sz="4" w:space="0"/>
              <w:right w:val="single" w:color="auto" w:sz="4" w:space="0"/>
            </w:tcBorders>
            <w:shd w:val="clear" w:color="auto" w:fill="auto"/>
            <w:vAlign w:val="center"/>
          </w:tcPr>
          <w:p w14:paraId="5DE2C49C">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481" w:type="dxa"/>
            <w:tcBorders>
              <w:top w:val="nil"/>
              <w:left w:val="nil"/>
              <w:bottom w:val="single" w:color="auto" w:sz="4" w:space="0"/>
              <w:right w:val="single" w:color="auto" w:sz="4" w:space="0"/>
            </w:tcBorders>
            <w:shd w:val="clear" w:color="auto" w:fill="auto"/>
            <w:vAlign w:val="center"/>
          </w:tcPr>
          <w:p w14:paraId="7929C31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2894.10 </w:t>
            </w:r>
          </w:p>
        </w:tc>
        <w:tc>
          <w:tcPr>
            <w:tcW w:w="1294" w:type="dxa"/>
            <w:tcBorders>
              <w:top w:val="nil"/>
              <w:left w:val="nil"/>
              <w:bottom w:val="single" w:color="auto" w:sz="4" w:space="0"/>
              <w:right w:val="single" w:color="auto" w:sz="4" w:space="0"/>
            </w:tcBorders>
            <w:shd w:val="clear" w:color="auto" w:fill="auto"/>
            <w:vAlign w:val="center"/>
          </w:tcPr>
          <w:p w14:paraId="21B8E94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709.81 </w:t>
            </w:r>
          </w:p>
        </w:tc>
        <w:tc>
          <w:tcPr>
            <w:tcW w:w="1258" w:type="dxa"/>
            <w:tcBorders>
              <w:top w:val="nil"/>
              <w:left w:val="nil"/>
              <w:bottom w:val="single" w:color="auto" w:sz="4" w:space="0"/>
              <w:right w:val="single" w:color="auto" w:sz="4" w:space="0"/>
            </w:tcBorders>
            <w:shd w:val="clear" w:color="auto" w:fill="auto"/>
            <w:vAlign w:val="center"/>
          </w:tcPr>
          <w:p w14:paraId="2AA9A28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309.97 </w:t>
            </w:r>
          </w:p>
        </w:tc>
        <w:tc>
          <w:tcPr>
            <w:tcW w:w="2006" w:type="dxa"/>
            <w:tcBorders>
              <w:top w:val="nil"/>
              <w:left w:val="nil"/>
              <w:bottom w:val="single" w:color="auto" w:sz="4" w:space="0"/>
              <w:right w:val="single" w:color="auto" w:sz="4" w:space="0"/>
            </w:tcBorders>
            <w:shd w:val="clear" w:color="auto" w:fill="auto"/>
            <w:vAlign w:val="center"/>
          </w:tcPr>
          <w:p w14:paraId="005BE84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2494.26 </w:t>
            </w:r>
          </w:p>
        </w:tc>
      </w:tr>
      <w:tr w14:paraId="3C00BE1A">
        <w:tblPrEx>
          <w:tblCellMar>
            <w:top w:w="0" w:type="dxa"/>
            <w:left w:w="108" w:type="dxa"/>
            <w:bottom w:w="0" w:type="dxa"/>
            <w:right w:w="108" w:type="dxa"/>
          </w:tblCellMar>
        </w:tblPrEx>
        <w:trPr>
          <w:trHeight w:val="312" w:hRule="atLeast"/>
          <w:jc w:val="center"/>
        </w:trPr>
        <w:tc>
          <w:tcPr>
            <w:tcW w:w="1616" w:type="dxa"/>
            <w:tcBorders>
              <w:top w:val="nil"/>
              <w:left w:val="single" w:color="auto" w:sz="4" w:space="0"/>
              <w:bottom w:val="single" w:color="auto" w:sz="4" w:space="0"/>
              <w:right w:val="single" w:color="auto" w:sz="4" w:space="0"/>
            </w:tcBorders>
            <w:shd w:val="clear" w:color="auto" w:fill="auto"/>
            <w:vAlign w:val="center"/>
          </w:tcPr>
          <w:p w14:paraId="6CE23DEC">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481" w:type="dxa"/>
            <w:tcBorders>
              <w:top w:val="nil"/>
              <w:left w:val="nil"/>
              <w:bottom w:val="single" w:color="auto" w:sz="4" w:space="0"/>
              <w:right w:val="single" w:color="auto" w:sz="4" w:space="0"/>
            </w:tcBorders>
            <w:shd w:val="clear" w:color="auto" w:fill="auto"/>
            <w:vAlign w:val="center"/>
          </w:tcPr>
          <w:p w14:paraId="7168420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710.19 </w:t>
            </w:r>
          </w:p>
        </w:tc>
        <w:tc>
          <w:tcPr>
            <w:tcW w:w="1294" w:type="dxa"/>
            <w:tcBorders>
              <w:top w:val="nil"/>
              <w:left w:val="nil"/>
              <w:bottom w:val="single" w:color="auto" w:sz="4" w:space="0"/>
              <w:right w:val="single" w:color="auto" w:sz="4" w:space="0"/>
            </w:tcBorders>
            <w:shd w:val="clear" w:color="auto" w:fill="auto"/>
            <w:vAlign w:val="center"/>
          </w:tcPr>
          <w:p w14:paraId="0420530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195.86 </w:t>
            </w:r>
          </w:p>
        </w:tc>
        <w:tc>
          <w:tcPr>
            <w:tcW w:w="1258" w:type="dxa"/>
            <w:tcBorders>
              <w:top w:val="nil"/>
              <w:left w:val="nil"/>
              <w:bottom w:val="single" w:color="auto" w:sz="4" w:space="0"/>
              <w:right w:val="single" w:color="auto" w:sz="4" w:space="0"/>
            </w:tcBorders>
            <w:shd w:val="clear" w:color="auto" w:fill="auto"/>
            <w:vAlign w:val="center"/>
          </w:tcPr>
          <w:p w14:paraId="52169BD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13.79 </w:t>
            </w:r>
          </w:p>
        </w:tc>
        <w:tc>
          <w:tcPr>
            <w:tcW w:w="2006" w:type="dxa"/>
            <w:tcBorders>
              <w:top w:val="nil"/>
              <w:left w:val="nil"/>
              <w:bottom w:val="single" w:color="auto" w:sz="4" w:space="0"/>
              <w:right w:val="single" w:color="auto" w:sz="4" w:space="0"/>
            </w:tcBorders>
            <w:shd w:val="clear" w:color="auto" w:fill="auto"/>
            <w:vAlign w:val="center"/>
          </w:tcPr>
          <w:p w14:paraId="6AE1CF8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528.12 </w:t>
            </w:r>
          </w:p>
        </w:tc>
      </w:tr>
      <w:tr w14:paraId="156D4491">
        <w:tblPrEx>
          <w:tblCellMar>
            <w:top w:w="0" w:type="dxa"/>
            <w:left w:w="108" w:type="dxa"/>
            <w:bottom w:w="0" w:type="dxa"/>
            <w:right w:w="108" w:type="dxa"/>
          </w:tblCellMar>
        </w:tblPrEx>
        <w:trPr>
          <w:trHeight w:val="312" w:hRule="atLeast"/>
          <w:jc w:val="center"/>
        </w:trPr>
        <w:tc>
          <w:tcPr>
            <w:tcW w:w="1616" w:type="dxa"/>
            <w:tcBorders>
              <w:top w:val="nil"/>
              <w:left w:val="single" w:color="auto" w:sz="4" w:space="0"/>
              <w:bottom w:val="single" w:color="auto" w:sz="4" w:space="0"/>
              <w:right w:val="single" w:color="auto" w:sz="4" w:space="0"/>
            </w:tcBorders>
            <w:shd w:val="clear" w:color="auto" w:fill="auto"/>
            <w:vAlign w:val="center"/>
          </w:tcPr>
          <w:p w14:paraId="652D0799">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481" w:type="dxa"/>
            <w:tcBorders>
              <w:top w:val="nil"/>
              <w:left w:val="nil"/>
              <w:bottom w:val="single" w:color="auto" w:sz="4" w:space="0"/>
              <w:right w:val="single" w:color="auto" w:sz="4" w:space="0"/>
            </w:tcBorders>
            <w:shd w:val="clear" w:color="auto" w:fill="auto"/>
            <w:vAlign w:val="center"/>
          </w:tcPr>
          <w:p w14:paraId="025EAB6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5164.15 </w:t>
            </w:r>
          </w:p>
        </w:tc>
        <w:tc>
          <w:tcPr>
            <w:tcW w:w="1294" w:type="dxa"/>
            <w:tcBorders>
              <w:top w:val="nil"/>
              <w:left w:val="nil"/>
              <w:bottom w:val="single" w:color="auto" w:sz="4" w:space="0"/>
              <w:right w:val="single" w:color="auto" w:sz="4" w:space="0"/>
            </w:tcBorders>
            <w:shd w:val="clear" w:color="auto" w:fill="auto"/>
            <w:vAlign w:val="center"/>
          </w:tcPr>
          <w:p w14:paraId="6D056DB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433.47 </w:t>
            </w:r>
          </w:p>
        </w:tc>
        <w:tc>
          <w:tcPr>
            <w:tcW w:w="1258" w:type="dxa"/>
            <w:tcBorders>
              <w:top w:val="nil"/>
              <w:left w:val="nil"/>
              <w:bottom w:val="single" w:color="auto" w:sz="4" w:space="0"/>
              <w:right w:val="single" w:color="auto" w:sz="4" w:space="0"/>
            </w:tcBorders>
            <w:shd w:val="clear" w:color="auto" w:fill="auto"/>
            <w:vAlign w:val="center"/>
          </w:tcPr>
          <w:p w14:paraId="09E2DC9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2006" w:type="dxa"/>
            <w:tcBorders>
              <w:top w:val="nil"/>
              <w:left w:val="nil"/>
              <w:bottom w:val="single" w:color="auto" w:sz="4" w:space="0"/>
              <w:right w:val="single" w:color="auto" w:sz="4" w:space="0"/>
            </w:tcBorders>
            <w:shd w:val="clear" w:color="auto" w:fill="auto"/>
            <w:vAlign w:val="center"/>
          </w:tcPr>
          <w:p w14:paraId="21CB52A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4730.67 </w:t>
            </w:r>
          </w:p>
        </w:tc>
      </w:tr>
      <w:tr w14:paraId="798A0542">
        <w:tblPrEx>
          <w:tblCellMar>
            <w:top w:w="0" w:type="dxa"/>
            <w:left w:w="108" w:type="dxa"/>
            <w:bottom w:w="0" w:type="dxa"/>
            <w:right w:w="108" w:type="dxa"/>
          </w:tblCellMar>
        </w:tblPrEx>
        <w:trPr>
          <w:trHeight w:val="312" w:hRule="atLeast"/>
          <w:jc w:val="center"/>
        </w:trPr>
        <w:tc>
          <w:tcPr>
            <w:tcW w:w="1616" w:type="dxa"/>
            <w:tcBorders>
              <w:top w:val="nil"/>
              <w:left w:val="single" w:color="auto" w:sz="4" w:space="0"/>
              <w:bottom w:val="single" w:color="auto" w:sz="4" w:space="0"/>
              <w:right w:val="single" w:color="auto" w:sz="4" w:space="0"/>
            </w:tcBorders>
            <w:shd w:val="clear" w:color="auto" w:fill="auto"/>
            <w:vAlign w:val="center"/>
          </w:tcPr>
          <w:p w14:paraId="4506BECD">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481" w:type="dxa"/>
            <w:tcBorders>
              <w:top w:val="nil"/>
              <w:left w:val="nil"/>
              <w:bottom w:val="single" w:color="auto" w:sz="4" w:space="0"/>
              <w:right w:val="single" w:color="auto" w:sz="4" w:space="0"/>
            </w:tcBorders>
            <w:shd w:val="clear" w:color="auto" w:fill="auto"/>
            <w:vAlign w:val="center"/>
          </w:tcPr>
          <w:p w14:paraId="0D59D54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713.89 </w:t>
            </w:r>
          </w:p>
        </w:tc>
        <w:tc>
          <w:tcPr>
            <w:tcW w:w="1294" w:type="dxa"/>
            <w:tcBorders>
              <w:top w:val="nil"/>
              <w:left w:val="nil"/>
              <w:bottom w:val="single" w:color="auto" w:sz="4" w:space="0"/>
              <w:right w:val="single" w:color="auto" w:sz="4" w:space="0"/>
            </w:tcBorders>
            <w:shd w:val="clear" w:color="auto" w:fill="auto"/>
            <w:vAlign w:val="center"/>
          </w:tcPr>
          <w:p w14:paraId="5F2002B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115.35 </w:t>
            </w:r>
          </w:p>
        </w:tc>
        <w:tc>
          <w:tcPr>
            <w:tcW w:w="1258" w:type="dxa"/>
            <w:tcBorders>
              <w:top w:val="nil"/>
              <w:left w:val="nil"/>
              <w:bottom w:val="single" w:color="auto" w:sz="4" w:space="0"/>
              <w:right w:val="single" w:color="auto" w:sz="4" w:space="0"/>
            </w:tcBorders>
            <w:shd w:val="clear" w:color="auto" w:fill="auto"/>
            <w:vAlign w:val="center"/>
          </w:tcPr>
          <w:p w14:paraId="51F469D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2006" w:type="dxa"/>
            <w:tcBorders>
              <w:top w:val="nil"/>
              <w:left w:val="nil"/>
              <w:bottom w:val="single" w:color="auto" w:sz="4" w:space="0"/>
              <w:right w:val="single" w:color="auto" w:sz="4" w:space="0"/>
            </w:tcBorders>
            <w:shd w:val="clear" w:color="auto" w:fill="auto"/>
            <w:vAlign w:val="center"/>
          </w:tcPr>
          <w:p w14:paraId="7E3E73E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598.54 </w:t>
            </w:r>
          </w:p>
        </w:tc>
      </w:tr>
      <w:tr w14:paraId="2978177A">
        <w:tblPrEx>
          <w:tblCellMar>
            <w:top w:w="0" w:type="dxa"/>
            <w:left w:w="108" w:type="dxa"/>
            <w:bottom w:w="0" w:type="dxa"/>
            <w:right w:w="108" w:type="dxa"/>
          </w:tblCellMar>
        </w:tblPrEx>
        <w:trPr>
          <w:trHeight w:val="312" w:hRule="atLeast"/>
          <w:jc w:val="center"/>
        </w:trPr>
        <w:tc>
          <w:tcPr>
            <w:tcW w:w="1616" w:type="dxa"/>
            <w:tcBorders>
              <w:top w:val="nil"/>
              <w:left w:val="single" w:color="auto" w:sz="4" w:space="0"/>
              <w:bottom w:val="single" w:color="auto" w:sz="4" w:space="0"/>
              <w:right w:val="single" w:color="auto" w:sz="4" w:space="0"/>
            </w:tcBorders>
            <w:shd w:val="clear" w:color="auto" w:fill="auto"/>
            <w:vAlign w:val="center"/>
          </w:tcPr>
          <w:p w14:paraId="2A7338A1">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481" w:type="dxa"/>
            <w:tcBorders>
              <w:top w:val="nil"/>
              <w:left w:val="nil"/>
              <w:bottom w:val="single" w:color="auto" w:sz="4" w:space="0"/>
              <w:right w:val="single" w:color="auto" w:sz="4" w:space="0"/>
            </w:tcBorders>
            <w:shd w:val="clear" w:color="auto" w:fill="auto"/>
            <w:vAlign w:val="center"/>
          </w:tcPr>
          <w:p w14:paraId="23FE311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26269.15 </w:t>
            </w:r>
          </w:p>
        </w:tc>
        <w:tc>
          <w:tcPr>
            <w:tcW w:w="1294" w:type="dxa"/>
            <w:tcBorders>
              <w:top w:val="nil"/>
              <w:left w:val="nil"/>
              <w:bottom w:val="single" w:color="auto" w:sz="4" w:space="0"/>
              <w:right w:val="single" w:color="auto" w:sz="4" w:space="0"/>
            </w:tcBorders>
            <w:shd w:val="clear" w:color="auto" w:fill="auto"/>
            <w:vAlign w:val="center"/>
          </w:tcPr>
          <w:p w14:paraId="7E239D0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4235.20 </w:t>
            </w:r>
          </w:p>
        </w:tc>
        <w:tc>
          <w:tcPr>
            <w:tcW w:w="1258" w:type="dxa"/>
            <w:tcBorders>
              <w:top w:val="nil"/>
              <w:left w:val="nil"/>
              <w:bottom w:val="single" w:color="auto" w:sz="4" w:space="0"/>
              <w:right w:val="single" w:color="auto" w:sz="4" w:space="0"/>
            </w:tcBorders>
            <w:shd w:val="clear" w:color="auto" w:fill="auto"/>
            <w:vAlign w:val="center"/>
          </w:tcPr>
          <w:p w14:paraId="36BDF8A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1072.82 </w:t>
            </w:r>
          </w:p>
        </w:tc>
        <w:tc>
          <w:tcPr>
            <w:tcW w:w="2006" w:type="dxa"/>
            <w:tcBorders>
              <w:top w:val="nil"/>
              <w:left w:val="nil"/>
              <w:bottom w:val="single" w:color="auto" w:sz="4" w:space="0"/>
              <w:right w:val="single" w:color="auto" w:sz="4" w:space="0"/>
            </w:tcBorders>
            <w:shd w:val="clear" w:color="auto" w:fill="auto"/>
            <w:vAlign w:val="center"/>
          </w:tcPr>
          <w:p w14:paraId="301C3BF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23106.77 </w:t>
            </w:r>
          </w:p>
        </w:tc>
      </w:tr>
    </w:tbl>
    <w:p w14:paraId="6FD1F344">
      <w:pPr>
        <w:pStyle w:val="4"/>
        <w:spacing w:before="0" w:after="0" w:line="360" w:lineRule="auto"/>
        <w:ind w:firstLine="275" w:firstLineChars="98"/>
        <w:rPr>
          <w:rFonts w:ascii="仿宋_GB2312" w:hAnsi="宋体" w:eastAsia="仿宋_GB2312"/>
          <w:sz w:val="28"/>
          <w:szCs w:val="28"/>
        </w:rPr>
      </w:pPr>
      <w:bookmarkStart w:id="104" w:name="_Toc471199347"/>
      <w:r>
        <w:rPr>
          <w:rFonts w:hint="eastAsia" w:ascii="仿宋_GB2312" w:hAnsi="宋体" w:eastAsia="仿宋_GB2312"/>
          <w:sz w:val="28"/>
          <w:szCs w:val="28"/>
        </w:rPr>
        <w:t>1.地类构成情况</w:t>
      </w:r>
    </w:p>
    <w:bookmarkEnd w:id="103"/>
    <w:bookmarkEnd w:id="104"/>
    <w:p w14:paraId="444F1EED">
      <w:pPr>
        <w:widowControl/>
        <w:tabs>
          <w:tab w:val="left" w:pos="1950"/>
        </w:tabs>
        <w:adjustRightInd w:val="0"/>
        <w:snapToGrid w:val="0"/>
        <w:spacing w:line="360" w:lineRule="auto"/>
        <w:ind w:firstLine="561"/>
        <w:jc w:val="left"/>
        <w:rPr>
          <w:rFonts w:ascii="仿宋_GB2312" w:hAnsi="宋体" w:eastAsia="仿宋_GB2312"/>
          <w:kern w:val="0"/>
          <w:sz w:val="28"/>
          <w:szCs w:val="28"/>
        </w:rPr>
      </w:pPr>
      <w:bookmarkStart w:id="105" w:name="_Toc482867515"/>
      <w:bookmarkStart w:id="106" w:name="_Toc470545405"/>
      <w:bookmarkStart w:id="107" w:name="_Toc471199351"/>
      <w:r>
        <w:rPr>
          <w:rFonts w:hint="eastAsia" w:ascii="仿宋_GB2312" w:hAnsi="宋体" w:eastAsia="仿宋_GB2312"/>
          <w:kern w:val="0"/>
          <w:sz w:val="28"/>
          <w:szCs w:val="28"/>
        </w:rPr>
        <w:t>东川区全域划定永久基本农田按照地类分，水田有2187.76公顷，占9.5%；水浇地有30.05公顷，占0.1%；旱地有20888.96公顷，占90 .4%。可见，本次划定后东川区基本农田仍然以旱地为主。而水田和水浇地两项合计面积2217.81公顷，仅占基本农田总面积的9.6%。</w:t>
      </w:r>
    </w:p>
    <w:p w14:paraId="4B70554B">
      <w:pPr>
        <w:jc w:val="center"/>
        <w:outlineLvl w:val="4"/>
        <w:rPr>
          <w:rFonts w:ascii="仿宋" w:hAnsi="仿宋" w:eastAsia="仿宋"/>
          <w:sz w:val="24"/>
        </w:rPr>
      </w:pPr>
      <w:r>
        <w:rPr>
          <w:rFonts w:hint="eastAsia" w:ascii="宋体" w:hAnsi="宋体"/>
          <w:b/>
          <w:sz w:val="24"/>
        </w:rPr>
        <w:t>表4-8  东川区全域永久基本农田划定地类统计表</w:t>
      </w:r>
    </w:p>
    <w:p w14:paraId="41FA3444">
      <w:pPr>
        <w:spacing w:line="360" w:lineRule="auto"/>
        <w:ind w:firstLine="480" w:firstLineChars="200"/>
        <w:jc w:val="center"/>
        <w:rPr>
          <w:rFonts w:ascii="仿宋" w:hAnsi="仿宋" w:eastAsia="仿宋"/>
          <w:sz w:val="24"/>
        </w:rPr>
      </w:pPr>
      <w:r>
        <w:rPr>
          <w:rFonts w:hint="eastAsia" w:ascii="仿宋" w:hAnsi="仿宋" w:eastAsia="仿宋"/>
          <w:sz w:val="24"/>
        </w:rPr>
        <w:t xml:space="preserve">                                                        单位：公顷</w:t>
      </w:r>
    </w:p>
    <w:tbl>
      <w:tblPr>
        <w:tblStyle w:val="27"/>
        <w:tblW w:w="7203" w:type="dxa"/>
        <w:jc w:val="center"/>
        <w:tblLayout w:type="autofit"/>
        <w:tblCellMar>
          <w:top w:w="0" w:type="dxa"/>
          <w:left w:w="108" w:type="dxa"/>
          <w:bottom w:w="0" w:type="dxa"/>
          <w:right w:w="108" w:type="dxa"/>
        </w:tblCellMar>
      </w:tblPr>
      <w:tblGrid>
        <w:gridCol w:w="1451"/>
        <w:gridCol w:w="1542"/>
        <w:gridCol w:w="1418"/>
        <w:gridCol w:w="1275"/>
        <w:gridCol w:w="1517"/>
      </w:tblGrid>
      <w:tr w14:paraId="136F41E6">
        <w:tblPrEx>
          <w:tblCellMar>
            <w:top w:w="0" w:type="dxa"/>
            <w:left w:w="108" w:type="dxa"/>
            <w:bottom w:w="0" w:type="dxa"/>
            <w:right w:w="108" w:type="dxa"/>
          </w:tblCellMar>
        </w:tblPrEx>
        <w:trPr>
          <w:trHeight w:val="284" w:hRule="atLeast"/>
          <w:jc w:val="center"/>
        </w:trPr>
        <w:tc>
          <w:tcPr>
            <w:tcW w:w="1451" w:type="dxa"/>
            <w:tcBorders>
              <w:top w:val="single" w:color="auto" w:sz="8" w:space="0"/>
              <w:left w:val="single" w:color="auto" w:sz="8" w:space="0"/>
              <w:bottom w:val="single" w:color="auto" w:sz="8" w:space="0"/>
              <w:right w:val="single" w:color="auto" w:sz="8" w:space="0"/>
            </w:tcBorders>
            <w:shd w:val="clear" w:color="auto" w:fill="auto"/>
            <w:vAlign w:val="center"/>
          </w:tcPr>
          <w:p w14:paraId="19A8743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行政区名称</w:t>
            </w:r>
          </w:p>
        </w:tc>
        <w:tc>
          <w:tcPr>
            <w:tcW w:w="1542" w:type="dxa"/>
            <w:tcBorders>
              <w:top w:val="single" w:color="auto" w:sz="8" w:space="0"/>
              <w:left w:val="nil"/>
              <w:bottom w:val="single" w:color="auto" w:sz="8" w:space="0"/>
              <w:right w:val="single" w:color="auto" w:sz="8" w:space="0"/>
            </w:tcBorders>
            <w:shd w:val="clear" w:color="auto" w:fill="auto"/>
            <w:vAlign w:val="center"/>
          </w:tcPr>
          <w:p w14:paraId="3A57FC7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合计</w:t>
            </w:r>
          </w:p>
        </w:tc>
        <w:tc>
          <w:tcPr>
            <w:tcW w:w="1418" w:type="dxa"/>
            <w:tcBorders>
              <w:top w:val="single" w:color="auto" w:sz="8" w:space="0"/>
              <w:left w:val="nil"/>
              <w:bottom w:val="single" w:color="auto" w:sz="8" w:space="0"/>
              <w:right w:val="single" w:color="auto" w:sz="8" w:space="0"/>
            </w:tcBorders>
            <w:shd w:val="clear" w:color="auto" w:fill="auto"/>
            <w:vAlign w:val="center"/>
          </w:tcPr>
          <w:p w14:paraId="77FEF1B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水田</w:t>
            </w:r>
          </w:p>
        </w:tc>
        <w:tc>
          <w:tcPr>
            <w:tcW w:w="1275" w:type="dxa"/>
            <w:tcBorders>
              <w:top w:val="single" w:color="auto" w:sz="8" w:space="0"/>
              <w:left w:val="nil"/>
              <w:bottom w:val="single" w:color="auto" w:sz="8" w:space="0"/>
              <w:right w:val="single" w:color="auto" w:sz="8" w:space="0"/>
            </w:tcBorders>
            <w:shd w:val="clear" w:color="auto" w:fill="auto"/>
            <w:vAlign w:val="center"/>
          </w:tcPr>
          <w:p w14:paraId="48F76583">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水浇地</w:t>
            </w:r>
          </w:p>
        </w:tc>
        <w:tc>
          <w:tcPr>
            <w:tcW w:w="1517" w:type="dxa"/>
            <w:tcBorders>
              <w:top w:val="single" w:color="auto" w:sz="8" w:space="0"/>
              <w:left w:val="nil"/>
              <w:bottom w:val="single" w:color="auto" w:sz="8" w:space="0"/>
              <w:right w:val="single" w:color="auto" w:sz="8" w:space="0"/>
            </w:tcBorders>
            <w:shd w:val="clear" w:color="auto" w:fill="auto"/>
            <w:vAlign w:val="center"/>
          </w:tcPr>
          <w:p w14:paraId="76499DE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旱地</w:t>
            </w:r>
          </w:p>
        </w:tc>
      </w:tr>
      <w:tr w14:paraId="43F9B344">
        <w:tblPrEx>
          <w:tblCellMar>
            <w:top w:w="0" w:type="dxa"/>
            <w:left w:w="108" w:type="dxa"/>
            <w:bottom w:w="0" w:type="dxa"/>
            <w:right w:w="108" w:type="dxa"/>
          </w:tblCellMar>
        </w:tblPrEx>
        <w:trPr>
          <w:trHeight w:val="284" w:hRule="atLeast"/>
          <w:jc w:val="center"/>
        </w:trPr>
        <w:tc>
          <w:tcPr>
            <w:tcW w:w="1451" w:type="dxa"/>
            <w:tcBorders>
              <w:top w:val="nil"/>
              <w:left w:val="single" w:color="auto" w:sz="8" w:space="0"/>
              <w:bottom w:val="single" w:color="auto" w:sz="8" w:space="0"/>
              <w:right w:val="single" w:color="auto" w:sz="8" w:space="0"/>
            </w:tcBorders>
            <w:shd w:val="clear" w:color="auto" w:fill="auto"/>
            <w:vAlign w:val="center"/>
          </w:tcPr>
          <w:p w14:paraId="5B21ADB1">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542" w:type="dxa"/>
            <w:tcBorders>
              <w:top w:val="nil"/>
              <w:left w:val="nil"/>
              <w:bottom w:val="single" w:color="auto" w:sz="8" w:space="0"/>
              <w:right w:val="single" w:color="auto" w:sz="8" w:space="0"/>
            </w:tcBorders>
            <w:shd w:val="clear" w:color="auto" w:fill="auto"/>
            <w:vAlign w:val="center"/>
          </w:tcPr>
          <w:p w14:paraId="6F90178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23106.77 </w:t>
            </w:r>
          </w:p>
        </w:tc>
        <w:tc>
          <w:tcPr>
            <w:tcW w:w="1418" w:type="dxa"/>
            <w:tcBorders>
              <w:top w:val="nil"/>
              <w:left w:val="nil"/>
              <w:bottom w:val="single" w:color="auto" w:sz="8" w:space="0"/>
              <w:right w:val="single" w:color="auto" w:sz="8" w:space="0"/>
            </w:tcBorders>
            <w:shd w:val="clear" w:color="auto" w:fill="auto"/>
            <w:vAlign w:val="center"/>
          </w:tcPr>
          <w:p w14:paraId="5AC9802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2187.76 </w:t>
            </w:r>
          </w:p>
        </w:tc>
        <w:tc>
          <w:tcPr>
            <w:tcW w:w="1275" w:type="dxa"/>
            <w:tcBorders>
              <w:top w:val="nil"/>
              <w:left w:val="nil"/>
              <w:bottom w:val="single" w:color="auto" w:sz="8" w:space="0"/>
              <w:right w:val="single" w:color="auto" w:sz="8" w:space="0"/>
            </w:tcBorders>
            <w:shd w:val="clear" w:color="auto" w:fill="auto"/>
            <w:vAlign w:val="center"/>
          </w:tcPr>
          <w:p w14:paraId="4782DB6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30.05 </w:t>
            </w:r>
          </w:p>
        </w:tc>
        <w:tc>
          <w:tcPr>
            <w:tcW w:w="1517" w:type="dxa"/>
            <w:tcBorders>
              <w:top w:val="nil"/>
              <w:left w:val="nil"/>
              <w:bottom w:val="single" w:color="auto" w:sz="8" w:space="0"/>
              <w:right w:val="single" w:color="auto" w:sz="8" w:space="0"/>
            </w:tcBorders>
            <w:shd w:val="clear" w:color="auto" w:fill="auto"/>
            <w:vAlign w:val="center"/>
          </w:tcPr>
          <w:p w14:paraId="7E3E3DB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20888.96 </w:t>
            </w:r>
          </w:p>
        </w:tc>
      </w:tr>
      <w:tr w14:paraId="747E5BDC">
        <w:tblPrEx>
          <w:tblCellMar>
            <w:top w:w="0" w:type="dxa"/>
            <w:left w:w="108" w:type="dxa"/>
            <w:bottom w:w="0" w:type="dxa"/>
            <w:right w:w="108" w:type="dxa"/>
          </w:tblCellMar>
        </w:tblPrEx>
        <w:trPr>
          <w:trHeight w:val="284" w:hRule="atLeast"/>
          <w:jc w:val="center"/>
        </w:trPr>
        <w:tc>
          <w:tcPr>
            <w:tcW w:w="1451" w:type="dxa"/>
            <w:tcBorders>
              <w:top w:val="nil"/>
              <w:left w:val="single" w:color="auto" w:sz="8" w:space="0"/>
              <w:bottom w:val="single" w:color="auto" w:sz="8" w:space="0"/>
              <w:right w:val="single" w:color="auto" w:sz="8" w:space="0"/>
            </w:tcBorders>
            <w:shd w:val="clear" w:color="auto" w:fill="auto"/>
            <w:vAlign w:val="center"/>
          </w:tcPr>
          <w:p w14:paraId="34901F53">
            <w:pPr>
              <w:widowControl/>
              <w:jc w:val="center"/>
              <w:rPr>
                <w:rFonts w:ascii="宋体" w:hAnsi="宋体" w:cs="宋体"/>
                <w:color w:val="000000"/>
                <w:kern w:val="0"/>
                <w:sz w:val="18"/>
                <w:szCs w:val="18"/>
              </w:rPr>
            </w:pPr>
            <w:r>
              <w:rPr>
                <w:rFonts w:hint="eastAsia" w:ascii="宋体" w:hAnsi="宋体" w:cs="宋体"/>
                <w:color w:val="000000"/>
                <w:kern w:val="0"/>
                <w:sz w:val="18"/>
                <w:szCs w:val="18"/>
              </w:rPr>
              <w:t>比例</w:t>
            </w:r>
          </w:p>
        </w:tc>
        <w:tc>
          <w:tcPr>
            <w:tcW w:w="1542" w:type="dxa"/>
            <w:tcBorders>
              <w:top w:val="nil"/>
              <w:left w:val="nil"/>
              <w:bottom w:val="single" w:color="auto" w:sz="8" w:space="0"/>
              <w:right w:val="single" w:color="auto" w:sz="8" w:space="0"/>
            </w:tcBorders>
            <w:shd w:val="clear" w:color="auto" w:fill="auto"/>
            <w:vAlign w:val="center"/>
          </w:tcPr>
          <w:p w14:paraId="284BCB28">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418" w:type="dxa"/>
            <w:tcBorders>
              <w:top w:val="nil"/>
              <w:left w:val="nil"/>
              <w:bottom w:val="single" w:color="auto" w:sz="8" w:space="0"/>
              <w:right w:val="single" w:color="auto" w:sz="8" w:space="0"/>
            </w:tcBorders>
            <w:shd w:val="clear" w:color="auto" w:fill="auto"/>
            <w:vAlign w:val="center"/>
          </w:tcPr>
          <w:p w14:paraId="6DFAFA45">
            <w:pPr>
              <w:widowControl/>
              <w:jc w:val="center"/>
              <w:rPr>
                <w:rFonts w:ascii="宋体" w:hAnsi="宋体" w:cs="宋体"/>
                <w:color w:val="000000"/>
                <w:kern w:val="0"/>
                <w:sz w:val="18"/>
                <w:szCs w:val="18"/>
              </w:rPr>
            </w:pPr>
            <w:r>
              <w:rPr>
                <w:rFonts w:hint="eastAsia" w:ascii="宋体" w:hAnsi="宋体" w:cs="宋体"/>
                <w:color w:val="000000"/>
                <w:kern w:val="0"/>
                <w:sz w:val="18"/>
                <w:szCs w:val="18"/>
              </w:rPr>
              <w:t>9.50%</w:t>
            </w:r>
          </w:p>
        </w:tc>
        <w:tc>
          <w:tcPr>
            <w:tcW w:w="1275" w:type="dxa"/>
            <w:tcBorders>
              <w:top w:val="nil"/>
              <w:left w:val="nil"/>
              <w:bottom w:val="single" w:color="auto" w:sz="8" w:space="0"/>
              <w:right w:val="single" w:color="auto" w:sz="8" w:space="0"/>
            </w:tcBorders>
            <w:shd w:val="clear" w:color="auto" w:fill="auto"/>
            <w:vAlign w:val="center"/>
          </w:tcPr>
          <w:p w14:paraId="44145C5A">
            <w:pPr>
              <w:widowControl/>
              <w:jc w:val="center"/>
              <w:rPr>
                <w:rFonts w:ascii="宋体" w:hAnsi="宋体" w:cs="宋体"/>
                <w:color w:val="000000"/>
                <w:kern w:val="0"/>
                <w:sz w:val="18"/>
                <w:szCs w:val="18"/>
              </w:rPr>
            </w:pPr>
            <w:r>
              <w:rPr>
                <w:rFonts w:hint="eastAsia" w:ascii="宋体" w:hAnsi="宋体" w:cs="宋体"/>
                <w:color w:val="000000"/>
                <w:kern w:val="0"/>
                <w:sz w:val="18"/>
                <w:szCs w:val="18"/>
              </w:rPr>
              <w:t>0.10%</w:t>
            </w:r>
          </w:p>
        </w:tc>
        <w:tc>
          <w:tcPr>
            <w:tcW w:w="1517" w:type="dxa"/>
            <w:tcBorders>
              <w:top w:val="nil"/>
              <w:left w:val="nil"/>
              <w:bottom w:val="single" w:color="auto" w:sz="8" w:space="0"/>
              <w:right w:val="single" w:color="auto" w:sz="8" w:space="0"/>
            </w:tcBorders>
            <w:shd w:val="clear" w:color="auto" w:fill="auto"/>
            <w:vAlign w:val="center"/>
          </w:tcPr>
          <w:p w14:paraId="520CBBE3">
            <w:pPr>
              <w:widowControl/>
              <w:jc w:val="center"/>
              <w:rPr>
                <w:rFonts w:ascii="宋体" w:hAnsi="宋体" w:cs="宋体"/>
                <w:color w:val="000000"/>
                <w:kern w:val="0"/>
                <w:sz w:val="18"/>
                <w:szCs w:val="18"/>
              </w:rPr>
            </w:pPr>
            <w:r>
              <w:rPr>
                <w:rFonts w:hint="eastAsia" w:ascii="宋体" w:hAnsi="宋体" w:cs="宋体"/>
                <w:color w:val="000000"/>
                <w:kern w:val="0"/>
                <w:sz w:val="18"/>
                <w:szCs w:val="18"/>
              </w:rPr>
              <w:t>90.40%</w:t>
            </w:r>
          </w:p>
        </w:tc>
      </w:tr>
    </w:tbl>
    <w:p w14:paraId="0A1AD37F">
      <w:pPr>
        <w:pStyle w:val="4"/>
        <w:spacing w:before="0" w:after="0" w:line="360" w:lineRule="auto"/>
        <w:ind w:firstLine="275" w:firstLineChars="98"/>
        <w:rPr>
          <w:rFonts w:ascii="仿宋_GB2312" w:hAnsi="宋体" w:eastAsia="仿宋_GB2312"/>
          <w:sz w:val="28"/>
          <w:szCs w:val="28"/>
        </w:rPr>
      </w:pPr>
      <w:bookmarkStart w:id="108" w:name="_Toc470545402"/>
      <w:bookmarkStart w:id="109" w:name="_Toc486359499"/>
      <w:r>
        <w:rPr>
          <w:rFonts w:hint="eastAsia" w:ascii="仿宋_GB2312" w:hAnsi="宋体" w:eastAsia="仿宋_GB2312"/>
          <w:sz w:val="28"/>
          <w:szCs w:val="28"/>
        </w:rPr>
        <w:t>2、坡度构成</w:t>
      </w:r>
      <w:bookmarkEnd w:id="108"/>
      <w:bookmarkEnd w:id="109"/>
    </w:p>
    <w:p w14:paraId="162F2B40">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东川区全域划定永久基本农田按照坡度分，0～2度有1098.01公顷，占4.8%；2～6度有832.99公顷，占3.6%；6～15度有7062.37公顷，占30.6%；15～25度有7342.83公顷，占31.8%；25度以上有6770.59公顷，占29.3%。</w:t>
      </w:r>
    </w:p>
    <w:p w14:paraId="5B037180">
      <w:pPr>
        <w:jc w:val="center"/>
        <w:outlineLvl w:val="4"/>
        <w:rPr>
          <w:rFonts w:ascii="宋体" w:hAnsi="宋体"/>
          <w:b/>
          <w:sz w:val="24"/>
        </w:rPr>
      </w:pPr>
      <w:r>
        <w:rPr>
          <w:rFonts w:hint="eastAsia" w:ascii="宋体" w:hAnsi="宋体"/>
          <w:b/>
          <w:sz w:val="24"/>
        </w:rPr>
        <w:t>表4-9  东川区全域永久基本农田坡度等级统计表</w:t>
      </w:r>
    </w:p>
    <w:p w14:paraId="31620D51">
      <w:pPr>
        <w:widowControl/>
        <w:jc w:val="center"/>
        <w:rPr>
          <w:rFonts w:ascii="仿宋" w:hAnsi="仿宋" w:eastAsia="仿宋"/>
          <w:sz w:val="24"/>
        </w:rPr>
      </w:pPr>
      <w:r>
        <w:rPr>
          <w:rFonts w:hint="eastAsia" w:ascii="仿宋" w:hAnsi="仿宋" w:eastAsia="仿宋"/>
          <w:sz w:val="24"/>
        </w:rPr>
        <w:t xml:space="preserve">                                                        </w:t>
      </w:r>
      <w:r>
        <w:rPr>
          <w:rFonts w:hint="eastAsia" w:ascii="宋体" w:hAnsi="宋体" w:cs="宋体"/>
          <w:color w:val="000000"/>
          <w:kern w:val="0"/>
          <w:sz w:val="18"/>
          <w:szCs w:val="18"/>
        </w:rPr>
        <w:t>单位：公顷</w:t>
      </w:r>
    </w:p>
    <w:tbl>
      <w:tblPr>
        <w:tblStyle w:val="27"/>
        <w:tblW w:w="8629" w:type="dxa"/>
        <w:jc w:val="center"/>
        <w:tblLayout w:type="autofit"/>
        <w:tblCellMar>
          <w:top w:w="0" w:type="dxa"/>
          <w:left w:w="108" w:type="dxa"/>
          <w:bottom w:w="0" w:type="dxa"/>
          <w:right w:w="108" w:type="dxa"/>
        </w:tblCellMar>
      </w:tblPr>
      <w:tblGrid>
        <w:gridCol w:w="1236"/>
        <w:gridCol w:w="1520"/>
        <w:gridCol w:w="1140"/>
        <w:gridCol w:w="1236"/>
        <w:gridCol w:w="1341"/>
        <w:gridCol w:w="1196"/>
        <w:gridCol w:w="960"/>
      </w:tblGrid>
      <w:tr w14:paraId="3B71F0B6">
        <w:tblPrEx>
          <w:tblCellMar>
            <w:top w:w="0" w:type="dxa"/>
            <w:left w:w="108" w:type="dxa"/>
            <w:bottom w:w="0" w:type="dxa"/>
            <w:right w:w="108" w:type="dxa"/>
          </w:tblCellMar>
        </w:tblPrEx>
        <w:trPr>
          <w:trHeight w:val="284" w:hRule="atLeast"/>
          <w:jc w:val="center"/>
        </w:trPr>
        <w:tc>
          <w:tcPr>
            <w:tcW w:w="1236"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0290FA93">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行政辖区</w:t>
            </w:r>
          </w:p>
        </w:tc>
        <w:tc>
          <w:tcPr>
            <w:tcW w:w="152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141B3B3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基本农田面积</w:t>
            </w:r>
          </w:p>
        </w:tc>
        <w:tc>
          <w:tcPr>
            <w:tcW w:w="5873" w:type="dxa"/>
            <w:gridSpan w:val="5"/>
            <w:tcBorders>
              <w:top w:val="single" w:color="auto" w:sz="8" w:space="0"/>
              <w:left w:val="nil"/>
              <w:bottom w:val="single" w:color="auto" w:sz="8" w:space="0"/>
              <w:right w:val="single" w:color="000000" w:sz="8" w:space="0"/>
            </w:tcBorders>
            <w:shd w:val="clear" w:color="auto" w:fill="auto"/>
            <w:vAlign w:val="center"/>
          </w:tcPr>
          <w:p w14:paraId="12978E27">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耕地坡度构成</w:t>
            </w:r>
          </w:p>
        </w:tc>
      </w:tr>
      <w:tr w14:paraId="273FE833">
        <w:tblPrEx>
          <w:tblCellMar>
            <w:top w:w="0" w:type="dxa"/>
            <w:left w:w="108" w:type="dxa"/>
            <w:bottom w:w="0" w:type="dxa"/>
            <w:right w:w="108" w:type="dxa"/>
          </w:tblCellMar>
        </w:tblPrEx>
        <w:trPr>
          <w:trHeight w:val="284" w:hRule="atLeast"/>
          <w:jc w:val="center"/>
        </w:trPr>
        <w:tc>
          <w:tcPr>
            <w:tcW w:w="1236" w:type="dxa"/>
            <w:vMerge w:val="continue"/>
            <w:tcBorders>
              <w:top w:val="single" w:color="auto" w:sz="8" w:space="0"/>
              <w:left w:val="single" w:color="auto" w:sz="8" w:space="0"/>
              <w:bottom w:val="single" w:color="000000" w:sz="8" w:space="0"/>
              <w:right w:val="single" w:color="auto" w:sz="8" w:space="0"/>
            </w:tcBorders>
            <w:vAlign w:val="center"/>
          </w:tcPr>
          <w:p w14:paraId="7EDF0BE9">
            <w:pPr>
              <w:widowControl/>
              <w:jc w:val="center"/>
              <w:rPr>
                <w:rFonts w:ascii="宋体" w:hAnsi="宋体" w:cs="宋体"/>
                <w:b/>
                <w:color w:val="000000"/>
                <w:kern w:val="0"/>
                <w:sz w:val="18"/>
                <w:szCs w:val="18"/>
              </w:rPr>
            </w:pPr>
          </w:p>
        </w:tc>
        <w:tc>
          <w:tcPr>
            <w:tcW w:w="1520" w:type="dxa"/>
            <w:vMerge w:val="continue"/>
            <w:tcBorders>
              <w:top w:val="single" w:color="auto" w:sz="8" w:space="0"/>
              <w:left w:val="single" w:color="auto" w:sz="8" w:space="0"/>
              <w:bottom w:val="single" w:color="000000" w:sz="8" w:space="0"/>
              <w:right w:val="single" w:color="auto" w:sz="8" w:space="0"/>
            </w:tcBorders>
            <w:vAlign w:val="center"/>
          </w:tcPr>
          <w:p w14:paraId="1F949E0B">
            <w:pPr>
              <w:widowControl/>
              <w:jc w:val="center"/>
              <w:rPr>
                <w:rFonts w:ascii="宋体" w:hAnsi="宋体" w:cs="宋体"/>
                <w:b/>
                <w:color w:val="000000"/>
                <w:kern w:val="0"/>
                <w:sz w:val="18"/>
                <w:szCs w:val="18"/>
              </w:rPr>
            </w:pPr>
          </w:p>
        </w:tc>
        <w:tc>
          <w:tcPr>
            <w:tcW w:w="1140" w:type="dxa"/>
            <w:tcBorders>
              <w:top w:val="nil"/>
              <w:left w:val="nil"/>
              <w:bottom w:val="single" w:color="auto" w:sz="8" w:space="0"/>
              <w:right w:val="single" w:color="auto" w:sz="8" w:space="0"/>
            </w:tcBorders>
            <w:shd w:val="clear" w:color="auto" w:fill="auto"/>
            <w:vAlign w:val="center"/>
          </w:tcPr>
          <w:p w14:paraId="2BDDD94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0～2°</w:t>
            </w:r>
          </w:p>
        </w:tc>
        <w:tc>
          <w:tcPr>
            <w:tcW w:w="1236" w:type="dxa"/>
            <w:tcBorders>
              <w:top w:val="nil"/>
              <w:left w:val="nil"/>
              <w:bottom w:val="single" w:color="auto" w:sz="8" w:space="0"/>
              <w:right w:val="single" w:color="auto" w:sz="8" w:space="0"/>
            </w:tcBorders>
            <w:shd w:val="clear" w:color="auto" w:fill="auto"/>
            <w:vAlign w:val="center"/>
          </w:tcPr>
          <w:p w14:paraId="4C2DB4E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2°～6°</w:t>
            </w:r>
          </w:p>
        </w:tc>
        <w:tc>
          <w:tcPr>
            <w:tcW w:w="1341" w:type="dxa"/>
            <w:tcBorders>
              <w:top w:val="nil"/>
              <w:left w:val="nil"/>
              <w:bottom w:val="single" w:color="auto" w:sz="8" w:space="0"/>
              <w:right w:val="single" w:color="auto" w:sz="8" w:space="0"/>
            </w:tcBorders>
            <w:shd w:val="clear" w:color="auto" w:fill="auto"/>
            <w:vAlign w:val="center"/>
          </w:tcPr>
          <w:p w14:paraId="3D4407D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6°～15°</w:t>
            </w:r>
          </w:p>
        </w:tc>
        <w:tc>
          <w:tcPr>
            <w:tcW w:w="1196" w:type="dxa"/>
            <w:tcBorders>
              <w:top w:val="nil"/>
              <w:left w:val="nil"/>
              <w:bottom w:val="single" w:color="auto" w:sz="8" w:space="0"/>
              <w:right w:val="single" w:color="auto" w:sz="8" w:space="0"/>
            </w:tcBorders>
            <w:shd w:val="clear" w:color="auto" w:fill="auto"/>
            <w:vAlign w:val="center"/>
          </w:tcPr>
          <w:p w14:paraId="58100DB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15°～25°</w:t>
            </w:r>
          </w:p>
        </w:tc>
        <w:tc>
          <w:tcPr>
            <w:tcW w:w="960" w:type="dxa"/>
            <w:tcBorders>
              <w:top w:val="nil"/>
              <w:left w:val="nil"/>
              <w:bottom w:val="single" w:color="auto" w:sz="8" w:space="0"/>
              <w:right w:val="single" w:color="auto" w:sz="8" w:space="0"/>
            </w:tcBorders>
            <w:shd w:val="clear" w:color="auto" w:fill="auto"/>
            <w:vAlign w:val="center"/>
          </w:tcPr>
          <w:p w14:paraId="58BC59E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＞25°</w:t>
            </w:r>
          </w:p>
        </w:tc>
      </w:tr>
      <w:tr w14:paraId="784EE273">
        <w:tblPrEx>
          <w:tblCellMar>
            <w:top w:w="0" w:type="dxa"/>
            <w:left w:w="108" w:type="dxa"/>
            <w:bottom w:w="0" w:type="dxa"/>
            <w:right w:w="108" w:type="dxa"/>
          </w:tblCellMar>
        </w:tblPrEx>
        <w:trPr>
          <w:trHeight w:val="284" w:hRule="atLeast"/>
          <w:jc w:val="center"/>
        </w:trPr>
        <w:tc>
          <w:tcPr>
            <w:tcW w:w="1236" w:type="dxa"/>
            <w:tcBorders>
              <w:top w:val="nil"/>
              <w:left w:val="single" w:color="auto" w:sz="8" w:space="0"/>
              <w:bottom w:val="single" w:color="auto" w:sz="8" w:space="0"/>
              <w:right w:val="single" w:color="auto" w:sz="8" w:space="0"/>
            </w:tcBorders>
            <w:shd w:val="clear" w:color="auto" w:fill="auto"/>
            <w:vAlign w:val="center"/>
          </w:tcPr>
          <w:p w14:paraId="2C89B076">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520" w:type="dxa"/>
            <w:tcBorders>
              <w:top w:val="nil"/>
              <w:left w:val="nil"/>
              <w:bottom w:val="single" w:color="auto" w:sz="8" w:space="0"/>
              <w:right w:val="single" w:color="auto" w:sz="8" w:space="0"/>
            </w:tcBorders>
            <w:shd w:val="clear" w:color="auto" w:fill="auto"/>
            <w:vAlign w:val="center"/>
          </w:tcPr>
          <w:p w14:paraId="1B2B007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23106.77 </w:t>
            </w:r>
          </w:p>
        </w:tc>
        <w:tc>
          <w:tcPr>
            <w:tcW w:w="1140" w:type="dxa"/>
            <w:tcBorders>
              <w:top w:val="nil"/>
              <w:left w:val="nil"/>
              <w:bottom w:val="single" w:color="auto" w:sz="8" w:space="0"/>
              <w:right w:val="single" w:color="auto" w:sz="8" w:space="0"/>
            </w:tcBorders>
            <w:shd w:val="clear" w:color="auto" w:fill="auto"/>
            <w:vAlign w:val="center"/>
          </w:tcPr>
          <w:p w14:paraId="3738E1E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1098.01 </w:t>
            </w:r>
          </w:p>
        </w:tc>
        <w:tc>
          <w:tcPr>
            <w:tcW w:w="1236" w:type="dxa"/>
            <w:tcBorders>
              <w:top w:val="nil"/>
              <w:left w:val="nil"/>
              <w:bottom w:val="single" w:color="auto" w:sz="8" w:space="0"/>
              <w:right w:val="single" w:color="auto" w:sz="8" w:space="0"/>
            </w:tcBorders>
            <w:shd w:val="clear" w:color="auto" w:fill="auto"/>
            <w:vAlign w:val="center"/>
          </w:tcPr>
          <w:p w14:paraId="56AC547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832.99 </w:t>
            </w:r>
          </w:p>
        </w:tc>
        <w:tc>
          <w:tcPr>
            <w:tcW w:w="1341" w:type="dxa"/>
            <w:tcBorders>
              <w:top w:val="nil"/>
              <w:left w:val="nil"/>
              <w:bottom w:val="single" w:color="auto" w:sz="8" w:space="0"/>
              <w:right w:val="single" w:color="auto" w:sz="8" w:space="0"/>
            </w:tcBorders>
            <w:shd w:val="clear" w:color="auto" w:fill="auto"/>
            <w:vAlign w:val="center"/>
          </w:tcPr>
          <w:p w14:paraId="782A52F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7062.37 </w:t>
            </w:r>
          </w:p>
        </w:tc>
        <w:tc>
          <w:tcPr>
            <w:tcW w:w="1196" w:type="dxa"/>
            <w:tcBorders>
              <w:top w:val="nil"/>
              <w:left w:val="nil"/>
              <w:bottom w:val="single" w:color="auto" w:sz="8" w:space="0"/>
              <w:right w:val="single" w:color="auto" w:sz="8" w:space="0"/>
            </w:tcBorders>
            <w:shd w:val="clear" w:color="auto" w:fill="auto"/>
            <w:vAlign w:val="center"/>
          </w:tcPr>
          <w:p w14:paraId="37091CA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7342.83 </w:t>
            </w:r>
          </w:p>
        </w:tc>
        <w:tc>
          <w:tcPr>
            <w:tcW w:w="960" w:type="dxa"/>
            <w:tcBorders>
              <w:top w:val="nil"/>
              <w:left w:val="nil"/>
              <w:bottom w:val="single" w:color="auto" w:sz="8" w:space="0"/>
              <w:right w:val="single" w:color="auto" w:sz="8" w:space="0"/>
            </w:tcBorders>
            <w:shd w:val="clear" w:color="auto" w:fill="auto"/>
            <w:vAlign w:val="center"/>
          </w:tcPr>
          <w:p w14:paraId="277A8A6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6770.59 </w:t>
            </w:r>
          </w:p>
        </w:tc>
      </w:tr>
      <w:tr w14:paraId="3182A5C1">
        <w:tblPrEx>
          <w:tblCellMar>
            <w:top w:w="0" w:type="dxa"/>
            <w:left w:w="108" w:type="dxa"/>
            <w:bottom w:w="0" w:type="dxa"/>
            <w:right w:w="108" w:type="dxa"/>
          </w:tblCellMar>
        </w:tblPrEx>
        <w:trPr>
          <w:trHeight w:val="284" w:hRule="atLeast"/>
          <w:jc w:val="center"/>
        </w:trPr>
        <w:tc>
          <w:tcPr>
            <w:tcW w:w="1236" w:type="dxa"/>
            <w:tcBorders>
              <w:top w:val="nil"/>
              <w:left w:val="single" w:color="auto" w:sz="8" w:space="0"/>
              <w:bottom w:val="single" w:color="auto" w:sz="8" w:space="0"/>
              <w:right w:val="single" w:color="auto" w:sz="8" w:space="0"/>
            </w:tcBorders>
            <w:shd w:val="clear" w:color="auto" w:fill="auto"/>
            <w:vAlign w:val="center"/>
          </w:tcPr>
          <w:p w14:paraId="2CAFCB3D">
            <w:pPr>
              <w:widowControl/>
              <w:jc w:val="center"/>
              <w:rPr>
                <w:rFonts w:ascii="宋体" w:hAnsi="宋体" w:cs="宋体"/>
                <w:color w:val="000000"/>
                <w:kern w:val="0"/>
                <w:sz w:val="18"/>
                <w:szCs w:val="18"/>
              </w:rPr>
            </w:pPr>
            <w:r>
              <w:rPr>
                <w:rFonts w:hint="eastAsia" w:ascii="宋体" w:hAnsi="宋体" w:cs="宋体"/>
                <w:color w:val="000000"/>
                <w:kern w:val="0"/>
                <w:sz w:val="18"/>
                <w:szCs w:val="18"/>
              </w:rPr>
              <w:t>比例</w:t>
            </w:r>
          </w:p>
        </w:tc>
        <w:tc>
          <w:tcPr>
            <w:tcW w:w="1520" w:type="dxa"/>
            <w:tcBorders>
              <w:top w:val="nil"/>
              <w:left w:val="nil"/>
              <w:bottom w:val="single" w:color="auto" w:sz="8" w:space="0"/>
              <w:right w:val="single" w:color="auto" w:sz="8" w:space="0"/>
            </w:tcBorders>
            <w:shd w:val="clear" w:color="auto" w:fill="auto"/>
            <w:vAlign w:val="center"/>
          </w:tcPr>
          <w:p w14:paraId="2A4DAA33">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140" w:type="dxa"/>
            <w:tcBorders>
              <w:top w:val="nil"/>
              <w:left w:val="nil"/>
              <w:bottom w:val="single" w:color="auto" w:sz="8" w:space="0"/>
              <w:right w:val="single" w:color="auto" w:sz="8" w:space="0"/>
            </w:tcBorders>
            <w:shd w:val="clear" w:color="auto" w:fill="auto"/>
            <w:vAlign w:val="center"/>
          </w:tcPr>
          <w:p w14:paraId="39C709A0">
            <w:pPr>
              <w:widowControl/>
              <w:jc w:val="center"/>
              <w:rPr>
                <w:rFonts w:ascii="宋体" w:hAnsi="宋体" w:cs="宋体"/>
                <w:color w:val="000000"/>
                <w:kern w:val="0"/>
                <w:sz w:val="18"/>
                <w:szCs w:val="18"/>
              </w:rPr>
            </w:pPr>
            <w:r>
              <w:rPr>
                <w:rFonts w:hint="eastAsia" w:ascii="宋体" w:hAnsi="宋体" w:cs="宋体"/>
                <w:color w:val="000000"/>
                <w:kern w:val="0"/>
                <w:sz w:val="18"/>
                <w:szCs w:val="18"/>
              </w:rPr>
              <w:t>4.80%</w:t>
            </w:r>
          </w:p>
        </w:tc>
        <w:tc>
          <w:tcPr>
            <w:tcW w:w="1236" w:type="dxa"/>
            <w:tcBorders>
              <w:top w:val="nil"/>
              <w:left w:val="nil"/>
              <w:bottom w:val="single" w:color="auto" w:sz="8" w:space="0"/>
              <w:right w:val="single" w:color="auto" w:sz="8" w:space="0"/>
            </w:tcBorders>
            <w:shd w:val="clear" w:color="auto" w:fill="auto"/>
            <w:vAlign w:val="center"/>
          </w:tcPr>
          <w:p w14:paraId="2E9F13C9">
            <w:pPr>
              <w:widowControl/>
              <w:jc w:val="center"/>
              <w:rPr>
                <w:rFonts w:ascii="宋体" w:hAnsi="宋体" w:cs="宋体"/>
                <w:color w:val="000000"/>
                <w:kern w:val="0"/>
                <w:sz w:val="18"/>
                <w:szCs w:val="18"/>
              </w:rPr>
            </w:pPr>
            <w:r>
              <w:rPr>
                <w:rFonts w:hint="eastAsia" w:ascii="宋体" w:hAnsi="宋体" w:cs="宋体"/>
                <w:color w:val="000000"/>
                <w:kern w:val="0"/>
                <w:sz w:val="18"/>
                <w:szCs w:val="18"/>
              </w:rPr>
              <w:t>3.60%</w:t>
            </w:r>
          </w:p>
        </w:tc>
        <w:tc>
          <w:tcPr>
            <w:tcW w:w="1341" w:type="dxa"/>
            <w:tcBorders>
              <w:top w:val="nil"/>
              <w:left w:val="nil"/>
              <w:bottom w:val="single" w:color="auto" w:sz="8" w:space="0"/>
              <w:right w:val="single" w:color="auto" w:sz="8" w:space="0"/>
            </w:tcBorders>
            <w:shd w:val="clear" w:color="auto" w:fill="auto"/>
            <w:vAlign w:val="center"/>
          </w:tcPr>
          <w:p w14:paraId="2B4133C7">
            <w:pPr>
              <w:widowControl/>
              <w:jc w:val="center"/>
              <w:rPr>
                <w:rFonts w:ascii="宋体" w:hAnsi="宋体" w:cs="宋体"/>
                <w:color w:val="000000"/>
                <w:kern w:val="0"/>
                <w:sz w:val="18"/>
                <w:szCs w:val="18"/>
              </w:rPr>
            </w:pPr>
            <w:r>
              <w:rPr>
                <w:rFonts w:hint="eastAsia" w:ascii="宋体" w:hAnsi="宋体" w:cs="宋体"/>
                <w:color w:val="000000"/>
                <w:kern w:val="0"/>
                <w:sz w:val="18"/>
                <w:szCs w:val="18"/>
              </w:rPr>
              <w:t>30.60%</w:t>
            </w:r>
          </w:p>
        </w:tc>
        <w:tc>
          <w:tcPr>
            <w:tcW w:w="1196" w:type="dxa"/>
            <w:tcBorders>
              <w:top w:val="nil"/>
              <w:left w:val="nil"/>
              <w:bottom w:val="single" w:color="auto" w:sz="8" w:space="0"/>
              <w:right w:val="single" w:color="auto" w:sz="8" w:space="0"/>
            </w:tcBorders>
            <w:shd w:val="clear" w:color="auto" w:fill="auto"/>
            <w:vAlign w:val="center"/>
          </w:tcPr>
          <w:p w14:paraId="7E81AC19">
            <w:pPr>
              <w:widowControl/>
              <w:jc w:val="center"/>
              <w:rPr>
                <w:rFonts w:ascii="宋体" w:hAnsi="宋体" w:cs="宋体"/>
                <w:color w:val="000000"/>
                <w:kern w:val="0"/>
                <w:sz w:val="18"/>
                <w:szCs w:val="18"/>
              </w:rPr>
            </w:pPr>
            <w:r>
              <w:rPr>
                <w:rFonts w:hint="eastAsia" w:ascii="宋体" w:hAnsi="宋体" w:cs="宋体"/>
                <w:color w:val="000000"/>
                <w:kern w:val="0"/>
                <w:sz w:val="18"/>
                <w:szCs w:val="18"/>
              </w:rPr>
              <w:t>31.80%</w:t>
            </w:r>
          </w:p>
        </w:tc>
        <w:tc>
          <w:tcPr>
            <w:tcW w:w="960" w:type="dxa"/>
            <w:tcBorders>
              <w:top w:val="nil"/>
              <w:left w:val="nil"/>
              <w:bottom w:val="single" w:color="auto" w:sz="8" w:space="0"/>
              <w:right w:val="single" w:color="auto" w:sz="8" w:space="0"/>
            </w:tcBorders>
            <w:shd w:val="clear" w:color="auto" w:fill="auto"/>
            <w:vAlign w:val="center"/>
          </w:tcPr>
          <w:p w14:paraId="4261AF40">
            <w:pPr>
              <w:widowControl/>
              <w:jc w:val="center"/>
              <w:rPr>
                <w:rFonts w:ascii="宋体" w:hAnsi="宋体" w:cs="宋体"/>
                <w:color w:val="000000"/>
                <w:kern w:val="0"/>
                <w:sz w:val="18"/>
                <w:szCs w:val="18"/>
              </w:rPr>
            </w:pPr>
            <w:r>
              <w:rPr>
                <w:rFonts w:hint="eastAsia" w:ascii="宋体" w:hAnsi="宋体" w:cs="宋体"/>
                <w:color w:val="000000"/>
                <w:kern w:val="0"/>
                <w:sz w:val="18"/>
                <w:szCs w:val="18"/>
              </w:rPr>
              <w:t>29.30%</w:t>
            </w:r>
          </w:p>
        </w:tc>
      </w:tr>
    </w:tbl>
    <w:p w14:paraId="04AFDCEA">
      <w:pPr>
        <w:pStyle w:val="4"/>
        <w:spacing w:before="0" w:after="0" w:line="360" w:lineRule="auto"/>
        <w:ind w:firstLine="275" w:firstLineChars="98"/>
        <w:rPr>
          <w:rFonts w:ascii="仿宋_GB2312" w:hAnsi="宋体" w:eastAsia="仿宋_GB2312"/>
          <w:sz w:val="28"/>
          <w:szCs w:val="28"/>
        </w:rPr>
      </w:pPr>
      <w:bookmarkStart w:id="110" w:name="_Toc470545403"/>
      <w:bookmarkStart w:id="111" w:name="_Toc486359500"/>
      <w:r>
        <w:rPr>
          <w:rFonts w:hint="eastAsia" w:ascii="仿宋_GB2312" w:hAnsi="宋体" w:eastAsia="仿宋_GB2312"/>
          <w:sz w:val="28"/>
          <w:szCs w:val="28"/>
        </w:rPr>
        <w:t>3、土地利用等构成</w:t>
      </w:r>
      <w:bookmarkEnd w:id="110"/>
      <w:bookmarkEnd w:id="111"/>
    </w:p>
    <w:p w14:paraId="59819907">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东川区全域划定永久基本农田按照利用等别分，6等814.63公顷，占3.5%； 7等1359.95公顷，占5.9%；8等5791.59公顷，占25.1%；9等2800.15公顷，占12.1%；10等3620.15公顷，占15.7%；11等5107.86公顷，占22.1%；12等1537.73公顷，占6.7%；13等2074.72公顷，占9.0%。划定后东川区永久基本农田利用等10等以上面积为12340.46公顷，占比53.4%。</w:t>
      </w:r>
    </w:p>
    <w:p w14:paraId="3A11F0CA">
      <w:pPr>
        <w:jc w:val="center"/>
        <w:outlineLvl w:val="4"/>
        <w:rPr>
          <w:rFonts w:ascii="宋体" w:hAnsi="宋体"/>
          <w:b/>
          <w:sz w:val="24"/>
        </w:rPr>
      </w:pPr>
      <w:r>
        <w:rPr>
          <w:rFonts w:hint="eastAsia" w:ascii="宋体" w:hAnsi="宋体"/>
          <w:b/>
          <w:sz w:val="24"/>
        </w:rPr>
        <w:t>表4-10  东川区全域永久基本农田划定耕地质量情况统计表</w:t>
      </w:r>
    </w:p>
    <w:p w14:paraId="21BE5F34">
      <w:pPr>
        <w:widowControl/>
        <w:jc w:val="right"/>
        <w:rPr>
          <w:rFonts w:ascii="宋体" w:hAnsi="宋体" w:cs="宋体"/>
          <w:color w:val="000000"/>
          <w:kern w:val="0"/>
          <w:sz w:val="18"/>
          <w:szCs w:val="18"/>
        </w:rPr>
      </w:pPr>
      <w:r>
        <w:rPr>
          <w:rFonts w:hint="eastAsia" w:ascii="宋体" w:hAnsi="宋体" w:cs="宋体"/>
          <w:color w:val="000000"/>
          <w:kern w:val="0"/>
          <w:sz w:val="18"/>
          <w:szCs w:val="18"/>
        </w:rPr>
        <w:t>单位：公顷</w:t>
      </w:r>
    </w:p>
    <w:tbl>
      <w:tblPr>
        <w:tblStyle w:val="27"/>
        <w:tblW w:w="11213" w:type="dxa"/>
        <w:jc w:val="center"/>
        <w:tblLayout w:type="autofit"/>
        <w:tblCellMar>
          <w:top w:w="0" w:type="dxa"/>
          <w:left w:w="108" w:type="dxa"/>
          <w:bottom w:w="0" w:type="dxa"/>
          <w:right w:w="108" w:type="dxa"/>
        </w:tblCellMar>
      </w:tblPr>
      <w:tblGrid>
        <w:gridCol w:w="1152"/>
        <w:gridCol w:w="1205"/>
        <w:gridCol w:w="1025"/>
        <w:gridCol w:w="1039"/>
        <w:gridCol w:w="1039"/>
        <w:gridCol w:w="880"/>
        <w:gridCol w:w="913"/>
        <w:gridCol w:w="1115"/>
        <w:gridCol w:w="1115"/>
        <w:gridCol w:w="884"/>
        <w:gridCol w:w="846"/>
      </w:tblGrid>
      <w:tr w14:paraId="0139FFD6">
        <w:tblPrEx>
          <w:tblCellMar>
            <w:top w:w="0" w:type="dxa"/>
            <w:left w:w="108" w:type="dxa"/>
            <w:bottom w:w="0" w:type="dxa"/>
            <w:right w:w="108" w:type="dxa"/>
          </w:tblCellMar>
        </w:tblPrEx>
        <w:trPr>
          <w:trHeight w:val="300" w:hRule="atLeast"/>
          <w:jc w:val="center"/>
        </w:trPr>
        <w:tc>
          <w:tcPr>
            <w:tcW w:w="115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4765BAA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行政辖区</w:t>
            </w:r>
          </w:p>
        </w:tc>
        <w:tc>
          <w:tcPr>
            <w:tcW w:w="120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31F3A99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基本农田</w:t>
            </w:r>
          </w:p>
          <w:p w14:paraId="5E91EF5B">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w:t>
            </w:r>
          </w:p>
        </w:tc>
        <w:tc>
          <w:tcPr>
            <w:tcW w:w="102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2370D46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分布</w:t>
            </w:r>
          </w:p>
          <w:p w14:paraId="67851A4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占比</w:t>
            </w:r>
          </w:p>
        </w:tc>
        <w:tc>
          <w:tcPr>
            <w:tcW w:w="7831" w:type="dxa"/>
            <w:gridSpan w:val="8"/>
            <w:tcBorders>
              <w:top w:val="single" w:color="auto" w:sz="8" w:space="0"/>
              <w:left w:val="nil"/>
              <w:bottom w:val="single" w:color="auto" w:sz="8" w:space="0"/>
              <w:right w:val="single" w:color="000000" w:sz="8" w:space="0"/>
            </w:tcBorders>
            <w:shd w:val="clear" w:color="auto" w:fill="auto"/>
            <w:vAlign w:val="center"/>
          </w:tcPr>
          <w:p w14:paraId="4909DE6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质量等级</w:t>
            </w:r>
          </w:p>
        </w:tc>
      </w:tr>
      <w:tr w14:paraId="513EC5CE">
        <w:tblPrEx>
          <w:tblCellMar>
            <w:top w:w="0" w:type="dxa"/>
            <w:left w:w="108" w:type="dxa"/>
            <w:bottom w:w="0" w:type="dxa"/>
            <w:right w:w="108" w:type="dxa"/>
          </w:tblCellMar>
        </w:tblPrEx>
        <w:trPr>
          <w:trHeight w:val="300" w:hRule="atLeast"/>
          <w:jc w:val="center"/>
        </w:trPr>
        <w:tc>
          <w:tcPr>
            <w:tcW w:w="1152" w:type="dxa"/>
            <w:vMerge w:val="continue"/>
            <w:tcBorders>
              <w:top w:val="single" w:color="auto" w:sz="8" w:space="0"/>
              <w:left w:val="single" w:color="auto" w:sz="8" w:space="0"/>
              <w:bottom w:val="single" w:color="000000" w:sz="8" w:space="0"/>
              <w:right w:val="single" w:color="auto" w:sz="8" w:space="0"/>
            </w:tcBorders>
            <w:vAlign w:val="center"/>
          </w:tcPr>
          <w:p w14:paraId="450F1875">
            <w:pPr>
              <w:widowControl/>
              <w:jc w:val="center"/>
              <w:rPr>
                <w:rFonts w:ascii="宋体" w:hAnsi="宋体" w:cs="宋体"/>
                <w:b/>
                <w:color w:val="000000"/>
                <w:kern w:val="0"/>
                <w:sz w:val="18"/>
                <w:szCs w:val="18"/>
              </w:rPr>
            </w:pPr>
          </w:p>
        </w:tc>
        <w:tc>
          <w:tcPr>
            <w:tcW w:w="1205" w:type="dxa"/>
            <w:vMerge w:val="continue"/>
            <w:tcBorders>
              <w:top w:val="single" w:color="auto" w:sz="8" w:space="0"/>
              <w:left w:val="single" w:color="auto" w:sz="8" w:space="0"/>
              <w:bottom w:val="single" w:color="000000" w:sz="8" w:space="0"/>
              <w:right w:val="single" w:color="auto" w:sz="8" w:space="0"/>
            </w:tcBorders>
            <w:vAlign w:val="center"/>
          </w:tcPr>
          <w:p w14:paraId="1863B5CE">
            <w:pPr>
              <w:widowControl/>
              <w:jc w:val="center"/>
              <w:rPr>
                <w:rFonts w:ascii="宋体" w:hAnsi="宋体" w:cs="宋体"/>
                <w:b/>
                <w:color w:val="000000"/>
                <w:kern w:val="0"/>
                <w:sz w:val="18"/>
                <w:szCs w:val="18"/>
              </w:rPr>
            </w:pPr>
          </w:p>
        </w:tc>
        <w:tc>
          <w:tcPr>
            <w:tcW w:w="1025" w:type="dxa"/>
            <w:vMerge w:val="continue"/>
            <w:tcBorders>
              <w:top w:val="single" w:color="auto" w:sz="8" w:space="0"/>
              <w:left w:val="single" w:color="auto" w:sz="8" w:space="0"/>
              <w:bottom w:val="single" w:color="000000" w:sz="8" w:space="0"/>
              <w:right w:val="single" w:color="auto" w:sz="8" w:space="0"/>
            </w:tcBorders>
            <w:vAlign w:val="center"/>
          </w:tcPr>
          <w:p w14:paraId="114F596B">
            <w:pPr>
              <w:widowControl/>
              <w:jc w:val="center"/>
              <w:rPr>
                <w:rFonts w:ascii="宋体" w:hAnsi="宋体" w:cs="宋体"/>
                <w:b/>
                <w:color w:val="000000"/>
                <w:kern w:val="0"/>
                <w:sz w:val="18"/>
                <w:szCs w:val="18"/>
              </w:rPr>
            </w:pPr>
          </w:p>
        </w:tc>
        <w:tc>
          <w:tcPr>
            <w:tcW w:w="1039" w:type="dxa"/>
            <w:tcBorders>
              <w:top w:val="nil"/>
              <w:left w:val="nil"/>
              <w:bottom w:val="single" w:color="auto" w:sz="8" w:space="0"/>
              <w:right w:val="single" w:color="auto" w:sz="8" w:space="0"/>
            </w:tcBorders>
            <w:shd w:val="clear" w:color="auto" w:fill="auto"/>
            <w:vAlign w:val="center"/>
          </w:tcPr>
          <w:p w14:paraId="10CB128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6等</w:t>
            </w:r>
          </w:p>
        </w:tc>
        <w:tc>
          <w:tcPr>
            <w:tcW w:w="1039" w:type="dxa"/>
            <w:tcBorders>
              <w:top w:val="nil"/>
              <w:left w:val="nil"/>
              <w:bottom w:val="single" w:color="auto" w:sz="8" w:space="0"/>
              <w:right w:val="single" w:color="auto" w:sz="8" w:space="0"/>
            </w:tcBorders>
            <w:shd w:val="clear" w:color="auto" w:fill="auto"/>
            <w:vAlign w:val="center"/>
          </w:tcPr>
          <w:p w14:paraId="115796F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7等</w:t>
            </w:r>
          </w:p>
        </w:tc>
        <w:tc>
          <w:tcPr>
            <w:tcW w:w="880" w:type="dxa"/>
            <w:tcBorders>
              <w:top w:val="nil"/>
              <w:left w:val="nil"/>
              <w:bottom w:val="single" w:color="auto" w:sz="8" w:space="0"/>
              <w:right w:val="single" w:color="auto" w:sz="8" w:space="0"/>
            </w:tcBorders>
            <w:shd w:val="clear" w:color="auto" w:fill="auto"/>
            <w:vAlign w:val="center"/>
          </w:tcPr>
          <w:p w14:paraId="6224821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8等</w:t>
            </w:r>
          </w:p>
        </w:tc>
        <w:tc>
          <w:tcPr>
            <w:tcW w:w="913" w:type="dxa"/>
            <w:tcBorders>
              <w:top w:val="nil"/>
              <w:left w:val="nil"/>
              <w:bottom w:val="single" w:color="auto" w:sz="8" w:space="0"/>
              <w:right w:val="single" w:color="auto" w:sz="8" w:space="0"/>
            </w:tcBorders>
            <w:shd w:val="clear" w:color="auto" w:fill="auto"/>
            <w:vAlign w:val="center"/>
          </w:tcPr>
          <w:p w14:paraId="3CC35FB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9等</w:t>
            </w:r>
          </w:p>
        </w:tc>
        <w:tc>
          <w:tcPr>
            <w:tcW w:w="1115" w:type="dxa"/>
            <w:tcBorders>
              <w:top w:val="nil"/>
              <w:left w:val="nil"/>
              <w:bottom w:val="single" w:color="auto" w:sz="8" w:space="0"/>
              <w:right w:val="single" w:color="auto" w:sz="8" w:space="0"/>
            </w:tcBorders>
            <w:shd w:val="clear" w:color="auto" w:fill="auto"/>
            <w:vAlign w:val="center"/>
          </w:tcPr>
          <w:p w14:paraId="3B1E01F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10等</w:t>
            </w:r>
          </w:p>
        </w:tc>
        <w:tc>
          <w:tcPr>
            <w:tcW w:w="1115" w:type="dxa"/>
            <w:tcBorders>
              <w:top w:val="nil"/>
              <w:left w:val="nil"/>
              <w:bottom w:val="single" w:color="auto" w:sz="8" w:space="0"/>
              <w:right w:val="single" w:color="auto" w:sz="8" w:space="0"/>
            </w:tcBorders>
            <w:shd w:val="clear" w:color="auto" w:fill="auto"/>
            <w:vAlign w:val="center"/>
          </w:tcPr>
          <w:p w14:paraId="1F4E466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11等</w:t>
            </w:r>
          </w:p>
        </w:tc>
        <w:tc>
          <w:tcPr>
            <w:tcW w:w="884" w:type="dxa"/>
            <w:tcBorders>
              <w:top w:val="nil"/>
              <w:left w:val="nil"/>
              <w:bottom w:val="single" w:color="auto" w:sz="8" w:space="0"/>
              <w:right w:val="single" w:color="auto" w:sz="8" w:space="0"/>
            </w:tcBorders>
            <w:shd w:val="clear" w:color="auto" w:fill="auto"/>
            <w:vAlign w:val="center"/>
          </w:tcPr>
          <w:p w14:paraId="61C5E89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12等</w:t>
            </w:r>
          </w:p>
        </w:tc>
        <w:tc>
          <w:tcPr>
            <w:tcW w:w="846" w:type="dxa"/>
            <w:tcBorders>
              <w:top w:val="nil"/>
              <w:left w:val="nil"/>
              <w:bottom w:val="single" w:color="auto" w:sz="8" w:space="0"/>
              <w:right w:val="single" w:color="auto" w:sz="8" w:space="0"/>
            </w:tcBorders>
            <w:shd w:val="clear" w:color="auto" w:fill="auto"/>
            <w:vAlign w:val="center"/>
          </w:tcPr>
          <w:p w14:paraId="40DC317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13等</w:t>
            </w:r>
          </w:p>
        </w:tc>
      </w:tr>
      <w:tr w14:paraId="617B90EC">
        <w:tblPrEx>
          <w:tblCellMar>
            <w:top w:w="0" w:type="dxa"/>
            <w:left w:w="108" w:type="dxa"/>
            <w:bottom w:w="0" w:type="dxa"/>
            <w:right w:w="108" w:type="dxa"/>
          </w:tblCellMar>
        </w:tblPrEx>
        <w:trPr>
          <w:trHeight w:val="300" w:hRule="atLeast"/>
          <w:jc w:val="center"/>
        </w:trPr>
        <w:tc>
          <w:tcPr>
            <w:tcW w:w="1152" w:type="dxa"/>
            <w:tcBorders>
              <w:top w:val="nil"/>
              <w:left w:val="single" w:color="auto" w:sz="8" w:space="0"/>
              <w:bottom w:val="single" w:color="auto" w:sz="8" w:space="0"/>
              <w:right w:val="single" w:color="auto" w:sz="8" w:space="0"/>
            </w:tcBorders>
            <w:shd w:val="clear" w:color="auto" w:fill="auto"/>
            <w:vAlign w:val="center"/>
          </w:tcPr>
          <w:p w14:paraId="75C1C27C">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205" w:type="dxa"/>
            <w:tcBorders>
              <w:top w:val="nil"/>
              <w:left w:val="nil"/>
              <w:bottom w:val="single" w:color="auto" w:sz="8" w:space="0"/>
              <w:right w:val="single" w:color="auto" w:sz="8" w:space="0"/>
            </w:tcBorders>
            <w:shd w:val="clear" w:color="auto" w:fill="auto"/>
            <w:vAlign w:val="center"/>
          </w:tcPr>
          <w:p w14:paraId="7AD228D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23106.77 </w:t>
            </w:r>
          </w:p>
        </w:tc>
        <w:tc>
          <w:tcPr>
            <w:tcW w:w="1025" w:type="dxa"/>
            <w:tcBorders>
              <w:top w:val="nil"/>
              <w:left w:val="nil"/>
              <w:bottom w:val="single" w:color="auto" w:sz="8" w:space="0"/>
              <w:right w:val="single" w:color="auto" w:sz="8" w:space="0"/>
            </w:tcBorders>
            <w:shd w:val="clear" w:color="auto" w:fill="auto"/>
            <w:vAlign w:val="center"/>
          </w:tcPr>
          <w:p w14:paraId="0DDF6A26">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039" w:type="dxa"/>
            <w:tcBorders>
              <w:top w:val="nil"/>
              <w:left w:val="nil"/>
              <w:bottom w:val="single" w:color="auto" w:sz="8" w:space="0"/>
              <w:right w:val="single" w:color="auto" w:sz="8" w:space="0"/>
            </w:tcBorders>
            <w:shd w:val="clear" w:color="auto" w:fill="auto"/>
            <w:vAlign w:val="center"/>
          </w:tcPr>
          <w:p w14:paraId="2603128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814.63 </w:t>
            </w:r>
          </w:p>
        </w:tc>
        <w:tc>
          <w:tcPr>
            <w:tcW w:w="1039" w:type="dxa"/>
            <w:tcBorders>
              <w:top w:val="nil"/>
              <w:left w:val="nil"/>
              <w:bottom w:val="single" w:color="auto" w:sz="8" w:space="0"/>
              <w:right w:val="single" w:color="auto" w:sz="8" w:space="0"/>
            </w:tcBorders>
            <w:shd w:val="clear" w:color="auto" w:fill="auto"/>
            <w:vAlign w:val="center"/>
          </w:tcPr>
          <w:p w14:paraId="4172324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1359.95 </w:t>
            </w:r>
          </w:p>
        </w:tc>
        <w:tc>
          <w:tcPr>
            <w:tcW w:w="880" w:type="dxa"/>
            <w:tcBorders>
              <w:top w:val="nil"/>
              <w:left w:val="nil"/>
              <w:bottom w:val="single" w:color="auto" w:sz="8" w:space="0"/>
              <w:right w:val="single" w:color="auto" w:sz="8" w:space="0"/>
            </w:tcBorders>
            <w:shd w:val="clear" w:color="auto" w:fill="auto"/>
            <w:vAlign w:val="center"/>
          </w:tcPr>
          <w:p w14:paraId="33E3C67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5791.59 </w:t>
            </w:r>
          </w:p>
        </w:tc>
        <w:tc>
          <w:tcPr>
            <w:tcW w:w="913" w:type="dxa"/>
            <w:tcBorders>
              <w:top w:val="nil"/>
              <w:left w:val="nil"/>
              <w:bottom w:val="single" w:color="auto" w:sz="8" w:space="0"/>
              <w:right w:val="single" w:color="auto" w:sz="8" w:space="0"/>
            </w:tcBorders>
            <w:shd w:val="clear" w:color="auto" w:fill="auto"/>
            <w:vAlign w:val="center"/>
          </w:tcPr>
          <w:p w14:paraId="2068DB4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2800.15 </w:t>
            </w:r>
          </w:p>
        </w:tc>
        <w:tc>
          <w:tcPr>
            <w:tcW w:w="1115" w:type="dxa"/>
            <w:tcBorders>
              <w:top w:val="nil"/>
              <w:left w:val="nil"/>
              <w:bottom w:val="single" w:color="auto" w:sz="8" w:space="0"/>
              <w:right w:val="single" w:color="auto" w:sz="8" w:space="0"/>
            </w:tcBorders>
            <w:shd w:val="clear" w:color="auto" w:fill="auto"/>
            <w:vAlign w:val="center"/>
          </w:tcPr>
          <w:p w14:paraId="5C6FA5B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3620.15 </w:t>
            </w:r>
          </w:p>
        </w:tc>
        <w:tc>
          <w:tcPr>
            <w:tcW w:w="1115" w:type="dxa"/>
            <w:tcBorders>
              <w:top w:val="nil"/>
              <w:left w:val="nil"/>
              <w:bottom w:val="single" w:color="auto" w:sz="8" w:space="0"/>
              <w:right w:val="single" w:color="auto" w:sz="8" w:space="0"/>
            </w:tcBorders>
            <w:shd w:val="clear" w:color="auto" w:fill="auto"/>
            <w:vAlign w:val="center"/>
          </w:tcPr>
          <w:p w14:paraId="1CA53C8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5107.86 </w:t>
            </w:r>
          </w:p>
        </w:tc>
        <w:tc>
          <w:tcPr>
            <w:tcW w:w="884" w:type="dxa"/>
            <w:tcBorders>
              <w:top w:val="nil"/>
              <w:left w:val="nil"/>
              <w:bottom w:val="single" w:color="auto" w:sz="8" w:space="0"/>
              <w:right w:val="single" w:color="auto" w:sz="8" w:space="0"/>
            </w:tcBorders>
            <w:shd w:val="clear" w:color="auto" w:fill="auto"/>
            <w:vAlign w:val="center"/>
          </w:tcPr>
          <w:p w14:paraId="05C79E8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1537.73 </w:t>
            </w:r>
          </w:p>
        </w:tc>
        <w:tc>
          <w:tcPr>
            <w:tcW w:w="846" w:type="dxa"/>
            <w:tcBorders>
              <w:top w:val="nil"/>
              <w:left w:val="nil"/>
              <w:bottom w:val="single" w:color="auto" w:sz="8" w:space="0"/>
              <w:right w:val="single" w:color="auto" w:sz="8" w:space="0"/>
            </w:tcBorders>
            <w:shd w:val="clear" w:color="auto" w:fill="auto"/>
            <w:vAlign w:val="center"/>
          </w:tcPr>
          <w:p w14:paraId="41D81A4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2074.72 </w:t>
            </w:r>
          </w:p>
        </w:tc>
      </w:tr>
      <w:tr w14:paraId="117B00E5">
        <w:tblPrEx>
          <w:tblCellMar>
            <w:top w:w="0" w:type="dxa"/>
            <w:left w:w="108" w:type="dxa"/>
            <w:bottom w:w="0" w:type="dxa"/>
            <w:right w:w="108" w:type="dxa"/>
          </w:tblCellMar>
        </w:tblPrEx>
        <w:trPr>
          <w:trHeight w:val="300" w:hRule="atLeast"/>
          <w:jc w:val="center"/>
        </w:trPr>
        <w:tc>
          <w:tcPr>
            <w:tcW w:w="3382" w:type="dxa"/>
            <w:gridSpan w:val="3"/>
            <w:tcBorders>
              <w:top w:val="single" w:color="auto" w:sz="8" w:space="0"/>
              <w:left w:val="single" w:color="auto" w:sz="8" w:space="0"/>
              <w:bottom w:val="single" w:color="auto" w:sz="8" w:space="0"/>
              <w:right w:val="single" w:color="000000" w:sz="8" w:space="0"/>
            </w:tcBorders>
            <w:shd w:val="clear" w:color="auto" w:fill="auto"/>
            <w:vAlign w:val="center"/>
          </w:tcPr>
          <w:p w14:paraId="427FEBC6">
            <w:pPr>
              <w:widowControl/>
              <w:jc w:val="center"/>
              <w:rPr>
                <w:rFonts w:ascii="宋体" w:hAnsi="宋体" w:cs="宋体"/>
                <w:color w:val="000000"/>
                <w:kern w:val="0"/>
                <w:sz w:val="18"/>
                <w:szCs w:val="18"/>
              </w:rPr>
            </w:pPr>
            <w:r>
              <w:rPr>
                <w:rFonts w:hint="eastAsia" w:ascii="宋体" w:hAnsi="宋体" w:cs="宋体"/>
                <w:color w:val="000000"/>
                <w:kern w:val="0"/>
                <w:sz w:val="18"/>
                <w:szCs w:val="18"/>
              </w:rPr>
              <w:t>类型占比</w:t>
            </w:r>
          </w:p>
        </w:tc>
        <w:tc>
          <w:tcPr>
            <w:tcW w:w="1039" w:type="dxa"/>
            <w:tcBorders>
              <w:top w:val="nil"/>
              <w:left w:val="nil"/>
              <w:bottom w:val="single" w:color="auto" w:sz="8" w:space="0"/>
              <w:right w:val="single" w:color="auto" w:sz="8" w:space="0"/>
            </w:tcBorders>
            <w:shd w:val="clear" w:color="auto" w:fill="auto"/>
            <w:vAlign w:val="center"/>
          </w:tcPr>
          <w:p w14:paraId="1C815C49">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1039" w:type="dxa"/>
            <w:tcBorders>
              <w:top w:val="nil"/>
              <w:left w:val="nil"/>
              <w:bottom w:val="single" w:color="auto" w:sz="8" w:space="0"/>
              <w:right w:val="single" w:color="auto" w:sz="8" w:space="0"/>
            </w:tcBorders>
            <w:shd w:val="clear" w:color="auto" w:fill="auto"/>
            <w:vAlign w:val="center"/>
          </w:tcPr>
          <w:p w14:paraId="0B3B61DE">
            <w:pPr>
              <w:widowControl/>
              <w:jc w:val="center"/>
              <w:rPr>
                <w:rFonts w:ascii="宋体" w:hAnsi="宋体" w:cs="宋体"/>
                <w:color w:val="000000"/>
                <w:kern w:val="0"/>
                <w:sz w:val="18"/>
                <w:szCs w:val="18"/>
              </w:rPr>
            </w:pPr>
            <w:r>
              <w:rPr>
                <w:rFonts w:hint="eastAsia" w:ascii="宋体" w:hAnsi="宋体" w:cs="宋体"/>
                <w:color w:val="000000"/>
                <w:kern w:val="0"/>
                <w:sz w:val="18"/>
                <w:szCs w:val="18"/>
              </w:rPr>
              <w:t>5.90%</w:t>
            </w:r>
          </w:p>
        </w:tc>
        <w:tc>
          <w:tcPr>
            <w:tcW w:w="880" w:type="dxa"/>
            <w:tcBorders>
              <w:top w:val="nil"/>
              <w:left w:val="nil"/>
              <w:bottom w:val="single" w:color="auto" w:sz="8" w:space="0"/>
              <w:right w:val="single" w:color="auto" w:sz="8" w:space="0"/>
            </w:tcBorders>
            <w:shd w:val="clear" w:color="auto" w:fill="auto"/>
            <w:vAlign w:val="center"/>
          </w:tcPr>
          <w:p w14:paraId="439F5B10">
            <w:pPr>
              <w:widowControl/>
              <w:jc w:val="center"/>
              <w:rPr>
                <w:rFonts w:ascii="宋体" w:hAnsi="宋体" w:cs="宋体"/>
                <w:color w:val="000000"/>
                <w:kern w:val="0"/>
                <w:sz w:val="18"/>
                <w:szCs w:val="18"/>
              </w:rPr>
            </w:pPr>
            <w:r>
              <w:rPr>
                <w:rFonts w:hint="eastAsia" w:ascii="宋体" w:hAnsi="宋体" w:cs="宋体"/>
                <w:color w:val="000000"/>
                <w:kern w:val="0"/>
                <w:sz w:val="18"/>
                <w:szCs w:val="18"/>
              </w:rPr>
              <w:t>25.10%</w:t>
            </w:r>
          </w:p>
        </w:tc>
        <w:tc>
          <w:tcPr>
            <w:tcW w:w="913" w:type="dxa"/>
            <w:tcBorders>
              <w:top w:val="nil"/>
              <w:left w:val="nil"/>
              <w:bottom w:val="single" w:color="auto" w:sz="8" w:space="0"/>
              <w:right w:val="single" w:color="auto" w:sz="8" w:space="0"/>
            </w:tcBorders>
            <w:shd w:val="clear" w:color="auto" w:fill="auto"/>
            <w:vAlign w:val="center"/>
          </w:tcPr>
          <w:p w14:paraId="3C1300E7">
            <w:pPr>
              <w:widowControl/>
              <w:jc w:val="center"/>
              <w:rPr>
                <w:rFonts w:ascii="宋体" w:hAnsi="宋体" w:cs="宋体"/>
                <w:color w:val="000000"/>
                <w:kern w:val="0"/>
                <w:sz w:val="18"/>
                <w:szCs w:val="18"/>
              </w:rPr>
            </w:pPr>
            <w:r>
              <w:rPr>
                <w:rFonts w:hint="eastAsia" w:ascii="宋体" w:hAnsi="宋体" w:cs="宋体"/>
                <w:color w:val="000000"/>
                <w:kern w:val="0"/>
                <w:sz w:val="18"/>
                <w:szCs w:val="18"/>
              </w:rPr>
              <w:t>12.10%</w:t>
            </w:r>
          </w:p>
        </w:tc>
        <w:tc>
          <w:tcPr>
            <w:tcW w:w="1115" w:type="dxa"/>
            <w:tcBorders>
              <w:top w:val="nil"/>
              <w:left w:val="nil"/>
              <w:bottom w:val="single" w:color="auto" w:sz="8" w:space="0"/>
              <w:right w:val="single" w:color="auto" w:sz="8" w:space="0"/>
            </w:tcBorders>
            <w:shd w:val="clear" w:color="auto" w:fill="auto"/>
            <w:vAlign w:val="center"/>
          </w:tcPr>
          <w:p w14:paraId="40A6DA39">
            <w:pPr>
              <w:widowControl/>
              <w:jc w:val="center"/>
              <w:rPr>
                <w:rFonts w:ascii="宋体" w:hAnsi="宋体" w:cs="宋体"/>
                <w:color w:val="000000"/>
                <w:kern w:val="0"/>
                <w:sz w:val="18"/>
                <w:szCs w:val="18"/>
              </w:rPr>
            </w:pPr>
            <w:r>
              <w:rPr>
                <w:rFonts w:hint="eastAsia" w:ascii="宋体" w:hAnsi="宋体" w:cs="宋体"/>
                <w:color w:val="000000"/>
                <w:kern w:val="0"/>
                <w:sz w:val="18"/>
                <w:szCs w:val="18"/>
              </w:rPr>
              <w:t>15.70%</w:t>
            </w:r>
          </w:p>
        </w:tc>
        <w:tc>
          <w:tcPr>
            <w:tcW w:w="1115" w:type="dxa"/>
            <w:tcBorders>
              <w:top w:val="nil"/>
              <w:left w:val="nil"/>
              <w:bottom w:val="single" w:color="auto" w:sz="8" w:space="0"/>
              <w:right w:val="single" w:color="auto" w:sz="8" w:space="0"/>
            </w:tcBorders>
            <w:shd w:val="clear" w:color="auto" w:fill="auto"/>
            <w:vAlign w:val="center"/>
          </w:tcPr>
          <w:p w14:paraId="7882B66F">
            <w:pPr>
              <w:widowControl/>
              <w:jc w:val="center"/>
              <w:rPr>
                <w:rFonts w:ascii="宋体" w:hAnsi="宋体" w:cs="宋体"/>
                <w:color w:val="000000"/>
                <w:kern w:val="0"/>
                <w:sz w:val="18"/>
                <w:szCs w:val="18"/>
              </w:rPr>
            </w:pPr>
            <w:r>
              <w:rPr>
                <w:rFonts w:hint="eastAsia" w:ascii="宋体" w:hAnsi="宋体" w:cs="宋体"/>
                <w:color w:val="000000"/>
                <w:kern w:val="0"/>
                <w:sz w:val="18"/>
                <w:szCs w:val="18"/>
              </w:rPr>
              <w:t>22.10%</w:t>
            </w:r>
          </w:p>
        </w:tc>
        <w:tc>
          <w:tcPr>
            <w:tcW w:w="884" w:type="dxa"/>
            <w:tcBorders>
              <w:top w:val="nil"/>
              <w:left w:val="nil"/>
              <w:bottom w:val="single" w:color="auto" w:sz="8" w:space="0"/>
              <w:right w:val="single" w:color="auto" w:sz="8" w:space="0"/>
            </w:tcBorders>
            <w:shd w:val="clear" w:color="auto" w:fill="auto"/>
            <w:vAlign w:val="center"/>
          </w:tcPr>
          <w:p w14:paraId="73765C13">
            <w:pPr>
              <w:widowControl/>
              <w:jc w:val="center"/>
              <w:rPr>
                <w:rFonts w:ascii="宋体" w:hAnsi="宋体" w:cs="宋体"/>
                <w:color w:val="000000"/>
                <w:kern w:val="0"/>
                <w:sz w:val="18"/>
                <w:szCs w:val="18"/>
              </w:rPr>
            </w:pPr>
            <w:r>
              <w:rPr>
                <w:rFonts w:hint="eastAsia" w:ascii="宋体" w:hAnsi="宋体" w:cs="宋体"/>
                <w:color w:val="000000"/>
                <w:kern w:val="0"/>
                <w:sz w:val="18"/>
                <w:szCs w:val="18"/>
              </w:rPr>
              <w:t>6.70%</w:t>
            </w:r>
          </w:p>
        </w:tc>
        <w:tc>
          <w:tcPr>
            <w:tcW w:w="846" w:type="dxa"/>
            <w:tcBorders>
              <w:top w:val="nil"/>
              <w:left w:val="nil"/>
              <w:bottom w:val="single" w:color="auto" w:sz="8" w:space="0"/>
              <w:right w:val="single" w:color="auto" w:sz="8" w:space="0"/>
            </w:tcBorders>
            <w:shd w:val="clear" w:color="auto" w:fill="auto"/>
            <w:vAlign w:val="center"/>
          </w:tcPr>
          <w:p w14:paraId="1C4CAFBD">
            <w:pPr>
              <w:widowControl/>
              <w:jc w:val="center"/>
              <w:rPr>
                <w:rFonts w:ascii="宋体" w:hAnsi="宋体" w:cs="宋体"/>
                <w:color w:val="000000"/>
                <w:kern w:val="0"/>
                <w:sz w:val="18"/>
                <w:szCs w:val="18"/>
              </w:rPr>
            </w:pPr>
            <w:r>
              <w:rPr>
                <w:rFonts w:hint="eastAsia" w:ascii="宋体" w:hAnsi="宋体" w:cs="宋体"/>
                <w:color w:val="000000"/>
                <w:kern w:val="0"/>
                <w:sz w:val="18"/>
                <w:szCs w:val="18"/>
              </w:rPr>
              <w:t>9.00%</w:t>
            </w:r>
          </w:p>
        </w:tc>
      </w:tr>
    </w:tbl>
    <w:p w14:paraId="63F974E7">
      <w:pPr>
        <w:spacing w:beforeLines="100" w:afterLines="50" w:line="360" w:lineRule="auto"/>
        <w:jc w:val="center"/>
        <w:outlineLvl w:val="1"/>
        <w:rPr>
          <w:rFonts w:ascii="Arial" w:hAnsi="Arial" w:eastAsia="黑体"/>
          <w:bCs/>
          <w:color w:val="000000"/>
          <w:sz w:val="28"/>
          <w:szCs w:val="28"/>
        </w:rPr>
      </w:pPr>
      <w:bookmarkStart w:id="112" w:name="_Toc491074900"/>
      <w:r>
        <w:rPr>
          <w:rFonts w:hint="eastAsia" w:ascii="Arial" w:hAnsi="Arial" w:eastAsia="黑体"/>
          <w:bCs/>
          <w:color w:val="000000"/>
          <w:sz w:val="28"/>
          <w:szCs w:val="28"/>
        </w:rPr>
        <w:t>第三节 坝区永久基本农田划定情况</w:t>
      </w:r>
      <w:bookmarkEnd w:id="105"/>
      <w:bookmarkEnd w:id="112"/>
    </w:p>
    <w:bookmarkEnd w:id="106"/>
    <w:bookmarkEnd w:id="107"/>
    <w:p w14:paraId="358A78DC">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东川区2014年坝区基本农田划定面积1117.36公顷，划定比例82.86%，符合昆明市关于坝区耕地划入基本农田的比例要求。</w:t>
      </w:r>
    </w:p>
    <w:p w14:paraId="552A302C">
      <w:pPr>
        <w:jc w:val="center"/>
        <w:outlineLvl w:val="4"/>
        <w:rPr>
          <w:rFonts w:ascii="仿宋" w:hAnsi="仿宋" w:eastAsia="仿宋" w:cs="仿宋"/>
          <w:sz w:val="24"/>
        </w:rPr>
      </w:pPr>
      <w:r>
        <w:rPr>
          <w:rFonts w:hint="eastAsia" w:ascii="宋体" w:hAnsi="宋体"/>
          <w:b/>
          <w:sz w:val="24"/>
        </w:rPr>
        <w:t>表4-11  东川区坝区基本农田调入调出情况统计表</w:t>
      </w:r>
    </w:p>
    <w:p w14:paraId="5B05C740">
      <w:pPr>
        <w:widowControl/>
        <w:jc w:val="right"/>
        <w:rPr>
          <w:rFonts w:ascii="仿宋" w:hAnsi="仿宋" w:eastAsia="仿宋" w:cs="仿宋"/>
          <w:sz w:val="24"/>
        </w:rPr>
      </w:pPr>
      <w:r>
        <w:rPr>
          <w:rFonts w:hint="eastAsia" w:ascii="宋体" w:hAnsi="宋体" w:cs="宋体"/>
          <w:color w:val="000000"/>
          <w:kern w:val="0"/>
          <w:sz w:val="18"/>
          <w:szCs w:val="18"/>
        </w:rPr>
        <w:t>单位：公顷</w:t>
      </w:r>
    </w:p>
    <w:tbl>
      <w:tblPr>
        <w:tblStyle w:val="27"/>
        <w:tblW w:w="9796" w:type="dxa"/>
        <w:jc w:val="center"/>
        <w:tblLayout w:type="autofit"/>
        <w:tblCellMar>
          <w:top w:w="0" w:type="dxa"/>
          <w:left w:w="108" w:type="dxa"/>
          <w:bottom w:w="0" w:type="dxa"/>
          <w:right w:w="108" w:type="dxa"/>
        </w:tblCellMar>
      </w:tblPr>
      <w:tblGrid>
        <w:gridCol w:w="1446"/>
        <w:gridCol w:w="1481"/>
        <w:gridCol w:w="1656"/>
        <w:gridCol w:w="1244"/>
        <w:gridCol w:w="1337"/>
        <w:gridCol w:w="1276"/>
        <w:gridCol w:w="1356"/>
      </w:tblGrid>
      <w:tr w14:paraId="6537B61E">
        <w:tblPrEx>
          <w:tblCellMar>
            <w:top w:w="0" w:type="dxa"/>
            <w:left w:w="108" w:type="dxa"/>
            <w:bottom w:w="0" w:type="dxa"/>
            <w:right w:w="108" w:type="dxa"/>
          </w:tblCellMar>
        </w:tblPrEx>
        <w:trPr>
          <w:trHeight w:val="312" w:hRule="atLeast"/>
          <w:jc w:val="center"/>
        </w:trPr>
        <w:tc>
          <w:tcPr>
            <w:tcW w:w="1446" w:type="dxa"/>
            <w:tcBorders>
              <w:top w:val="single" w:color="auto" w:sz="4" w:space="0"/>
              <w:left w:val="single" w:color="auto" w:sz="4" w:space="0"/>
              <w:bottom w:val="single" w:color="auto" w:sz="4" w:space="0"/>
              <w:right w:val="single" w:color="auto" w:sz="4" w:space="0"/>
            </w:tcBorders>
            <w:shd w:val="clear" w:color="auto" w:fill="auto"/>
            <w:vAlign w:val="center"/>
          </w:tcPr>
          <w:p w14:paraId="23F8B4A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坝子名称</w:t>
            </w:r>
          </w:p>
        </w:tc>
        <w:tc>
          <w:tcPr>
            <w:tcW w:w="1481" w:type="dxa"/>
            <w:tcBorders>
              <w:top w:val="single" w:color="auto" w:sz="4" w:space="0"/>
              <w:left w:val="nil"/>
              <w:bottom w:val="single" w:color="auto" w:sz="4" w:space="0"/>
              <w:right w:val="single" w:color="auto" w:sz="4" w:space="0"/>
            </w:tcBorders>
            <w:shd w:val="clear" w:color="auto" w:fill="auto"/>
            <w:vAlign w:val="center"/>
          </w:tcPr>
          <w:p w14:paraId="390A628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现状耕地面积</w:t>
            </w:r>
          </w:p>
        </w:tc>
        <w:tc>
          <w:tcPr>
            <w:tcW w:w="1656" w:type="dxa"/>
            <w:tcBorders>
              <w:top w:val="single" w:color="auto" w:sz="4" w:space="0"/>
              <w:left w:val="nil"/>
              <w:bottom w:val="single" w:color="auto" w:sz="4" w:space="0"/>
              <w:right w:val="single" w:color="auto" w:sz="4" w:space="0"/>
            </w:tcBorders>
            <w:shd w:val="clear" w:color="auto" w:fill="auto"/>
            <w:vAlign w:val="center"/>
          </w:tcPr>
          <w:p w14:paraId="4338BE8B">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原基本农田面积</w:t>
            </w:r>
          </w:p>
        </w:tc>
        <w:tc>
          <w:tcPr>
            <w:tcW w:w="1244" w:type="dxa"/>
            <w:tcBorders>
              <w:top w:val="single" w:color="auto" w:sz="4" w:space="0"/>
              <w:left w:val="nil"/>
              <w:bottom w:val="single" w:color="auto" w:sz="4" w:space="0"/>
              <w:right w:val="single" w:color="auto" w:sz="4" w:space="0"/>
            </w:tcBorders>
            <w:shd w:val="clear" w:color="auto" w:fill="auto"/>
            <w:vAlign w:val="center"/>
          </w:tcPr>
          <w:p w14:paraId="668DDF4B">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划出面积</w:t>
            </w:r>
          </w:p>
        </w:tc>
        <w:tc>
          <w:tcPr>
            <w:tcW w:w="1337" w:type="dxa"/>
            <w:tcBorders>
              <w:top w:val="single" w:color="auto" w:sz="4" w:space="0"/>
              <w:left w:val="nil"/>
              <w:bottom w:val="single" w:color="auto" w:sz="4" w:space="0"/>
              <w:right w:val="single" w:color="auto" w:sz="4" w:space="0"/>
            </w:tcBorders>
            <w:shd w:val="clear" w:color="auto" w:fill="auto"/>
            <w:vAlign w:val="center"/>
          </w:tcPr>
          <w:p w14:paraId="77DA48FD">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划入面积</w:t>
            </w:r>
          </w:p>
        </w:tc>
        <w:tc>
          <w:tcPr>
            <w:tcW w:w="1276" w:type="dxa"/>
            <w:tcBorders>
              <w:top w:val="single" w:color="auto" w:sz="4" w:space="0"/>
              <w:left w:val="nil"/>
              <w:bottom w:val="single" w:color="auto" w:sz="4" w:space="0"/>
              <w:right w:val="single" w:color="auto" w:sz="4" w:space="0"/>
            </w:tcBorders>
            <w:shd w:val="clear" w:color="auto" w:fill="auto"/>
            <w:vAlign w:val="center"/>
          </w:tcPr>
          <w:p w14:paraId="28D013A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划定面积</w:t>
            </w:r>
          </w:p>
        </w:tc>
        <w:tc>
          <w:tcPr>
            <w:tcW w:w="1356" w:type="dxa"/>
            <w:tcBorders>
              <w:top w:val="single" w:color="auto" w:sz="4" w:space="0"/>
              <w:left w:val="nil"/>
              <w:bottom w:val="single" w:color="auto" w:sz="4" w:space="0"/>
              <w:right w:val="single" w:color="auto" w:sz="4" w:space="0"/>
            </w:tcBorders>
            <w:shd w:val="clear" w:color="auto" w:fill="auto"/>
            <w:vAlign w:val="center"/>
          </w:tcPr>
          <w:p w14:paraId="04A3F4B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划定比例</w:t>
            </w:r>
          </w:p>
        </w:tc>
      </w:tr>
      <w:tr w14:paraId="24FA87C7">
        <w:tblPrEx>
          <w:tblCellMar>
            <w:top w:w="0" w:type="dxa"/>
            <w:left w:w="108" w:type="dxa"/>
            <w:bottom w:w="0" w:type="dxa"/>
            <w:right w:w="108" w:type="dxa"/>
          </w:tblCellMar>
        </w:tblPrEx>
        <w:trPr>
          <w:trHeight w:val="312" w:hRule="atLeast"/>
          <w:jc w:val="center"/>
        </w:trPr>
        <w:tc>
          <w:tcPr>
            <w:tcW w:w="1446" w:type="dxa"/>
            <w:tcBorders>
              <w:top w:val="nil"/>
              <w:left w:val="single" w:color="auto" w:sz="4" w:space="0"/>
              <w:bottom w:val="single" w:color="auto" w:sz="4" w:space="0"/>
              <w:right w:val="single" w:color="auto" w:sz="4" w:space="0"/>
            </w:tcBorders>
            <w:shd w:val="clear" w:color="auto" w:fill="auto"/>
            <w:vAlign w:val="center"/>
          </w:tcPr>
          <w:p w14:paraId="679E3BAD">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铜都坝子</w:t>
            </w:r>
          </w:p>
        </w:tc>
        <w:tc>
          <w:tcPr>
            <w:tcW w:w="1481" w:type="dxa"/>
            <w:tcBorders>
              <w:top w:val="nil"/>
              <w:left w:val="nil"/>
              <w:bottom w:val="single" w:color="auto" w:sz="4" w:space="0"/>
              <w:right w:val="single" w:color="auto" w:sz="4" w:space="0"/>
            </w:tcBorders>
            <w:shd w:val="clear" w:color="auto" w:fill="auto"/>
            <w:vAlign w:val="center"/>
          </w:tcPr>
          <w:p w14:paraId="021E766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949.11 </w:t>
            </w:r>
          </w:p>
        </w:tc>
        <w:tc>
          <w:tcPr>
            <w:tcW w:w="1656" w:type="dxa"/>
            <w:tcBorders>
              <w:top w:val="nil"/>
              <w:left w:val="nil"/>
              <w:bottom w:val="single" w:color="auto" w:sz="4" w:space="0"/>
              <w:right w:val="single" w:color="auto" w:sz="4" w:space="0"/>
            </w:tcBorders>
            <w:shd w:val="clear" w:color="auto" w:fill="auto"/>
            <w:vAlign w:val="center"/>
          </w:tcPr>
          <w:p w14:paraId="42B91D3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854.57 </w:t>
            </w:r>
          </w:p>
        </w:tc>
        <w:tc>
          <w:tcPr>
            <w:tcW w:w="1244" w:type="dxa"/>
            <w:tcBorders>
              <w:top w:val="nil"/>
              <w:left w:val="nil"/>
              <w:bottom w:val="single" w:color="auto" w:sz="4" w:space="0"/>
              <w:right w:val="single" w:color="auto" w:sz="4" w:space="0"/>
            </w:tcBorders>
            <w:shd w:val="clear" w:color="auto" w:fill="auto"/>
            <w:vAlign w:val="center"/>
          </w:tcPr>
          <w:p w14:paraId="2F0AA8E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157.24 </w:t>
            </w:r>
          </w:p>
        </w:tc>
        <w:tc>
          <w:tcPr>
            <w:tcW w:w="1337" w:type="dxa"/>
            <w:tcBorders>
              <w:top w:val="nil"/>
              <w:left w:val="nil"/>
              <w:bottom w:val="single" w:color="auto" w:sz="4" w:space="0"/>
              <w:right w:val="single" w:color="auto" w:sz="4" w:space="0"/>
            </w:tcBorders>
            <w:shd w:val="clear" w:color="auto" w:fill="auto"/>
            <w:vAlign w:val="center"/>
          </w:tcPr>
          <w:p w14:paraId="24132DB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39.69 </w:t>
            </w:r>
          </w:p>
        </w:tc>
        <w:tc>
          <w:tcPr>
            <w:tcW w:w="1276" w:type="dxa"/>
            <w:tcBorders>
              <w:top w:val="nil"/>
              <w:left w:val="nil"/>
              <w:bottom w:val="single" w:color="auto" w:sz="4" w:space="0"/>
              <w:right w:val="single" w:color="auto" w:sz="4" w:space="0"/>
            </w:tcBorders>
            <w:shd w:val="clear" w:color="auto" w:fill="auto"/>
            <w:vAlign w:val="center"/>
          </w:tcPr>
          <w:p w14:paraId="3E80014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737.02 </w:t>
            </w:r>
          </w:p>
        </w:tc>
        <w:tc>
          <w:tcPr>
            <w:tcW w:w="1356" w:type="dxa"/>
            <w:tcBorders>
              <w:top w:val="nil"/>
              <w:left w:val="nil"/>
              <w:bottom w:val="single" w:color="auto" w:sz="4" w:space="0"/>
              <w:right w:val="single" w:color="auto" w:sz="4" w:space="0"/>
            </w:tcBorders>
            <w:shd w:val="clear" w:color="auto" w:fill="auto"/>
            <w:vAlign w:val="center"/>
          </w:tcPr>
          <w:p w14:paraId="53317F51">
            <w:pPr>
              <w:widowControl/>
              <w:jc w:val="center"/>
              <w:rPr>
                <w:rFonts w:ascii="宋体" w:hAnsi="宋体" w:cs="宋体"/>
                <w:color w:val="000000"/>
                <w:kern w:val="0"/>
                <w:sz w:val="18"/>
                <w:szCs w:val="18"/>
              </w:rPr>
            </w:pPr>
            <w:r>
              <w:rPr>
                <w:rFonts w:hint="eastAsia" w:ascii="宋体" w:hAnsi="宋体" w:cs="宋体"/>
                <w:color w:val="000000"/>
                <w:kern w:val="0"/>
                <w:sz w:val="18"/>
                <w:szCs w:val="18"/>
              </w:rPr>
              <w:t>77.70%</w:t>
            </w:r>
          </w:p>
        </w:tc>
      </w:tr>
      <w:tr w14:paraId="26C4AA41">
        <w:tblPrEx>
          <w:tblCellMar>
            <w:top w:w="0" w:type="dxa"/>
            <w:left w:w="108" w:type="dxa"/>
            <w:bottom w:w="0" w:type="dxa"/>
            <w:right w:w="108" w:type="dxa"/>
          </w:tblCellMar>
        </w:tblPrEx>
        <w:trPr>
          <w:trHeight w:val="312" w:hRule="atLeast"/>
          <w:jc w:val="center"/>
        </w:trPr>
        <w:tc>
          <w:tcPr>
            <w:tcW w:w="1446" w:type="dxa"/>
            <w:tcBorders>
              <w:top w:val="nil"/>
              <w:left w:val="single" w:color="auto" w:sz="4" w:space="0"/>
              <w:bottom w:val="single" w:color="auto" w:sz="4" w:space="0"/>
              <w:right w:val="single" w:color="auto" w:sz="4" w:space="0"/>
            </w:tcBorders>
            <w:shd w:val="clear" w:color="auto" w:fill="auto"/>
            <w:vAlign w:val="center"/>
          </w:tcPr>
          <w:p w14:paraId="6D8A8A4B">
            <w:pPr>
              <w:widowControl/>
              <w:jc w:val="center"/>
              <w:rPr>
                <w:rFonts w:ascii="宋体" w:hAnsi="宋体" w:cs="宋体"/>
                <w:color w:val="000000"/>
                <w:kern w:val="0"/>
                <w:sz w:val="18"/>
                <w:szCs w:val="18"/>
              </w:rPr>
            </w:pPr>
            <w:r>
              <w:rPr>
                <w:rFonts w:hint="eastAsia" w:ascii="宋体" w:hAnsi="宋体" w:cs="宋体"/>
                <w:color w:val="000000"/>
                <w:kern w:val="0"/>
                <w:sz w:val="18"/>
                <w:szCs w:val="18"/>
              </w:rPr>
              <w:t>坝塘坝子</w:t>
            </w:r>
          </w:p>
        </w:tc>
        <w:tc>
          <w:tcPr>
            <w:tcW w:w="1481" w:type="dxa"/>
            <w:tcBorders>
              <w:top w:val="nil"/>
              <w:left w:val="nil"/>
              <w:bottom w:val="single" w:color="auto" w:sz="4" w:space="0"/>
              <w:right w:val="single" w:color="auto" w:sz="4" w:space="0"/>
            </w:tcBorders>
            <w:shd w:val="clear" w:color="auto" w:fill="auto"/>
            <w:vAlign w:val="center"/>
          </w:tcPr>
          <w:p w14:paraId="24FD9F8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12.07 </w:t>
            </w:r>
          </w:p>
        </w:tc>
        <w:tc>
          <w:tcPr>
            <w:tcW w:w="1656" w:type="dxa"/>
            <w:tcBorders>
              <w:top w:val="nil"/>
              <w:left w:val="nil"/>
              <w:bottom w:val="single" w:color="auto" w:sz="4" w:space="0"/>
              <w:right w:val="single" w:color="auto" w:sz="4" w:space="0"/>
            </w:tcBorders>
            <w:shd w:val="clear" w:color="auto" w:fill="auto"/>
            <w:vAlign w:val="center"/>
          </w:tcPr>
          <w:p w14:paraId="6D45197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12.07 </w:t>
            </w:r>
          </w:p>
        </w:tc>
        <w:tc>
          <w:tcPr>
            <w:tcW w:w="1244" w:type="dxa"/>
            <w:tcBorders>
              <w:top w:val="nil"/>
              <w:left w:val="nil"/>
              <w:bottom w:val="single" w:color="auto" w:sz="4" w:space="0"/>
              <w:right w:val="single" w:color="auto" w:sz="4" w:space="0"/>
            </w:tcBorders>
            <w:shd w:val="clear" w:color="auto" w:fill="auto"/>
            <w:vAlign w:val="center"/>
          </w:tcPr>
          <w:p w14:paraId="0DFE5C3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0.06 </w:t>
            </w:r>
          </w:p>
        </w:tc>
        <w:tc>
          <w:tcPr>
            <w:tcW w:w="1337" w:type="dxa"/>
            <w:tcBorders>
              <w:top w:val="nil"/>
              <w:left w:val="nil"/>
              <w:bottom w:val="single" w:color="auto" w:sz="4" w:space="0"/>
              <w:right w:val="single" w:color="auto" w:sz="4" w:space="0"/>
            </w:tcBorders>
            <w:shd w:val="clear" w:color="auto" w:fill="auto"/>
            <w:vAlign w:val="center"/>
          </w:tcPr>
          <w:p w14:paraId="6D72A51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6" w:type="dxa"/>
            <w:tcBorders>
              <w:top w:val="nil"/>
              <w:left w:val="nil"/>
              <w:bottom w:val="single" w:color="auto" w:sz="4" w:space="0"/>
              <w:right w:val="single" w:color="auto" w:sz="4" w:space="0"/>
            </w:tcBorders>
            <w:shd w:val="clear" w:color="auto" w:fill="auto"/>
            <w:vAlign w:val="center"/>
          </w:tcPr>
          <w:p w14:paraId="26D05A7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12.01 </w:t>
            </w:r>
          </w:p>
        </w:tc>
        <w:tc>
          <w:tcPr>
            <w:tcW w:w="1356" w:type="dxa"/>
            <w:tcBorders>
              <w:top w:val="nil"/>
              <w:left w:val="nil"/>
              <w:bottom w:val="single" w:color="auto" w:sz="4" w:space="0"/>
              <w:right w:val="single" w:color="auto" w:sz="4" w:space="0"/>
            </w:tcBorders>
            <w:shd w:val="clear" w:color="auto" w:fill="auto"/>
            <w:vAlign w:val="center"/>
          </w:tcPr>
          <w:p w14:paraId="50C6273B">
            <w:pPr>
              <w:widowControl/>
              <w:jc w:val="center"/>
              <w:rPr>
                <w:rFonts w:ascii="宋体" w:hAnsi="宋体" w:cs="宋体"/>
                <w:color w:val="000000"/>
                <w:kern w:val="0"/>
                <w:sz w:val="18"/>
                <w:szCs w:val="18"/>
              </w:rPr>
            </w:pPr>
            <w:r>
              <w:rPr>
                <w:rFonts w:hint="eastAsia" w:ascii="宋体" w:hAnsi="宋体" w:cs="宋体"/>
                <w:color w:val="000000"/>
                <w:kern w:val="0"/>
                <w:sz w:val="18"/>
                <w:szCs w:val="18"/>
              </w:rPr>
              <w:t>99.50%</w:t>
            </w:r>
          </w:p>
        </w:tc>
      </w:tr>
      <w:tr w14:paraId="05872F70">
        <w:tblPrEx>
          <w:tblCellMar>
            <w:top w:w="0" w:type="dxa"/>
            <w:left w:w="108" w:type="dxa"/>
            <w:bottom w:w="0" w:type="dxa"/>
            <w:right w:w="108" w:type="dxa"/>
          </w:tblCellMar>
        </w:tblPrEx>
        <w:trPr>
          <w:trHeight w:val="312" w:hRule="atLeast"/>
          <w:jc w:val="center"/>
        </w:trPr>
        <w:tc>
          <w:tcPr>
            <w:tcW w:w="1446" w:type="dxa"/>
            <w:tcBorders>
              <w:top w:val="nil"/>
              <w:left w:val="single" w:color="auto" w:sz="4" w:space="0"/>
              <w:bottom w:val="single" w:color="auto" w:sz="4" w:space="0"/>
              <w:right w:val="single" w:color="auto" w:sz="4" w:space="0"/>
            </w:tcBorders>
            <w:shd w:val="clear" w:color="auto" w:fill="auto"/>
            <w:vAlign w:val="center"/>
          </w:tcPr>
          <w:p w14:paraId="536FD8F4">
            <w:pPr>
              <w:widowControl/>
              <w:jc w:val="center"/>
              <w:rPr>
                <w:rFonts w:ascii="宋体" w:hAnsi="宋体" w:cs="宋体"/>
                <w:color w:val="000000"/>
                <w:kern w:val="0"/>
                <w:sz w:val="18"/>
                <w:szCs w:val="18"/>
              </w:rPr>
            </w:pPr>
            <w:r>
              <w:rPr>
                <w:rFonts w:hint="eastAsia" w:ascii="宋体" w:hAnsi="宋体" w:cs="宋体"/>
                <w:color w:val="000000"/>
                <w:kern w:val="0"/>
                <w:sz w:val="18"/>
                <w:szCs w:val="18"/>
              </w:rPr>
              <w:t>新店房坝子</w:t>
            </w:r>
          </w:p>
        </w:tc>
        <w:tc>
          <w:tcPr>
            <w:tcW w:w="1481" w:type="dxa"/>
            <w:tcBorders>
              <w:top w:val="nil"/>
              <w:left w:val="nil"/>
              <w:bottom w:val="single" w:color="auto" w:sz="4" w:space="0"/>
              <w:right w:val="single" w:color="auto" w:sz="4" w:space="0"/>
            </w:tcBorders>
            <w:shd w:val="clear" w:color="auto" w:fill="auto"/>
            <w:vAlign w:val="center"/>
          </w:tcPr>
          <w:p w14:paraId="4A367B6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223.61 </w:t>
            </w:r>
          </w:p>
        </w:tc>
        <w:tc>
          <w:tcPr>
            <w:tcW w:w="1656" w:type="dxa"/>
            <w:tcBorders>
              <w:top w:val="nil"/>
              <w:left w:val="nil"/>
              <w:bottom w:val="single" w:color="auto" w:sz="4" w:space="0"/>
              <w:right w:val="single" w:color="auto" w:sz="4" w:space="0"/>
            </w:tcBorders>
            <w:shd w:val="clear" w:color="auto" w:fill="auto"/>
            <w:vAlign w:val="center"/>
          </w:tcPr>
          <w:p w14:paraId="619AFD1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199.74 </w:t>
            </w:r>
          </w:p>
        </w:tc>
        <w:tc>
          <w:tcPr>
            <w:tcW w:w="1244" w:type="dxa"/>
            <w:tcBorders>
              <w:top w:val="nil"/>
              <w:left w:val="nil"/>
              <w:bottom w:val="single" w:color="auto" w:sz="4" w:space="0"/>
              <w:right w:val="single" w:color="auto" w:sz="4" w:space="0"/>
            </w:tcBorders>
            <w:shd w:val="clear" w:color="auto" w:fill="auto"/>
            <w:vAlign w:val="center"/>
          </w:tcPr>
          <w:p w14:paraId="3E7AA91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27.72 </w:t>
            </w:r>
          </w:p>
        </w:tc>
        <w:tc>
          <w:tcPr>
            <w:tcW w:w="1337" w:type="dxa"/>
            <w:tcBorders>
              <w:top w:val="nil"/>
              <w:left w:val="nil"/>
              <w:bottom w:val="single" w:color="auto" w:sz="4" w:space="0"/>
              <w:right w:val="single" w:color="auto" w:sz="4" w:space="0"/>
            </w:tcBorders>
            <w:shd w:val="clear" w:color="auto" w:fill="auto"/>
            <w:vAlign w:val="center"/>
          </w:tcPr>
          <w:p w14:paraId="2F2901F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16.29 </w:t>
            </w:r>
          </w:p>
        </w:tc>
        <w:tc>
          <w:tcPr>
            <w:tcW w:w="1276" w:type="dxa"/>
            <w:tcBorders>
              <w:top w:val="nil"/>
              <w:left w:val="nil"/>
              <w:bottom w:val="single" w:color="auto" w:sz="4" w:space="0"/>
              <w:right w:val="single" w:color="auto" w:sz="4" w:space="0"/>
            </w:tcBorders>
            <w:shd w:val="clear" w:color="auto" w:fill="auto"/>
            <w:vAlign w:val="center"/>
          </w:tcPr>
          <w:p w14:paraId="2799213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188.31 </w:t>
            </w:r>
          </w:p>
        </w:tc>
        <w:tc>
          <w:tcPr>
            <w:tcW w:w="1356" w:type="dxa"/>
            <w:tcBorders>
              <w:top w:val="nil"/>
              <w:left w:val="nil"/>
              <w:bottom w:val="single" w:color="auto" w:sz="4" w:space="0"/>
              <w:right w:val="single" w:color="auto" w:sz="4" w:space="0"/>
            </w:tcBorders>
            <w:shd w:val="clear" w:color="auto" w:fill="auto"/>
            <w:vAlign w:val="center"/>
          </w:tcPr>
          <w:p w14:paraId="4A952DD9">
            <w:pPr>
              <w:widowControl/>
              <w:jc w:val="center"/>
              <w:rPr>
                <w:rFonts w:ascii="宋体" w:hAnsi="宋体" w:cs="宋体"/>
                <w:color w:val="000000"/>
                <w:kern w:val="0"/>
                <w:sz w:val="18"/>
                <w:szCs w:val="18"/>
              </w:rPr>
            </w:pPr>
            <w:r>
              <w:rPr>
                <w:rFonts w:hint="eastAsia" w:ascii="宋体" w:hAnsi="宋体" w:cs="宋体"/>
                <w:color w:val="000000"/>
                <w:kern w:val="0"/>
                <w:sz w:val="18"/>
                <w:szCs w:val="18"/>
              </w:rPr>
              <w:t>84.20%</w:t>
            </w:r>
          </w:p>
        </w:tc>
      </w:tr>
      <w:tr w14:paraId="17E97B4B">
        <w:tblPrEx>
          <w:tblCellMar>
            <w:top w:w="0" w:type="dxa"/>
            <w:left w:w="108" w:type="dxa"/>
            <w:bottom w:w="0" w:type="dxa"/>
            <w:right w:w="108" w:type="dxa"/>
          </w:tblCellMar>
        </w:tblPrEx>
        <w:trPr>
          <w:trHeight w:val="312" w:hRule="atLeast"/>
          <w:jc w:val="center"/>
        </w:trPr>
        <w:tc>
          <w:tcPr>
            <w:tcW w:w="1446" w:type="dxa"/>
            <w:tcBorders>
              <w:top w:val="nil"/>
              <w:left w:val="single" w:color="auto" w:sz="4" w:space="0"/>
              <w:bottom w:val="single" w:color="auto" w:sz="4" w:space="0"/>
              <w:right w:val="single" w:color="auto" w:sz="4" w:space="0"/>
            </w:tcBorders>
            <w:shd w:val="clear" w:color="auto" w:fill="auto"/>
            <w:vAlign w:val="center"/>
          </w:tcPr>
          <w:p w14:paraId="55AB6FCC">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拖布卡坝子</w:t>
            </w:r>
          </w:p>
        </w:tc>
        <w:tc>
          <w:tcPr>
            <w:tcW w:w="1481" w:type="dxa"/>
            <w:tcBorders>
              <w:top w:val="nil"/>
              <w:left w:val="nil"/>
              <w:bottom w:val="single" w:color="auto" w:sz="4" w:space="0"/>
              <w:right w:val="single" w:color="auto" w:sz="4" w:space="0"/>
            </w:tcBorders>
            <w:shd w:val="clear" w:color="auto" w:fill="auto"/>
            <w:vAlign w:val="center"/>
          </w:tcPr>
          <w:p w14:paraId="1941926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72.79 </w:t>
            </w:r>
          </w:p>
        </w:tc>
        <w:tc>
          <w:tcPr>
            <w:tcW w:w="1656" w:type="dxa"/>
            <w:tcBorders>
              <w:top w:val="nil"/>
              <w:left w:val="nil"/>
              <w:bottom w:val="single" w:color="auto" w:sz="4" w:space="0"/>
              <w:right w:val="single" w:color="auto" w:sz="4" w:space="0"/>
            </w:tcBorders>
            <w:shd w:val="clear" w:color="auto" w:fill="auto"/>
            <w:vAlign w:val="center"/>
          </w:tcPr>
          <w:p w14:paraId="609ADC4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71.61 </w:t>
            </w:r>
          </w:p>
        </w:tc>
        <w:tc>
          <w:tcPr>
            <w:tcW w:w="1244" w:type="dxa"/>
            <w:tcBorders>
              <w:top w:val="nil"/>
              <w:left w:val="nil"/>
              <w:bottom w:val="single" w:color="auto" w:sz="4" w:space="0"/>
              <w:right w:val="single" w:color="auto" w:sz="4" w:space="0"/>
            </w:tcBorders>
            <w:shd w:val="clear" w:color="auto" w:fill="auto"/>
            <w:vAlign w:val="center"/>
          </w:tcPr>
          <w:p w14:paraId="105AF10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23.03 </w:t>
            </w:r>
          </w:p>
        </w:tc>
        <w:tc>
          <w:tcPr>
            <w:tcW w:w="1337" w:type="dxa"/>
            <w:tcBorders>
              <w:top w:val="nil"/>
              <w:left w:val="nil"/>
              <w:bottom w:val="single" w:color="auto" w:sz="4" w:space="0"/>
              <w:right w:val="single" w:color="auto" w:sz="4" w:space="0"/>
            </w:tcBorders>
            <w:shd w:val="clear" w:color="auto" w:fill="auto"/>
            <w:vAlign w:val="center"/>
          </w:tcPr>
          <w:p w14:paraId="27E9AE8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76" w:type="dxa"/>
            <w:tcBorders>
              <w:top w:val="nil"/>
              <w:left w:val="nil"/>
              <w:bottom w:val="single" w:color="auto" w:sz="4" w:space="0"/>
              <w:right w:val="single" w:color="auto" w:sz="4" w:space="0"/>
            </w:tcBorders>
            <w:shd w:val="clear" w:color="auto" w:fill="auto"/>
            <w:vAlign w:val="center"/>
          </w:tcPr>
          <w:p w14:paraId="07FA51C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48.59 </w:t>
            </w:r>
          </w:p>
        </w:tc>
        <w:tc>
          <w:tcPr>
            <w:tcW w:w="1356" w:type="dxa"/>
            <w:tcBorders>
              <w:top w:val="nil"/>
              <w:left w:val="nil"/>
              <w:bottom w:val="single" w:color="auto" w:sz="4" w:space="0"/>
              <w:right w:val="single" w:color="auto" w:sz="4" w:space="0"/>
            </w:tcBorders>
            <w:shd w:val="clear" w:color="auto" w:fill="auto"/>
            <w:vAlign w:val="center"/>
          </w:tcPr>
          <w:p w14:paraId="2B555ADF">
            <w:pPr>
              <w:widowControl/>
              <w:jc w:val="center"/>
              <w:rPr>
                <w:rFonts w:ascii="宋体" w:hAnsi="宋体" w:cs="宋体"/>
                <w:color w:val="000000"/>
                <w:kern w:val="0"/>
                <w:sz w:val="18"/>
                <w:szCs w:val="18"/>
              </w:rPr>
            </w:pPr>
            <w:r>
              <w:rPr>
                <w:rFonts w:hint="eastAsia" w:ascii="宋体" w:hAnsi="宋体" w:cs="宋体"/>
                <w:color w:val="000000"/>
                <w:kern w:val="0"/>
                <w:sz w:val="18"/>
                <w:szCs w:val="18"/>
              </w:rPr>
              <w:t>66.80%</w:t>
            </w:r>
          </w:p>
        </w:tc>
      </w:tr>
      <w:tr w14:paraId="445DD24D">
        <w:tblPrEx>
          <w:tblCellMar>
            <w:top w:w="0" w:type="dxa"/>
            <w:left w:w="108" w:type="dxa"/>
            <w:bottom w:w="0" w:type="dxa"/>
            <w:right w:w="108" w:type="dxa"/>
          </w:tblCellMar>
        </w:tblPrEx>
        <w:trPr>
          <w:trHeight w:val="312" w:hRule="atLeast"/>
          <w:jc w:val="center"/>
        </w:trPr>
        <w:tc>
          <w:tcPr>
            <w:tcW w:w="1446" w:type="dxa"/>
            <w:tcBorders>
              <w:top w:val="nil"/>
              <w:left w:val="single" w:color="auto" w:sz="4" w:space="0"/>
              <w:bottom w:val="single" w:color="auto" w:sz="4" w:space="0"/>
              <w:right w:val="single" w:color="auto" w:sz="4" w:space="0"/>
            </w:tcBorders>
            <w:shd w:val="clear" w:color="auto" w:fill="auto"/>
            <w:vAlign w:val="center"/>
          </w:tcPr>
          <w:p w14:paraId="093594F6">
            <w:pPr>
              <w:widowControl/>
              <w:jc w:val="center"/>
              <w:rPr>
                <w:rFonts w:ascii="宋体" w:hAnsi="宋体" w:cs="宋体"/>
                <w:color w:val="000000"/>
                <w:kern w:val="0"/>
                <w:sz w:val="18"/>
                <w:szCs w:val="18"/>
              </w:rPr>
            </w:pPr>
            <w:r>
              <w:rPr>
                <w:rFonts w:hint="eastAsia" w:ascii="宋体" w:hAnsi="宋体" w:cs="宋体"/>
                <w:color w:val="000000"/>
                <w:kern w:val="0"/>
                <w:sz w:val="18"/>
                <w:szCs w:val="18"/>
              </w:rPr>
              <w:t>达朵坝子</w:t>
            </w:r>
          </w:p>
        </w:tc>
        <w:tc>
          <w:tcPr>
            <w:tcW w:w="1481" w:type="dxa"/>
            <w:tcBorders>
              <w:top w:val="nil"/>
              <w:left w:val="nil"/>
              <w:bottom w:val="single" w:color="auto" w:sz="4" w:space="0"/>
              <w:right w:val="single" w:color="auto" w:sz="4" w:space="0"/>
            </w:tcBorders>
            <w:shd w:val="clear" w:color="auto" w:fill="auto"/>
            <w:vAlign w:val="center"/>
          </w:tcPr>
          <w:p w14:paraId="7A87BFE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48.63 </w:t>
            </w:r>
          </w:p>
        </w:tc>
        <w:tc>
          <w:tcPr>
            <w:tcW w:w="1656" w:type="dxa"/>
            <w:tcBorders>
              <w:top w:val="nil"/>
              <w:left w:val="nil"/>
              <w:bottom w:val="single" w:color="auto" w:sz="4" w:space="0"/>
              <w:right w:val="single" w:color="auto" w:sz="4" w:space="0"/>
            </w:tcBorders>
            <w:shd w:val="clear" w:color="auto" w:fill="auto"/>
            <w:vAlign w:val="center"/>
          </w:tcPr>
          <w:p w14:paraId="6F152E5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44" w:type="dxa"/>
            <w:tcBorders>
              <w:top w:val="nil"/>
              <w:left w:val="nil"/>
              <w:bottom w:val="single" w:color="auto" w:sz="4" w:space="0"/>
              <w:right w:val="single" w:color="auto" w:sz="4" w:space="0"/>
            </w:tcBorders>
            <w:shd w:val="clear" w:color="auto" w:fill="auto"/>
            <w:vAlign w:val="center"/>
          </w:tcPr>
          <w:p w14:paraId="1CDA925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37" w:type="dxa"/>
            <w:tcBorders>
              <w:top w:val="nil"/>
              <w:left w:val="nil"/>
              <w:bottom w:val="single" w:color="auto" w:sz="4" w:space="0"/>
              <w:right w:val="single" w:color="auto" w:sz="4" w:space="0"/>
            </w:tcBorders>
            <w:shd w:val="clear" w:color="auto" w:fill="auto"/>
            <w:vAlign w:val="center"/>
          </w:tcPr>
          <w:p w14:paraId="0B9F6AC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45.15 </w:t>
            </w:r>
          </w:p>
        </w:tc>
        <w:tc>
          <w:tcPr>
            <w:tcW w:w="1276" w:type="dxa"/>
            <w:tcBorders>
              <w:top w:val="nil"/>
              <w:left w:val="nil"/>
              <w:bottom w:val="single" w:color="auto" w:sz="4" w:space="0"/>
              <w:right w:val="single" w:color="auto" w:sz="4" w:space="0"/>
            </w:tcBorders>
            <w:shd w:val="clear" w:color="auto" w:fill="auto"/>
            <w:vAlign w:val="center"/>
          </w:tcPr>
          <w:p w14:paraId="64122EE7">
            <w:pPr>
              <w:widowControl/>
              <w:jc w:val="center"/>
              <w:rPr>
                <w:rFonts w:ascii="宋体" w:hAnsi="宋体" w:cs="宋体"/>
                <w:color w:val="000000"/>
                <w:kern w:val="0"/>
                <w:sz w:val="18"/>
                <w:szCs w:val="18"/>
              </w:rPr>
            </w:pPr>
            <w:r>
              <w:rPr>
                <w:rFonts w:hint="eastAsia" w:ascii="宋体" w:hAnsi="宋体" w:cs="宋体"/>
                <w:color w:val="000000"/>
                <w:kern w:val="0"/>
                <w:sz w:val="18"/>
                <w:szCs w:val="18"/>
              </w:rPr>
              <w:t>44.32</w:t>
            </w:r>
          </w:p>
        </w:tc>
        <w:tc>
          <w:tcPr>
            <w:tcW w:w="1356" w:type="dxa"/>
            <w:tcBorders>
              <w:top w:val="nil"/>
              <w:left w:val="nil"/>
              <w:bottom w:val="single" w:color="auto" w:sz="4" w:space="0"/>
              <w:right w:val="single" w:color="auto" w:sz="4" w:space="0"/>
            </w:tcBorders>
            <w:shd w:val="clear" w:color="auto" w:fill="auto"/>
            <w:vAlign w:val="center"/>
          </w:tcPr>
          <w:p w14:paraId="788E0EA8">
            <w:pPr>
              <w:widowControl/>
              <w:jc w:val="center"/>
              <w:rPr>
                <w:rFonts w:ascii="宋体" w:hAnsi="宋体" w:cs="宋体"/>
                <w:color w:val="000000"/>
                <w:kern w:val="0"/>
                <w:sz w:val="18"/>
                <w:szCs w:val="18"/>
              </w:rPr>
            </w:pPr>
            <w:r>
              <w:rPr>
                <w:rFonts w:hint="eastAsia" w:ascii="宋体" w:hAnsi="宋体" w:cs="宋体"/>
                <w:color w:val="000000"/>
                <w:kern w:val="0"/>
                <w:sz w:val="18"/>
                <w:szCs w:val="18"/>
              </w:rPr>
              <w:t>91.14%</w:t>
            </w:r>
          </w:p>
        </w:tc>
      </w:tr>
      <w:tr w14:paraId="3BECD301">
        <w:tblPrEx>
          <w:tblCellMar>
            <w:top w:w="0" w:type="dxa"/>
            <w:left w:w="108" w:type="dxa"/>
            <w:bottom w:w="0" w:type="dxa"/>
            <w:right w:w="108" w:type="dxa"/>
          </w:tblCellMar>
        </w:tblPrEx>
        <w:trPr>
          <w:trHeight w:val="312" w:hRule="atLeast"/>
          <w:jc w:val="center"/>
        </w:trPr>
        <w:tc>
          <w:tcPr>
            <w:tcW w:w="1446" w:type="dxa"/>
            <w:tcBorders>
              <w:top w:val="nil"/>
              <w:left w:val="single" w:color="auto" w:sz="4" w:space="0"/>
              <w:bottom w:val="single" w:color="auto" w:sz="4" w:space="0"/>
              <w:right w:val="single" w:color="auto" w:sz="4" w:space="0"/>
            </w:tcBorders>
            <w:shd w:val="clear" w:color="auto" w:fill="auto"/>
            <w:vAlign w:val="center"/>
          </w:tcPr>
          <w:p w14:paraId="4FF702BA">
            <w:pPr>
              <w:widowControl/>
              <w:jc w:val="center"/>
              <w:rPr>
                <w:rFonts w:ascii="宋体" w:hAnsi="宋体" w:cs="宋体"/>
                <w:color w:val="000000"/>
                <w:kern w:val="0"/>
                <w:sz w:val="18"/>
                <w:szCs w:val="18"/>
              </w:rPr>
            </w:pPr>
            <w:r>
              <w:rPr>
                <w:rFonts w:hint="eastAsia" w:ascii="宋体" w:hAnsi="宋体" w:cs="宋体"/>
                <w:color w:val="000000"/>
                <w:kern w:val="0"/>
                <w:sz w:val="18"/>
                <w:szCs w:val="18"/>
              </w:rPr>
              <w:t>格勒坝子</w:t>
            </w:r>
          </w:p>
        </w:tc>
        <w:tc>
          <w:tcPr>
            <w:tcW w:w="1481" w:type="dxa"/>
            <w:tcBorders>
              <w:top w:val="nil"/>
              <w:left w:val="nil"/>
              <w:bottom w:val="single" w:color="auto" w:sz="4" w:space="0"/>
              <w:right w:val="single" w:color="auto" w:sz="4" w:space="0"/>
            </w:tcBorders>
            <w:shd w:val="clear" w:color="auto" w:fill="auto"/>
            <w:vAlign w:val="center"/>
          </w:tcPr>
          <w:p w14:paraId="44291BE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89.51 </w:t>
            </w:r>
          </w:p>
        </w:tc>
        <w:tc>
          <w:tcPr>
            <w:tcW w:w="1656" w:type="dxa"/>
            <w:tcBorders>
              <w:top w:val="nil"/>
              <w:left w:val="nil"/>
              <w:bottom w:val="single" w:color="auto" w:sz="4" w:space="0"/>
              <w:right w:val="single" w:color="auto" w:sz="4" w:space="0"/>
            </w:tcBorders>
            <w:shd w:val="clear" w:color="auto" w:fill="auto"/>
            <w:vAlign w:val="center"/>
          </w:tcPr>
          <w:p w14:paraId="4DCAC30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44" w:type="dxa"/>
            <w:tcBorders>
              <w:top w:val="nil"/>
              <w:left w:val="nil"/>
              <w:bottom w:val="single" w:color="auto" w:sz="4" w:space="0"/>
              <w:right w:val="single" w:color="auto" w:sz="4" w:space="0"/>
            </w:tcBorders>
            <w:shd w:val="clear" w:color="auto" w:fill="auto"/>
            <w:vAlign w:val="center"/>
          </w:tcPr>
          <w:p w14:paraId="0345C75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337" w:type="dxa"/>
            <w:tcBorders>
              <w:top w:val="nil"/>
              <w:left w:val="nil"/>
              <w:bottom w:val="single" w:color="auto" w:sz="4" w:space="0"/>
              <w:right w:val="single" w:color="auto" w:sz="4" w:space="0"/>
            </w:tcBorders>
            <w:shd w:val="clear" w:color="auto" w:fill="auto"/>
            <w:vAlign w:val="center"/>
          </w:tcPr>
          <w:p w14:paraId="462BFD3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87.11 </w:t>
            </w:r>
          </w:p>
        </w:tc>
        <w:tc>
          <w:tcPr>
            <w:tcW w:w="1276" w:type="dxa"/>
            <w:tcBorders>
              <w:top w:val="nil"/>
              <w:left w:val="nil"/>
              <w:bottom w:val="single" w:color="auto" w:sz="4" w:space="0"/>
              <w:right w:val="single" w:color="auto" w:sz="4" w:space="0"/>
            </w:tcBorders>
            <w:shd w:val="clear" w:color="auto" w:fill="auto"/>
            <w:vAlign w:val="center"/>
          </w:tcPr>
          <w:p w14:paraId="1E18EB5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87.11 </w:t>
            </w:r>
          </w:p>
        </w:tc>
        <w:tc>
          <w:tcPr>
            <w:tcW w:w="1356" w:type="dxa"/>
            <w:tcBorders>
              <w:top w:val="nil"/>
              <w:left w:val="nil"/>
              <w:bottom w:val="single" w:color="auto" w:sz="4" w:space="0"/>
              <w:right w:val="single" w:color="auto" w:sz="4" w:space="0"/>
            </w:tcBorders>
            <w:shd w:val="clear" w:color="auto" w:fill="auto"/>
            <w:vAlign w:val="center"/>
          </w:tcPr>
          <w:p w14:paraId="05F7E4BD">
            <w:pPr>
              <w:widowControl/>
              <w:jc w:val="center"/>
              <w:rPr>
                <w:rFonts w:ascii="宋体" w:hAnsi="宋体" w:cs="宋体"/>
                <w:color w:val="000000"/>
                <w:kern w:val="0"/>
                <w:sz w:val="18"/>
                <w:szCs w:val="18"/>
              </w:rPr>
            </w:pPr>
            <w:r>
              <w:rPr>
                <w:rFonts w:hint="eastAsia" w:ascii="宋体" w:hAnsi="宋体" w:cs="宋体"/>
                <w:color w:val="000000"/>
                <w:kern w:val="0"/>
                <w:sz w:val="18"/>
                <w:szCs w:val="18"/>
              </w:rPr>
              <w:t>97.30%</w:t>
            </w:r>
          </w:p>
        </w:tc>
      </w:tr>
      <w:tr w14:paraId="12EA2FF4">
        <w:tblPrEx>
          <w:tblCellMar>
            <w:top w:w="0" w:type="dxa"/>
            <w:left w:w="108" w:type="dxa"/>
            <w:bottom w:w="0" w:type="dxa"/>
            <w:right w:w="108" w:type="dxa"/>
          </w:tblCellMar>
        </w:tblPrEx>
        <w:trPr>
          <w:trHeight w:val="312" w:hRule="atLeast"/>
          <w:jc w:val="center"/>
        </w:trPr>
        <w:tc>
          <w:tcPr>
            <w:tcW w:w="1446" w:type="dxa"/>
            <w:tcBorders>
              <w:top w:val="nil"/>
              <w:left w:val="single" w:color="auto" w:sz="4" w:space="0"/>
              <w:bottom w:val="single" w:color="auto" w:sz="4" w:space="0"/>
              <w:right w:val="single" w:color="auto" w:sz="4" w:space="0"/>
            </w:tcBorders>
            <w:shd w:val="clear" w:color="auto" w:fill="auto"/>
            <w:vAlign w:val="center"/>
          </w:tcPr>
          <w:p w14:paraId="265DEB81">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1481" w:type="dxa"/>
            <w:tcBorders>
              <w:top w:val="nil"/>
              <w:left w:val="nil"/>
              <w:bottom w:val="single" w:color="auto" w:sz="4" w:space="0"/>
              <w:right w:val="single" w:color="auto" w:sz="4" w:space="0"/>
            </w:tcBorders>
            <w:shd w:val="clear" w:color="auto" w:fill="auto"/>
            <w:vAlign w:val="center"/>
          </w:tcPr>
          <w:p w14:paraId="779490A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1395.71 </w:t>
            </w:r>
          </w:p>
        </w:tc>
        <w:tc>
          <w:tcPr>
            <w:tcW w:w="1656" w:type="dxa"/>
            <w:tcBorders>
              <w:top w:val="nil"/>
              <w:left w:val="nil"/>
              <w:bottom w:val="single" w:color="auto" w:sz="4" w:space="0"/>
              <w:right w:val="single" w:color="auto" w:sz="4" w:space="0"/>
            </w:tcBorders>
            <w:shd w:val="clear" w:color="auto" w:fill="auto"/>
            <w:vAlign w:val="center"/>
          </w:tcPr>
          <w:p w14:paraId="4F1C3A7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1137.99 </w:t>
            </w:r>
          </w:p>
        </w:tc>
        <w:tc>
          <w:tcPr>
            <w:tcW w:w="1244" w:type="dxa"/>
            <w:tcBorders>
              <w:top w:val="nil"/>
              <w:left w:val="nil"/>
              <w:bottom w:val="single" w:color="auto" w:sz="4" w:space="0"/>
              <w:right w:val="single" w:color="auto" w:sz="4" w:space="0"/>
            </w:tcBorders>
            <w:shd w:val="clear" w:color="auto" w:fill="auto"/>
            <w:vAlign w:val="center"/>
          </w:tcPr>
          <w:p w14:paraId="11B5E73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208.05 </w:t>
            </w:r>
          </w:p>
        </w:tc>
        <w:tc>
          <w:tcPr>
            <w:tcW w:w="1337" w:type="dxa"/>
            <w:tcBorders>
              <w:top w:val="nil"/>
              <w:left w:val="nil"/>
              <w:bottom w:val="single" w:color="auto" w:sz="4" w:space="0"/>
              <w:right w:val="single" w:color="auto" w:sz="4" w:space="0"/>
            </w:tcBorders>
            <w:shd w:val="clear" w:color="auto" w:fill="auto"/>
            <w:vAlign w:val="center"/>
          </w:tcPr>
          <w:p w14:paraId="79AA4B3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188.24 </w:t>
            </w:r>
          </w:p>
        </w:tc>
        <w:tc>
          <w:tcPr>
            <w:tcW w:w="1276" w:type="dxa"/>
            <w:tcBorders>
              <w:top w:val="nil"/>
              <w:left w:val="nil"/>
              <w:bottom w:val="single" w:color="auto" w:sz="4" w:space="0"/>
              <w:right w:val="single" w:color="auto" w:sz="4" w:space="0"/>
            </w:tcBorders>
            <w:shd w:val="clear" w:color="auto" w:fill="auto"/>
            <w:vAlign w:val="center"/>
          </w:tcPr>
          <w:p w14:paraId="354D05A5">
            <w:pPr>
              <w:widowControl/>
              <w:jc w:val="center"/>
              <w:rPr>
                <w:rFonts w:ascii="宋体" w:hAnsi="宋体" w:cs="宋体"/>
                <w:color w:val="000000"/>
                <w:kern w:val="0"/>
                <w:sz w:val="18"/>
                <w:szCs w:val="18"/>
              </w:rPr>
            </w:pPr>
            <w:r>
              <w:rPr>
                <w:rFonts w:hint="eastAsia" w:ascii="宋体" w:hAnsi="宋体" w:cs="宋体"/>
                <w:color w:val="000000"/>
                <w:kern w:val="0"/>
                <w:sz w:val="18"/>
                <w:szCs w:val="18"/>
              </w:rPr>
              <w:t>1117.36</w:t>
            </w:r>
          </w:p>
        </w:tc>
        <w:tc>
          <w:tcPr>
            <w:tcW w:w="1356" w:type="dxa"/>
            <w:tcBorders>
              <w:top w:val="nil"/>
              <w:left w:val="nil"/>
              <w:bottom w:val="single" w:color="auto" w:sz="4" w:space="0"/>
              <w:right w:val="single" w:color="auto" w:sz="4" w:space="0"/>
            </w:tcBorders>
            <w:shd w:val="clear" w:color="auto" w:fill="auto"/>
            <w:vAlign w:val="center"/>
          </w:tcPr>
          <w:p w14:paraId="29AB8B52">
            <w:pPr>
              <w:widowControl/>
              <w:jc w:val="center"/>
              <w:rPr>
                <w:rFonts w:ascii="宋体" w:hAnsi="宋体" w:cs="宋体"/>
                <w:color w:val="000000"/>
                <w:kern w:val="0"/>
                <w:sz w:val="18"/>
                <w:szCs w:val="18"/>
              </w:rPr>
            </w:pPr>
            <w:r>
              <w:rPr>
                <w:rFonts w:hint="eastAsia" w:ascii="宋体" w:hAnsi="宋体" w:cs="宋体"/>
                <w:color w:val="000000"/>
                <w:kern w:val="0"/>
                <w:sz w:val="18"/>
                <w:szCs w:val="18"/>
              </w:rPr>
              <w:t>82.86%</w:t>
            </w:r>
          </w:p>
        </w:tc>
      </w:tr>
    </w:tbl>
    <w:p w14:paraId="0CE2F770">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坝区划定为永久基本农田的耕地中按地类分，水田900.67公顷，占坝区基本农田总面积的80.6%；水浇地7.37公顷、占坝区基本农田总面积的0.7%；旱地209.82公顷、占坝区基本农田总面积的18.8%。</w:t>
      </w:r>
    </w:p>
    <w:p w14:paraId="18720A20">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按坡度级别分，坡度≤2°耕地面积751.4公顷，占坝区基本农田总面积的67.2%；坡度2°～6°耕地面积273.1公顷，占坝区基本农田总面积的24.4%；坡度6°～15°耕地面积84.7公顷，占坝区基本农田总面积的7.6%；坡度15°～25°耕地面积4.8公顷，占坝区基本农田总面积的0.4%；坡度＞25°耕地面积3.9公顷，占坝区基本农田总面积的0.3%。</w:t>
      </w:r>
    </w:p>
    <w:p w14:paraId="64BC986B">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从耕地质量等别看，坝区永久基本农田中6等耕地367.5公顷，占坝区基本农田面积的32.9%；7等耕地68.7公顷，占坝区基本农田面积的6.1%；8等耕地264.2公顷，占坝区基本农田面积的23.6%；9等耕地70.7公顷，占坝区基本农田面积的6.3%；10等耕地200.3公顷，占坝区基本农田面积的17.9%；11等耕地120.2公顷，占坝区基本农田面积的10.8%；12等耕地15公顷，占坝区基本农田面积的1.3%；13等耕地11.2公顷，占坝区基本农田面积的1.0%。</w:t>
      </w:r>
    </w:p>
    <w:p w14:paraId="3193671B">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1A83F016">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65A712F1">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1144CF4A">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4410FC8B">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7D236E97">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16BE48B8">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6EF1081E">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0F25AF9D">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16D38CCC">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39056D8E">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2C062C1B">
      <w:pPr>
        <w:pStyle w:val="2"/>
        <w:spacing w:line="360" w:lineRule="auto"/>
        <w:jc w:val="center"/>
        <w:rPr>
          <w:rFonts w:ascii="黑体" w:eastAsia="黑体"/>
          <w:b w:val="0"/>
          <w:color w:val="000000"/>
          <w:sz w:val="32"/>
          <w:szCs w:val="32"/>
        </w:rPr>
      </w:pPr>
      <w:bookmarkStart w:id="113" w:name="_Toc491074901"/>
      <w:r>
        <w:rPr>
          <w:rFonts w:hint="eastAsia" w:ascii="黑体" w:eastAsia="黑体"/>
          <w:b w:val="0"/>
          <w:color w:val="000000"/>
          <w:sz w:val="32"/>
          <w:szCs w:val="32"/>
        </w:rPr>
        <w:t>第五章  规划主要指标调整</w:t>
      </w:r>
      <w:bookmarkEnd w:id="113"/>
    </w:p>
    <w:p w14:paraId="0867BB86">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按照《昆明市土地利用总体规划（2006-2020年）调整方案》下达东川区的各项指标，以及云南省人民政府、省国土资源厅对于调整完善工作的相关要求，结合东川区的实际情况，合理调整规划期间东川区各乡（镇）土地利用指标。</w:t>
      </w:r>
    </w:p>
    <w:p w14:paraId="316A4994">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根据《昆明市土地利用总体规划（2006-2020年）调整方案》，以昆明市二调数据连续变更至2014年数据为基数，以《昆明市土地利用总体规划（2006-2020年）》为基础，在坚持总体稳定、局部微调，应保尽保、量质并重，节约集约、优化结构，统筹兼顾、突出重点，加强协调、充分衔接的原则下，对全区耕地保有量、基本农田保护面积、建设用地规模及其他指标进行了调整，并将各项指标分解下达至昆明市各县（市、区），其中东川区各项控制指标如下：</w:t>
      </w:r>
    </w:p>
    <w:p w14:paraId="598F8F4C">
      <w:pPr>
        <w:jc w:val="center"/>
        <w:outlineLvl w:val="4"/>
        <w:rPr>
          <w:rFonts w:ascii="仿宋_GB2312" w:hAnsi="宋体" w:eastAsia="仿宋_GB2312"/>
          <w:b/>
          <w:sz w:val="24"/>
        </w:rPr>
      </w:pPr>
      <w:r>
        <w:rPr>
          <w:rFonts w:hint="eastAsia" w:ascii="宋体" w:hAnsi="宋体"/>
          <w:b/>
          <w:sz w:val="24"/>
        </w:rPr>
        <w:t>表5-1  昆明市下达东川区指标情况表</w:t>
      </w:r>
      <w:r>
        <w:rPr>
          <w:rFonts w:hint="eastAsia" w:ascii="仿宋_GB2312" w:hAnsi="宋体" w:eastAsia="仿宋_GB2312"/>
          <w:b/>
          <w:sz w:val="24"/>
        </w:rPr>
        <w:t xml:space="preserve"> </w:t>
      </w:r>
    </w:p>
    <w:p w14:paraId="4F068557">
      <w:pPr>
        <w:spacing w:line="360" w:lineRule="auto"/>
        <w:ind w:right="400" w:firstLine="400" w:firstLineChars="200"/>
        <w:jc w:val="right"/>
        <w:rPr>
          <w:rFonts w:ascii="宋体" w:hAnsi="宋体" w:cs="宋体"/>
          <w:color w:val="000000"/>
          <w:kern w:val="0"/>
          <w:sz w:val="20"/>
          <w:szCs w:val="20"/>
        </w:rPr>
      </w:pPr>
      <w:r>
        <w:rPr>
          <w:rFonts w:hint="eastAsia" w:ascii="宋体" w:hAnsi="宋体" w:cs="宋体"/>
          <w:color w:val="000000"/>
          <w:kern w:val="0"/>
          <w:sz w:val="20"/>
          <w:szCs w:val="20"/>
        </w:rPr>
        <w:t>单位：公顷</w:t>
      </w:r>
    </w:p>
    <w:tbl>
      <w:tblPr>
        <w:tblStyle w:val="27"/>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8"/>
        <w:gridCol w:w="2245"/>
        <w:gridCol w:w="2603"/>
      </w:tblGrid>
      <w:tr w14:paraId="3887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5E65773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上级下达指标</w:t>
            </w:r>
          </w:p>
        </w:tc>
        <w:tc>
          <w:tcPr>
            <w:tcW w:w="2245" w:type="dxa"/>
            <w:shd w:val="clear" w:color="auto" w:fill="auto"/>
            <w:vAlign w:val="center"/>
          </w:tcPr>
          <w:p w14:paraId="1E5A9604">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东川区</w:t>
            </w:r>
          </w:p>
        </w:tc>
        <w:tc>
          <w:tcPr>
            <w:tcW w:w="2603" w:type="dxa"/>
            <w:shd w:val="clear" w:color="auto" w:fill="auto"/>
            <w:vAlign w:val="center"/>
          </w:tcPr>
          <w:p w14:paraId="53AAB61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其中：托管区域（两区）</w:t>
            </w:r>
          </w:p>
        </w:tc>
      </w:tr>
      <w:tr w14:paraId="7F9A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6976306C">
            <w:pPr>
              <w:widowControl/>
              <w:jc w:val="center"/>
              <w:rPr>
                <w:rFonts w:ascii="宋体" w:hAnsi="宋体" w:cs="宋体"/>
                <w:color w:val="000000"/>
                <w:kern w:val="0"/>
                <w:sz w:val="18"/>
                <w:szCs w:val="18"/>
              </w:rPr>
            </w:pPr>
            <w:r>
              <w:rPr>
                <w:rFonts w:hint="eastAsia" w:ascii="宋体" w:hAnsi="宋体" w:cs="宋体"/>
                <w:color w:val="000000"/>
                <w:kern w:val="0"/>
                <w:sz w:val="18"/>
                <w:szCs w:val="18"/>
              </w:rPr>
              <w:t>耕地保有量</w:t>
            </w:r>
          </w:p>
        </w:tc>
        <w:tc>
          <w:tcPr>
            <w:tcW w:w="2245" w:type="dxa"/>
            <w:shd w:val="clear" w:color="auto" w:fill="auto"/>
            <w:noWrap/>
            <w:vAlign w:val="center"/>
          </w:tcPr>
          <w:p w14:paraId="41C0613E">
            <w:pPr>
              <w:widowControl/>
              <w:jc w:val="center"/>
              <w:rPr>
                <w:rFonts w:ascii="宋体" w:hAnsi="宋体" w:cs="宋体"/>
                <w:color w:val="000000"/>
                <w:kern w:val="0"/>
                <w:sz w:val="18"/>
                <w:szCs w:val="18"/>
              </w:rPr>
            </w:pPr>
            <w:r>
              <w:rPr>
                <w:rFonts w:hint="eastAsia" w:ascii="宋体" w:hAnsi="宋体" w:cs="宋体"/>
                <w:color w:val="000000"/>
                <w:kern w:val="0"/>
                <w:sz w:val="18"/>
                <w:szCs w:val="18"/>
              </w:rPr>
              <w:t>29497</w:t>
            </w:r>
          </w:p>
        </w:tc>
        <w:tc>
          <w:tcPr>
            <w:tcW w:w="2603" w:type="dxa"/>
            <w:shd w:val="clear" w:color="auto" w:fill="auto"/>
            <w:noWrap/>
            <w:vAlign w:val="center"/>
          </w:tcPr>
          <w:p w14:paraId="3A5423FA">
            <w:pPr>
              <w:widowControl/>
              <w:jc w:val="center"/>
              <w:rPr>
                <w:rFonts w:ascii="宋体" w:hAnsi="宋体" w:cs="宋体"/>
                <w:color w:val="000000"/>
                <w:kern w:val="0"/>
                <w:sz w:val="18"/>
                <w:szCs w:val="18"/>
              </w:rPr>
            </w:pPr>
            <w:r>
              <w:rPr>
                <w:rFonts w:hint="eastAsia" w:ascii="宋体" w:hAnsi="宋体" w:cs="宋体"/>
                <w:color w:val="000000"/>
                <w:kern w:val="0"/>
                <w:sz w:val="18"/>
                <w:szCs w:val="18"/>
              </w:rPr>
              <w:t>5930.04</w:t>
            </w:r>
          </w:p>
        </w:tc>
      </w:tr>
      <w:tr w14:paraId="52BC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74CC3B07">
            <w:pPr>
              <w:widowControl/>
              <w:jc w:val="center"/>
              <w:rPr>
                <w:rFonts w:ascii="宋体" w:hAnsi="宋体" w:cs="宋体"/>
                <w:color w:val="000000"/>
                <w:kern w:val="0"/>
                <w:sz w:val="18"/>
                <w:szCs w:val="18"/>
              </w:rPr>
            </w:pPr>
            <w:r>
              <w:rPr>
                <w:rFonts w:hint="eastAsia" w:ascii="宋体" w:hAnsi="宋体" w:cs="宋体"/>
                <w:color w:val="000000"/>
                <w:kern w:val="0"/>
                <w:sz w:val="18"/>
                <w:szCs w:val="18"/>
              </w:rPr>
              <w:t>基本农田保护面积</w:t>
            </w:r>
          </w:p>
        </w:tc>
        <w:tc>
          <w:tcPr>
            <w:tcW w:w="2245" w:type="dxa"/>
            <w:shd w:val="clear" w:color="auto" w:fill="auto"/>
            <w:noWrap/>
            <w:vAlign w:val="center"/>
          </w:tcPr>
          <w:p w14:paraId="0CB8F111">
            <w:pPr>
              <w:widowControl/>
              <w:jc w:val="center"/>
              <w:rPr>
                <w:rFonts w:ascii="宋体" w:hAnsi="宋体" w:cs="宋体"/>
                <w:color w:val="000000"/>
                <w:kern w:val="0"/>
                <w:sz w:val="18"/>
                <w:szCs w:val="18"/>
              </w:rPr>
            </w:pPr>
            <w:r>
              <w:rPr>
                <w:rFonts w:hint="eastAsia" w:ascii="宋体" w:hAnsi="宋体" w:cs="宋体"/>
                <w:color w:val="000000"/>
                <w:kern w:val="0"/>
                <w:sz w:val="18"/>
                <w:szCs w:val="18"/>
              </w:rPr>
              <w:t>23066</w:t>
            </w:r>
          </w:p>
        </w:tc>
        <w:tc>
          <w:tcPr>
            <w:tcW w:w="2603" w:type="dxa"/>
            <w:shd w:val="clear" w:color="auto" w:fill="auto"/>
            <w:noWrap/>
            <w:vAlign w:val="center"/>
          </w:tcPr>
          <w:p w14:paraId="43430354">
            <w:pPr>
              <w:widowControl/>
              <w:jc w:val="center"/>
              <w:rPr>
                <w:rFonts w:ascii="宋体" w:hAnsi="宋体" w:cs="宋体"/>
                <w:color w:val="000000"/>
                <w:kern w:val="0"/>
                <w:sz w:val="18"/>
                <w:szCs w:val="18"/>
              </w:rPr>
            </w:pPr>
            <w:r>
              <w:rPr>
                <w:rFonts w:hint="eastAsia" w:ascii="宋体" w:hAnsi="宋体" w:cs="宋体"/>
                <w:color w:val="000000"/>
                <w:kern w:val="0"/>
                <w:sz w:val="18"/>
                <w:szCs w:val="18"/>
              </w:rPr>
              <w:t>5148.23</w:t>
            </w:r>
          </w:p>
        </w:tc>
      </w:tr>
      <w:tr w14:paraId="473B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2B477759">
            <w:pPr>
              <w:widowControl/>
              <w:jc w:val="center"/>
              <w:rPr>
                <w:rFonts w:ascii="宋体" w:hAnsi="宋体" w:cs="宋体"/>
                <w:color w:val="000000"/>
                <w:kern w:val="0"/>
                <w:sz w:val="18"/>
                <w:szCs w:val="18"/>
              </w:rPr>
            </w:pPr>
            <w:r>
              <w:rPr>
                <w:rFonts w:hint="eastAsia" w:ascii="宋体" w:hAnsi="宋体" w:cs="宋体"/>
                <w:color w:val="000000"/>
                <w:kern w:val="0"/>
                <w:sz w:val="18"/>
                <w:szCs w:val="18"/>
              </w:rPr>
              <w:t>园地</w:t>
            </w:r>
          </w:p>
        </w:tc>
        <w:tc>
          <w:tcPr>
            <w:tcW w:w="2245" w:type="dxa"/>
            <w:shd w:val="clear" w:color="auto" w:fill="auto"/>
            <w:noWrap/>
            <w:vAlign w:val="center"/>
          </w:tcPr>
          <w:p w14:paraId="63AF6CF3">
            <w:pPr>
              <w:widowControl/>
              <w:jc w:val="center"/>
              <w:rPr>
                <w:rFonts w:ascii="宋体" w:hAnsi="宋体" w:cs="宋体"/>
                <w:color w:val="000000"/>
                <w:kern w:val="0"/>
                <w:sz w:val="18"/>
                <w:szCs w:val="18"/>
              </w:rPr>
            </w:pPr>
            <w:r>
              <w:rPr>
                <w:rFonts w:hint="eastAsia" w:ascii="宋体" w:hAnsi="宋体" w:cs="宋体"/>
                <w:color w:val="000000"/>
                <w:kern w:val="0"/>
                <w:sz w:val="18"/>
                <w:szCs w:val="18"/>
              </w:rPr>
              <w:t>1647.13</w:t>
            </w:r>
          </w:p>
        </w:tc>
        <w:tc>
          <w:tcPr>
            <w:tcW w:w="2603" w:type="dxa"/>
            <w:shd w:val="clear" w:color="auto" w:fill="auto"/>
            <w:vAlign w:val="center"/>
          </w:tcPr>
          <w:p w14:paraId="1C19B027">
            <w:pPr>
              <w:widowControl/>
              <w:jc w:val="center"/>
              <w:rPr>
                <w:rFonts w:ascii="Calibri" w:hAnsi="Calibri" w:cs="Calibri"/>
                <w:color w:val="000000"/>
                <w:kern w:val="0"/>
                <w:szCs w:val="21"/>
              </w:rPr>
            </w:pPr>
            <w:r>
              <w:rPr>
                <w:rFonts w:hint="eastAsia" w:ascii="Calibri" w:hAnsi="Calibri" w:cs="Calibri"/>
                <w:color w:val="000000"/>
                <w:kern w:val="0"/>
                <w:szCs w:val="21"/>
              </w:rPr>
              <w:softHyphen/>
            </w:r>
            <w:r>
              <w:rPr>
                <w:rFonts w:hint="eastAsia" w:ascii="Calibri" w:hAnsi="Calibri" w:cs="Calibri"/>
                <w:color w:val="000000"/>
                <w:kern w:val="0"/>
                <w:szCs w:val="21"/>
              </w:rPr>
              <w:t>——</w:t>
            </w:r>
          </w:p>
        </w:tc>
      </w:tr>
      <w:tr w14:paraId="4F25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378507DA">
            <w:pPr>
              <w:widowControl/>
              <w:jc w:val="center"/>
              <w:rPr>
                <w:rFonts w:ascii="宋体" w:hAnsi="宋体" w:cs="宋体"/>
                <w:color w:val="000000"/>
                <w:kern w:val="0"/>
                <w:sz w:val="18"/>
                <w:szCs w:val="18"/>
              </w:rPr>
            </w:pPr>
            <w:r>
              <w:rPr>
                <w:rFonts w:hint="eastAsia" w:ascii="宋体" w:hAnsi="宋体" w:cs="宋体"/>
                <w:color w:val="000000"/>
                <w:kern w:val="0"/>
                <w:sz w:val="18"/>
                <w:szCs w:val="18"/>
              </w:rPr>
              <w:t>林地</w:t>
            </w:r>
          </w:p>
        </w:tc>
        <w:tc>
          <w:tcPr>
            <w:tcW w:w="2245" w:type="dxa"/>
            <w:shd w:val="clear" w:color="auto" w:fill="auto"/>
            <w:noWrap/>
            <w:vAlign w:val="center"/>
          </w:tcPr>
          <w:p w14:paraId="21B130CE">
            <w:pPr>
              <w:widowControl/>
              <w:jc w:val="center"/>
              <w:rPr>
                <w:rFonts w:ascii="宋体" w:hAnsi="宋体" w:cs="宋体"/>
                <w:color w:val="000000"/>
                <w:kern w:val="0"/>
                <w:sz w:val="18"/>
                <w:szCs w:val="18"/>
              </w:rPr>
            </w:pPr>
            <w:r>
              <w:rPr>
                <w:rFonts w:hint="eastAsia" w:ascii="宋体" w:hAnsi="宋体" w:cs="宋体"/>
                <w:color w:val="000000"/>
                <w:kern w:val="0"/>
                <w:sz w:val="18"/>
                <w:szCs w:val="18"/>
              </w:rPr>
              <w:t>63057.64</w:t>
            </w:r>
          </w:p>
        </w:tc>
        <w:tc>
          <w:tcPr>
            <w:tcW w:w="2603" w:type="dxa"/>
            <w:shd w:val="clear" w:color="auto" w:fill="auto"/>
            <w:vAlign w:val="center"/>
          </w:tcPr>
          <w:p w14:paraId="4FB1FD91">
            <w:pPr>
              <w:jc w:val="center"/>
            </w:pPr>
            <w:r>
              <w:rPr>
                <w:rFonts w:hint="eastAsia" w:ascii="Calibri" w:hAnsi="Calibri" w:cs="Calibri"/>
                <w:color w:val="000000"/>
                <w:kern w:val="0"/>
                <w:szCs w:val="21"/>
              </w:rPr>
              <w:t>——</w:t>
            </w:r>
          </w:p>
        </w:tc>
      </w:tr>
      <w:tr w14:paraId="6920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50EB0D44">
            <w:pPr>
              <w:widowControl/>
              <w:jc w:val="center"/>
              <w:rPr>
                <w:rFonts w:ascii="宋体" w:hAnsi="宋体" w:cs="宋体"/>
                <w:color w:val="000000"/>
                <w:kern w:val="0"/>
                <w:sz w:val="18"/>
                <w:szCs w:val="18"/>
              </w:rPr>
            </w:pPr>
            <w:r>
              <w:rPr>
                <w:rFonts w:hint="eastAsia" w:ascii="宋体" w:hAnsi="宋体" w:cs="宋体"/>
                <w:color w:val="000000"/>
                <w:kern w:val="0"/>
                <w:sz w:val="18"/>
                <w:szCs w:val="18"/>
              </w:rPr>
              <w:t>牧草地</w:t>
            </w:r>
          </w:p>
        </w:tc>
        <w:tc>
          <w:tcPr>
            <w:tcW w:w="2245" w:type="dxa"/>
            <w:shd w:val="clear" w:color="auto" w:fill="auto"/>
            <w:vAlign w:val="center"/>
          </w:tcPr>
          <w:p w14:paraId="27F47B0E">
            <w:pPr>
              <w:widowControl/>
              <w:jc w:val="center"/>
              <w:rPr>
                <w:rFonts w:ascii="宋体" w:hAnsi="宋体" w:cs="宋体"/>
                <w:color w:val="000000"/>
                <w:kern w:val="0"/>
                <w:sz w:val="18"/>
                <w:szCs w:val="18"/>
              </w:rPr>
            </w:pPr>
            <w:r>
              <w:rPr>
                <w:rFonts w:hint="eastAsia" w:ascii="宋体" w:hAnsi="宋体" w:cs="宋体"/>
                <w:color w:val="000000"/>
                <w:kern w:val="0"/>
                <w:sz w:val="18"/>
                <w:szCs w:val="18"/>
              </w:rPr>
              <w:t>89.27</w:t>
            </w:r>
          </w:p>
        </w:tc>
        <w:tc>
          <w:tcPr>
            <w:tcW w:w="2603" w:type="dxa"/>
            <w:shd w:val="clear" w:color="auto" w:fill="auto"/>
            <w:vAlign w:val="center"/>
          </w:tcPr>
          <w:p w14:paraId="2760DCC0">
            <w:pPr>
              <w:jc w:val="center"/>
            </w:pPr>
            <w:r>
              <w:rPr>
                <w:rFonts w:hint="eastAsia" w:ascii="Calibri" w:hAnsi="Calibri" w:cs="Calibri"/>
                <w:color w:val="000000"/>
                <w:kern w:val="0"/>
                <w:szCs w:val="21"/>
              </w:rPr>
              <w:t>——</w:t>
            </w:r>
          </w:p>
        </w:tc>
      </w:tr>
      <w:tr w14:paraId="7891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54098FA0">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建设用地总规模</w:t>
            </w:r>
          </w:p>
        </w:tc>
        <w:tc>
          <w:tcPr>
            <w:tcW w:w="2245" w:type="dxa"/>
            <w:shd w:val="clear" w:color="auto" w:fill="auto"/>
            <w:noWrap/>
            <w:vAlign w:val="center"/>
          </w:tcPr>
          <w:p w14:paraId="3BF24B35">
            <w:pPr>
              <w:widowControl/>
              <w:jc w:val="center"/>
              <w:rPr>
                <w:rFonts w:ascii="宋体" w:hAnsi="宋体" w:cs="宋体"/>
                <w:color w:val="000000"/>
                <w:kern w:val="0"/>
                <w:sz w:val="18"/>
                <w:szCs w:val="18"/>
              </w:rPr>
            </w:pPr>
            <w:r>
              <w:rPr>
                <w:rFonts w:hint="eastAsia" w:ascii="宋体" w:hAnsi="宋体" w:cs="宋体"/>
                <w:color w:val="000000"/>
                <w:kern w:val="0"/>
                <w:sz w:val="18"/>
                <w:szCs w:val="18"/>
              </w:rPr>
              <w:t>6156</w:t>
            </w:r>
          </w:p>
        </w:tc>
        <w:tc>
          <w:tcPr>
            <w:tcW w:w="2603" w:type="dxa"/>
            <w:shd w:val="clear" w:color="auto" w:fill="auto"/>
            <w:vAlign w:val="center"/>
          </w:tcPr>
          <w:p w14:paraId="239D850F">
            <w:pPr>
              <w:jc w:val="center"/>
            </w:pPr>
            <w:r>
              <w:rPr>
                <w:rFonts w:hint="eastAsia" w:ascii="Calibri" w:hAnsi="Calibri" w:cs="Calibri"/>
                <w:color w:val="000000"/>
                <w:kern w:val="0"/>
                <w:szCs w:val="21"/>
              </w:rPr>
              <w:t>——</w:t>
            </w:r>
          </w:p>
        </w:tc>
      </w:tr>
      <w:tr w14:paraId="2ADC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1D55DEA7">
            <w:pPr>
              <w:widowControl/>
              <w:jc w:val="center"/>
              <w:rPr>
                <w:rFonts w:ascii="宋体" w:hAnsi="宋体" w:cs="宋体"/>
                <w:color w:val="000000"/>
                <w:kern w:val="0"/>
                <w:sz w:val="18"/>
                <w:szCs w:val="18"/>
              </w:rPr>
            </w:pPr>
            <w:r>
              <w:rPr>
                <w:rFonts w:hint="eastAsia" w:ascii="宋体" w:hAnsi="宋体" w:cs="宋体"/>
                <w:color w:val="000000"/>
                <w:kern w:val="0"/>
                <w:sz w:val="18"/>
                <w:szCs w:val="18"/>
              </w:rPr>
              <w:t>城乡建设用地规模</w:t>
            </w:r>
          </w:p>
        </w:tc>
        <w:tc>
          <w:tcPr>
            <w:tcW w:w="2245" w:type="dxa"/>
            <w:shd w:val="clear" w:color="auto" w:fill="auto"/>
            <w:noWrap/>
            <w:vAlign w:val="center"/>
          </w:tcPr>
          <w:p w14:paraId="5BD9DCAB">
            <w:pPr>
              <w:widowControl/>
              <w:jc w:val="center"/>
              <w:rPr>
                <w:rFonts w:ascii="宋体" w:hAnsi="宋体" w:cs="宋体"/>
                <w:color w:val="000000"/>
                <w:kern w:val="0"/>
                <w:sz w:val="18"/>
                <w:szCs w:val="18"/>
              </w:rPr>
            </w:pPr>
            <w:r>
              <w:rPr>
                <w:rFonts w:hint="eastAsia" w:ascii="宋体" w:hAnsi="宋体" w:cs="宋体"/>
                <w:color w:val="000000"/>
                <w:kern w:val="0"/>
                <w:sz w:val="18"/>
                <w:szCs w:val="18"/>
              </w:rPr>
              <w:t>5368.57</w:t>
            </w:r>
          </w:p>
        </w:tc>
        <w:tc>
          <w:tcPr>
            <w:tcW w:w="2603" w:type="dxa"/>
            <w:shd w:val="clear" w:color="auto" w:fill="auto"/>
            <w:vAlign w:val="center"/>
          </w:tcPr>
          <w:p w14:paraId="20E16AF9">
            <w:pPr>
              <w:jc w:val="center"/>
            </w:pPr>
            <w:r>
              <w:rPr>
                <w:rFonts w:hint="eastAsia" w:ascii="Calibri" w:hAnsi="Calibri" w:cs="Calibri"/>
                <w:color w:val="000000"/>
                <w:kern w:val="0"/>
                <w:szCs w:val="21"/>
              </w:rPr>
              <w:t>——</w:t>
            </w:r>
          </w:p>
        </w:tc>
      </w:tr>
      <w:tr w14:paraId="23D1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21128C66">
            <w:pPr>
              <w:widowControl/>
              <w:jc w:val="center"/>
              <w:rPr>
                <w:rFonts w:ascii="宋体" w:hAnsi="宋体" w:cs="宋体"/>
                <w:color w:val="000000"/>
                <w:kern w:val="0"/>
                <w:sz w:val="18"/>
                <w:szCs w:val="18"/>
              </w:rPr>
            </w:pPr>
            <w:r>
              <w:rPr>
                <w:rFonts w:hint="eastAsia" w:ascii="宋体" w:hAnsi="宋体" w:cs="宋体"/>
                <w:color w:val="000000"/>
                <w:kern w:val="0"/>
                <w:sz w:val="18"/>
                <w:szCs w:val="18"/>
              </w:rPr>
              <w:t>城镇工矿用地规模</w:t>
            </w:r>
          </w:p>
        </w:tc>
        <w:tc>
          <w:tcPr>
            <w:tcW w:w="2245" w:type="dxa"/>
            <w:shd w:val="clear" w:color="auto" w:fill="auto"/>
            <w:noWrap/>
            <w:vAlign w:val="center"/>
          </w:tcPr>
          <w:p w14:paraId="47F21C76">
            <w:pPr>
              <w:widowControl/>
              <w:jc w:val="center"/>
              <w:rPr>
                <w:rFonts w:ascii="宋体" w:hAnsi="宋体" w:cs="宋体"/>
                <w:color w:val="000000"/>
                <w:kern w:val="0"/>
                <w:sz w:val="18"/>
                <w:szCs w:val="18"/>
              </w:rPr>
            </w:pPr>
            <w:r>
              <w:rPr>
                <w:rFonts w:hint="eastAsia" w:ascii="宋体" w:hAnsi="宋体" w:cs="宋体"/>
                <w:color w:val="000000"/>
                <w:kern w:val="0"/>
                <w:sz w:val="18"/>
                <w:szCs w:val="18"/>
              </w:rPr>
              <w:t>1967.68</w:t>
            </w:r>
          </w:p>
        </w:tc>
        <w:tc>
          <w:tcPr>
            <w:tcW w:w="2603" w:type="dxa"/>
            <w:shd w:val="clear" w:color="auto" w:fill="auto"/>
            <w:vAlign w:val="center"/>
          </w:tcPr>
          <w:p w14:paraId="5E0EDE8D">
            <w:pPr>
              <w:jc w:val="center"/>
            </w:pPr>
            <w:r>
              <w:rPr>
                <w:rFonts w:hint="eastAsia" w:ascii="Calibri" w:hAnsi="Calibri" w:cs="Calibri"/>
                <w:color w:val="000000"/>
                <w:kern w:val="0"/>
                <w:szCs w:val="21"/>
              </w:rPr>
              <w:t>——</w:t>
            </w:r>
          </w:p>
        </w:tc>
      </w:tr>
      <w:tr w14:paraId="12E6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68FB5FE0">
            <w:pPr>
              <w:widowControl/>
              <w:jc w:val="center"/>
              <w:rPr>
                <w:rFonts w:ascii="宋体" w:hAnsi="宋体" w:cs="宋体"/>
                <w:color w:val="000000"/>
                <w:kern w:val="0"/>
                <w:sz w:val="18"/>
                <w:szCs w:val="18"/>
              </w:rPr>
            </w:pPr>
            <w:r>
              <w:rPr>
                <w:rFonts w:hint="eastAsia" w:ascii="宋体" w:hAnsi="宋体" w:cs="宋体"/>
                <w:color w:val="000000"/>
                <w:kern w:val="0"/>
                <w:sz w:val="18"/>
                <w:szCs w:val="18"/>
              </w:rPr>
              <w:t>新增建设用地规模</w:t>
            </w:r>
          </w:p>
        </w:tc>
        <w:tc>
          <w:tcPr>
            <w:tcW w:w="2245" w:type="dxa"/>
            <w:shd w:val="clear" w:color="auto" w:fill="auto"/>
            <w:noWrap/>
            <w:vAlign w:val="center"/>
          </w:tcPr>
          <w:p w14:paraId="688D4C9D">
            <w:pPr>
              <w:widowControl/>
              <w:jc w:val="center"/>
              <w:rPr>
                <w:rFonts w:ascii="宋体" w:hAnsi="宋体" w:cs="宋体"/>
                <w:color w:val="000000"/>
                <w:kern w:val="0"/>
                <w:sz w:val="18"/>
                <w:szCs w:val="18"/>
              </w:rPr>
            </w:pPr>
            <w:r>
              <w:rPr>
                <w:rFonts w:hint="eastAsia" w:ascii="宋体" w:hAnsi="宋体" w:cs="宋体"/>
                <w:color w:val="000000"/>
                <w:kern w:val="0"/>
                <w:sz w:val="18"/>
                <w:szCs w:val="18"/>
              </w:rPr>
              <w:t>339.69</w:t>
            </w:r>
          </w:p>
        </w:tc>
        <w:tc>
          <w:tcPr>
            <w:tcW w:w="2603" w:type="dxa"/>
            <w:shd w:val="clear" w:color="auto" w:fill="auto"/>
            <w:vAlign w:val="center"/>
          </w:tcPr>
          <w:p w14:paraId="3208E224">
            <w:pPr>
              <w:widowControl/>
              <w:jc w:val="center"/>
              <w:rPr>
                <w:rFonts w:ascii="宋体" w:hAnsi="宋体" w:cs="宋体"/>
                <w:color w:val="000000"/>
                <w:kern w:val="0"/>
                <w:sz w:val="18"/>
                <w:szCs w:val="18"/>
              </w:rPr>
            </w:pPr>
            <w:r>
              <w:rPr>
                <w:rFonts w:hint="eastAsia" w:ascii="宋体" w:hAnsi="宋体" w:cs="宋体"/>
                <w:color w:val="000000"/>
                <w:kern w:val="0"/>
                <w:sz w:val="18"/>
                <w:szCs w:val="18"/>
              </w:rPr>
              <w:t>90.50</w:t>
            </w:r>
          </w:p>
        </w:tc>
      </w:tr>
      <w:tr w14:paraId="0247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5A6EC929">
            <w:pPr>
              <w:widowControl/>
              <w:jc w:val="center"/>
              <w:rPr>
                <w:rFonts w:ascii="宋体" w:hAnsi="宋体" w:cs="宋体"/>
                <w:color w:val="000000"/>
                <w:kern w:val="0"/>
                <w:sz w:val="18"/>
                <w:szCs w:val="18"/>
              </w:rPr>
            </w:pPr>
            <w:r>
              <w:rPr>
                <w:rFonts w:hint="eastAsia" w:ascii="宋体" w:hAnsi="宋体" w:cs="宋体"/>
                <w:color w:val="000000"/>
                <w:kern w:val="0"/>
                <w:sz w:val="18"/>
                <w:szCs w:val="18"/>
              </w:rPr>
              <w:t>新增建设占用农用地规模</w:t>
            </w:r>
          </w:p>
        </w:tc>
        <w:tc>
          <w:tcPr>
            <w:tcW w:w="2245" w:type="dxa"/>
            <w:shd w:val="clear" w:color="auto" w:fill="auto"/>
            <w:noWrap/>
            <w:vAlign w:val="center"/>
          </w:tcPr>
          <w:p w14:paraId="314C2B22">
            <w:pPr>
              <w:widowControl/>
              <w:jc w:val="center"/>
              <w:rPr>
                <w:rFonts w:ascii="宋体" w:hAnsi="宋体" w:cs="宋体"/>
                <w:color w:val="000000"/>
                <w:kern w:val="0"/>
                <w:sz w:val="18"/>
                <w:szCs w:val="18"/>
              </w:rPr>
            </w:pPr>
            <w:r>
              <w:rPr>
                <w:rFonts w:hint="eastAsia" w:ascii="宋体" w:hAnsi="宋体" w:cs="宋体"/>
                <w:color w:val="000000"/>
                <w:kern w:val="0"/>
                <w:sz w:val="18"/>
                <w:szCs w:val="18"/>
              </w:rPr>
              <w:t>322.71</w:t>
            </w:r>
          </w:p>
        </w:tc>
        <w:tc>
          <w:tcPr>
            <w:tcW w:w="2603" w:type="dxa"/>
            <w:shd w:val="clear" w:color="auto" w:fill="auto"/>
            <w:vAlign w:val="center"/>
          </w:tcPr>
          <w:p w14:paraId="6186256E">
            <w:pPr>
              <w:widowControl/>
              <w:jc w:val="center"/>
              <w:rPr>
                <w:rFonts w:ascii="宋体" w:hAnsi="宋体" w:cs="宋体"/>
                <w:color w:val="000000"/>
                <w:kern w:val="0"/>
                <w:sz w:val="18"/>
                <w:szCs w:val="18"/>
              </w:rPr>
            </w:pPr>
            <w:r>
              <w:rPr>
                <w:rFonts w:hint="eastAsia" w:ascii="Calibri" w:hAnsi="Calibri" w:cs="Calibri"/>
                <w:color w:val="000000"/>
                <w:kern w:val="0"/>
                <w:szCs w:val="21"/>
              </w:rPr>
              <w:t>——</w:t>
            </w:r>
          </w:p>
        </w:tc>
      </w:tr>
      <w:tr w14:paraId="6F8C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599FE3D0">
            <w:pPr>
              <w:widowControl/>
              <w:jc w:val="center"/>
              <w:rPr>
                <w:rFonts w:ascii="宋体" w:hAnsi="宋体" w:cs="宋体"/>
                <w:color w:val="000000"/>
                <w:kern w:val="0"/>
                <w:sz w:val="18"/>
                <w:szCs w:val="18"/>
              </w:rPr>
            </w:pPr>
            <w:r>
              <w:rPr>
                <w:rFonts w:hint="eastAsia" w:ascii="宋体" w:hAnsi="宋体" w:cs="宋体"/>
                <w:color w:val="000000"/>
                <w:kern w:val="0"/>
                <w:sz w:val="18"/>
                <w:szCs w:val="18"/>
              </w:rPr>
              <w:t>新增建设占用耕地规模</w:t>
            </w:r>
          </w:p>
        </w:tc>
        <w:tc>
          <w:tcPr>
            <w:tcW w:w="2245" w:type="dxa"/>
            <w:shd w:val="clear" w:color="auto" w:fill="auto"/>
            <w:noWrap/>
            <w:vAlign w:val="center"/>
          </w:tcPr>
          <w:p w14:paraId="0C8D21DB">
            <w:pPr>
              <w:widowControl/>
              <w:jc w:val="center"/>
              <w:rPr>
                <w:rFonts w:ascii="宋体" w:hAnsi="宋体" w:cs="宋体"/>
                <w:color w:val="000000"/>
                <w:kern w:val="0"/>
                <w:sz w:val="18"/>
                <w:szCs w:val="18"/>
              </w:rPr>
            </w:pPr>
            <w:r>
              <w:rPr>
                <w:rFonts w:hint="eastAsia" w:ascii="宋体" w:hAnsi="宋体" w:cs="宋体"/>
                <w:color w:val="000000"/>
                <w:kern w:val="0"/>
                <w:sz w:val="18"/>
                <w:szCs w:val="18"/>
              </w:rPr>
              <w:t>203.32</w:t>
            </w:r>
          </w:p>
        </w:tc>
        <w:tc>
          <w:tcPr>
            <w:tcW w:w="2603" w:type="dxa"/>
            <w:shd w:val="clear" w:color="auto" w:fill="auto"/>
            <w:noWrap/>
            <w:vAlign w:val="center"/>
          </w:tcPr>
          <w:p w14:paraId="0BF03B84">
            <w:pPr>
              <w:widowControl/>
              <w:jc w:val="center"/>
              <w:rPr>
                <w:rFonts w:ascii="宋体" w:hAnsi="宋体" w:cs="宋体"/>
                <w:color w:val="000000"/>
                <w:kern w:val="0"/>
                <w:sz w:val="18"/>
                <w:szCs w:val="18"/>
              </w:rPr>
            </w:pPr>
            <w:r>
              <w:rPr>
                <w:rFonts w:hint="eastAsia" w:ascii="宋体" w:hAnsi="宋体" w:cs="宋体"/>
                <w:color w:val="000000"/>
                <w:kern w:val="0"/>
                <w:sz w:val="18"/>
                <w:szCs w:val="18"/>
              </w:rPr>
              <w:t>59.30</w:t>
            </w:r>
          </w:p>
        </w:tc>
      </w:tr>
      <w:tr w14:paraId="7F02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22BEAE68">
            <w:pPr>
              <w:widowControl/>
              <w:jc w:val="center"/>
              <w:rPr>
                <w:rFonts w:ascii="宋体" w:hAnsi="宋体" w:cs="宋体"/>
                <w:color w:val="000000"/>
                <w:kern w:val="0"/>
                <w:sz w:val="18"/>
                <w:szCs w:val="18"/>
              </w:rPr>
            </w:pPr>
            <w:r>
              <w:rPr>
                <w:rFonts w:hint="eastAsia" w:ascii="宋体" w:hAnsi="宋体" w:cs="宋体"/>
                <w:color w:val="000000"/>
                <w:kern w:val="0"/>
                <w:sz w:val="18"/>
                <w:szCs w:val="18"/>
              </w:rPr>
              <w:t>土地整治补充耕地规模</w:t>
            </w:r>
          </w:p>
        </w:tc>
        <w:tc>
          <w:tcPr>
            <w:tcW w:w="2245" w:type="dxa"/>
            <w:shd w:val="clear" w:color="auto" w:fill="auto"/>
            <w:noWrap/>
            <w:vAlign w:val="center"/>
          </w:tcPr>
          <w:p w14:paraId="6C169051">
            <w:pPr>
              <w:widowControl/>
              <w:jc w:val="center"/>
              <w:rPr>
                <w:rFonts w:ascii="宋体" w:hAnsi="宋体" w:cs="宋体"/>
                <w:color w:val="000000"/>
                <w:kern w:val="0"/>
                <w:sz w:val="18"/>
                <w:szCs w:val="18"/>
              </w:rPr>
            </w:pPr>
            <w:r>
              <w:rPr>
                <w:rFonts w:hint="eastAsia" w:ascii="宋体" w:hAnsi="宋体" w:cs="宋体"/>
                <w:color w:val="000000"/>
                <w:kern w:val="0"/>
                <w:sz w:val="18"/>
                <w:szCs w:val="18"/>
              </w:rPr>
              <w:t>159.51</w:t>
            </w:r>
          </w:p>
        </w:tc>
        <w:tc>
          <w:tcPr>
            <w:tcW w:w="2603" w:type="dxa"/>
            <w:shd w:val="clear" w:color="auto" w:fill="auto"/>
            <w:vAlign w:val="center"/>
          </w:tcPr>
          <w:p w14:paraId="70B6BE2D">
            <w:pPr>
              <w:jc w:val="center"/>
            </w:pPr>
            <w:r>
              <w:rPr>
                <w:rFonts w:hint="eastAsia" w:ascii="Calibri" w:hAnsi="Calibri" w:cs="Calibri"/>
                <w:color w:val="000000"/>
                <w:kern w:val="0"/>
                <w:szCs w:val="21"/>
              </w:rPr>
              <w:t>——</w:t>
            </w:r>
          </w:p>
        </w:tc>
      </w:tr>
      <w:tr w14:paraId="4C83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4138CCED">
            <w:pPr>
              <w:widowControl/>
              <w:jc w:val="center"/>
              <w:rPr>
                <w:rFonts w:ascii="宋体" w:hAnsi="宋体" w:cs="宋体"/>
                <w:color w:val="000000"/>
                <w:kern w:val="0"/>
                <w:sz w:val="18"/>
                <w:szCs w:val="18"/>
              </w:rPr>
            </w:pPr>
            <w:r>
              <w:rPr>
                <w:rFonts w:hint="eastAsia" w:ascii="宋体" w:hAnsi="宋体" w:cs="宋体"/>
                <w:color w:val="000000"/>
                <w:kern w:val="0"/>
                <w:sz w:val="18"/>
                <w:szCs w:val="18"/>
              </w:rPr>
              <w:t>人均城镇工矿用地规模（平方米/人）</w:t>
            </w:r>
          </w:p>
        </w:tc>
        <w:tc>
          <w:tcPr>
            <w:tcW w:w="2245" w:type="dxa"/>
            <w:shd w:val="clear" w:color="auto" w:fill="auto"/>
            <w:vAlign w:val="center"/>
          </w:tcPr>
          <w:p w14:paraId="26201EAB">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2603" w:type="dxa"/>
            <w:shd w:val="clear" w:color="auto" w:fill="auto"/>
            <w:vAlign w:val="center"/>
          </w:tcPr>
          <w:p w14:paraId="187E9DE7">
            <w:pPr>
              <w:jc w:val="center"/>
            </w:pPr>
            <w:r>
              <w:rPr>
                <w:rFonts w:hint="eastAsia" w:ascii="Calibri" w:hAnsi="Calibri" w:cs="Calibri"/>
                <w:color w:val="000000"/>
                <w:kern w:val="0"/>
                <w:szCs w:val="21"/>
              </w:rPr>
              <w:t>——</w:t>
            </w:r>
          </w:p>
        </w:tc>
      </w:tr>
      <w:tr w14:paraId="0B94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38" w:type="dxa"/>
            <w:shd w:val="clear" w:color="auto" w:fill="auto"/>
            <w:vAlign w:val="center"/>
          </w:tcPr>
          <w:p w14:paraId="26B3E9C4">
            <w:pPr>
              <w:widowControl/>
              <w:jc w:val="center"/>
              <w:rPr>
                <w:rFonts w:ascii="宋体" w:hAnsi="宋体" w:cs="宋体"/>
                <w:color w:val="000000"/>
                <w:kern w:val="0"/>
                <w:sz w:val="18"/>
                <w:szCs w:val="18"/>
              </w:rPr>
            </w:pPr>
            <w:r>
              <w:rPr>
                <w:rFonts w:hint="eastAsia" w:ascii="宋体" w:hAnsi="宋体" w:cs="宋体"/>
                <w:color w:val="000000"/>
                <w:kern w:val="0"/>
                <w:sz w:val="18"/>
                <w:szCs w:val="18"/>
              </w:rPr>
              <w:t>坝区耕地划入基本农田面积</w:t>
            </w:r>
          </w:p>
        </w:tc>
        <w:tc>
          <w:tcPr>
            <w:tcW w:w="2245" w:type="dxa"/>
            <w:shd w:val="clear" w:color="auto" w:fill="auto"/>
            <w:vAlign w:val="center"/>
          </w:tcPr>
          <w:p w14:paraId="2BB9645B">
            <w:pPr>
              <w:widowControl/>
              <w:jc w:val="center"/>
              <w:rPr>
                <w:rFonts w:ascii="宋体" w:hAnsi="宋体" w:cs="宋体"/>
                <w:color w:val="000000"/>
                <w:kern w:val="0"/>
                <w:sz w:val="18"/>
                <w:szCs w:val="18"/>
              </w:rPr>
            </w:pPr>
            <w:r>
              <w:rPr>
                <w:rFonts w:hint="eastAsia" w:ascii="宋体" w:hAnsi="宋体" w:cs="宋体"/>
                <w:color w:val="000000"/>
                <w:kern w:val="0"/>
                <w:sz w:val="18"/>
                <w:szCs w:val="18"/>
              </w:rPr>
              <w:t>1135.45</w:t>
            </w:r>
          </w:p>
        </w:tc>
        <w:tc>
          <w:tcPr>
            <w:tcW w:w="2603" w:type="dxa"/>
            <w:shd w:val="clear" w:color="auto" w:fill="auto"/>
            <w:vAlign w:val="center"/>
          </w:tcPr>
          <w:p w14:paraId="735A7800">
            <w:pPr>
              <w:jc w:val="center"/>
            </w:pPr>
            <w:r>
              <w:rPr>
                <w:rFonts w:hint="eastAsia" w:ascii="Calibri" w:hAnsi="Calibri" w:cs="Calibri"/>
                <w:color w:val="000000"/>
                <w:kern w:val="0"/>
                <w:szCs w:val="21"/>
              </w:rPr>
              <w:t>——</w:t>
            </w:r>
          </w:p>
        </w:tc>
      </w:tr>
    </w:tbl>
    <w:p w14:paraId="27410955">
      <w:pPr>
        <w:pStyle w:val="3"/>
        <w:jc w:val="center"/>
        <w:rPr>
          <w:b w:val="0"/>
          <w:color w:val="000000"/>
          <w:sz w:val="28"/>
          <w:szCs w:val="28"/>
        </w:rPr>
      </w:pPr>
      <w:bookmarkStart w:id="114" w:name="_Toc491074902"/>
      <w:r>
        <w:rPr>
          <w:rFonts w:hint="eastAsia"/>
          <w:b w:val="0"/>
          <w:color w:val="000000"/>
          <w:sz w:val="28"/>
          <w:szCs w:val="28"/>
        </w:rPr>
        <w:t>第一节  耕地保有量调整</w:t>
      </w:r>
      <w:bookmarkEnd w:id="114"/>
    </w:p>
    <w:p w14:paraId="2097689B">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一、调整原则</w:t>
      </w:r>
    </w:p>
    <w:p w14:paraId="53740FD4">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按照昆明市下达的耕地保有量指标，合理确定东川区各街道耕地保有量。依据</w:t>
      </w:r>
      <w:r>
        <w:rPr>
          <w:rFonts w:ascii="仿宋_GB2312" w:hAnsi="宋体" w:eastAsia="仿宋_GB2312"/>
          <w:kern w:val="0"/>
          <w:sz w:val="28"/>
          <w:szCs w:val="28"/>
        </w:rPr>
        <w:t xml:space="preserve">2014 </w:t>
      </w:r>
      <w:r>
        <w:rPr>
          <w:rFonts w:hint="eastAsia" w:ascii="仿宋_GB2312" w:hAnsi="宋体" w:eastAsia="仿宋_GB2312"/>
          <w:kern w:val="0"/>
          <w:sz w:val="28"/>
          <w:szCs w:val="28"/>
        </w:rPr>
        <w:t>年东川区现状耕地和耕地质量利用等别分级成果，遵循耕地保护优先，数量质量并重的原则，按照坚守耕地保护红线，确保实有耕地数量基本稳定的要求，合理确定耕地保有量。</w:t>
      </w:r>
    </w:p>
    <w:p w14:paraId="18345F18">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二、调整思路</w:t>
      </w:r>
    </w:p>
    <w:p w14:paraId="755295BE">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此次调整完善以东川区二次调查连续变更到2014年的现状耕地为基础，综合考虑调整完善上级下达新增建设用地占用耕地面积、生态退耕规模、不稳定耕地面积以及其他特殊因素可能较少耕地面积，分解各乡镇耕地保有量指标。调整方法如下：</w:t>
      </w:r>
    </w:p>
    <w:p w14:paraId="5F2F3B2B">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2020年耕地保有量=2014年现状耕地面积-调整完善新增建设用地占用耕地面积-生态退耕面积-不稳定耕地面积-其他特殊因素可能减少耕地面积。</w:t>
      </w:r>
    </w:p>
    <w:p w14:paraId="642B5F8F">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按照耕地保有量调整思路，东川区2014年现状耕地32403.40公顷，调整完善昆明市下达东川区新增建设用地占用耕地203.32公顷，东川区生态退耕面积为1780.47公顷，不稳定耕地889.10公顷，其他因素可能减少耕地面积为46.29公顷。</w:t>
      </w:r>
    </w:p>
    <w:p w14:paraId="2289AACD">
      <w:pPr>
        <w:jc w:val="center"/>
        <w:outlineLvl w:val="4"/>
        <w:rPr>
          <w:rFonts w:ascii="宋体" w:hAnsi="宋体"/>
          <w:b/>
          <w:sz w:val="24"/>
        </w:rPr>
      </w:pPr>
      <w:r>
        <w:rPr>
          <w:rFonts w:hint="eastAsia" w:ascii="宋体" w:hAnsi="宋体"/>
          <w:b/>
          <w:sz w:val="24"/>
        </w:rPr>
        <w:t>表5-2  东川区各乡镇耕地保有量指标计算表</w:t>
      </w:r>
    </w:p>
    <w:p w14:paraId="1FFF1388">
      <w:pPr>
        <w:spacing w:line="360" w:lineRule="auto"/>
        <w:ind w:firstLine="600"/>
        <w:jc w:val="right"/>
        <w:rPr>
          <w:rFonts w:ascii="宋体" w:hAnsi="宋体"/>
          <w:color w:val="000000"/>
          <w:sz w:val="18"/>
          <w:szCs w:val="18"/>
        </w:rPr>
      </w:pPr>
      <w:r>
        <w:rPr>
          <w:rFonts w:hint="eastAsia" w:ascii="宋体" w:hAnsi="宋体"/>
          <w:color w:val="000000"/>
          <w:sz w:val="18"/>
          <w:szCs w:val="18"/>
        </w:rPr>
        <w:t>单位：公顷</w:t>
      </w:r>
    </w:p>
    <w:tbl>
      <w:tblPr>
        <w:tblStyle w:val="27"/>
        <w:tblW w:w="11023" w:type="dxa"/>
        <w:jc w:val="center"/>
        <w:tblLayout w:type="autofit"/>
        <w:tblCellMar>
          <w:top w:w="0" w:type="dxa"/>
          <w:left w:w="108" w:type="dxa"/>
          <w:bottom w:w="0" w:type="dxa"/>
          <w:right w:w="108" w:type="dxa"/>
        </w:tblCellMar>
      </w:tblPr>
      <w:tblGrid>
        <w:gridCol w:w="1119"/>
        <w:gridCol w:w="1708"/>
        <w:gridCol w:w="2204"/>
        <w:gridCol w:w="1432"/>
        <w:gridCol w:w="1661"/>
        <w:gridCol w:w="1119"/>
        <w:gridCol w:w="1780"/>
      </w:tblGrid>
      <w:tr w14:paraId="33F2AE63">
        <w:tblPrEx>
          <w:tblCellMar>
            <w:top w:w="0" w:type="dxa"/>
            <w:left w:w="108" w:type="dxa"/>
            <w:bottom w:w="0" w:type="dxa"/>
            <w:right w:w="108" w:type="dxa"/>
          </w:tblCellMar>
        </w:tblPrEx>
        <w:trPr>
          <w:trHeight w:val="432" w:hRule="atLeast"/>
          <w:jc w:val="center"/>
        </w:trPr>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64C57884">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行政辖区</w:t>
            </w:r>
          </w:p>
        </w:tc>
        <w:tc>
          <w:tcPr>
            <w:tcW w:w="1708" w:type="dxa"/>
            <w:tcBorders>
              <w:top w:val="single" w:color="auto" w:sz="4" w:space="0"/>
              <w:left w:val="nil"/>
              <w:bottom w:val="single" w:color="auto" w:sz="4" w:space="0"/>
              <w:right w:val="single" w:color="auto" w:sz="4" w:space="0"/>
            </w:tcBorders>
            <w:shd w:val="clear" w:color="auto" w:fill="auto"/>
            <w:vAlign w:val="center"/>
          </w:tcPr>
          <w:p w14:paraId="348949D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2014年现状耕地</w:t>
            </w:r>
          </w:p>
        </w:tc>
        <w:tc>
          <w:tcPr>
            <w:tcW w:w="2204" w:type="dxa"/>
            <w:tcBorders>
              <w:top w:val="single" w:color="auto" w:sz="4" w:space="0"/>
              <w:left w:val="nil"/>
              <w:bottom w:val="single" w:color="auto" w:sz="4" w:space="0"/>
              <w:right w:val="single" w:color="auto" w:sz="4" w:space="0"/>
            </w:tcBorders>
            <w:shd w:val="clear" w:color="auto" w:fill="auto"/>
            <w:vAlign w:val="center"/>
          </w:tcPr>
          <w:p w14:paraId="5EAA4D8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新增建设用地占用耕地</w:t>
            </w:r>
          </w:p>
        </w:tc>
        <w:tc>
          <w:tcPr>
            <w:tcW w:w="1432" w:type="dxa"/>
            <w:tcBorders>
              <w:top w:val="single" w:color="auto" w:sz="4" w:space="0"/>
              <w:left w:val="nil"/>
              <w:bottom w:val="single" w:color="auto" w:sz="4" w:space="0"/>
              <w:right w:val="single" w:color="auto" w:sz="4" w:space="0"/>
            </w:tcBorders>
            <w:shd w:val="clear" w:color="auto" w:fill="auto"/>
            <w:vAlign w:val="center"/>
          </w:tcPr>
          <w:p w14:paraId="65AB74C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生态退耕面积</w:t>
            </w:r>
          </w:p>
        </w:tc>
        <w:tc>
          <w:tcPr>
            <w:tcW w:w="1661" w:type="dxa"/>
            <w:tcBorders>
              <w:top w:val="single" w:color="auto" w:sz="4" w:space="0"/>
              <w:left w:val="nil"/>
              <w:bottom w:val="single" w:color="auto" w:sz="4" w:space="0"/>
              <w:right w:val="single" w:color="auto" w:sz="4" w:space="0"/>
            </w:tcBorders>
            <w:shd w:val="clear" w:color="auto" w:fill="auto"/>
            <w:vAlign w:val="center"/>
          </w:tcPr>
          <w:p w14:paraId="6E66FD3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不稳定耕地面积</w:t>
            </w:r>
          </w:p>
        </w:tc>
        <w:tc>
          <w:tcPr>
            <w:tcW w:w="1119" w:type="dxa"/>
            <w:tcBorders>
              <w:top w:val="single" w:color="auto" w:sz="4" w:space="0"/>
              <w:left w:val="nil"/>
              <w:bottom w:val="single" w:color="auto" w:sz="4" w:space="0"/>
              <w:right w:val="single" w:color="auto" w:sz="4" w:space="0"/>
            </w:tcBorders>
            <w:shd w:val="clear" w:color="auto" w:fill="auto"/>
            <w:vAlign w:val="center"/>
          </w:tcPr>
          <w:p w14:paraId="240F67E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其他因素</w:t>
            </w:r>
          </w:p>
        </w:tc>
        <w:tc>
          <w:tcPr>
            <w:tcW w:w="1780" w:type="dxa"/>
            <w:tcBorders>
              <w:top w:val="single" w:color="auto" w:sz="4" w:space="0"/>
              <w:left w:val="nil"/>
              <w:bottom w:val="single" w:color="auto" w:sz="4" w:space="0"/>
              <w:right w:val="single" w:color="auto" w:sz="4" w:space="0"/>
            </w:tcBorders>
            <w:shd w:val="clear" w:color="auto" w:fill="auto"/>
            <w:vAlign w:val="center"/>
          </w:tcPr>
          <w:p w14:paraId="10F3353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2020年耕地保有量</w:t>
            </w:r>
          </w:p>
        </w:tc>
      </w:tr>
      <w:tr w14:paraId="0C273475">
        <w:tblPrEx>
          <w:tblCellMar>
            <w:top w:w="0" w:type="dxa"/>
            <w:left w:w="108" w:type="dxa"/>
            <w:bottom w:w="0" w:type="dxa"/>
            <w:right w:w="108" w:type="dxa"/>
          </w:tblCellMar>
        </w:tblPrEx>
        <w:trPr>
          <w:trHeight w:val="288"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24D0E0D5">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708" w:type="dxa"/>
            <w:tcBorders>
              <w:top w:val="nil"/>
              <w:left w:val="nil"/>
              <w:bottom w:val="single" w:color="auto" w:sz="4" w:space="0"/>
              <w:right w:val="single" w:color="auto" w:sz="4" w:space="0"/>
            </w:tcBorders>
            <w:shd w:val="clear" w:color="auto" w:fill="auto"/>
            <w:noWrap/>
            <w:vAlign w:val="center"/>
          </w:tcPr>
          <w:p w14:paraId="7DA017F0">
            <w:pPr>
              <w:widowControl/>
              <w:jc w:val="center"/>
              <w:rPr>
                <w:rFonts w:ascii="宋体" w:hAnsi="宋体" w:cs="宋体"/>
                <w:color w:val="000000"/>
                <w:kern w:val="0"/>
                <w:sz w:val="18"/>
                <w:szCs w:val="18"/>
              </w:rPr>
            </w:pPr>
            <w:r>
              <w:rPr>
                <w:rFonts w:hint="eastAsia" w:ascii="宋体" w:hAnsi="宋体" w:cs="宋体"/>
                <w:color w:val="000000"/>
                <w:kern w:val="0"/>
                <w:sz w:val="18"/>
                <w:szCs w:val="18"/>
              </w:rPr>
              <w:t>6000.61</w:t>
            </w:r>
          </w:p>
        </w:tc>
        <w:tc>
          <w:tcPr>
            <w:tcW w:w="2204" w:type="dxa"/>
            <w:tcBorders>
              <w:top w:val="nil"/>
              <w:left w:val="nil"/>
              <w:bottom w:val="single" w:color="auto" w:sz="4" w:space="0"/>
              <w:right w:val="single" w:color="auto" w:sz="4" w:space="0"/>
            </w:tcBorders>
            <w:shd w:val="clear" w:color="auto" w:fill="auto"/>
            <w:noWrap/>
            <w:vAlign w:val="center"/>
          </w:tcPr>
          <w:p w14:paraId="003D8727">
            <w:pPr>
              <w:widowControl/>
              <w:jc w:val="center"/>
              <w:rPr>
                <w:rFonts w:ascii="宋体" w:hAnsi="宋体" w:cs="宋体"/>
                <w:color w:val="000000"/>
                <w:kern w:val="0"/>
                <w:sz w:val="18"/>
                <w:szCs w:val="18"/>
              </w:rPr>
            </w:pPr>
            <w:r>
              <w:rPr>
                <w:rFonts w:hint="eastAsia" w:ascii="宋体" w:hAnsi="宋体" w:cs="宋体"/>
                <w:color w:val="000000"/>
                <w:kern w:val="0"/>
                <w:sz w:val="18"/>
                <w:szCs w:val="18"/>
              </w:rPr>
              <w:t>10.33</w:t>
            </w:r>
          </w:p>
        </w:tc>
        <w:tc>
          <w:tcPr>
            <w:tcW w:w="1432" w:type="dxa"/>
            <w:tcBorders>
              <w:top w:val="nil"/>
              <w:left w:val="nil"/>
              <w:bottom w:val="single" w:color="auto" w:sz="4" w:space="0"/>
              <w:right w:val="single" w:color="auto" w:sz="4" w:space="0"/>
            </w:tcBorders>
            <w:shd w:val="clear" w:color="auto" w:fill="auto"/>
            <w:noWrap/>
            <w:vAlign w:val="center"/>
          </w:tcPr>
          <w:p w14:paraId="1BDD52E5">
            <w:pPr>
              <w:widowControl/>
              <w:jc w:val="center"/>
              <w:rPr>
                <w:rFonts w:ascii="宋体" w:hAnsi="宋体" w:cs="宋体"/>
                <w:color w:val="000000"/>
                <w:kern w:val="0"/>
                <w:sz w:val="18"/>
                <w:szCs w:val="18"/>
              </w:rPr>
            </w:pPr>
            <w:r>
              <w:rPr>
                <w:rFonts w:hint="eastAsia" w:ascii="宋体" w:hAnsi="宋体" w:cs="宋体"/>
                <w:color w:val="000000"/>
                <w:kern w:val="0"/>
                <w:sz w:val="18"/>
                <w:szCs w:val="18"/>
              </w:rPr>
              <w:t>436.87</w:t>
            </w:r>
          </w:p>
        </w:tc>
        <w:tc>
          <w:tcPr>
            <w:tcW w:w="1661" w:type="dxa"/>
            <w:tcBorders>
              <w:top w:val="nil"/>
              <w:left w:val="nil"/>
              <w:bottom w:val="single" w:color="auto" w:sz="4" w:space="0"/>
              <w:right w:val="single" w:color="auto" w:sz="4" w:space="0"/>
            </w:tcBorders>
            <w:shd w:val="clear" w:color="auto" w:fill="auto"/>
            <w:noWrap/>
            <w:vAlign w:val="center"/>
          </w:tcPr>
          <w:p w14:paraId="258D18AA">
            <w:pPr>
              <w:widowControl/>
              <w:jc w:val="center"/>
              <w:rPr>
                <w:rFonts w:ascii="宋体" w:hAnsi="宋体" w:cs="宋体"/>
                <w:color w:val="000000"/>
                <w:kern w:val="0"/>
                <w:sz w:val="18"/>
                <w:szCs w:val="18"/>
              </w:rPr>
            </w:pPr>
            <w:r>
              <w:rPr>
                <w:rFonts w:hint="eastAsia" w:ascii="宋体" w:hAnsi="宋体" w:cs="宋体"/>
                <w:color w:val="000000"/>
                <w:kern w:val="0"/>
                <w:sz w:val="18"/>
                <w:szCs w:val="18"/>
              </w:rPr>
              <w:t>110.13</w:t>
            </w:r>
          </w:p>
        </w:tc>
        <w:tc>
          <w:tcPr>
            <w:tcW w:w="1119" w:type="dxa"/>
            <w:tcBorders>
              <w:top w:val="nil"/>
              <w:left w:val="nil"/>
              <w:bottom w:val="nil"/>
              <w:right w:val="nil"/>
            </w:tcBorders>
            <w:shd w:val="clear" w:color="auto" w:fill="auto"/>
            <w:noWrap/>
            <w:vAlign w:val="center"/>
          </w:tcPr>
          <w:p w14:paraId="1D371A8F">
            <w:pPr>
              <w:widowControl/>
              <w:rPr>
                <w:rFonts w:ascii="宋体" w:hAnsi="宋体" w:cs="宋体"/>
                <w:color w:val="000000"/>
                <w:kern w:val="0"/>
                <w:sz w:val="18"/>
                <w:szCs w:val="18"/>
              </w:rPr>
            </w:pPr>
          </w:p>
        </w:tc>
        <w:tc>
          <w:tcPr>
            <w:tcW w:w="1780" w:type="dxa"/>
            <w:tcBorders>
              <w:top w:val="nil"/>
              <w:left w:val="single" w:color="auto" w:sz="4" w:space="0"/>
              <w:bottom w:val="single" w:color="auto" w:sz="4" w:space="0"/>
              <w:right w:val="single" w:color="auto" w:sz="4" w:space="0"/>
            </w:tcBorders>
            <w:shd w:val="clear" w:color="auto" w:fill="auto"/>
            <w:noWrap/>
            <w:vAlign w:val="center"/>
          </w:tcPr>
          <w:p w14:paraId="6A9221A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5443.28 </w:t>
            </w:r>
          </w:p>
        </w:tc>
      </w:tr>
      <w:tr w14:paraId="200B49B9">
        <w:tblPrEx>
          <w:tblCellMar>
            <w:top w:w="0" w:type="dxa"/>
            <w:left w:w="108" w:type="dxa"/>
            <w:bottom w:w="0" w:type="dxa"/>
            <w:right w:w="108" w:type="dxa"/>
          </w:tblCellMar>
        </w:tblPrEx>
        <w:trPr>
          <w:trHeight w:val="288"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7EA98AEB">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708" w:type="dxa"/>
            <w:tcBorders>
              <w:top w:val="nil"/>
              <w:left w:val="nil"/>
              <w:bottom w:val="single" w:color="auto" w:sz="4" w:space="0"/>
              <w:right w:val="single" w:color="auto" w:sz="4" w:space="0"/>
            </w:tcBorders>
            <w:shd w:val="clear" w:color="auto" w:fill="auto"/>
            <w:noWrap/>
            <w:vAlign w:val="center"/>
          </w:tcPr>
          <w:p w14:paraId="6A27F6F8">
            <w:pPr>
              <w:widowControl/>
              <w:jc w:val="center"/>
              <w:rPr>
                <w:rFonts w:ascii="宋体" w:hAnsi="宋体" w:cs="宋体"/>
                <w:color w:val="000000"/>
                <w:kern w:val="0"/>
                <w:sz w:val="18"/>
                <w:szCs w:val="18"/>
              </w:rPr>
            </w:pPr>
            <w:r>
              <w:rPr>
                <w:rFonts w:hint="eastAsia" w:ascii="宋体" w:hAnsi="宋体" w:cs="宋体"/>
                <w:color w:val="000000"/>
                <w:kern w:val="0"/>
                <w:sz w:val="18"/>
                <w:szCs w:val="18"/>
              </w:rPr>
              <w:t>7469.56</w:t>
            </w:r>
          </w:p>
        </w:tc>
        <w:tc>
          <w:tcPr>
            <w:tcW w:w="2204" w:type="dxa"/>
            <w:tcBorders>
              <w:top w:val="nil"/>
              <w:left w:val="nil"/>
              <w:bottom w:val="single" w:color="auto" w:sz="4" w:space="0"/>
              <w:right w:val="single" w:color="auto" w:sz="4" w:space="0"/>
            </w:tcBorders>
            <w:shd w:val="clear" w:color="auto" w:fill="auto"/>
            <w:noWrap/>
            <w:vAlign w:val="center"/>
          </w:tcPr>
          <w:p w14:paraId="2B6EDBFE">
            <w:pPr>
              <w:widowControl/>
              <w:jc w:val="center"/>
              <w:rPr>
                <w:rFonts w:ascii="宋体" w:hAnsi="宋体" w:cs="宋体"/>
                <w:color w:val="000000"/>
                <w:kern w:val="0"/>
                <w:sz w:val="18"/>
                <w:szCs w:val="18"/>
              </w:rPr>
            </w:pPr>
            <w:r>
              <w:rPr>
                <w:rFonts w:hint="eastAsia" w:ascii="宋体" w:hAnsi="宋体" w:cs="宋体"/>
                <w:color w:val="000000"/>
                <w:kern w:val="0"/>
                <w:sz w:val="18"/>
                <w:szCs w:val="18"/>
              </w:rPr>
              <w:t>109.72</w:t>
            </w:r>
          </w:p>
        </w:tc>
        <w:tc>
          <w:tcPr>
            <w:tcW w:w="1432" w:type="dxa"/>
            <w:tcBorders>
              <w:top w:val="nil"/>
              <w:left w:val="nil"/>
              <w:bottom w:val="single" w:color="auto" w:sz="4" w:space="0"/>
              <w:right w:val="single" w:color="auto" w:sz="4" w:space="0"/>
            </w:tcBorders>
            <w:shd w:val="clear" w:color="auto" w:fill="auto"/>
            <w:noWrap/>
            <w:vAlign w:val="center"/>
          </w:tcPr>
          <w:p w14:paraId="72895EA7">
            <w:pPr>
              <w:widowControl/>
              <w:jc w:val="center"/>
              <w:rPr>
                <w:rFonts w:ascii="宋体" w:hAnsi="宋体" w:cs="宋体"/>
                <w:color w:val="000000"/>
                <w:kern w:val="0"/>
                <w:sz w:val="18"/>
                <w:szCs w:val="18"/>
              </w:rPr>
            </w:pPr>
            <w:r>
              <w:rPr>
                <w:rFonts w:hint="eastAsia" w:ascii="宋体" w:hAnsi="宋体" w:cs="宋体"/>
                <w:color w:val="000000"/>
                <w:kern w:val="0"/>
                <w:sz w:val="18"/>
                <w:szCs w:val="18"/>
              </w:rPr>
              <w:t>507.04</w:t>
            </w:r>
          </w:p>
        </w:tc>
        <w:tc>
          <w:tcPr>
            <w:tcW w:w="1661" w:type="dxa"/>
            <w:tcBorders>
              <w:top w:val="nil"/>
              <w:left w:val="nil"/>
              <w:bottom w:val="single" w:color="auto" w:sz="4" w:space="0"/>
              <w:right w:val="single" w:color="auto" w:sz="4" w:space="0"/>
            </w:tcBorders>
            <w:shd w:val="clear" w:color="auto" w:fill="auto"/>
            <w:noWrap/>
            <w:vAlign w:val="center"/>
          </w:tcPr>
          <w:p w14:paraId="18CBC8CC">
            <w:pPr>
              <w:widowControl/>
              <w:jc w:val="center"/>
              <w:rPr>
                <w:rFonts w:ascii="宋体" w:hAnsi="宋体" w:cs="宋体"/>
                <w:color w:val="000000"/>
                <w:kern w:val="0"/>
                <w:sz w:val="18"/>
                <w:szCs w:val="18"/>
              </w:rPr>
            </w:pPr>
            <w:r>
              <w:rPr>
                <w:rFonts w:hint="eastAsia" w:ascii="宋体" w:hAnsi="宋体" w:cs="宋体"/>
                <w:color w:val="000000"/>
                <w:kern w:val="0"/>
                <w:sz w:val="18"/>
                <w:szCs w:val="18"/>
              </w:rPr>
              <w:t>211.91</w:t>
            </w:r>
          </w:p>
        </w:tc>
        <w:tc>
          <w:tcPr>
            <w:tcW w:w="1119" w:type="dxa"/>
            <w:tcBorders>
              <w:top w:val="single" w:color="auto" w:sz="4" w:space="0"/>
              <w:left w:val="nil"/>
              <w:bottom w:val="single" w:color="auto" w:sz="4" w:space="0"/>
              <w:right w:val="single" w:color="auto" w:sz="4" w:space="0"/>
            </w:tcBorders>
            <w:shd w:val="clear" w:color="auto" w:fill="auto"/>
            <w:noWrap/>
            <w:vAlign w:val="center"/>
          </w:tcPr>
          <w:p w14:paraId="00F40ED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46.29 </w:t>
            </w:r>
          </w:p>
        </w:tc>
        <w:tc>
          <w:tcPr>
            <w:tcW w:w="1780" w:type="dxa"/>
            <w:tcBorders>
              <w:top w:val="nil"/>
              <w:left w:val="nil"/>
              <w:bottom w:val="single" w:color="auto" w:sz="4" w:space="0"/>
              <w:right w:val="single" w:color="auto" w:sz="4" w:space="0"/>
            </w:tcBorders>
            <w:shd w:val="clear" w:color="auto" w:fill="auto"/>
            <w:noWrap/>
            <w:vAlign w:val="center"/>
          </w:tcPr>
          <w:p w14:paraId="2E9538E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6594.60 </w:t>
            </w:r>
          </w:p>
        </w:tc>
      </w:tr>
      <w:tr w14:paraId="5021EF65">
        <w:tblPrEx>
          <w:tblCellMar>
            <w:top w:w="0" w:type="dxa"/>
            <w:left w:w="108" w:type="dxa"/>
            <w:bottom w:w="0" w:type="dxa"/>
            <w:right w:w="108" w:type="dxa"/>
          </w:tblCellMar>
        </w:tblPrEx>
        <w:trPr>
          <w:trHeight w:val="288"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73066BF2">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708" w:type="dxa"/>
            <w:tcBorders>
              <w:top w:val="nil"/>
              <w:left w:val="nil"/>
              <w:bottom w:val="single" w:color="auto" w:sz="4" w:space="0"/>
              <w:right w:val="single" w:color="auto" w:sz="4" w:space="0"/>
            </w:tcBorders>
            <w:shd w:val="clear" w:color="auto" w:fill="auto"/>
            <w:noWrap/>
            <w:vAlign w:val="center"/>
          </w:tcPr>
          <w:p w14:paraId="798F5B33">
            <w:pPr>
              <w:widowControl/>
              <w:jc w:val="center"/>
              <w:rPr>
                <w:rFonts w:ascii="宋体" w:hAnsi="宋体" w:cs="宋体"/>
                <w:color w:val="000000"/>
                <w:kern w:val="0"/>
                <w:sz w:val="18"/>
                <w:szCs w:val="18"/>
              </w:rPr>
            </w:pPr>
            <w:r>
              <w:rPr>
                <w:rFonts w:hint="eastAsia" w:ascii="宋体" w:hAnsi="宋体" w:cs="宋体"/>
                <w:color w:val="000000"/>
                <w:kern w:val="0"/>
                <w:sz w:val="18"/>
                <w:szCs w:val="18"/>
              </w:rPr>
              <w:t>3557.45</w:t>
            </w:r>
          </w:p>
        </w:tc>
        <w:tc>
          <w:tcPr>
            <w:tcW w:w="2204" w:type="dxa"/>
            <w:tcBorders>
              <w:top w:val="nil"/>
              <w:left w:val="nil"/>
              <w:bottom w:val="single" w:color="auto" w:sz="4" w:space="0"/>
              <w:right w:val="single" w:color="auto" w:sz="4" w:space="0"/>
            </w:tcBorders>
            <w:shd w:val="clear" w:color="auto" w:fill="auto"/>
            <w:noWrap/>
            <w:vAlign w:val="center"/>
          </w:tcPr>
          <w:p w14:paraId="080CB3F2">
            <w:pPr>
              <w:widowControl/>
              <w:jc w:val="center"/>
              <w:rPr>
                <w:rFonts w:ascii="宋体" w:hAnsi="宋体" w:cs="宋体"/>
                <w:color w:val="000000"/>
                <w:kern w:val="0"/>
                <w:sz w:val="18"/>
                <w:szCs w:val="18"/>
              </w:rPr>
            </w:pPr>
            <w:r>
              <w:rPr>
                <w:rFonts w:hint="eastAsia" w:ascii="宋体" w:hAnsi="宋体" w:cs="宋体"/>
                <w:color w:val="000000"/>
                <w:kern w:val="0"/>
                <w:sz w:val="18"/>
                <w:szCs w:val="18"/>
              </w:rPr>
              <w:t>11.41</w:t>
            </w:r>
          </w:p>
        </w:tc>
        <w:tc>
          <w:tcPr>
            <w:tcW w:w="1432" w:type="dxa"/>
            <w:tcBorders>
              <w:top w:val="nil"/>
              <w:left w:val="nil"/>
              <w:bottom w:val="single" w:color="auto" w:sz="4" w:space="0"/>
              <w:right w:val="single" w:color="auto" w:sz="4" w:space="0"/>
            </w:tcBorders>
            <w:shd w:val="clear" w:color="auto" w:fill="auto"/>
            <w:noWrap/>
            <w:vAlign w:val="center"/>
          </w:tcPr>
          <w:p w14:paraId="678C821E">
            <w:pPr>
              <w:widowControl/>
              <w:jc w:val="center"/>
              <w:rPr>
                <w:rFonts w:ascii="宋体" w:hAnsi="宋体" w:cs="宋体"/>
                <w:color w:val="000000"/>
                <w:kern w:val="0"/>
                <w:sz w:val="18"/>
                <w:szCs w:val="18"/>
              </w:rPr>
            </w:pPr>
            <w:r>
              <w:rPr>
                <w:rFonts w:hint="eastAsia" w:ascii="宋体" w:hAnsi="宋体" w:cs="宋体"/>
                <w:color w:val="000000"/>
                <w:kern w:val="0"/>
                <w:sz w:val="18"/>
                <w:szCs w:val="18"/>
              </w:rPr>
              <w:t>152.17</w:t>
            </w:r>
          </w:p>
        </w:tc>
        <w:tc>
          <w:tcPr>
            <w:tcW w:w="1661" w:type="dxa"/>
            <w:tcBorders>
              <w:top w:val="nil"/>
              <w:left w:val="nil"/>
              <w:bottom w:val="single" w:color="auto" w:sz="4" w:space="0"/>
              <w:right w:val="single" w:color="auto" w:sz="4" w:space="0"/>
            </w:tcBorders>
            <w:shd w:val="clear" w:color="auto" w:fill="auto"/>
            <w:noWrap/>
            <w:vAlign w:val="center"/>
          </w:tcPr>
          <w:p w14:paraId="7DCC188A">
            <w:pPr>
              <w:widowControl/>
              <w:jc w:val="center"/>
              <w:rPr>
                <w:rFonts w:ascii="宋体" w:hAnsi="宋体" w:cs="宋体"/>
                <w:color w:val="000000"/>
                <w:kern w:val="0"/>
                <w:sz w:val="18"/>
                <w:szCs w:val="18"/>
              </w:rPr>
            </w:pPr>
            <w:r>
              <w:rPr>
                <w:rFonts w:hint="eastAsia" w:ascii="宋体" w:hAnsi="宋体" w:cs="宋体"/>
                <w:color w:val="000000"/>
                <w:kern w:val="0"/>
                <w:sz w:val="18"/>
                <w:szCs w:val="18"/>
              </w:rPr>
              <w:t>4.34</w:t>
            </w:r>
          </w:p>
        </w:tc>
        <w:tc>
          <w:tcPr>
            <w:tcW w:w="1119" w:type="dxa"/>
            <w:tcBorders>
              <w:top w:val="nil"/>
              <w:left w:val="nil"/>
              <w:bottom w:val="single" w:color="auto" w:sz="4" w:space="0"/>
              <w:right w:val="single" w:color="auto" w:sz="4" w:space="0"/>
            </w:tcBorders>
            <w:shd w:val="clear" w:color="auto" w:fill="auto"/>
            <w:noWrap/>
            <w:vAlign w:val="center"/>
          </w:tcPr>
          <w:p w14:paraId="2AC80BB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0" w:type="dxa"/>
            <w:tcBorders>
              <w:top w:val="nil"/>
              <w:left w:val="nil"/>
              <w:bottom w:val="single" w:color="auto" w:sz="4" w:space="0"/>
              <w:right w:val="single" w:color="auto" w:sz="4" w:space="0"/>
            </w:tcBorders>
            <w:shd w:val="clear" w:color="auto" w:fill="auto"/>
            <w:noWrap/>
            <w:vAlign w:val="center"/>
          </w:tcPr>
          <w:p w14:paraId="07787DF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3389.53 </w:t>
            </w:r>
          </w:p>
        </w:tc>
      </w:tr>
      <w:tr w14:paraId="085F7E25">
        <w:tblPrEx>
          <w:tblCellMar>
            <w:top w:w="0" w:type="dxa"/>
            <w:left w:w="108" w:type="dxa"/>
            <w:bottom w:w="0" w:type="dxa"/>
            <w:right w:w="108" w:type="dxa"/>
          </w:tblCellMar>
        </w:tblPrEx>
        <w:trPr>
          <w:trHeight w:val="288"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4ABBA9D1">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708" w:type="dxa"/>
            <w:tcBorders>
              <w:top w:val="nil"/>
              <w:left w:val="nil"/>
              <w:bottom w:val="single" w:color="auto" w:sz="4" w:space="0"/>
              <w:right w:val="single" w:color="auto" w:sz="4" w:space="0"/>
            </w:tcBorders>
            <w:shd w:val="clear" w:color="auto" w:fill="auto"/>
            <w:noWrap/>
            <w:vAlign w:val="center"/>
          </w:tcPr>
          <w:p w14:paraId="2B86A122">
            <w:pPr>
              <w:widowControl/>
              <w:jc w:val="center"/>
              <w:rPr>
                <w:rFonts w:ascii="宋体" w:hAnsi="宋体" w:cs="宋体"/>
                <w:color w:val="000000"/>
                <w:kern w:val="0"/>
                <w:sz w:val="18"/>
                <w:szCs w:val="18"/>
              </w:rPr>
            </w:pPr>
            <w:r>
              <w:rPr>
                <w:rFonts w:hint="eastAsia" w:ascii="宋体" w:hAnsi="宋体" w:cs="宋体"/>
                <w:color w:val="000000"/>
                <w:kern w:val="0"/>
                <w:sz w:val="18"/>
                <w:szCs w:val="18"/>
              </w:rPr>
              <w:t>5689.01</w:t>
            </w:r>
          </w:p>
        </w:tc>
        <w:tc>
          <w:tcPr>
            <w:tcW w:w="2204" w:type="dxa"/>
            <w:tcBorders>
              <w:top w:val="nil"/>
              <w:left w:val="nil"/>
              <w:bottom w:val="single" w:color="auto" w:sz="4" w:space="0"/>
              <w:right w:val="single" w:color="auto" w:sz="4" w:space="0"/>
            </w:tcBorders>
            <w:shd w:val="clear" w:color="auto" w:fill="auto"/>
            <w:noWrap/>
            <w:vAlign w:val="center"/>
          </w:tcPr>
          <w:p w14:paraId="5829DF10">
            <w:pPr>
              <w:widowControl/>
              <w:jc w:val="center"/>
              <w:rPr>
                <w:rFonts w:ascii="宋体" w:hAnsi="宋体" w:cs="宋体"/>
                <w:color w:val="000000"/>
                <w:kern w:val="0"/>
                <w:sz w:val="18"/>
                <w:szCs w:val="18"/>
              </w:rPr>
            </w:pPr>
            <w:r>
              <w:rPr>
                <w:rFonts w:hint="eastAsia" w:ascii="宋体" w:hAnsi="宋体" w:cs="宋体"/>
                <w:color w:val="000000"/>
                <w:kern w:val="0"/>
                <w:sz w:val="18"/>
                <w:szCs w:val="18"/>
              </w:rPr>
              <w:t>38.99</w:t>
            </w:r>
          </w:p>
        </w:tc>
        <w:tc>
          <w:tcPr>
            <w:tcW w:w="1432" w:type="dxa"/>
            <w:tcBorders>
              <w:top w:val="nil"/>
              <w:left w:val="nil"/>
              <w:bottom w:val="single" w:color="auto" w:sz="4" w:space="0"/>
              <w:right w:val="single" w:color="auto" w:sz="4" w:space="0"/>
            </w:tcBorders>
            <w:shd w:val="clear" w:color="auto" w:fill="auto"/>
            <w:noWrap/>
            <w:vAlign w:val="center"/>
          </w:tcPr>
          <w:p w14:paraId="71710DD6">
            <w:pPr>
              <w:widowControl/>
              <w:jc w:val="center"/>
              <w:rPr>
                <w:rFonts w:ascii="宋体" w:hAnsi="宋体" w:cs="宋体"/>
                <w:color w:val="000000"/>
                <w:kern w:val="0"/>
                <w:sz w:val="18"/>
                <w:szCs w:val="18"/>
              </w:rPr>
            </w:pPr>
            <w:r>
              <w:rPr>
                <w:rFonts w:hint="eastAsia" w:ascii="宋体" w:hAnsi="宋体" w:cs="宋体"/>
                <w:color w:val="000000"/>
                <w:kern w:val="0"/>
                <w:sz w:val="18"/>
                <w:szCs w:val="18"/>
              </w:rPr>
              <w:t>0.17</w:t>
            </w:r>
          </w:p>
        </w:tc>
        <w:tc>
          <w:tcPr>
            <w:tcW w:w="1661" w:type="dxa"/>
            <w:tcBorders>
              <w:top w:val="nil"/>
              <w:left w:val="nil"/>
              <w:bottom w:val="single" w:color="auto" w:sz="4" w:space="0"/>
              <w:right w:val="single" w:color="auto" w:sz="4" w:space="0"/>
            </w:tcBorders>
            <w:shd w:val="clear" w:color="auto" w:fill="auto"/>
            <w:noWrap/>
            <w:vAlign w:val="center"/>
          </w:tcPr>
          <w:p w14:paraId="536A0C80">
            <w:pPr>
              <w:widowControl/>
              <w:jc w:val="center"/>
              <w:rPr>
                <w:rFonts w:ascii="宋体" w:hAnsi="宋体" w:cs="宋体"/>
                <w:color w:val="000000"/>
                <w:kern w:val="0"/>
                <w:sz w:val="18"/>
                <w:szCs w:val="18"/>
              </w:rPr>
            </w:pPr>
            <w:r>
              <w:rPr>
                <w:rFonts w:hint="eastAsia" w:ascii="宋体" w:hAnsi="宋体" w:cs="宋体"/>
                <w:color w:val="000000"/>
                <w:kern w:val="0"/>
                <w:sz w:val="18"/>
                <w:szCs w:val="18"/>
              </w:rPr>
              <w:t>147.54</w:t>
            </w:r>
          </w:p>
        </w:tc>
        <w:tc>
          <w:tcPr>
            <w:tcW w:w="1119" w:type="dxa"/>
            <w:tcBorders>
              <w:top w:val="nil"/>
              <w:left w:val="nil"/>
              <w:bottom w:val="single" w:color="auto" w:sz="4" w:space="0"/>
              <w:right w:val="single" w:color="auto" w:sz="4" w:space="0"/>
            </w:tcBorders>
            <w:shd w:val="clear" w:color="auto" w:fill="auto"/>
            <w:noWrap/>
            <w:vAlign w:val="center"/>
          </w:tcPr>
          <w:p w14:paraId="161AF9F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0" w:type="dxa"/>
            <w:tcBorders>
              <w:top w:val="nil"/>
              <w:left w:val="nil"/>
              <w:bottom w:val="single" w:color="auto" w:sz="4" w:space="0"/>
              <w:right w:val="single" w:color="auto" w:sz="4" w:space="0"/>
            </w:tcBorders>
            <w:shd w:val="clear" w:color="auto" w:fill="auto"/>
            <w:noWrap/>
            <w:vAlign w:val="center"/>
          </w:tcPr>
          <w:p w14:paraId="54640F4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5502.31 </w:t>
            </w:r>
          </w:p>
        </w:tc>
      </w:tr>
      <w:tr w14:paraId="22DA9AFB">
        <w:tblPrEx>
          <w:tblCellMar>
            <w:top w:w="0" w:type="dxa"/>
            <w:left w:w="108" w:type="dxa"/>
            <w:bottom w:w="0" w:type="dxa"/>
            <w:right w:w="108" w:type="dxa"/>
          </w:tblCellMar>
        </w:tblPrEx>
        <w:trPr>
          <w:trHeight w:val="288"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4A4D672D">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708" w:type="dxa"/>
            <w:tcBorders>
              <w:top w:val="nil"/>
              <w:left w:val="nil"/>
              <w:bottom w:val="single" w:color="auto" w:sz="4" w:space="0"/>
              <w:right w:val="single" w:color="auto" w:sz="4" w:space="0"/>
            </w:tcBorders>
            <w:shd w:val="clear" w:color="auto" w:fill="auto"/>
            <w:noWrap/>
            <w:vAlign w:val="center"/>
          </w:tcPr>
          <w:p w14:paraId="5ACD51FA">
            <w:pPr>
              <w:widowControl/>
              <w:jc w:val="center"/>
              <w:rPr>
                <w:rFonts w:ascii="宋体" w:hAnsi="宋体" w:cs="宋体"/>
                <w:color w:val="000000"/>
                <w:kern w:val="0"/>
                <w:sz w:val="18"/>
                <w:szCs w:val="18"/>
              </w:rPr>
            </w:pPr>
            <w:r>
              <w:rPr>
                <w:rFonts w:hint="eastAsia" w:ascii="宋体" w:hAnsi="宋体" w:cs="宋体"/>
                <w:color w:val="000000"/>
                <w:kern w:val="0"/>
                <w:sz w:val="18"/>
                <w:szCs w:val="18"/>
              </w:rPr>
              <w:t>3745.54</w:t>
            </w:r>
          </w:p>
        </w:tc>
        <w:tc>
          <w:tcPr>
            <w:tcW w:w="2204" w:type="dxa"/>
            <w:tcBorders>
              <w:top w:val="nil"/>
              <w:left w:val="nil"/>
              <w:bottom w:val="single" w:color="auto" w:sz="4" w:space="0"/>
              <w:right w:val="single" w:color="auto" w:sz="4" w:space="0"/>
            </w:tcBorders>
            <w:shd w:val="clear" w:color="auto" w:fill="auto"/>
            <w:noWrap/>
            <w:vAlign w:val="center"/>
          </w:tcPr>
          <w:p w14:paraId="2F47D095">
            <w:pPr>
              <w:widowControl/>
              <w:jc w:val="center"/>
              <w:rPr>
                <w:rFonts w:ascii="宋体" w:hAnsi="宋体" w:cs="宋体"/>
                <w:color w:val="000000"/>
                <w:kern w:val="0"/>
                <w:sz w:val="18"/>
                <w:szCs w:val="18"/>
              </w:rPr>
            </w:pPr>
            <w:r>
              <w:rPr>
                <w:rFonts w:hint="eastAsia" w:ascii="宋体" w:hAnsi="宋体" w:cs="宋体"/>
                <w:color w:val="000000"/>
                <w:kern w:val="0"/>
                <w:sz w:val="18"/>
                <w:szCs w:val="18"/>
              </w:rPr>
              <w:t>7.24</w:t>
            </w:r>
          </w:p>
        </w:tc>
        <w:tc>
          <w:tcPr>
            <w:tcW w:w="1432" w:type="dxa"/>
            <w:tcBorders>
              <w:top w:val="nil"/>
              <w:left w:val="nil"/>
              <w:bottom w:val="single" w:color="auto" w:sz="4" w:space="0"/>
              <w:right w:val="single" w:color="auto" w:sz="4" w:space="0"/>
            </w:tcBorders>
            <w:shd w:val="clear" w:color="auto" w:fill="auto"/>
            <w:noWrap/>
            <w:vAlign w:val="center"/>
          </w:tcPr>
          <w:p w14:paraId="5AC71463">
            <w:pPr>
              <w:widowControl/>
              <w:jc w:val="center"/>
              <w:rPr>
                <w:rFonts w:ascii="宋体" w:hAnsi="宋体" w:cs="宋体"/>
                <w:color w:val="000000"/>
                <w:kern w:val="0"/>
                <w:sz w:val="18"/>
                <w:szCs w:val="18"/>
              </w:rPr>
            </w:pPr>
            <w:r>
              <w:rPr>
                <w:rFonts w:hint="eastAsia" w:ascii="宋体" w:hAnsi="宋体" w:cs="宋体"/>
                <w:color w:val="000000"/>
                <w:kern w:val="0"/>
                <w:sz w:val="18"/>
                <w:szCs w:val="18"/>
              </w:rPr>
              <w:t>313.75</w:t>
            </w:r>
          </w:p>
        </w:tc>
        <w:tc>
          <w:tcPr>
            <w:tcW w:w="1661" w:type="dxa"/>
            <w:tcBorders>
              <w:top w:val="nil"/>
              <w:left w:val="nil"/>
              <w:bottom w:val="single" w:color="auto" w:sz="4" w:space="0"/>
              <w:right w:val="single" w:color="auto" w:sz="4" w:space="0"/>
            </w:tcBorders>
            <w:shd w:val="clear" w:color="auto" w:fill="auto"/>
            <w:noWrap/>
            <w:vAlign w:val="center"/>
          </w:tcPr>
          <w:p w14:paraId="2F2ADA47">
            <w:pPr>
              <w:widowControl/>
              <w:jc w:val="center"/>
              <w:rPr>
                <w:rFonts w:ascii="宋体" w:hAnsi="宋体" w:cs="宋体"/>
                <w:color w:val="000000"/>
                <w:kern w:val="0"/>
                <w:sz w:val="18"/>
                <w:szCs w:val="18"/>
              </w:rPr>
            </w:pPr>
            <w:r>
              <w:rPr>
                <w:rFonts w:hint="eastAsia" w:ascii="宋体" w:hAnsi="宋体" w:cs="宋体"/>
                <w:color w:val="000000"/>
                <w:kern w:val="0"/>
                <w:sz w:val="18"/>
                <w:szCs w:val="18"/>
              </w:rPr>
              <w:t>69.84</w:t>
            </w:r>
          </w:p>
        </w:tc>
        <w:tc>
          <w:tcPr>
            <w:tcW w:w="1119" w:type="dxa"/>
            <w:tcBorders>
              <w:top w:val="nil"/>
              <w:left w:val="nil"/>
              <w:bottom w:val="single" w:color="auto" w:sz="4" w:space="0"/>
              <w:right w:val="single" w:color="auto" w:sz="4" w:space="0"/>
            </w:tcBorders>
            <w:shd w:val="clear" w:color="auto" w:fill="auto"/>
            <w:noWrap/>
            <w:vAlign w:val="center"/>
          </w:tcPr>
          <w:p w14:paraId="7356E84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0" w:type="dxa"/>
            <w:tcBorders>
              <w:top w:val="nil"/>
              <w:left w:val="nil"/>
              <w:bottom w:val="single" w:color="auto" w:sz="4" w:space="0"/>
              <w:right w:val="single" w:color="auto" w:sz="4" w:space="0"/>
            </w:tcBorders>
            <w:shd w:val="clear" w:color="auto" w:fill="auto"/>
            <w:noWrap/>
            <w:vAlign w:val="center"/>
          </w:tcPr>
          <w:p w14:paraId="2304744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3354.71 </w:t>
            </w:r>
          </w:p>
        </w:tc>
      </w:tr>
      <w:tr w14:paraId="5D37C271">
        <w:tblPrEx>
          <w:tblCellMar>
            <w:top w:w="0" w:type="dxa"/>
            <w:left w:w="108" w:type="dxa"/>
            <w:bottom w:w="0" w:type="dxa"/>
            <w:right w:w="108" w:type="dxa"/>
          </w:tblCellMar>
        </w:tblPrEx>
        <w:trPr>
          <w:trHeight w:val="288"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421A44F0">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708" w:type="dxa"/>
            <w:tcBorders>
              <w:top w:val="nil"/>
              <w:left w:val="nil"/>
              <w:bottom w:val="single" w:color="auto" w:sz="4" w:space="0"/>
              <w:right w:val="single" w:color="auto" w:sz="4" w:space="0"/>
            </w:tcBorders>
            <w:shd w:val="clear" w:color="auto" w:fill="auto"/>
            <w:noWrap/>
            <w:vAlign w:val="center"/>
          </w:tcPr>
          <w:p w14:paraId="34DB6208">
            <w:pPr>
              <w:widowControl/>
              <w:jc w:val="center"/>
              <w:rPr>
                <w:rFonts w:ascii="宋体" w:hAnsi="宋体" w:cs="宋体"/>
                <w:color w:val="000000"/>
                <w:kern w:val="0"/>
                <w:sz w:val="18"/>
                <w:szCs w:val="18"/>
              </w:rPr>
            </w:pPr>
            <w:r>
              <w:rPr>
                <w:rFonts w:hint="eastAsia" w:ascii="宋体" w:hAnsi="宋体" w:cs="宋体"/>
                <w:color w:val="000000"/>
                <w:kern w:val="0"/>
                <w:sz w:val="18"/>
                <w:szCs w:val="18"/>
              </w:rPr>
              <w:t>3933.13</w:t>
            </w:r>
          </w:p>
        </w:tc>
        <w:tc>
          <w:tcPr>
            <w:tcW w:w="2204" w:type="dxa"/>
            <w:tcBorders>
              <w:top w:val="nil"/>
              <w:left w:val="nil"/>
              <w:bottom w:val="single" w:color="auto" w:sz="4" w:space="0"/>
              <w:right w:val="single" w:color="auto" w:sz="4" w:space="0"/>
            </w:tcBorders>
            <w:shd w:val="clear" w:color="auto" w:fill="auto"/>
            <w:noWrap/>
            <w:vAlign w:val="center"/>
          </w:tcPr>
          <w:p w14:paraId="09EAD814">
            <w:pPr>
              <w:widowControl/>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1432" w:type="dxa"/>
            <w:tcBorders>
              <w:top w:val="nil"/>
              <w:left w:val="nil"/>
              <w:bottom w:val="single" w:color="auto" w:sz="4" w:space="0"/>
              <w:right w:val="single" w:color="auto" w:sz="4" w:space="0"/>
            </w:tcBorders>
            <w:shd w:val="clear" w:color="auto" w:fill="auto"/>
            <w:noWrap/>
            <w:vAlign w:val="center"/>
          </w:tcPr>
          <w:p w14:paraId="7770367B">
            <w:pPr>
              <w:widowControl/>
              <w:jc w:val="center"/>
              <w:rPr>
                <w:rFonts w:ascii="宋体" w:hAnsi="宋体" w:cs="宋体"/>
                <w:color w:val="000000"/>
                <w:kern w:val="0"/>
                <w:sz w:val="18"/>
                <w:szCs w:val="18"/>
              </w:rPr>
            </w:pPr>
            <w:r>
              <w:rPr>
                <w:rFonts w:hint="eastAsia" w:ascii="宋体" w:hAnsi="宋体" w:cs="宋体"/>
                <w:color w:val="000000"/>
                <w:kern w:val="0"/>
                <w:sz w:val="18"/>
                <w:szCs w:val="18"/>
              </w:rPr>
              <w:t>162.56</w:t>
            </w:r>
          </w:p>
        </w:tc>
        <w:tc>
          <w:tcPr>
            <w:tcW w:w="1661" w:type="dxa"/>
            <w:tcBorders>
              <w:top w:val="nil"/>
              <w:left w:val="nil"/>
              <w:bottom w:val="single" w:color="auto" w:sz="4" w:space="0"/>
              <w:right w:val="single" w:color="auto" w:sz="4" w:space="0"/>
            </w:tcBorders>
            <w:shd w:val="clear" w:color="auto" w:fill="auto"/>
            <w:noWrap/>
            <w:vAlign w:val="center"/>
          </w:tcPr>
          <w:p w14:paraId="4CEFA0C8">
            <w:pPr>
              <w:widowControl/>
              <w:jc w:val="center"/>
              <w:rPr>
                <w:rFonts w:ascii="宋体" w:hAnsi="宋体" w:cs="宋体"/>
                <w:color w:val="000000"/>
                <w:kern w:val="0"/>
                <w:sz w:val="18"/>
                <w:szCs w:val="18"/>
              </w:rPr>
            </w:pPr>
            <w:r>
              <w:rPr>
                <w:rFonts w:hint="eastAsia" w:ascii="宋体" w:hAnsi="宋体" w:cs="宋体"/>
                <w:color w:val="000000"/>
                <w:kern w:val="0"/>
                <w:sz w:val="18"/>
                <w:szCs w:val="18"/>
              </w:rPr>
              <w:t>259.68</w:t>
            </w:r>
          </w:p>
        </w:tc>
        <w:tc>
          <w:tcPr>
            <w:tcW w:w="1119" w:type="dxa"/>
            <w:tcBorders>
              <w:top w:val="nil"/>
              <w:left w:val="nil"/>
              <w:bottom w:val="single" w:color="auto" w:sz="4" w:space="0"/>
              <w:right w:val="single" w:color="auto" w:sz="4" w:space="0"/>
            </w:tcBorders>
            <w:shd w:val="clear" w:color="auto" w:fill="auto"/>
            <w:noWrap/>
            <w:vAlign w:val="center"/>
          </w:tcPr>
          <w:p w14:paraId="6E9E30C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0" w:type="dxa"/>
            <w:tcBorders>
              <w:top w:val="nil"/>
              <w:left w:val="nil"/>
              <w:bottom w:val="single" w:color="auto" w:sz="4" w:space="0"/>
              <w:right w:val="single" w:color="auto" w:sz="4" w:space="0"/>
            </w:tcBorders>
            <w:shd w:val="clear" w:color="auto" w:fill="auto"/>
            <w:noWrap/>
            <w:vAlign w:val="center"/>
          </w:tcPr>
          <w:p w14:paraId="6346C0D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3502.39 </w:t>
            </w:r>
          </w:p>
        </w:tc>
      </w:tr>
      <w:tr w14:paraId="47EF51A3">
        <w:tblPrEx>
          <w:tblCellMar>
            <w:top w:w="0" w:type="dxa"/>
            <w:left w:w="108" w:type="dxa"/>
            <w:bottom w:w="0" w:type="dxa"/>
            <w:right w:w="108" w:type="dxa"/>
          </w:tblCellMar>
        </w:tblPrEx>
        <w:trPr>
          <w:trHeight w:val="288"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5D19D0F8">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708" w:type="dxa"/>
            <w:tcBorders>
              <w:top w:val="nil"/>
              <w:left w:val="nil"/>
              <w:bottom w:val="single" w:color="auto" w:sz="4" w:space="0"/>
              <w:right w:val="single" w:color="auto" w:sz="4" w:space="0"/>
            </w:tcBorders>
            <w:shd w:val="clear" w:color="auto" w:fill="auto"/>
            <w:noWrap/>
            <w:vAlign w:val="center"/>
          </w:tcPr>
          <w:p w14:paraId="178B86B2">
            <w:pPr>
              <w:widowControl/>
              <w:jc w:val="center"/>
              <w:rPr>
                <w:rFonts w:ascii="宋体" w:hAnsi="宋体" w:cs="宋体"/>
                <w:color w:val="000000"/>
                <w:kern w:val="0"/>
                <w:sz w:val="18"/>
                <w:szCs w:val="18"/>
              </w:rPr>
            </w:pPr>
            <w:r>
              <w:rPr>
                <w:rFonts w:hint="eastAsia" w:ascii="宋体" w:hAnsi="宋体" w:cs="宋体"/>
                <w:color w:val="000000"/>
                <w:kern w:val="0"/>
                <w:sz w:val="18"/>
                <w:szCs w:val="18"/>
              </w:rPr>
              <w:t>952.53</w:t>
            </w:r>
          </w:p>
        </w:tc>
        <w:tc>
          <w:tcPr>
            <w:tcW w:w="2204" w:type="dxa"/>
            <w:tcBorders>
              <w:top w:val="nil"/>
              <w:left w:val="nil"/>
              <w:bottom w:val="single" w:color="auto" w:sz="4" w:space="0"/>
              <w:right w:val="single" w:color="auto" w:sz="4" w:space="0"/>
            </w:tcBorders>
            <w:shd w:val="clear" w:color="auto" w:fill="auto"/>
            <w:noWrap/>
            <w:vAlign w:val="center"/>
          </w:tcPr>
          <w:p w14:paraId="6FD6FA10">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432" w:type="dxa"/>
            <w:tcBorders>
              <w:top w:val="nil"/>
              <w:left w:val="nil"/>
              <w:bottom w:val="single" w:color="auto" w:sz="4" w:space="0"/>
              <w:right w:val="single" w:color="auto" w:sz="4" w:space="0"/>
            </w:tcBorders>
            <w:shd w:val="clear" w:color="auto" w:fill="auto"/>
            <w:noWrap/>
            <w:vAlign w:val="center"/>
          </w:tcPr>
          <w:p w14:paraId="406D6082">
            <w:pPr>
              <w:widowControl/>
              <w:jc w:val="center"/>
              <w:rPr>
                <w:rFonts w:ascii="宋体" w:hAnsi="宋体" w:cs="宋体"/>
                <w:color w:val="000000"/>
                <w:kern w:val="0"/>
                <w:sz w:val="18"/>
                <w:szCs w:val="18"/>
              </w:rPr>
            </w:pPr>
            <w:r>
              <w:rPr>
                <w:rFonts w:hint="eastAsia" w:ascii="宋体" w:hAnsi="宋体" w:cs="宋体"/>
                <w:color w:val="000000"/>
                <w:kern w:val="0"/>
                <w:sz w:val="18"/>
                <w:szCs w:val="18"/>
              </w:rPr>
              <w:t>207.91</w:t>
            </w:r>
          </w:p>
        </w:tc>
        <w:tc>
          <w:tcPr>
            <w:tcW w:w="1661" w:type="dxa"/>
            <w:tcBorders>
              <w:top w:val="nil"/>
              <w:left w:val="nil"/>
              <w:bottom w:val="single" w:color="auto" w:sz="4" w:space="0"/>
              <w:right w:val="single" w:color="auto" w:sz="4" w:space="0"/>
            </w:tcBorders>
            <w:shd w:val="clear" w:color="auto" w:fill="auto"/>
            <w:noWrap/>
            <w:vAlign w:val="center"/>
          </w:tcPr>
          <w:p w14:paraId="51DB9667">
            <w:pPr>
              <w:widowControl/>
              <w:jc w:val="center"/>
              <w:rPr>
                <w:rFonts w:ascii="宋体" w:hAnsi="宋体" w:cs="宋体"/>
                <w:color w:val="000000"/>
                <w:kern w:val="0"/>
                <w:sz w:val="18"/>
                <w:szCs w:val="18"/>
              </w:rPr>
            </w:pPr>
            <w:r>
              <w:rPr>
                <w:rFonts w:hint="eastAsia" w:ascii="宋体" w:hAnsi="宋体" w:cs="宋体"/>
                <w:color w:val="000000"/>
                <w:kern w:val="0"/>
                <w:sz w:val="18"/>
                <w:szCs w:val="18"/>
              </w:rPr>
              <w:t>16.48</w:t>
            </w:r>
          </w:p>
        </w:tc>
        <w:tc>
          <w:tcPr>
            <w:tcW w:w="1119" w:type="dxa"/>
            <w:tcBorders>
              <w:top w:val="nil"/>
              <w:left w:val="nil"/>
              <w:bottom w:val="single" w:color="auto" w:sz="4" w:space="0"/>
              <w:right w:val="single" w:color="auto" w:sz="4" w:space="0"/>
            </w:tcBorders>
            <w:shd w:val="clear" w:color="auto" w:fill="auto"/>
            <w:noWrap/>
            <w:vAlign w:val="center"/>
          </w:tcPr>
          <w:p w14:paraId="65F27E2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0" w:type="dxa"/>
            <w:tcBorders>
              <w:top w:val="nil"/>
              <w:left w:val="nil"/>
              <w:bottom w:val="single" w:color="auto" w:sz="4" w:space="0"/>
              <w:right w:val="single" w:color="auto" w:sz="4" w:space="0"/>
            </w:tcBorders>
            <w:shd w:val="clear" w:color="auto" w:fill="auto"/>
            <w:noWrap/>
            <w:vAlign w:val="center"/>
          </w:tcPr>
          <w:p w14:paraId="71FD575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727.04 </w:t>
            </w:r>
          </w:p>
        </w:tc>
      </w:tr>
      <w:tr w14:paraId="5BB283DD">
        <w:tblPrEx>
          <w:tblCellMar>
            <w:top w:w="0" w:type="dxa"/>
            <w:left w:w="108" w:type="dxa"/>
            <w:bottom w:w="0" w:type="dxa"/>
            <w:right w:w="108" w:type="dxa"/>
          </w:tblCellMar>
        </w:tblPrEx>
        <w:trPr>
          <w:trHeight w:val="288"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757B2B53">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708" w:type="dxa"/>
            <w:tcBorders>
              <w:top w:val="nil"/>
              <w:left w:val="nil"/>
              <w:bottom w:val="single" w:color="auto" w:sz="4" w:space="0"/>
              <w:right w:val="single" w:color="auto" w:sz="4" w:space="0"/>
            </w:tcBorders>
            <w:shd w:val="clear" w:color="auto" w:fill="auto"/>
            <w:noWrap/>
            <w:vAlign w:val="center"/>
          </w:tcPr>
          <w:p w14:paraId="4509AA32">
            <w:pPr>
              <w:widowControl/>
              <w:jc w:val="center"/>
              <w:rPr>
                <w:rFonts w:ascii="宋体" w:hAnsi="宋体" w:cs="宋体"/>
                <w:color w:val="000000"/>
                <w:kern w:val="0"/>
                <w:sz w:val="18"/>
                <w:szCs w:val="18"/>
              </w:rPr>
            </w:pPr>
            <w:r>
              <w:rPr>
                <w:rFonts w:hint="eastAsia" w:ascii="宋体" w:hAnsi="宋体" w:cs="宋体"/>
                <w:color w:val="000000"/>
                <w:kern w:val="0"/>
                <w:sz w:val="18"/>
                <w:szCs w:val="18"/>
              </w:rPr>
              <w:t>1055.35</w:t>
            </w:r>
          </w:p>
        </w:tc>
        <w:tc>
          <w:tcPr>
            <w:tcW w:w="2204" w:type="dxa"/>
            <w:tcBorders>
              <w:top w:val="nil"/>
              <w:left w:val="nil"/>
              <w:bottom w:val="single" w:color="auto" w:sz="4" w:space="0"/>
              <w:right w:val="single" w:color="auto" w:sz="4" w:space="0"/>
            </w:tcBorders>
            <w:shd w:val="clear" w:color="auto" w:fill="auto"/>
            <w:noWrap/>
            <w:vAlign w:val="center"/>
          </w:tcPr>
          <w:p w14:paraId="7FA890FA">
            <w:pPr>
              <w:widowControl/>
              <w:jc w:val="center"/>
              <w:rPr>
                <w:rFonts w:ascii="宋体" w:hAnsi="宋体" w:cs="宋体"/>
                <w:color w:val="000000"/>
                <w:kern w:val="0"/>
                <w:sz w:val="18"/>
                <w:szCs w:val="18"/>
              </w:rPr>
            </w:pPr>
            <w:r>
              <w:rPr>
                <w:rFonts w:hint="eastAsia" w:ascii="宋体" w:hAnsi="宋体" w:cs="宋体"/>
                <w:color w:val="000000"/>
                <w:kern w:val="0"/>
                <w:sz w:val="18"/>
                <w:szCs w:val="18"/>
              </w:rPr>
              <w:t>3.03</w:t>
            </w:r>
          </w:p>
        </w:tc>
        <w:tc>
          <w:tcPr>
            <w:tcW w:w="1432" w:type="dxa"/>
            <w:tcBorders>
              <w:top w:val="nil"/>
              <w:left w:val="nil"/>
              <w:bottom w:val="single" w:color="auto" w:sz="4" w:space="0"/>
              <w:right w:val="single" w:color="auto" w:sz="4" w:space="0"/>
            </w:tcBorders>
            <w:shd w:val="clear" w:color="auto" w:fill="auto"/>
            <w:noWrap/>
            <w:vAlign w:val="center"/>
          </w:tcPr>
          <w:p w14:paraId="7B80913D">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661" w:type="dxa"/>
            <w:tcBorders>
              <w:top w:val="nil"/>
              <w:left w:val="nil"/>
              <w:bottom w:val="single" w:color="auto" w:sz="4" w:space="0"/>
              <w:right w:val="single" w:color="auto" w:sz="4" w:space="0"/>
            </w:tcBorders>
            <w:shd w:val="clear" w:color="auto" w:fill="auto"/>
            <w:noWrap/>
            <w:vAlign w:val="center"/>
          </w:tcPr>
          <w:p w14:paraId="1A9AADB5">
            <w:pPr>
              <w:widowControl/>
              <w:jc w:val="center"/>
              <w:rPr>
                <w:rFonts w:ascii="宋体" w:hAnsi="宋体" w:cs="宋体"/>
                <w:color w:val="000000"/>
                <w:kern w:val="0"/>
                <w:sz w:val="18"/>
                <w:szCs w:val="18"/>
              </w:rPr>
            </w:pPr>
            <w:r>
              <w:rPr>
                <w:rFonts w:hint="eastAsia" w:ascii="宋体" w:hAnsi="宋体" w:cs="宋体"/>
                <w:color w:val="000000"/>
                <w:kern w:val="0"/>
                <w:sz w:val="18"/>
                <w:szCs w:val="18"/>
              </w:rPr>
              <w:t>69.18</w:t>
            </w:r>
          </w:p>
        </w:tc>
        <w:tc>
          <w:tcPr>
            <w:tcW w:w="1119" w:type="dxa"/>
            <w:tcBorders>
              <w:top w:val="nil"/>
              <w:left w:val="nil"/>
              <w:bottom w:val="single" w:color="auto" w:sz="4" w:space="0"/>
              <w:right w:val="single" w:color="auto" w:sz="4" w:space="0"/>
            </w:tcBorders>
            <w:shd w:val="clear" w:color="auto" w:fill="auto"/>
            <w:noWrap/>
            <w:vAlign w:val="center"/>
          </w:tcPr>
          <w:p w14:paraId="4024953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0" w:type="dxa"/>
            <w:tcBorders>
              <w:top w:val="nil"/>
              <w:left w:val="nil"/>
              <w:bottom w:val="single" w:color="auto" w:sz="4" w:space="0"/>
              <w:right w:val="single" w:color="auto" w:sz="4" w:space="0"/>
            </w:tcBorders>
            <w:shd w:val="clear" w:color="auto" w:fill="auto"/>
            <w:noWrap/>
            <w:vAlign w:val="center"/>
          </w:tcPr>
          <w:p w14:paraId="12F0543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983.14 </w:t>
            </w:r>
          </w:p>
        </w:tc>
      </w:tr>
      <w:tr w14:paraId="50E76536">
        <w:tblPrEx>
          <w:tblCellMar>
            <w:top w:w="0" w:type="dxa"/>
            <w:left w:w="108" w:type="dxa"/>
            <w:bottom w:w="0" w:type="dxa"/>
            <w:right w:w="108" w:type="dxa"/>
          </w:tblCellMar>
        </w:tblPrEx>
        <w:trPr>
          <w:trHeight w:val="288" w:hRule="atLeast"/>
          <w:jc w:val="center"/>
        </w:trPr>
        <w:tc>
          <w:tcPr>
            <w:tcW w:w="1119" w:type="dxa"/>
            <w:tcBorders>
              <w:top w:val="nil"/>
              <w:left w:val="single" w:color="auto" w:sz="4" w:space="0"/>
              <w:bottom w:val="single" w:color="auto" w:sz="4" w:space="0"/>
              <w:right w:val="single" w:color="auto" w:sz="4" w:space="0"/>
            </w:tcBorders>
            <w:shd w:val="clear" w:color="auto" w:fill="auto"/>
            <w:noWrap/>
            <w:vAlign w:val="center"/>
          </w:tcPr>
          <w:p w14:paraId="1615E29E">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708" w:type="dxa"/>
            <w:tcBorders>
              <w:top w:val="nil"/>
              <w:left w:val="nil"/>
              <w:bottom w:val="single" w:color="auto" w:sz="4" w:space="0"/>
              <w:right w:val="single" w:color="auto" w:sz="4" w:space="0"/>
            </w:tcBorders>
            <w:shd w:val="clear" w:color="auto" w:fill="auto"/>
            <w:noWrap/>
            <w:vAlign w:val="center"/>
          </w:tcPr>
          <w:p w14:paraId="1A91D46C">
            <w:pPr>
              <w:widowControl/>
              <w:jc w:val="center"/>
              <w:rPr>
                <w:rFonts w:ascii="宋体" w:hAnsi="宋体" w:cs="宋体"/>
                <w:color w:val="000000"/>
                <w:kern w:val="0"/>
                <w:sz w:val="18"/>
                <w:szCs w:val="18"/>
              </w:rPr>
            </w:pPr>
            <w:r>
              <w:rPr>
                <w:rFonts w:hint="eastAsia" w:ascii="宋体" w:hAnsi="宋体" w:cs="宋体"/>
                <w:color w:val="000000"/>
                <w:kern w:val="0"/>
                <w:sz w:val="18"/>
                <w:szCs w:val="18"/>
              </w:rPr>
              <w:t>32403.40</w:t>
            </w:r>
          </w:p>
        </w:tc>
        <w:tc>
          <w:tcPr>
            <w:tcW w:w="2204" w:type="dxa"/>
            <w:tcBorders>
              <w:top w:val="nil"/>
              <w:left w:val="nil"/>
              <w:bottom w:val="single" w:color="auto" w:sz="4" w:space="0"/>
              <w:right w:val="single" w:color="auto" w:sz="4" w:space="0"/>
            </w:tcBorders>
            <w:shd w:val="clear" w:color="auto" w:fill="auto"/>
            <w:noWrap/>
            <w:vAlign w:val="center"/>
          </w:tcPr>
          <w:p w14:paraId="4706EDD5">
            <w:pPr>
              <w:widowControl/>
              <w:jc w:val="center"/>
              <w:rPr>
                <w:rFonts w:ascii="宋体" w:hAnsi="宋体" w:cs="宋体"/>
                <w:color w:val="000000"/>
                <w:kern w:val="0"/>
                <w:sz w:val="18"/>
                <w:szCs w:val="18"/>
              </w:rPr>
            </w:pPr>
            <w:r>
              <w:rPr>
                <w:rFonts w:hint="eastAsia" w:ascii="宋体" w:hAnsi="宋体" w:cs="宋体"/>
                <w:color w:val="000000"/>
                <w:kern w:val="0"/>
                <w:sz w:val="18"/>
                <w:szCs w:val="18"/>
              </w:rPr>
              <w:t>190.32</w:t>
            </w:r>
          </w:p>
        </w:tc>
        <w:tc>
          <w:tcPr>
            <w:tcW w:w="1432" w:type="dxa"/>
            <w:tcBorders>
              <w:top w:val="nil"/>
              <w:left w:val="nil"/>
              <w:bottom w:val="single" w:color="auto" w:sz="4" w:space="0"/>
              <w:right w:val="single" w:color="auto" w:sz="4" w:space="0"/>
            </w:tcBorders>
            <w:shd w:val="clear" w:color="auto" w:fill="auto"/>
            <w:noWrap/>
            <w:vAlign w:val="center"/>
          </w:tcPr>
          <w:p w14:paraId="3F4E6A10">
            <w:pPr>
              <w:widowControl/>
              <w:jc w:val="center"/>
              <w:rPr>
                <w:rFonts w:ascii="宋体" w:hAnsi="宋体" w:cs="宋体"/>
                <w:color w:val="000000"/>
                <w:kern w:val="0"/>
                <w:sz w:val="18"/>
                <w:szCs w:val="18"/>
              </w:rPr>
            </w:pPr>
            <w:r>
              <w:rPr>
                <w:rFonts w:hint="eastAsia" w:ascii="宋体" w:hAnsi="宋体" w:cs="宋体"/>
                <w:color w:val="000000"/>
                <w:kern w:val="0"/>
                <w:sz w:val="18"/>
                <w:szCs w:val="18"/>
              </w:rPr>
              <w:t>1780.47</w:t>
            </w:r>
          </w:p>
        </w:tc>
        <w:tc>
          <w:tcPr>
            <w:tcW w:w="1661" w:type="dxa"/>
            <w:tcBorders>
              <w:top w:val="nil"/>
              <w:left w:val="nil"/>
              <w:bottom w:val="single" w:color="auto" w:sz="4" w:space="0"/>
              <w:right w:val="single" w:color="auto" w:sz="4" w:space="0"/>
            </w:tcBorders>
            <w:shd w:val="clear" w:color="auto" w:fill="auto"/>
            <w:noWrap/>
            <w:vAlign w:val="center"/>
          </w:tcPr>
          <w:p w14:paraId="2FDE0E58">
            <w:pPr>
              <w:widowControl/>
              <w:jc w:val="center"/>
              <w:rPr>
                <w:rFonts w:ascii="宋体" w:hAnsi="宋体" w:cs="宋体"/>
                <w:color w:val="000000"/>
                <w:kern w:val="0"/>
                <w:sz w:val="18"/>
                <w:szCs w:val="18"/>
              </w:rPr>
            </w:pPr>
            <w:r>
              <w:rPr>
                <w:rFonts w:hint="eastAsia" w:ascii="宋体" w:hAnsi="宋体" w:cs="宋体"/>
                <w:color w:val="000000"/>
                <w:kern w:val="0"/>
                <w:sz w:val="18"/>
                <w:szCs w:val="18"/>
              </w:rPr>
              <w:t>889.10</w:t>
            </w:r>
          </w:p>
        </w:tc>
        <w:tc>
          <w:tcPr>
            <w:tcW w:w="1119" w:type="dxa"/>
            <w:tcBorders>
              <w:top w:val="nil"/>
              <w:left w:val="nil"/>
              <w:bottom w:val="single" w:color="auto" w:sz="4" w:space="0"/>
              <w:right w:val="single" w:color="auto" w:sz="4" w:space="0"/>
            </w:tcBorders>
            <w:shd w:val="clear" w:color="auto" w:fill="auto"/>
            <w:noWrap/>
            <w:vAlign w:val="center"/>
          </w:tcPr>
          <w:p w14:paraId="558AB42C">
            <w:pPr>
              <w:widowControl/>
              <w:jc w:val="center"/>
              <w:rPr>
                <w:rFonts w:ascii="宋体" w:hAnsi="宋体" w:cs="宋体"/>
                <w:color w:val="000000"/>
                <w:kern w:val="0"/>
                <w:sz w:val="18"/>
                <w:szCs w:val="18"/>
              </w:rPr>
            </w:pPr>
            <w:r>
              <w:rPr>
                <w:rFonts w:hint="eastAsia" w:ascii="宋体" w:hAnsi="宋体" w:cs="宋体"/>
                <w:color w:val="000000"/>
                <w:kern w:val="0"/>
                <w:sz w:val="18"/>
                <w:szCs w:val="18"/>
              </w:rPr>
              <w:t>46.29</w:t>
            </w:r>
          </w:p>
        </w:tc>
        <w:tc>
          <w:tcPr>
            <w:tcW w:w="1780" w:type="dxa"/>
            <w:tcBorders>
              <w:top w:val="nil"/>
              <w:left w:val="nil"/>
              <w:bottom w:val="single" w:color="auto" w:sz="4" w:space="0"/>
              <w:right w:val="single" w:color="auto" w:sz="4" w:space="0"/>
            </w:tcBorders>
            <w:shd w:val="clear" w:color="auto" w:fill="auto"/>
            <w:noWrap/>
            <w:vAlign w:val="center"/>
          </w:tcPr>
          <w:p w14:paraId="47CE221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29497.00 </w:t>
            </w:r>
          </w:p>
        </w:tc>
      </w:tr>
    </w:tbl>
    <w:p w14:paraId="5F8D51F3">
      <w:pPr>
        <w:pStyle w:val="4"/>
        <w:tabs>
          <w:tab w:val="right" w:pos="9746"/>
        </w:tabs>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三、调整结果</w:t>
      </w:r>
      <w:r>
        <w:rPr>
          <w:rFonts w:ascii="Arial" w:hAnsi="Arial" w:eastAsia="黑体"/>
          <w:b w:val="0"/>
          <w:color w:val="000000"/>
          <w:sz w:val="28"/>
          <w:szCs w:val="28"/>
        </w:rPr>
        <w:tab/>
      </w:r>
    </w:p>
    <w:p w14:paraId="5D4724D1">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调整后， 2020年东川区耕地保有量指标29497公顷，较调整前减少了703公顷，除铜都街道、拖布卡镇耕地保有量有所增加外，其余各乡镇2020年耕地保有量均有所减少。</w:t>
      </w:r>
    </w:p>
    <w:p w14:paraId="149DDC45">
      <w:pPr>
        <w:jc w:val="center"/>
        <w:outlineLvl w:val="4"/>
        <w:rPr>
          <w:rFonts w:ascii="宋体" w:hAnsi="宋体"/>
          <w:b/>
          <w:sz w:val="24"/>
        </w:rPr>
      </w:pPr>
      <w:r>
        <w:rPr>
          <w:rFonts w:hint="eastAsia" w:ascii="宋体" w:hAnsi="宋体"/>
          <w:b/>
          <w:sz w:val="24"/>
        </w:rPr>
        <w:t>表5-3  东川区各乡镇耕地保有量指标调整情况表</w:t>
      </w:r>
    </w:p>
    <w:p w14:paraId="2CFFCC15">
      <w:pPr>
        <w:spacing w:line="360" w:lineRule="auto"/>
        <w:ind w:firstLine="600"/>
        <w:jc w:val="center"/>
        <w:rPr>
          <w:rFonts w:ascii="宋体" w:hAnsi="宋体"/>
          <w:color w:val="000000"/>
          <w:sz w:val="18"/>
          <w:szCs w:val="18"/>
        </w:rPr>
      </w:pPr>
      <w:r>
        <w:rPr>
          <w:rFonts w:hint="eastAsia" w:ascii="宋体" w:hAnsi="宋体"/>
          <w:color w:val="000000"/>
          <w:sz w:val="18"/>
          <w:szCs w:val="18"/>
        </w:rPr>
        <w:t xml:space="preserve">                                                                     单位：公顷</w:t>
      </w:r>
    </w:p>
    <w:tbl>
      <w:tblPr>
        <w:tblStyle w:val="27"/>
        <w:tblW w:w="8110" w:type="dxa"/>
        <w:jc w:val="center"/>
        <w:tblLayout w:type="autofit"/>
        <w:tblCellMar>
          <w:top w:w="0" w:type="dxa"/>
          <w:left w:w="108" w:type="dxa"/>
          <w:bottom w:w="0" w:type="dxa"/>
          <w:right w:w="108" w:type="dxa"/>
        </w:tblCellMar>
      </w:tblPr>
      <w:tblGrid>
        <w:gridCol w:w="1740"/>
        <w:gridCol w:w="1411"/>
        <w:gridCol w:w="1172"/>
        <w:gridCol w:w="1300"/>
        <w:gridCol w:w="1137"/>
        <w:gridCol w:w="1350"/>
      </w:tblGrid>
      <w:tr w14:paraId="7E10DCBE">
        <w:tblPrEx>
          <w:tblCellMar>
            <w:top w:w="0" w:type="dxa"/>
            <w:left w:w="108" w:type="dxa"/>
            <w:bottom w:w="0" w:type="dxa"/>
            <w:right w:w="108" w:type="dxa"/>
          </w:tblCellMar>
        </w:tblPrEx>
        <w:trPr>
          <w:trHeight w:val="288" w:hRule="atLeast"/>
          <w:jc w:val="center"/>
        </w:trPr>
        <w:tc>
          <w:tcPr>
            <w:tcW w:w="17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C97336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行政辖区</w:t>
            </w:r>
          </w:p>
        </w:tc>
        <w:tc>
          <w:tcPr>
            <w:tcW w:w="2583" w:type="dxa"/>
            <w:gridSpan w:val="2"/>
            <w:tcBorders>
              <w:top w:val="single" w:color="auto" w:sz="4" w:space="0"/>
              <w:left w:val="nil"/>
              <w:bottom w:val="single" w:color="auto" w:sz="4" w:space="0"/>
              <w:right w:val="single" w:color="auto" w:sz="4" w:space="0"/>
            </w:tcBorders>
            <w:shd w:val="clear" w:color="auto" w:fill="auto"/>
            <w:noWrap/>
            <w:vAlign w:val="center"/>
          </w:tcPr>
          <w:p w14:paraId="21CF9FFB">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调整前</w:t>
            </w:r>
          </w:p>
        </w:tc>
        <w:tc>
          <w:tcPr>
            <w:tcW w:w="2437" w:type="dxa"/>
            <w:gridSpan w:val="2"/>
            <w:tcBorders>
              <w:top w:val="single" w:color="auto" w:sz="4" w:space="0"/>
              <w:left w:val="nil"/>
              <w:bottom w:val="single" w:color="auto" w:sz="4" w:space="0"/>
              <w:right w:val="single" w:color="auto" w:sz="4" w:space="0"/>
            </w:tcBorders>
            <w:shd w:val="clear" w:color="auto" w:fill="auto"/>
            <w:noWrap/>
            <w:vAlign w:val="center"/>
          </w:tcPr>
          <w:p w14:paraId="14C56C7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调整后</w:t>
            </w: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3329D3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差值</w:t>
            </w:r>
          </w:p>
        </w:tc>
      </w:tr>
      <w:tr w14:paraId="58C122D8">
        <w:tblPrEx>
          <w:tblCellMar>
            <w:top w:w="0" w:type="dxa"/>
            <w:left w:w="108" w:type="dxa"/>
            <w:bottom w:w="0" w:type="dxa"/>
            <w:right w:w="108" w:type="dxa"/>
          </w:tblCellMar>
        </w:tblPrEx>
        <w:trPr>
          <w:trHeight w:val="288" w:hRule="atLeast"/>
          <w:jc w:val="center"/>
        </w:trPr>
        <w:tc>
          <w:tcPr>
            <w:tcW w:w="1740" w:type="dxa"/>
            <w:vMerge w:val="continue"/>
            <w:tcBorders>
              <w:top w:val="single" w:color="auto" w:sz="4" w:space="0"/>
              <w:left w:val="single" w:color="auto" w:sz="4" w:space="0"/>
              <w:bottom w:val="single" w:color="auto" w:sz="4" w:space="0"/>
              <w:right w:val="single" w:color="auto" w:sz="4" w:space="0"/>
            </w:tcBorders>
            <w:vAlign w:val="center"/>
          </w:tcPr>
          <w:p w14:paraId="075A4562">
            <w:pPr>
              <w:widowControl/>
              <w:jc w:val="center"/>
              <w:rPr>
                <w:rFonts w:ascii="仿宋_GB2312" w:hAnsi="宋体" w:eastAsia="仿宋_GB2312" w:cs="宋体"/>
                <w:color w:val="000000"/>
                <w:kern w:val="0"/>
                <w:sz w:val="18"/>
                <w:szCs w:val="18"/>
              </w:rPr>
            </w:pPr>
          </w:p>
        </w:tc>
        <w:tc>
          <w:tcPr>
            <w:tcW w:w="1411" w:type="dxa"/>
            <w:tcBorders>
              <w:top w:val="nil"/>
              <w:left w:val="nil"/>
              <w:bottom w:val="single" w:color="auto" w:sz="4" w:space="0"/>
              <w:right w:val="single" w:color="auto" w:sz="4" w:space="0"/>
            </w:tcBorders>
            <w:shd w:val="clear" w:color="auto" w:fill="auto"/>
            <w:noWrap/>
            <w:vAlign w:val="center"/>
          </w:tcPr>
          <w:p w14:paraId="679D27F2">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w:t>
            </w:r>
          </w:p>
        </w:tc>
        <w:tc>
          <w:tcPr>
            <w:tcW w:w="1172" w:type="dxa"/>
            <w:tcBorders>
              <w:top w:val="nil"/>
              <w:left w:val="nil"/>
              <w:bottom w:val="single" w:color="auto" w:sz="4" w:space="0"/>
              <w:right w:val="single" w:color="auto" w:sz="4" w:space="0"/>
            </w:tcBorders>
            <w:shd w:val="clear" w:color="auto" w:fill="auto"/>
            <w:noWrap/>
            <w:vAlign w:val="center"/>
          </w:tcPr>
          <w:p w14:paraId="75914277">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c>
          <w:tcPr>
            <w:tcW w:w="1300" w:type="dxa"/>
            <w:tcBorders>
              <w:top w:val="nil"/>
              <w:left w:val="nil"/>
              <w:bottom w:val="single" w:color="auto" w:sz="4" w:space="0"/>
              <w:right w:val="single" w:color="auto" w:sz="4" w:space="0"/>
            </w:tcBorders>
            <w:shd w:val="clear" w:color="auto" w:fill="auto"/>
            <w:noWrap/>
            <w:vAlign w:val="center"/>
          </w:tcPr>
          <w:p w14:paraId="7328A96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w:t>
            </w:r>
          </w:p>
        </w:tc>
        <w:tc>
          <w:tcPr>
            <w:tcW w:w="1137" w:type="dxa"/>
            <w:tcBorders>
              <w:top w:val="nil"/>
              <w:left w:val="nil"/>
              <w:bottom w:val="single" w:color="auto" w:sz="4" w:space="0"/>
              <w:right w:val="single" w:color="auto" w:sz="4" w:space="0"/>
            </w:tcBorders>
            <w:shd w:val="clear" w:color="auto" w:fill="auto"/>
            <w:noWrap/>
            <w:vAlign w:val="center"/>
          </w:tcPr>
          <w:p w14:paraId="1A31155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2861BDC4">
            <w:pPr>
              <w:widowControl/>
              <w:jc w:val="center"/>
              <w:rPr>
                <w:rFonts w:ascii="仿宋_GB2312" w:hAnsi="宋体" w:eastAsia="仿宋_GB2312" w:cs="宋体"/>
                <w:color w:val="000000"/>
                <w:kern w:val="0"/>
                <w:sz w:val="18"/>
                <w:szCs w:val="18"/>
              </w:rPr>
            </w:pPr>
          </w:p>
        </w:tc>
      </w:tr>
      <w:tr w14:paraId="7B53DC5C">
        <w:tblPrEx>
          <w:tblCellMar>
            <w:top w:w="0" w:type="dxa"/>
            <w:left w:w="108" w:type="dxa"/>
            <w:bottom w:w="0" w:type="dxa"/>
            <w:right w:w="108" w:type="dxa"/>
          </w:tblCellMar>
        </w:tblPrEx>
        <w:trPr>
          <w:trHeight w:val="288" w:hRule="atLeast"/>
          <w:jc w:val="center"/>
        </w:trPr>
        <w:tc>
          <w:tcPr>
            <w:tcW w:w="1740" w:type="dxa"/>
            <w:tcBorders>
              <w:top w:val="nil"/>
              <w:left w:val="single" w:color="auto" w:sz="4" w:space="0"/>
              <w:bottom w:val="single" w:color="auto" w:sz="4" w:space="0"/>
              <w:right w:val="single" w:color="auto" w:sz="4" w:space="0"/>
            </w:tcBorders>
            <w:shd w:val="clear" w:color="auto" w:fill="auto"/>
            <w:noWrap/>
            <w:vAlign w:val="center"/>
          </w:tcPr>
          <w:p w14:paraId="7301D8D3">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411" w:type="dxa"/>
            <w:tcBorders>
              <w:top w:val="nil"/>
              <w:left w:val="nil"/>
              <w:bottom w:val="single" w:color="auto" w:sz="4" w:space="0"/>
              <w:right w:val="single" w:color="auto" w:sz="4" w:space="0"/>
            </w:tcBorders>
            <w:shd w:val="clear" w:color="auto" w:fill="auto"/>
            <w:noWrap/>
            <w:vAlign w:val="center"/>
          </w:tcPr>
          <w:p w14:paraId="7077DD05">
            <w:pPr>
              <w:widowControl/>
              <w:jc w:val="center"/>
              <w:rPr>
                <w:rFonts w:ascii="宋体" w:hAnsi="宋体" w:cs="宋体"/>
                <w:color w:val="000000"/>
                <w:kern w:val="0"/>
                <w:sz w:val="18"/>
                <w:szCs w:val="18"/>
              </w:rPr>
            </w:pPr>
            <w:r>
              <w:rPr>
                <w:rFonts w:hint="eastAsia" w:ascii="宋体" w:hAnsi="宋体" w:cs="宋体"/>
                <w:color w:val="000000"/>
                <w:kern w:val="0"/>
                <w:sz w:val="18"/>
                <w:szCs w:val="18"/>
              </w:rPr>
              <w:t>5665.84</w:t>
            </w:r>
          </w:p>
        </w:tc>
        <w:tc>
          <w:tcPr>
            <w:tcW w:w="1172" w:type="dxa"/>
            <w:tcBorders>
              <w:top w:val="nil"/>
              <w:left w:val="nil"/>
              <w:bottom w:val="single" w:color="auto" w:sz="4" w:space="0"/>
              <w:right w:val="single" w:color="auto" w:sz="4" w:space="0"/>
            </w:tcBorders>
            <w:shd w:val="clear" w:color="auto" w:fill="auto"/>
            <w:noWrap/>
            <w:vAlign w:val="center"/>
          </w:tcPr>
          <w:p w14:paraId="4E7133DB">
            <w:pPr>
              <w:widowControl/>
              <w:jc w:val="center"/>
              <w:rPr>
                <w:rFonts w:ascii="宋体" w:hAnsi="宋体" w:cs="宋体"/>
                <w:color w:val="000000"/>
                <w:kern w:val="0"/>
                <w:sz w:val="18"/>
                <w:szCs w:val="18"/>
              </w:rPr>
            </w:pPr>
            <w:r>
              <w:rPr>
                <w:rFonts w:hint="eastAsia" w:ascii="宋体" w:hAnsi="宋体" w:cs="宋体"/>
                <w:color w:val="000000"/>
                <w:kern w:val="0"/>
                <w:sz w:val="18"/>
                <w:szCs w:val="18"/>
              </w:rPr>
              <w:t>18.76%</w:t>
            </w:r>
          </w:p>
        </w:tc>
        <w:tc>
          <w:tcPr>
            <w:tcW w:w="1300" w:type="dxa"/>
            <w:tcBorders>
              <w:top w:val="nil"/>
              <w:left w:val="nil"/>
              <w:bottom w:val="single" w:color="auto" w:sz="4" w:space="0"/>
              <w:right w:val="single" w:color="auto" w:sz="4" w:space="0"/>
            </w:tcBorders>
            <w:shd w:val="clear" w:color="auto" w:fill="auto"/>
            <w:noWrap/>
            <w:vAlign w:val="center"/>
          </w:tcPr>
          <w:p w14:paraId="7E0C843F">
            <w:pPr>
              <w:widowControl/>
              <w:jc w:val="center"/>
              <w:rPr>
                <w:rFonts w:ascii="宋体" w:hAnsi="宋体" w:cs="宋体"/>
                <w:color w:val="000000"/>
                <w:kern w:val="0"/>
                <w:sz w:val="18"/>
                <w:szCs w:val="18"/>
              </w:rPr>
            </w:pPr>
            <w:r>
              <w:rPr>
                <w:rFonts w:ascii="宋体" w:hAnsi="宋体" w:cs="宋体"/>
                <w:color w:val="000000"/>
                <w:kern w:val="0"/>
                <w:sz w:val="18"/>
                <w:szCs w:val="18"/>
              </w:rPr>
              <w:t>5443.28</w:t>
            </w:r>
          </w:p>
        </w:tc>
        <w:tc>
          <w:tcPr>
            <w:tcW w:w="1137" w:type="dxa"/>
            <w:tcBorders>
              <w:top w:val="nil"/>
              <w:left w:val="nil"/>
              <w:bottom w:val="single" w:color="auto" w:sz="4" w:space="0"/>
              <w:right w:val="single" w:color="auto" w:sz="4" w:space="0"/>
            </w:tcBorders>
            <w:shd w:val="clear" w:color="auto" w:fill="auto"/>
            <w:noWrap/>
            <w:vAlign w:val="center"/>
          </w:tcPr>
          <w:p w14:paraId="745635A3">
            <w:pPr>
              <w:widowControl/>
              <w:jc w:val="center"/>
              <w:rPr>
                <w:rFonts w:ascii="宋体" w:hAnsi="宋体" w:cs="宋体"/>
                <w:color w:val="000000"/>
                <w:kern w:val="0"/>
                <w:sz w:val="18"/>
                <w:szCs w:val="18"/>
              </w:rPr>
            </w:pPr>
            <w:r>
              <w:rPr>
                <w:rFonts w:hint="eastAsia" w:ascii="宋体" w:hAnsi="宋体" w:cs="宋体"/>
                <w:color w:val="000000"/>
                <w:kern w:val="0"/>
                <w:sz w:val="18"/>
                <w:szCs w:val="18"/>
              </w:rPr>
              <w:t>18.45%</w:t>
            </w:r>
          </w:p>
        </w:tc>
        <w:tc>
          <w:tcPr>
            <w:tcW w:w="1350" w:type="dxa"/>
            <w:tcBorders>
              <w:top w:val="nil"/>
              <w:left w:val="nil"/>
              <w:bottom w:val="single" w:color="auto" w:sz="4" w:space="0"/>
              <w:right w:val="single" w:color="auto" w:sz="4" w:space="0"/>
            </w:tcBorders>
            <w:shd w:val="clear" w:color="auto" w:fill="auto"/>
            <w:noWrap/>
            <w:vAlign w:val="center"/>
          </w:tcPr>
          <w:p w14:paraId="7C05EB6D">
            <w:pPr>
              <w:widowControl/>
              <w:jc w:val="center"/>
              <w:rPr>
                <w:rFonts w:ascii="宋体" w:hAnsi="宋体" w:cs="宋体"/>
                <w:color w:val="000000"/>
                <w:kern w:val="0"/>
                <w:sz w:val="18"/>
                <w:szCs w:val="18"/>
              </w:rPr>
            </w:pPr>
            <w:r>
              <w:rPr>
                <w:rFonts w:hint="eastAsia" w:ascii="宋体" w:hAnsi="宋体" w:cs="宋体"/>
                <w:color w:val="000000"/>
                <w:kern w:val="0"/>
                <w:sz w:val="18"/>
                <w:szCs w:val="18"/>
              </w:rPr>
              <w:t>-222.56</w:t>
            </w:r>
          </w:p>
        </w:tc>
      </w:tr>
      <w:tr w14:paraId="2E9E3C94">
        <w:tblPrEx>
          <w:tblCellMar>
            <w:top w:w="0" w:type="dxa"/>
            <w:left w:w="108" w:type="dxa"/>
            <w:bottom w:w="0" w:type="dxa"/>
            <w:right w:w="108" w:type="dxa"/>
          </w:tblCellMar>
        </w:tblPrEx>
        <w:trPr>
          <w:trHeight w:val="288" w:hRule="atLeast"/>
          <w:jc w:val="center"/>
        </w:trPr>
        <w:tc>
          <w:tcPr>
            <w:tcW w:w="1740" w:type="dxa"/>
            <w:tcBorders>
              <w:top w:val="nil"/>
              <w:left w:val="single" w:color="auto" w:sz="4" w:space="0"/>
              <w:bottom w:val="single" w:color="auto" w:sz="4" w:space="0"/>
              <w:right w:val="single" w:color="auto" w:sz="4" w:space="0"/>
            </w:tcBorders>
            <w:shd w:val="clear" w:color="auto" w:fill="auto"/>
            <w:noWrap/>
            <w:vAlign w:val="center"/>
          </w:tcPr>
          <w:p w14:paraId="79115FEB">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411" w:type="dxa"/>
            <w:tcBorders>
              <w:top w:val="nil"/>
              <w:left w:val="nil"/>
              <w:bottom w:val="single" w:color="auto" w:sz="4" w:space="0"/>
              <w:right w:val="single" w:color="auto" w:sz="4" w:space="0"/>
            </w:tcBorders>
            <w:shd w:val="clear" w:color="auto" w:fill="auto"/>
            <w:noWrap/>
            <w:vAlign w:val="center"/>
          </w:tcPr>
          <w:p w14:paraId="36F65FB0">
            <w:pPr>
              <w:widowControl/>
              <w:jc w:val="center"/>
              <w:rPr>
                <w:rFonts w:ascii="宋体" w:hAnsi="宋体" w:cs="宋体"/>
                <w:color w:val="000000"/>
                <w:kern w:val="0"/>
                <w:sz w:val="18"/>
                <w:szCs w:val="18"/>
              </w:rPr>
            </w:pPr>
            <w:r>
              <w:rPr>
                <w:rFonts w:hint="eastAsia" w:ascii="宋体" w:hAnsi="宋体" w:cs="宋体"/>
                <w:color w:val="000000"/>
                <w:kern w:val="0"/>
                <w:sz w:val="18"/>
                <w:szCs w:val="18"/>
              </w:rPr>
              <w:t>6718.95</w:t>
            </w:r>
          </w:p>
        </w:tc>
        <w:tc>
          <w:tcPr>
            <w:tcW w:w="1172" w:type="dxa"/>
            <w:tcBorders>
              <w:top w:val="nil"/>
              <w:left w:val="nil"/>
              <w:bottom w:val="single" w:color="auto" w:sz="4" w:space="0"/>
              <w:right w:val="single" w:color="auto" w:sz="4" w:space="0"/>
            </w:tcBorders>
            <w:shd w:val="clear" w:color="auto" w:fill="auto"/>
            <w:noWrap/>
            <w:vAlign w:val="center"/>
          </w:tcPr>
          <w:p w14:paraId="1FEC64A6">
            <w:pPr>
              <w:widowControl/>
              <w:jc w:val="center"/>
              <w:rPr>
                <w:rFonts w:ascii="宋体" w:hAnsi="宋体" w:cs="宋体"/>
                <w:color w:val="000000"/>
                <w:kern w:val="0"/>
                <w:sz w:val="18"/>
                <w:szCs w:val="18"/>
              </w:rPr>
            </w:pPr>
            <w:r>
              <w:rPr>
                <w:rFonts w:hint="eastAsia" w:ascii="宋体" w:hAnsi="宋体" w:cs="宋体"/>
                <w:color w:val="000000"/>
                <w:kern w:val="0"/>
                <w:sz w:val="18"/>
                <w:szCs w:val="18"/>
              </w:rPr>
              <w:t>22.25%</w:t>
            </w:r>
          </w:p>
        </w:tc>
        <w:tc>
          <w:tcPr>
            <w:tcW w:w="1300" w:type="dxa"/>
            <w:tcBorders>
              <w:top w:val="nil"/>
              <w:left w:val="nil"/>
              <w:bottom w:val="single" w:color="auto" w:sz="4" w:space="0"/>
              <w:right w:val="single" w:color="auto" w:sz="4" w:space="0"/>
            </w:tcBorders>
            <w:shd w:val="clear" w:color="auto" w:fill="auto"/>
            <w:noWrap/>
            <w:vAlign w:val="center"/>
          </w:tcPr>
          <w:p w14:paraId="065E849B">
            <w:pPr>
              <w:widowControl/>
              <w:jc w:val="center"/>
              <w:rPr>
                <w:rFonts w:ascii="宋体" w:hAnsi="宋体" w:cs="宋体"/>
                <w:color w:val="000000"/>
                <w:kern w:val="0"/>
                <w:sz w:val="18"/>
                <w:szCs w:val="18"/>
              </w:rPr>
            </w:pPr>
            <w:r>
              <w:rPr>
                <w:rFonts w:ascii="宋体" w:hAnsi="宋体" w:cs="宋体"/>
                <w:color w:val="000000"/>
                <w:kern w:val="0"/>
                <w:sz w:val="18"/>
                <w:szCs w:val="18"/>
              </w:rPr>
              <w:t>6594.6</w:t>
            </w:r>
          </w:p>
        </w:tc>
        <w:tc>
          <w:tcPr>
            <w:tcW w:w="1137" w:type="dxa"/>
            <w:tcBorders>
              <w:top w:val="nil"/>
              <w:left w:val="nil"/>
              <w:bottom w:val="single" w:color="auto" w:sz="4" w:space="0"/>
              <w:right w:val="single" w:color="auto" w:sz="4" w:space="0"/>
            </w:tcBorders>
            <w:shd w:val="clear" w:color="auto" w:fill="auto"/>
            <w:noWrap/>
            <w:vAlign w:val="center"/>
          </w:tcPr>
          <w:p w14:paraId="5B91465E">
            <w:pPr>
              <w:widowControl/>
              <w:jc w:val="center"/>
              <w:rPr>
                <w:rFonts w:ascii="宋体" w:hAnsi="宋体" w:cs="宋体"/>
                <w:color w:val="000000"/>
                <w:kern w:val="0"/>
                <w:sz w:val="18"/>
                <w:szCs w:val="18"/>
              </w:rPr>
            </w:pPr>
            <w:r>
              <w:rPr>
                <w:rFonts w:hint="eastAsia" w:ascii="宋体" w:hAnsi="宋体" w:cs="宋体"/>
                <w:color w:val="000000"/>
                <w:kern w:val="0"/>
                <w:sz w:val="18"/>
                <w:szCs w:val="18"/>
              </w:rPr>
              <w:t>22.36%</w:t>
            </w:r>
          </w:p>
        </w:tc>
        <w:tc>
          <w:tcPr>
            <w:tcW w:w="1350" w:type="dxa"/>
            <w:tcBorders>
              <w:top w:val="nil"/>
              <w:left w:val="nil"/>
              <w:bottom w:val="single" w:color="auto" w:sz="4" w:space="0"/>
              <w:right w:val="single" w:color="auto" w:sz="4" w:space="0"/>
            </w:tcBorders>
            <w:shd w:val="clear" w:color="auto" w:fill="auto"/>
            <w:noWrap/>
            <w:vAlign w:val="center"/>
          </w:tcPr>
          <w:p w14:paraId="4BEE6D16">
            <w:pPr>
              <w:widowControl/>
              <w:jc w:val="center"/>
              <w:rPr>
                <w:rFonts w:ascii="宋体" w:hAnsi="宋体" w:cs="宋体"/>
                <w:color w:val="000000"/>
                <w:kern w:val="0"/>
                <w:sz w:val="18"/>
                <w:szCs w:val="18"/>
              </w:rPr>
            </w:pPr>
            <w:r>
              <w:rPr>
                <w:rFonts w:hint="eastAsia" w:ascii="宋体" w:hAnsi="宋体" w:cs="宋体"/>
                <w:color w:val="000000"/>
                <w:kern w:val="0"/>
                <w:sz w:val="18"/>
                <w:szCs w:val="18"/>
              </w:rPr>
              <w:t>-124.35</w:t>
            </w:r>
          </w:p>
        </w:tc>
      </w:tr>
      <w:tr w14:paraId="53ABD12E">
        <w:tblPrEx>
          <w:tblCellMar>
            <w:top w:w="0" w:type="dxa"/>
            <w:left w:w="108" w:type="dxa"/>
            <w:bottom w:w="0" w:type="dxa"/>
            <w:right w:w="108" w:type="dxa"/>
          </w:tblCellMar>
        </w:tblPrEx>
        <w:trPr>
          <w:trHeight w:val="288" w:hRule="atLeast"/>
          <w:jc w:val="center"/>
        </w:trPr>
        <w:tc>
          <w:tcPr>
            <w:tcW w:w="1740" w:type="dxa"/>
            <w:tcBorders>
              <w:top w:val="nil"/>
              <w:left w:val="single" w:color="auto" w:sz="4" w:space="0"/>
              <w:bottom w:val="single" w:color="auto" w:sz="4" w:space="0"/>
              <w:right w:val="single" w:color="auto" w:sz="4" w:space="0"/>
            </w:tcBorders>
            <w:shd w:val="clear" w:color="auto" w:fill="auto"/>
            <w:noWrap/>
            <w:vAlign w:val="center"/>
          </w:tcPr>
          <w:p w14:paraId="065EC9F8">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411" w:type="dxa"/>
            <w:tcBorders>
              <w:top w:val="nil"/>
              <w:left w:val="nil"/>
              <w:bottom w:val="single" w:color="auto" w:sz="4" w:space="0"/>
              <w:right w:val="single" w:color="auto" w:sz="4" w:space="0"/>
            </w:tcBorders>
            <w:shd w:val="clear" w:color="auto" w:fill="auto"/>
            <w:noWrap/>
            <w:vAlign w:val="center"/>
          </w:tcPr>
          <w:p w14:paraId="01EF2BD5">
            <w:pPr>
              <w:widowControl/>
              <w:jc w:val="center"/>
              <w:rPr>
                <w:rFonts w:ascii="宋体" w:hAnsi="宋体" w:cs="宋体"/>
                <w:color w:val="000000"/>
                <w:kern w:val="0"/>
                <w:sz w:val="18"/>
                <w:szCs w:val="18"/>
              </w:rPr>
            </w:pPr>
            <w:r>
              <w:rPr>
                <w:rFonts w:hint="eastAsia" w:ascii="宋体" w:hAnsi="宋体" w:cs="宋体"/>
                <w:color w:val="000000"/>
                <w:kern w:val="0"/>
                <w:sz w:val="18"/>
                <w:szCs w:val="18"/>
              </w:rPr>
              <w:t>3287.9</w:t>
            </w:r>
          </w:p>
        </w:tc>
        <w:tc>
          <w:tcPr>
            <w:tcW w:w="1172" w:type="dxa"/>
            <w:tcBorders>
              <w:top w:val="nil"/>
              <w:left w:val="nil"/>
              <w:bottom w:val="single" w:color="auto" w:sz="4" w:space="0"/>
              <w:right w:val="single" w:color="auto" w:sz="4" w:space="0"/>
            </w:tcBorders>
            <w:shd w:val="clear" w:color="auto" w:fill="auto"/>
            <w:noWrap/>
            <w:vAlign w:val="center"/>
          </w:tcPr>
          <w:p w14:paraId="1720F05A">
            <w:pPr>
              <w:widowControl/>
              <w:jc w:val="center"/>
              <w:rPr>
                <w:rFonts w:ascii="宋体" w:hAnsi="宋体" w:cs="宋体"/>
                <w:color w:val="000000"/>
                <w:kern w:val="0"/>
                <w:sz w:val="18"/>
                <w:szCs w:val="18"/>
              </w:rPr>
            </w:pPr>
            <w:r>
              <w:rPr>
                <w:rFonts w:hint="eastAsia" w:ascii="宋体" w:hAnsi="宋体" w:cs="宋体"/>
                <w:color w:val="000000"/>
                <w:kern w:val="0"/>
                <w:sz w:val="18"/>
                <w:szCs w:val="18"/>
              </w:rPr>
              <w:t>10.89%</w:t>
            </w:r>
          </w:p>
        </w:tc>
        <w:tc>
          <w:tcPr>
            <w:tcW w:w="1300" w:type="dxa"/>
            <w:tcBorders>
              <w:top w:val="nil"/>
              <w:left w:val="nil"/>
              <w:bottom w:val="single" w:color="auto" w:sz="4" w:space="0"/>
              <w:right w:val="single" w:color="auto" w:sz="4" w:space="0"/>
            </w:tcBorders>
            <w:shd w:val="clear" w:color="auto" w:fill="auto"/>
            <w:noWrap/>
            <w:vAlign w:val="center"/>
          </w:tcPr>
          <w:p w14:paraId="43C61968">
            <w:pPr>
              <w:widowControl/>
              <w:jc w:val="center"/>
              <w:rPr>
                <w:rFonts w:ascii="宋体" w:hAnsi="宋体" w:cs="宋体"/>
                <w:color w:val="000000"/>
                <w:kern w:val="0"/>
                <w:sz w:val="18"/>
                <w:szCs w:val="18"/>
              </w:rPr>
            </w:pPr>
            <w:r>
              <w:rPr>
                <w:rFonts w:ascii="宋体" w:hAnsi="宋体" w:cs="宋体"/>
                <w:color w:val="000000"/>
                <w:kern w:val="0"/>
                <w:sz w:val="18"/>
                <w:szCs w:val="18"/>
              </w:rPr>
              <w:t>3389.53</w:t>
            </w:r>
          </w:p>
        </w:tc>
        <w:tc>
          <w:tcPr>
            <w:tcW w:w="1137" w:type="dxa"/>
            <w:tcBorders>
              <w:top w:val="nil"/>
              <w:left w:val="nil"/>
              <w:bottom w:val="single" w:color="auto" w:sz="4" w:space="0"/>
              <w:right w:val="single" w:color="auto" w:sz="4" w:space="0"/>
            </w:tcBorders>
            <w:shd w:val="clear" w:color="auto" w:fill="auto"/>
            <w:noWrap/>
            <w:vAlign w:val="center"/>
          </w:tcPr>
          <w:p w14:paraId="6FE3D621">
            <w:pPr>
              <w:widowControl/>
              <w:jc w:val="center"/>
              <w:rPr>
                <w:rFonts w:ascii="宋体" w:hAnsi="宋体" w:cs="宋体"/>
                <w:color w:val="000000"/>
                <w:kern w:val="0"/>
                <w:sz w:val="18"/>
                <w:szCs w:val="18"/>
              </w:rPr>
            </w:pPr>
            <w:r>
              <w:rPr>
                <w:rFonts w:hint="eastAsia" w:ascii="宋体" w:hAnsi="宋体" w:cs="宋体"/>
                <w:color w:val="000000"/>
                <w:kern w:val="0"/>
                <w:sz w:val="18"/>
                <w:szCs w:val="18"/>
              </w:rPr>
              <w:t>11.49%</w:t>
            </w:r>
          </w:p>
        </w:tc>
        <w:tc>
          <w:tcPr>
            <w:tcW w:w="1350" w:type="dxa"/>
            <w:tcBorders>
              <w:top w:val="nil"/>
              <w:left w:val="nil"/>
              <w:bottom w:val="single" w:color="auto" w:sz="4" w:space="0"/>
              <w:right w:val="single" w:color="auto" w:sz="4" w:space="0"/>
            </w:tcBorders>
            <w:shd w:val="clear" w:color="auto" w:fill="auto"/>
            <w:noWrap/>
            <w:vAlign w:val="center"/>
          </w:tcPr>
          <w:p w14:paraId="27B2AFC7">
            <w:pPr>
              <w:widowControl/>
              <w:jc w:val="center"/>
              <w:rPr>
                <w:rFonts w:ascii="宋体" w:hAnsi="宋体" w:cs="宋体"/>
                <w:color w:val="000000"/>
                <w:kern w:val="0"/>
                <w:sz w:val="18"/>
                <w:szCs w:val="18"/>
              </w:rPr>
            </w:pPr>
            <w:r>
              <w:rPr>
                <w:rFonts w:hint="eastAsia" w:ascii="宋体" w:hAnsi="宋体" w:cs="宋体"/>
                <w:color w:val="000000"/>
                <w:kern w:val="0"/>
                <w:sz w:val="18"/>
                <w:szCs w:val="18"/>
              </w:rPr>
              <w:t>101.63</w:t>
            </w:r>
          </w:p>
        </w:tc>
      </w:tr>
      <w:tr w14:paraId="4EE318E9">
        <w:tblPrEx>
          <w:tblCellMar>
            <w:top w:w="0" w:type="dxa"/>
            <w:left w:w="108" w:type="dxa"/>
            <w:bottom w:w="0" w:type="dxa"/>
            <w:right w:w="108" w:type="dxa"/>
          </w:tblCellMar>
        </w:tblPrEx>
        <w:trPr>
          <w:trHeight w:val="288" w:hRule="atLeast"/>
          <w:jc w:val="center"/>
        </w:trPr>
        <w:tc>
          <w:tcPr>
            <w:tcW w:w="1740" w:type="dxa"/>
            <w:tcBorders>
              <w:top w:val="nil"/>
              <w:left w:val="single" w:color="auto" w:sz="4" w:space="0"/>
              <w:bottom w:val="single" w:color="auto" w:sz="4" w:space="0"/>
              <w:right w:val="single" w:color="auto" w:sz="4" w:space="0"/>
            </w:tcBorders>
            <w:shd w:val="clear" w:color="auto" w:fill="auto"/>
            <w:noWrap/>
            <w:vAlign w:val="center"/>
          </w:tcPr>
          <w:p w14:paraId="10AE857F">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411" w:type="dxa"/>
            <w:tcBorders>
              <w:top w:val="nil"/>
              <w:left w:val="nil"/>
              <w:bottom w:val="single" w:color="auto" w:sz="4" w:space="0"/>
              <w:right w:val="single" w:color="auto" w:sz="4" w:space="0"/>
            </w:tcBorders>
            <w:shd w:val="clear" w:color="auto" w:fill="auto"/>
            <w:noWrap/>
            <w:vAlign w:val="center"/>
          </w:tcPr>
          <w:p w14:paraId="1A46F020">
            <w:pPr>
              <w:widowControl/>
              <w:jc w:val="center"/>
              <w:rPr>
                <w:rFonts w:ascii="宋体" w:hAnsi="宋体" w:cs="宋体"/>
                <w:color w:val="000000"/>
                <w:kern w:val="0"/>
                <w:sz w:val="18"/>
                <w:szCs w:val="18"/>
              </w:rPr>
            </w:pPr>
            <w:r>
              <w:rPr>
                <w:rFonts w:hint="eastAsia" w:ascii="宋体" w:hAnsi="宋体" w:cs="宋体"/>
                <w:color w:val="000000"/>
                <w:kern w:val="0"/>
                <w:sz w:val="18"/>
                <w:szCs w:val="18"/>
              </w:rPr>
              <w:t>5238.95</w:t>
            </w:r>
          </w:p>
        </w:tc>
        <w:tc>
          <w:tcPr>
            <w:tcW w:w="1172" w:type="dxa"/>
            <w:tcBorders>
              <w:top w:val="nil"/>
              <w:left w:val="nil"/>
              <w:bottom w:val="single" w:color="auto" w:sz="4" w:space="0"/>
              <w:right w:val="single" w:color="auto" w:sz="4" w:space="0"/>
            </w:tcBorders>
            <w:shd w:val="clear" w:color="auto" w:fill="auto"/>
            <w:noWrap/>
            <w:vAlign w:val="center"/>
          </w:tcPr>
          <w:p w14:paraId="3F9075F1">
            <w:pPr>
              <w:widowControl/>
              <w:jc w:val="center"/>
              <w:rPr>
                <w:rFonts w:ascii="宋体" w:hAnsi="宋体" w:cs="宋体"/>
                <w:color w:val="000000"/>
                <w:kern w:val="0"/>
                <w:sz w:val="18"/>
                <w:szCs w:val="18"/>
              </w:rPr>
            </w:pPr>
            <w:r>
              <w:rPr>
                <w:rFonts w:hint="eastAsia" w:ascii="宋体" w:hAnsi="宋体" w:cs="宋体"/>
                <w:color w:val="000000"/>
                <w:kern w:val="0"/>
                <w:sz w:val="18"/>
                <w:szCs w:val="18"/>
              </w:rPr>
              <w:t>17.35%</w:t>
            </w:r>
          </w:p>
        </w:tc>
        <w:tc>
          <w:tcPr>
            <w:tcW w:w="1300" w:type="dxa"/>
            <w:tcBorders>
              <w:top w:val="nil"/>
              <w:left w:val="nil"/>
              <w:bottom w:val="single" w:color="auto" w:sz="4" w:space="0"/>
              <w:right w:val="single" w:color="auto" w:sz="4" w:space="0"/>
            </w:tcBorders>
            <w:shd w:val="clear" w:color="auto" w:fill="auto"/>
            <w:noWrap/>
            <w:vAlign w:val="center"/>
          </w:tcPr>
          <w:p w14:paraId="3AF88435">
            <w:pPr>
              <w:widowControl/>
              <w:jc w:val="center"/>
              <w:rPr>
                <w:rFonts w:ascii="宋体" w:hAnsi="宋体" w:cs="宋体"/>
                <w:color w:val="000000"/>
                <w:kern w:val="0"/>
                <w:sz w:val="18"/>
                <w:szCs w:val="18"/>
              </w:rPr>
            </w:pPr>
            <w:r>
              <w:rPr>
                <w:rFonts w:ascii="宋体" w:hAnsi="宋体" w:cs="宋体"/>
                <w:color w:val="000000"/>
                <w:kern w:val="0"/>
                <w:sz w:val="18"/>
                <w:szCs w:val="18"/>
              </w:rPr>
              <w:t>5502.31</w:t>
            </w:r>
          </w:p>
        </w:tc>
        <w:tc>
          <w:tcPr>
            <w:tcW w:w="1137" w:type="dxa"/>
            <w:tcBorders>
              <w:top w:val="nil"/>
              <w:left w:val="nil"/>
              <w:bottom w:val="single" w:color="auto" w:sz="4" w:space="0"/>
              <w:right w:val="single" w:color="auto" w:sz="4" w:space="0"/>
            </w:tcBorders>
            <w:shd w:val="clear" w:color="auto" w:fill="auto"/>
            <w:noWrap/>
            <w:vAlign w:val="center"/>
          </w:tcPr>
          <w:p w14:paraId="6054CB3A">
            <w:pPr>
              <w:widowControl/>
              <w:jc w:val="center"/>
              <w:rPr>
                <w:rFonts w:ascii="宋体" w:hAnsi="宋体" w:cs="宋体"/>
                <w:color w:val="000000"/>
                <w:kern w:val="0"/>
                <w:sz w:val="18"/>
                <w:szCs w:val="18"/>
              </w:rPr>
            </w:pPr>
            <w:r>
              <w:rPr>
                <w:rFonts w:hint="eastAsia" w:ascii="宋体" w:hAnsi="宋体" w:cs="宋体"/>
                <w:color w:val="000000"/>
                <w:kern w:val="0"/>
                <w:sz w:val="18"/>
                <w:szCs w:val="18"/>
              </w:rPr>
              <w:t>18.65%</w:t>
            </w:r>
          </w:p>
        </w:tc>
        <w:tc>
          <w:tcPr>
            <w:tcW w:w="1350" w:type="dxa"/>
            <w:tcBorders>
              <w:top w:val="nil"/>
              <w:left w:val="nil"/>
              <w:bottom w:val="single" w:color="auto" w:sz="4" w:space="0"/>
              <w:right w:val="single" w:color="auto" w:sz="4" w:space="0"/>
            </w:tcBorders>
            <w:shd w:val="clear" w:color="auto" w:fill="auto"/>
            <w:noWrap/>
            <w:vAlign w:val="center"/>
          </w:tcPr>
          <w:p w14:paraId="223C1050">
            <w:pPr>
              <w:widowControl/>
              <w:jc w:val="center"/>
              <w:rPr>
                <w:rFonts w:ascii="宋体" w:hAnsi="宋体" w:cs="宋体"/>
                <w:color w:val="000000"/>
                <w:kern w:val="0"/>
                <w:sz w:val="18"/>
                <w:szCs w:val="18"/>
              </w:rPr>
            </w:pPr>
            <w:r>
              <w:rPr>
                <w:rFonts w:hint="eastAsia" w:ascii="宋体" w:hAnsi="宋体" w:cs="宋体"/>
                <w:color w:val="000000"/>
                <w:kern w:val="0"/>
                <w:sz w:val="18"/>
                <w:szCs w:val="18"/>
              </w:rPr>
              <w:t>263.36</w:t>
            </w:r>
          </w:p>
        </w:tc>
      </w:tr>
      <w:tr w14:paraId="11E7E138">
        <w:tblPrEx>
          <w:tblCellMar>
            <w:top w:w="0" w:type="dxa"/>
            <w:left w:w="108" w:type="dxa"/>
            <w:bottom w:w="0" w:type="dxa"/>
            <w:right w:w="108" w:type="dxa"/>
          </w:tblCellMar>
        </w:tblPrEx>
        <w:trPr>
          <w:trHeight w:val="288" w:hRule="atLeast"/>
          <w:jc w:val="center"/>
        </w:trPr>
        <w:tc>
          <w:tcPr>
            <w:tcW w:w="1740" w:type="dxa"/>
            <w:tcBorders>
              <w:top w:val="nil"/>
              <w:left w:val="single" w:color="auto" w:sz="4" w:space="0"/>
              <w:bottom w:val="single" w:color="auto" w:sz="4" w:space="0"/>
              <w:right w:val="single" w:color="auto" w:sz="4" w:space="0"/>
            </w:tcBorders>
            <w:shd w:val="clear" w:color="auto" w:fill="auto"/>
            <w:noWrap/>
            <w:vAlign w:val="center"/>
          </w:tcPr>
          <w:p w14:paraId="0245FDF5">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411" w:type="dxa"/>
            <w:tcBorders>
              <w:top w:val="nil"/>
              <w:left w:val="nil"/>
              <w:bottom w:val="single" w:color="auto" w:sz="4" w:space="0"/>
              <w:right w:val="single" w:color="auto" w:sz="4" w:space="0"/>
            </w:tcBorders>
            <w:shd w:val="clear" w:color="auto" w:fill="auto"/>
            <w:noWrap/>
            <w:vAlign w:val="center"/>
          </w:tcPr>
          <w:p w14:paraId="30B8266E">
            <w:pPr>
              <w:widowControl/>
              <w:jc w:val="center"/>
              <w:rPr>
                <w:rFonts w:ascii="宋体" w:hAnsi="宋体" w:cs="宋体"/>
                <w:color w:val="000000"/>
                <w:kern w:val="0"/>
                <w:sz w:val="18"/>
                <w:szCs w:val="18"/>
              </w:rPr>
            </w:pPr>
            <w:r>
              <w:rPr>
                <w:rFonts w:hint="eastAsia" w:ascii="宋体" w:hAnsi="宋体" w:cs="宋体"/>
                <w:color w:val="000000"/>
                <w:kern w:val="0"/>
                <w:sz w:val="18"/>
                <w:szCs w:val="18"/>
              </w:rPr>
              <w:t>3735.54</w:t>
            </w:r>
          </w:p>
        </w:tc>
        <w:tc>
          <w:tcPr>
            <w:tcW w:w="1172" w:type="dxa"/>
            <w:tcBorders>
              <w:top w:val="nil"/>
              <w:left w:val="nil"/>
              <w:bottom w:val="single" w:color="auto" w:sz="4" w:space="0"/>
              <w:right w:val="single" w:color="auto" w:sz="4" w:space="0"/>
            </w:tcBorders>
            <w:shd w:val="clear" w:color="auto" w:fill="auto"/>
            <w:noWrap/>
            <w:vAlign w:val="center"/>
          </w:tcPr>
          <w:p w14:paraId="41CD3178">
            <w:pPr>
              <w:widowControl/>
              <w:jc w:val="center"/>
              <w:rPr>
                <w:rFonts w:ascii="宋体" w:hAnsi="宋体" w:cs="宋体"/>
                <w:color w:val="000000"/>
                <w:kern w:val="0"/>
                <w:sz w:val="18"/>
                <w:szCs w:val="18"/>
              </w:rPr>
            </w:pPr>
            <w:r>
              <w:rPr>
                <w:rFonts w:hint="eastAsia" w:ascii="宋体" w:hAnsi="宋体" w:cs="宋体"/>
                <w:color w:val="000000"/>
                <w:kern w:val="0"/>
                <w:sz w:val="18"/>
                <w:szCs w:val="18"/>
              </w:rPr>
              <w:t>12.37%</w:t>
            </w:r>
          </w:p>
        </w:tc>
        <w:tc>
          <w:tcPr>
            <w:tcW w:w="1300" w:type="dxa"/>
            <w:tcBorders>
              <w:top w:val="nil"/>
              <w:left w:val="nil"/>
              <w:bottom w:val="single" w:color="auto" w:sz="4" w:space="0"/>
              <w:right w:val="single" w:color="auto" w:sz="4" w:space="0"/>
            </w:tcBorders>
            <w:shd w:val="clear" w:color="auto" w:fill="auto"/>
            <w:noWrap/>
            <w:vAlign w:val="center"/>
          </w:tcPr>
          <w:p w14:paraId="3EC3C5C9">
            <w:pPr>
              <w:widowControl/>
              <w:jc w:val="center"/>
              <w:rPr>
                <w:rFonts w:ascii="宋体" w:hAnsi="宋体" w:cs="宋体"/>
                <w:color w:val="000000"/>
                <w:kern w:val="0"/>
                <w:sz w:val="18"/>
                <w:szCs w:val="18"/>
              </w:rPr>
            </w:pPr>
            <w:r>
              <w:rPr>
                <w:rFonts w:ascii="宋体" w:hAnsi="宋体" w:cs="宋体"/>
                <w:color w:val="000000"/>
                <w:kern w:val="0"/>
                <w:sz w:val="18"/>
                <w:szCs w:val="18"/>
              </w:rPr>
              <w:t>3354.71</w:t>
            </w:r>
          </w:p>
        </w:tc>
        <w:tc>
          <w:tcPr>
            <w:tcW w:w="1137" w:type="dxa"/>
            <w:tcBorders>
              <w:top w:val="nil"/>
              <w:left w:val="nil"/>
              <w:bottom w:val="single" w:color="auto" w:sz="4" w:space="0"/>
              <w:right w:val="single" w:color="auto" w:sz="4" w:space="0"/>
            </w:tcBorders>
            <w:shd w:val="clear" w:color="auto" w:fill="auto"/>
            <w:noWrap/>
            <w:vAlign w:val="center"/>
          </w:tcPr>
          <w:p w14:paraId="51F8D20B">
            <w:pPr>
              <w:widowControl/>
              <w:jc w:val="center"/>
              <w:rPr>
                <w:rFonts w:ascii="宋体" w:hAnsi="宋体" w:cs="宋体"/>
                <w:color w:val="000000"/>
                <w:kern w:val="0"/>
                <w:sz w:val="18"/>
                <w:szCs w:val="18"/>
              </w:rPr>
            </w:pPr>
            <w:r>
              <w:rPr>
                <w:rFonts w:hint="eastAsia" w:ascii="宋体" w:hAnsi="宋体" w:cs="宋体"/>
                <w:color w:val="000000"/>
                <w:kern w:val="0"/>
                <w:sz w:val="18"/>
                <w:szCs w:val="18"/>
              </w:rPr>
              <w:t>11.37%</w:t>
            </w:r>
          </w:p>
        </w:tc>
        <w:tc>
          <w:tcPr>
            <w:tcW w:w="1350" w:type="dxa"/>
            <w:tcBorders>
              <w:top w:val="nil"/>
              <w:left w:val="nil"/>
              <w:bottom w:val="single" w:color="auto" w:sz="4" w:space="0"/>
              <w:right w:val="single" w:color="auto" w:sz="4" w:space="0"/>
            </w:tcBorders>
            <w:shd w:val="clear" w:color="auto" w:fill="auto"/>
            <w:noWrap/>
            <w:vAlign w:val="center"/>
          </w:tcPr>
          <w:p w14:paraId="48BB08DC">
            <w:pPr>
              <w:widowControl/>
              <w:jc w:val="center"/>
              <w:rPr>
                <w:rFonts w:ascii="宋体" w:hAnsi="宋体" w:cs="宋体"/>
                <w:color w:val="000000"/>
                <w:kern w:val="0"/>
                <w:sz w:val="18"/>
                <w:szCs w:val="18"/>
              </w:rPr>
            </w:pPr>
            <w:r>
              <w:rPr>
                <w:rFonts w:hint="eastAsia" w:ascii="宋体" w:hAnsi="宋体" w:cs="宋体"/>
                <w:color w:val="000000"/>
                <w:kern w:val="0"/>
                <w:sz w:val="18"/>
                <w:szCs w:val="18"/>
              </w:rPr>
              <w:t>-380.83</w:t>
            </w:r>
          </w:p>
        </w:tc>
      </w:tr>
      <w:tr w14:paraId="53576550">
        <w:tblPrEx>
          <w:tblCellMar>
            <w:top w:w="0" w:type="dxa"/>
            <w:left w:w="108" w:type="dxa"/>
            <w:bottom w:w="0" w:type="dxa"/>
            <w:right w:w="108" w:type="dxa"/>
          </w:tblCellMar>
        </w:tblPrEx>
        <w:trPr>
          <w:trHeight w:val="288" w:hRule="atLeast"/>
          <w:jc w:val="center"/>
        </w:trPr>
        <w:tc>
          <w:tcPr>
            <w:tcW w:w="1740" w:type="dxa"/>
            <w:tcBorders>
              <w:top w:val="nil"/>
              <w:left w:val="single" w:color="auto" w:sz="4" w:space="0"/>
              <w:bottom w:val="single" w:color="auto" w:sz="4" w:space="0"/>
              <w:right w:val="single" w:color="auto" w:sz="4" w:space="0"/>
            </w:tcBorders>
            <w:shd w:val="clear" w:color="auto" w:fill="auto"/>
            <w:noWrap/>
            <w:vAlign w:val="center"/>
          </w:tcPr>
          <w:p w14:paraId="0EC06F01">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411" w:type="dxa"/>
            <w:tcBorders>
              <w:top w:val="nil"/>
              <w:left w:val="nil"/>
              <w:bottom w:val="single" w:color="auto" w:sz="4" w:space="0"/>
              <w:right w:val="single" w:color="auto" w:sz="4" w:space="0"/>
            </w:tcBorders>
            <w:shd w:val="clear" w:color="auto" w:fill="auto"/>
            <w:noWrap/>
            <w:vAlign w:val="center"/>
          </w:tcPr>
          <w:p w14:paraId="0DD5A460">
            <w:pPr>
              <w:widowControl/>
              <w:jc w:val="center"/>
              <w:rPr>
                <w:rFonts w:ascii="宋体" w:hAnsi="宋体" w:cs="宋体"/>
                <w:color w:val="000000"/>
                <w:kern w:val="0"/>
                <w:sz w:val="18"/>
                <w:szCs w:val="18"/>
              </w:rPr>
            </w:pPr>
            <w:r>
              <w:rPr>
                <w:rFonts w:hint="eastAsia" w:ascii="宋体" w:hAnsi="宋体" w:cs="宋体"/>
                <w:color w:val="000000"/>
                <w:kern w:val="0"/>
                <w:sz w:val="18"/>
                <w:szCs w:val="18"/>
              </w:rPr>
              <w:t>3544.45</w:t>
            </w:r>
          </w:p>
        </w:tc>
        <w:tc>
          <w:tcPr>
            <w:tcW w:w="1172" w:type="dxa"/>
            <w:tcBorders>
              <w:top w:val="nil"/>
              <w:left w:val="nil"/>
              <w:bottom w:val="single" w:color="auto" w:sz="4" w:space="0"/>
              <w:right w:val="single" w:color="auto" w:sz="4" w:space="0"/>
            </w:tcBorders>
            <w:shd w:val="clear" w:color="auto" w:fill="auto"/>
            <w:noWrap/>
            <w:vAlign w:val="center"/>
          </w:tcPr>
          <w:p w14:paraId="72A9677E">
            <w:pPr>
              <w:widowControl/>
              <w:jc w:val="center"/>
              <w:rPr>
                <w:rFonts w:ascii="宋体" w:hAnsi="宋体" w:cs="宋体"/>
                <w:color w:val="000000"/>
                <w:kern w:val="0"/>
                <w:sz w:val="18"/>
                <w:szCs w:val="18"/>
              </w:rPr>
            </w:pPr>
            <w:r>
              <w:rPr>
                <w:rFonts w:hint="eastAsia" w:ascii="宋体" w:hAnsi="宋体" w:cs="宋体"/>
                <w:color w:val="000000"/>
                <w:kern w:val="0"/>
                <w:sz w:val="18"/>
                <w:szCs w:val="18"/>
              </w:rPr>
              <w:t>11.74%</w:t>
            </w:r>
          </w:p>
        </w:tc>
        <w:tc>
          <w:tcPr>
            <w:tcW w:w="1300" w:type="dxa"/>
            <w:tcBorders>
              <w:top w:val="nil"/>
              <w:left w:val="nil"/>
              <w:bottom w:val="single" w:color="auto" w:sz="4" w:space="0"/>
              <w:right w:val="single" w:color="auto" w:sz="4" w:space="0"/>
            </w:tcBorders>
            <w:shd w:val="clear" w:color="auto" w:fill="auto"/>
            <w:noWrap/>
            <w:vAlign w:val="center"/>
          </w:tcPr>
          <w:p w14:paraId="209653BB">
            <w:pPr>
              <w:widowControl/>
              <w:jc w:val="center"/>
              <w:rPr>
                <w:rFonts w:ascii="宋体" w:hAnsi="宋体" w:cs="宋体"/>
                <w:color w:val="000000"/>
                <w:kern w:val="0"/>
                <w:sz w:val="18"/>
                <w:szCs w:val="18"/>
              </w:rPr>
            </w:pPr>
            <w:r>
              <w:rPr>
                <w:rFonts w:ascii="宋体" w:hAnsi="宋体" w:cs="宋体"/>
                <w:color w:val="000000"/>
                <w:kern w:val="0"/>
                <w:sz w:val="18"/>
                <w:szCs w:val="18"/>
              </w:rPr>
              <w:t>3502.39</w:t>
            </w:r>
          </w:p>
        </w:tc>
        <w:tc>
          <w:tcPr>
            <w:tcW w:w="1137" w:type="dxa"/>
            <w:tcBorders>
              <w:top w:val="nil"/>
              <w:left w:val="nil"/>
              <w:bottom w:val="single" w:color="auto" w:sz="4" w:space="0"/>
              <w:right w:val="single" w:color="auto" w:sz="4" w:space="0"/>
            </w:tcBorders>
            <w:shd w:val="clear" w:color="auto" w:fill="auto"/>
            <w:noWrap/>
            <w:vAlign w:val="center"/>
          </w:tcPr>
          <w:p w14:paraId="17B72D07">
            <w:pPr>
              <w:widowControl/>
              <w:jc w:val="center"/>
              <w:rPr>
                <w:rFonts w:ascii="宋体" w:hAnsi="宋体" w:cs="宋体"/>
                <w:color w:val="000000"/>
                <w:kern w:val="0"/>
                <w:sz w:val="18"/>
                <w:szCs w:val="18"/>
              </w:rPr>
            </w:pPr>
            <w:r>
              <w:rPr>
                <w:rFonts w:hint="eastAsia" w:ascii="宋体" w:hAnsi="宋体" w:cs="宋体"/>
                <w:color w:val="000000"/>
                <w:kern w:val="0"/>
                <w:sz w:val="18"/>
                <w:szCs w:val="18"/>
              </w:rPr>
              <w:t>11.87%</w:t>
            </w:r>
          </w:p>
        </w:tc>
        <w:tc>
          <w:tcPr>
            <w:tcW w:w="1350" w:type="dxa"/>
            <w:tcBorders>
              <w:top w:val="nil"/>
              <w:left w:val="nil"/>
              <w:bottom w:val="single" w:color="auto" w:sz="4" w:space="0"/>
              <w:right w:val="single" w:color="auto" w:sz="4" w:space="0"/>
            </w:tcBorders>
            <w:shd w:val="clear" w:color="auto" w:fill="auto"/>
            <w:noWrap/>
            <w:vAlign w:val="center"/>
          </w:tcPr>
          <w:p w14:paraId="406E12CA">
            <w:pPr>
              <w:widowControl/>
              <w:jc w:val="center"/>
              <w:rPr>
                <w:rFonts w:ascii="宋体" w:hAnsi="宋体" w:cs="宋体"/>
                <w:color w:val="000000"/>
                <w:kern w:val="0"/>
                <w:sz w:val="18"/>
                <w:szCs w:val="18"/>
              </w:rPr>
            </w:pPr>
            <w:r>
              <w:rPr>
                <w:rFonts w:hint="eastAsia" w:ascii="宋体" w:hAnsi="宋体" w:cs="宋体"/>
                <w:color w:val="000000"/>
                <w:kern w:val="0"/>
                <w:sz w:val="18"/>
                <w:szCs w:val="18"/>
              </w:rPr>
              <w:t>-42.06</w:t>
            </w:r>
          </w:p>
        </w:tc>
      </w:tr>
      <w:tr w14:paraId="19E4A3EE">
        <w:tblPrEx>
          <w:tblCellMar>
            <w:top w:w="0" w:type="dxa"/>
            <w:left w:w="108" w:type="dxa"/>
            <w:bottom w:w="0" w:type="dxa"/>
            <w:right w:w="108" w:type="dxa"/>
          </w:tblCellMar>
        </w:tblPrEx>
        <w:trPr>
          <w:trHeight w:val="288" w:hRule="atLeast"/>
          <w:jc w:val="center"/>
        </w:trPr>
        <w:tc>
          <w:tcPr>
            <w:tcW w:w="1740" w:type="dxa"/>
            <w:tcBorders>
              <w:top w:val="nil"/>
              <w:left w:val="single" w:color="auto" w:sz="4" w:space="0"/>
              <w:bottom w:val="single" w:color="auto" w:sz="4" w:space="0"/>
              <w:right w:val="single" w:color="auto" w:sz="4" w:space="0"/>
            </w:tcBorders>
            <w:shd w:val="clear" w:color="auto" w:fill="auto"/>
            <w:noWrap/>
            <w:vAlign w:val="center"/>
          </w:tcPr>
          <w:p w14:paraId="2BF464D5">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411" w:type="dxa"/>
            <w:tcBorders>
              <w:top w:val="nil"/>
              <w:left w:val="nil"/>
              <w:bottom w:val="single" w:color="auto" w:sz="4" w:space="0"/>
              <w:right w:val="single" w:color="auto" w:sz="4" w:space="0"/>
            </w:tcBorders>
            <w:shd w:val="clear" w:color="auto" w:fill="auto"/>
            <w:noWrap/>
            <w:vAlign w:val="center"/>
          </w:tcPr>
          <w:p w14:paraId="79D7D4E9">
            <w:pPr>
              <w:widowControl/>
              <w:jc w:val="center"/>
              <w:rPr>
                <w:rFonts w:ascii="宋体" w:hAnsi="宋体" w:cs="宋体"/>
                <w:color w:val="000000"/>
                <w:kern w:val="0"/>
                <w:sz w:val="18"/>
                <w:szCs w:val="18"/>
              </w:rPr>
            </w:pPr>
            <w:r>
              <w:rPr>
                <w:rFonts w:hint="eastAsia" w:ascii="宋体" w:hAnsi="宋体" w:cs="宋体"/>
                <w:color w:val="000000"/>
                <w:kern w:val="0"/>
                <w:sz w:val="18"/>
                <w:szCs w:val="18"/>
              </w:rPr>
              <w:t>984.29</w:t>
            </w:r>
          </w:p>
        </w:tc>
        <w:tc>
          <w:tcPr>
            <w:tcW w:w="1172" w:type="dxa"/>
            <w:tcBorders>
              <w:top w:val="nil"/>
              <w:left w:val="nil"/>
              <w:bottom w:val="single" w:color="auto" w:sz="4" w:space="0"/>
              <w:right w:val="single" w:color="auto" w:sz="4" w:space="0"/>
            </w:tcBorders>
            <w:shd w:val="clear" w:color="auto" w:fill="auto"/>
            <w:noWrap/>
            <w:vAlign w:val="center"/>
          </w:tcPr>
          <w:p w14:paraId="41BF549B">
            <w:pPr>
              <w:widowControl/>
              <w:jc w:val="center"/>
              <w:rPr>
                <w:rFonts w:ascii="宋体" w:hAnsi="宋体" w:cs="宋体"/>
                <w:color w:val="000000"/>
                <w:kern w:val="0"/>
                <w:sz w:val="18"/>
                <w:szCs w:val="18"/>
              </w:rPr>
            </w:pPr>
            <w:r>
              <w:rPr>
                <w:rFonts w:hint="eastAsia" w:ascii="宋体" w:hAnsi="宋体" w:cs="宋体"/>
                <w:color w:val="000000"/>
                <w:kern w:val="0"/>
                <w:sz w:val="18"/>
                <w:szCs w:val="18"/>
              </w:rPr>
              <w:t>3.26%</w:t>
            </w:r>
          </w:p>
        </w:tc>
        <w:tc>
          <w:tcPr>
            <w:tcW w:w="1300" w:type="dxa"/>
            <w:tcBorders>
              <w:top w:val="nil"/>
              <w:left w:val="nil"/>
              <w:bottom w:val="single" w:color="auto" w:sz="4" w:space="0"/>
              <w:right w:val="single" w:color="auto" w:sz="4" w:space="0"/>
            </w:tcBorders>
            <w:shd w:val="clear" w:color="auto" w:fill="auto"/>
            <w:noWrap/>
            <w:vAlign w:val="center"/>
          </w:tcPr>
          <w:p w14:paraId="6FADC1FA">
            <w:pPr>
              <w:widowControl/>
              <w:jc w:val="center"/>
              <w:rPr>
                <w:rFonts w:ascii="宋体" w:hAnsi="宋体" w:cs="宋体"/>
                <w:color w:val="000000"/>
                <w:kern w:val="0"/>
                <w:sz w:val="18"/>
                <w:szCs w:val="18"/>
              </w:rPr>
            </w:pPr>
            <w:r>
              <w:rPr>
                <w:rFonts w:ascii="宋体" w:hAnsi="宋体" w:cs="宋体"/>
                <w:color w:val="000000"/>
                <w:kern w:val="0"/>
                <w:sz w:val="18"/>
                <w:szCs w:val="18"/>
              </w:rPr>
              <w:t>727.04</w:t>
            </w:r>
          </w:p>
        </w:tc>
        <w:tc>
          <w:tcPr>
            <w:tcW w:w="1137" w:type="dxa"/>
            <w:tcBorders>
              <w:top w:val="nil"/>
              <w:left w:val="nil"/>
              <w:bottom w:val="single" w:color="auto" w:sz="4" w:space="0"/>
              <w:right w:val="single" w:color="auto" w:sz="4" w:space="0"/>
            </w:tcBorders>
            <w:shd w:val="clear" w:color="auto" w:fill="auto"/>
            <w:noWrap/>
            <w:vAlign w:val="center"/>
          </w:tcPr>
          <w:p w14:paraId="47466E58">
            <w:pPr>
              <w:widowControl/>
              <w:jc w:val="center"/>
              <w:rPr>
                <w:rFonts w:ascii="宋体" w:hAnsi="宋体" w:cs="宋体"/>
                <w:color w:val="000000"/>
                <w:kern w:val="0"/>
                <w:sz w:val="18"/>
                <w:szCs w:val="18"/>
              </w:rPr>
            </w:pPr>
            <w:r>
              <w:rPr>
                <w:rFonts w:hint="eastAsia" w:ascii="宋体" w:hAnsi="宋体" w:cs="宋体"/>
                <w:color w:val="000000"/>
                <w:kern w:val="0"/>
                <w:sz w:val="18"/>
                <w:szCs w:val="18"/>
              </w:rPr>
              <w:t>2.46%</w:t>
            </w:r>
          </w:p>
        </w:tc>
        <w:tc>
          <w:tcPr>
            <w:tcW w:w="1350" w:type="dxa"/>
            <w:tcBorders>
              <w:top w:val="nil"/>
              <w:left w:val="nil"/>
              <w:bottom w:val="single" w:color="auto" w:sz="4" w:space="0"/>
              <w:right w:val="single" w:color="auto" w:sz="4" w:space="0"/>
            </w:tcBorders>
            <w:shd w:val="clear" w:color="auto" w:fill="auto"/>
            <w:noWrap/>
            <w:vAlign w:val="center"/>
          </w:tcPr>
          <w:p w14:paraId="22AC1FF7">
            <w:pPr>
              <w:widowControl/>
              <w:jc w:val="center"/>
              <w:rPr>
                <w:rFonts w:ascii="宋体" w:hAnsi="宋体" w:cs="宋体"/>
                <w:color w:val="000000"/>
                <w:kern w:val="0"/>
                <w:sz w:val="18"/>
                <w:szCs w:val="18"/>
              </w:rPr>
            </w:pPr>
            <w:r>
              <w:rPr>
                <w:rFonts w:hint="eastAsia" w:ascii="宋体" w:hAnsi="宋体" w:cs="宋体"/>
                <w:color w:val="000000"/>
                <w:kern w:val="0"/>
                <w:sz w:val="18"/>
                <w:szCs w:val="18"/>
              </w:rPr>
              <w:t>-257.25</w:t>
            </w:r>
          </w:p>
        </w:tc>
      </w:tr>
      <w:tr w14:paraId="3BB2A9CF">
        <w:tblPrEx>
          <w:tblCellMar>
            <w:top w:w="0" w:type="dxa"/>
            <w:left w:w="108" w:type="dxa"/>
            <w:bottom w:w="0" w:type="dxa"/>
            <w:right w:w="108" w:type="dxa"/>
          </w:tblCellMar>
        </w:tblPrEx>
        <w:trPr>
          <w:trHeight w:val="288" w:hRule="atLeast"/>
          <w:jc w:val="center"/>
        </w:trPr>
        <w:tc>
          <w:tcPr>
            <w:tcW w:w="1740" w:type="dxa"/>
            <w:tcBorders>
              <w:top w:val="nil"/>
              <w:left w:val="single" w:color="auto" w:sz="4" w:space="0"/>
              <w:bottom w:val="single" w:color="auto" w:sz="4" w:space="0"/>
              <w:right w:val="single" w:color="auto" w:sz="4" w:space="0"/>
            </w:tcBorders>
            <w:shd w:val="clear" w:color="auto" w:fill="auto"/>
            <w:noWrap/>
            <w:vAlign w:val="center"/>
          </w:tcPr>
          <w:p w14:paraId="2354613A">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411" w:type="dxa"/>
            <w:tcBorders>
              <w:top w:val="nil"/>
              <w:left w:val="nil"/>
              <w:bottom w:val="single" w:color="auto" w:sz="4" w:space="0"/>
              <w:right w:val="single" w:color="auto" w:sz="4" w:space="0"/>
            </w:tcBorders>
            <w:shd w:val="clear" w:color="auto" w:fill="auto"/>
            <w:noWrap/>
            <w:vAlign w:val="center"/>
          </w:tcPr>
          <w:p w14:paraId="0CF5712D">
            <w:pPr>
              <w:widowControl/>
              <w:jc w:val="center"/>
              <w:rPr>
                <w:rFonts w:ascii="宋体" w:hAnsi="宋体" w:cs="宋体"/>
                <w:color w:val="000000"/>
                <w:kern w:val="0"/>
                <w:sz w:val="18"/>
                <w:szCs w:val="18"/>
              </w:rPr>
            </w:pPr>
            <w:r>
              <w:rPr>
                <w:rFonts w:hint="eastAsia" w:ascii="宋体" w:hAnsi="宋体" w:cs="宋体"/>
                <w:color w:val="000000"/>
                <w:kern w:val="0"/>
                <w:sz w:val="18"/>
                <w:szCs w:val="18"/>
              </w:rPr>
              <w:t>1024.07</w:t>
            </w:r>
          </w:p>
        </w:tc>
        <w:tc>
          <w:tcPr>
            <w:tcW w:w="1172" w:type="dxa"/>
            <w:tcBorders>
              <w:top w:val="nil"/>
              <w:left w:val="nil"/>
              <w:bottom w:val="single" w:color="auto" w:sz="4" w:space="0"/>
              <w:right w:val="single" w:color="auto" w:sz="4" w:space="0"/>
            </w:tcBorders>
            <w:shd w:val="clear" w:color="auto" w:fill="auto"/>
            <w:noWrap/>
            <w:vAlign w:val="center"/>
          </w:tcPr>
          <w:p w14:paraId="011C2A54">
            <w:pPr>
              <w:widowControl/>
              <w:jc w:val="center"/>
              <w:rPr>
                <w:rFonts w:ascii="宋体" w:hAnsi="宋体" w:cs="宋体"/>
                <w:color w:val="000000"/>
                <w:kern w:val="0"/>
                <w:sz w:val="18"/>
                <w:szCs w:val="18"/>
              </w:rPr>
            </w:pPr>
            <w:r>
              <w:rPr>
                <w:rFonts w:hint="eastAsia" w:ascii="宋体" w:hAnsi="宋体" w:cs="宋体"/>
                <w:color w:val="000000"/>
                <w:kern w:val="0"/>
                <w:sz w:val="18"/>
                <w:szCs w:val="18"/>
              </w:rPr>
              <w:t>3.39%</w:t>
            </w:r>
          </w:p>
        </w:tc>
        <w:tc>
          <w:tcPr>
            <w:tcW w:w="1300" w:type="dxa"/>
            <w:tcBorders>
              <w:top w:val="nil"/>
              <w:left w:val="nil"/>
              <w:bottom w:val="single" w:color="auto" w:sz="4" w:space="0"/>
              <w:right w:val="single" w:color="auto" w:sz="4" w:space="0"/>
            </w:tcBorders>
            <w:shd w:val="clear" w:color="auto" w:fill="auto"/>
            <w:noWrap/>
            <w:vAlign w:val="center"/>
          </w:tcPr>
          <w:p w14:paraId="004504B8">
            <w:pPr>
              <w:widowControl/>
              <w:jc w:val="center"/>
              <w:rPr>
                <w:rFonts w:ascii="宋体" w:hAnsi="宋体" w:cs="宋体"/>
                <w:color w:val="000000"/>
                <w:kern w:val="0"/>
                <w:sz w:val="18"/>
                <w:szCs w:val="18"/>
              </w:rPr>
            </w:pPr>
            <w:r>
              <w:rPr>
                <w:rFonts w:ascii="宋体" w:hAnsi="宋体" w:cs="宋体"/>
                <w:color w:val="000000"/>
                <w:kern w:val="0"/>
                <w:sz w:val="18"/>
                <w:szCs w:val="18"/>
              </w:rPr>
              <w:t>983.14</w:t>
            </w:r>
          </w:p>
        </w:tc>
        <w:tc>
          <w:tcPr>
            <w:tcW w:w="1137" w:type="dxa"/>
            <w:tcBorders>
              <w:top w:val="nil"/>
              <w:left w:val="nil"/>
              <w:bottom w:val="single" w:color="auto" w:sz="4" w:space="0"/>
              <w:right w:val="single" w:color="auto" w:sz="4" w:space="0"/>
            </w:tcBorders>
            <w:shd w:val="clear" w:color="auto" w:fill="auto"/>
            <w:noWrap/>
            <w:vAlign w:val="center"/>
          </w:tcPr>
          <w:p w14:paraId="211374BB">
            <w:pPr>
              <w:widowControl/>
              <w:jc w:val="center"/>
              <w:rPr>
                <w:rFonts w:ascii="宋体" w:hAnsi="宋体" w:cs="宋体"/>
                <w:color w:val="000000"/>
                <w:kern w:val="0"/>
                <w:sz w:val="18"/>
                <w:szCs w:val="18"/>
              </w:rPr>
            </w:pPr>
            <w:r>
              <w:rPr>
                <w:rFonts w:hint="eastAsia" w:ascii="宋体" w:hAnsi="宋体" w:cs="宋体"/>
                <w:color w:val="000000"/>
                <w:kern w:val="0"/>
                <w:sz w:val="18"/>
                <w:szCs w:val="18"/>
              </w:rPr>
              <w:t>3.33%</w:t>
            </w:r>
          </w:p>
        </w:tc>
        <w:tc>
          <w:tcPr>
            <w:tcW w:w="1350" w:type="dxa"/>
            <w:tcBorders>
              <w:top w:val="nil"/>
              <w:left w:val="nil"/>
              <w:bottom w:val="single" w:color="auto" w:sz="4" w:space="0"/>
              <w:right w:val="single" w:color="auto" w:sz="4" w:space="0"/>
            </w:tcBorders>
            <w:shd w:val="clear" w:color="auto" w:fill="auto"/>
            <w:noWrap/>
            <w:vAlign w:val="center"/>
          </w:tcPr>
          <w:p w14:paraId="3468035A">
            <w:pPr>
              <w:widowControl/>
              <w:jc w:val="center"/>
              <w:rPr>
                <w:rFonts w:ascii="宋体" w:hAnsi="宋体" w:cs="宋体"/>
                <w:color w:val="000000"/>
                <w:kern w:val="0"/>
                <w:sz w:val="18"/>
                <w:szCs w:val="18"/>
              </w:rPr>
            </w:pPr>
            <w:r>
              <w:rPr>
                <w:rFonts w:hint="eastAsia" w:ascii="宋体" w:hAnsi="宋体" w:cs="宋体"/>
                <w:color w:val="000000"/>
                <w:kern w:val="0"/>
                <w:sz w:val="18"/>
                <w:szCs w:val="18"/>
              </w:rPr>
              <w:t>-40.93</w:t>
            </w:r>
          </w:p>
        </w:tc>
      </w:tr>
      <w:tr w14:paraId="5EFED221">
        <w:tblPrEx>
          <w:tblCellMar>
            <w:top w:w="0" w:type="dxa"/>
            <w:left w:w="108" w:type="dxa"/>
            <w:bottom w:w="0" w:type="dxa"/>
            <w:right w:w="108" w:type="dxa"/>
          </w:tblCellMar>
        </w:tblPrEx>
        <w:trPr>
          <w:trHeight w:val="288" w:hRule="atLeast"/>
          <w:jc w:val="center"/>
        </w:trPr>
        <w:tc>
          <w:tcPr>
            <w:tcW w:w="1740" w:type="dxa"/>
            <w:tcBorders>
              <w:top w:val="nil"/>
              <w:left w:val="single" w:color="auto" w:sz="4" w:space="0"/>
              <w:bottom w:val="single" w:color="auto" w:sz="4" w:space="0"/>
              <w:right w:val="single" w:color="auto" w:sz="4" w:space="0"/>
            </w:tcBorders>
            <w:shd w:val="clear" w:color="auto" w:fill="auto"/>
            <w:noWrap/>
            <w:vAlign w:val="center"/>
          </w:tcPr>
          <w:p w14:paraId="0ACCB470">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411" w:type="dxa"/>
            <w:tcBorders>
              <w:top w:val="nil"/>
              <w:left w:val="nil"/>
              <w:bottom w:val="single" w:color="auto" w:sz="4" w:space="0"/>
              <w:right w:val="single" w:color="auto" w:sz="4" w:space="0"/>
            </w:tcBorders>
            <w:shd w:val="clear" w:color="auto" w:fill="auto"/>
            <w:noWrap/>
            <w:vAlign w:val="center"/>
          </w:tcPr>
          <w:p w14:paraId="09CE3904">
            <w:pPr>
              <w:widowControl/>
              <w:jc w:val="center"/>
              <w:rPr>
                <w:rFonts w:ascii="宋体" w:hAnsi="宋体" w:cs="宋体"/>
                <w:color w:val="000000"/>
                <w:kern w:val="0"/>
                <w:sz w:val="18"/>
                <w:szCs w:val="18"/>
              </w:rPr>
            </w:pPr>
            <w:r>
              <w:rPr>
                <w:rFonts w:hint="eastAsia" w:ascii="宋体" w:hAnsi="宋体" w:cs="宋体"/>
                <w:color w:val="000000"/>
                <w:kern w:val="0"/>
                <w:sz w:val="18"/>
                <w:szCs w:val="18"/>
              </w:rPr>
              <w:t>30200</w:t>
            </w:r>
          </w:p>
        </w:tc>
        <w:tc>
          <w:tcPr>
            <w:tcW w:w="1172" w:type="dxa"/>
            <w:tcBorders>
              <w:top w:val="nil"/>
              <w:left w:val="nil"/>
              <w:bottom w:val="single" w:color="auto" w:sz="4" w:space="0"/>
              <w:right w:val="single" w:color="auto" w:sz="4" w:space="0"/>
            </w:tcBorders>
            <w:shd w:val="clear" w:color="auto" w:fill="auto"/>
            <w:noWrap/>
            <w:vAlign w:val="center"/>
          </w:tcPr>
          <w:p w14:paraId="43DEB901">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300" w:type="dxa"/>
            <w:tcBorders>
              <w:top w:val="nil"/>
              <w:left w:val="nil"/>
              <w:bottom w:val="single" w:color="auto" w:sz="4" w:space="0"/>
              <w:right w:val="single" w:color="auto" w:sz="4" w:space="0"/>
            </w:tcBorders>
            <w:shd w:val="clear" w:color="auto" w:fill="auto"/>
            <w:noWrap/>
            <w:vAlign w:val="center"/>
          </w:tcPr>
          <w:p w14:paraId="550CE7AE">
            <w:pPr>
              <w:widowControl/>
              <w:jc w:val="center"/>
              <w:rPr>
                <w:rFonts w:ascii="宋体" w:hAnsi="宋体" w:cs="宋体"/>
                <w:color w:val="000000"/>
                <w:kern w:val="0"/>
                <w:sz w:val="18"/>
                <w:szCs w:val="18"/>
              </w:rPr>
            </w:pPr>
            <w:r>
              <w:rPr>
                <w:rFonts w:hint="eastAsia" w:ascii="宋体" w:hAnsi="宋体" w:cs="宋体"/>
                <w:color w:val="000000"/>
                <w:kern w:val="0"/>
                <w:sz w:val="18"/>
                <w:szCs w:val="18"/>
              </w:rPr>
              <w:t>29497</w:t>
            </w:r>
          </w:p>
        </w:tc>
        <w:tc>
          <w:tcPr>
            <w:tcW w:w="1137" w:type="dxa"/>
            <w:tcBorders>
              <w:top w:val="nil"/>
              <w:left w:val="nil"/>
              <w:bottom w:val="single" w:color="auto" w:sz="4" w:space="0"/>
              <w:right w:val="single" w:color="auto" w:sz="4" w:space="0"/>
            </w:tcBorders>
            <w:shd w:val="clear" w:color="auto" w:fill="auto"/>
            <w:noWrap/>
            <w:vAlign w:val="center"/>
          </w:tcPr>
          <w:p w14:paraId="0547565D">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350" w:type="dxa"/>
            <w:tcBorders>
              <w:top w:val="nil"/>
              <w:left w:val="nil"/>
              <w:bottom w:val="single" w:color="auto" w:sz="4" w:space="0"/>
              <w:right w:val="single" w:color="auto" w:sz="4" w:space="0"/>
            </w:tcBorders>
            <w:shd w:val="clear" w:color="auto" w:fill="auto"/>
            <w:noWrap/>
            <w:vAlign w:val="center"/>
          </w:tcPr>
          <w:p w14:paraId="48A56E75">
            <w:pPr>
              <w:widowControl/>
              <w:jc w:val="center"/>
              <w:rPr>
                <w:rFonts w:ascii="宋体" w:hAnsi="宋体" w:cs="宋体"/>
                <w:color w:val="000000"/>
                <w:kern w:val="0"/>
                <w:sz w:val="18"/>
                <w:szCs w:val="18"/>
              </w:rPr>
            </w:pPr>
            <w:r>
              <w:rPr>
                <w:rFonts w:hint="eastAsia" w:ascii="宋体" w:hAnsi="宋体" w:cs="宋体"/>
                <w:color w:val="000000"/>
                <w:kern w:val="0"/>
                <w:sz w:val="18"/>
                <w:szCs w:val="18"/>
              </w:rPr>
              <w:t>-703</w:t>
            </w:r>
          </w:p>
        </w:tc>
      </w:tr>
    </w:tbl>
    <w:p w14:paraId="65D72138">
      <w:pPr>
        <w:pStyle w:val="3"/>
        <w:jc w:val="center"/>
        <w:rPr>
          <w:b w:val="0"/>
          <w:color w:val="000000"/>
          <w:sz w:val="28"/>
          <w:szCs w:val="28"/>
        </w:rPr>
      </w:pPr>
      <w:bookmarkStart w:id="115" w:name="_Toc491074903"/>
      <w:r>
        <w:rPr>
          <w:rFonts w:hint="eastAsia"/>
          <w:b w:val="0"/>
          <w:color w:val="000000"/>
          <w:sz w:val="28"/>
          <w:szCs w:val="28"/>
        </w:rPr>
        <w:t>第二节  基本农田保指标调整</w:t>
      </w:r>
      <w:bookmarkEnd w:id="115"/>
    </w:p>
    <w:p w14:paraId="553BDC08">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一、调整原则</w:t>
      </w:r>
    </w:p>
    <w:p w14:paraId="3E519669">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本次基本农田保护调整遵循优质耕地除实施国家重大发展战略、“十三五”重点建设项目难以避让的以外，均划入永久基本农田，实行特殊保护。基本农田保护任务减少的，应将现状基本农田中不符合基本农田保护要求的划出，不得再预留一定比例的基本农田为建设占用留有空间等原则合理调整各街道基本农田保护目标，确保保质保量完成上级下达指标。</w:t>
      </w:r>
    </w:p>
    <w:p w14:paraId="051E104D">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二、调整方法</w:t>
      </w:r>
    </w:p>
    <w:p w14:paraId="24F29F27">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结合东川区各街道耕地保有量指标、现有耕地数量分布和耕地质量利用等别分级成果，通过开展实地调查，特别是摸清城市周边、道路沿线未划入基本农田保护范围的现有耕地数量、质量和分布情况，结合城市发展边界和生态保护红线划定，将坝区、城市周边、交通沿线、集中连片、质量等别高的优质耕地划入基本农田，实行永久基本农田保护，完成基本农田保护调整。</w:t>
      </w:r>
    </w:p>
    <w:p w14:paraId="31B39C5D">
      <w:pPr>
        <w:pStyle w:val="4"/>
        <w:spacing w:before="0" w:after="0" w:line="240" w:lineRule="auto"/>
        <w:ind w:firstLine="137" w:firstLineChars="49"/>
        <w:rPr>
          <w:rFonts w:ascii="Arial" w:hAnsi="Arial" w:eastAsia="黑体"/>
          <w:b w:val="0"/>
          <w:color w:val="000000"/>
          <w:sz w:val="28"/>
          <w:szCs w:val="28"/>
        </w:rPr>
      </w:pPr>
      <w:r>
        <w:rPr>
          <w:rFonts w:hint="eastAsia" w:ascii="Arial" w:hAnsi="Arial" w:eastAsia="黑体"/>
          <w:b w:val="0"/>
          <w:color w:val="000000"/>
          <w:sz w:val="28"/>
          <w:szCs w:val="28"/>
        </w:rPr>
        <w:t>三、调整结果</w:t>
      </w:r>
    </w:p>
    <w:p w14:paraId="7B1D4A38">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昆明市下达东川区基本农田指标为23066公顷，依据东川区城镇周边永久基本农田划定成果和全域永久基本农田划定成果，直接分解下达各乡镇基本农田保护指标。东川区各乡镇基本农田指标情况见下表：</w:t>
      </w:r>
    </w:p>
    <w:p w14:paraId="36108A43">
      <w:pPr>
        <w:jc w:val="center"/>
        <w:outlineLvl w:val="4"/>
        <w:rPr>
          <w:rFonts w:ascii="宋体" w:hAnsi="宋体"/>
          <w:b/>
          <w:sz w:val="24"/>
        </w:rPr>
      </w:pPr>
      <w:r>
        <w:rPr>
          <w:rFonts w:hint="eastAsia" w:ascii="宋体" w:hAnsi="宋体"/>
          <w:b/>
          <w:sz w:val="24"/>
        </w:rPr>
        <w:t>表5-4  东川区各乡镇基本农田保护面积指标调整情况表</w:t>
      </w:r>
    </w:p>
    <w:p w14:paraId="27CCDED3">
      <w:pPr>
        <w:spacing w:line="360" w:lineRule="auto"/>
        <w:ind w:firstLine="360" w:firstLineChars="200"/>
        <w:jc w:val="right"/>
        <w:rPr>
          <w:rFonts w:ascii="宋体" w:hAnsi="宋体"/>
          <w:color w:val="000000"/>
          <w:sz w:val="18"/>
          <w:szCs w:val="18"/>
        </w:rPr>
      </w:pPr>
      <w:r>
        <w:rPr>
          <w:rFonts w:hint="eastAsia" w:ascii="宋体" w:hAnsi="宋体"/>
          <w:color w:val="000000"/>
          <w:sz w:val="18"/>
          <w:szCs w:val="18"/>
        </w:rPr>
        <w:t>单位：公顷</w:t>
      </w:r>
    </w:p>
    <w:tbl>
      <w:tblPr>
        <w:tblStyle w:val="27"/>
        <w:tblW w:w="8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936"/>
        <w:gridCol w:w="1143"/>
        <w:gridCol w:w="1976"/>
        <w:gridCol w:w="1388"/>
        <w:gridCol w:w="1206"/>
      </w:tblGrid>
      <w:tr w14:paraId="6833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24" w:type="dxa"/>
            <w:vMerge w:val="restart"/>
            <w:shd w:val="clear" w:color="auto" w:fill="auto"/>
            <w:noWrap/>
            <w:vAlign w:val="center"/>
          </w:tcPr>
          <w:p w14:paraId="7566130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行政辖区</w:t>
            </w:r>
          </w:p>
        </w:tc>
        <w:tc>
          <w:tcPr>
            <w:tcW w:w="3079" w:type="dxa"/>
            <w:gridSpan w:val="2"/>
            <w:shd w:val="clear" w:color="auto" w:fill="auto"/>
            <w:noWrap/>
            <w:vAlign w:val="center"/>
          </w:tcPr>
          <w:p w14:paraId="3CE09A3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调整前</w:t>
            </w:r>
          </w:p>
        </w:tc>
        <w:tc>
          <w:tcPr>
            <w:tcW w:w="3364" w:type="dxa"/>
            <w:gridSpan w:val="2"/>
            <w:shd w:val="clear" w:color="auto" w:fill="auto"/>
            <w:noWrap/>
            <w:vAlign w:val="center"/>
          </w:tcPr>
          <w:p w14:paraId="26E9A8EB">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调整后</w:t>
            </w:r>
          </w:p>
        </w:tc>
        <w:tc>
          <w:tcPr>
            <w:tcW w:w="1206" w:type="dxa"/>
            <w:vMerge w:val="restart"/>
            <w:shd w:val="clear" w:color="auto" w:fill="auto"/>
            <w:noWrap/>
            <w:vAlign w:val="center"/>
          </w:tcPr>
          <w:p w14:paraId="3A8133F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差值</w:t>
            </w:r>
          </w:p>
        </w:tc>
      </w:tr>
      <w:tr w14:paraId="29D9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24" w:type="dxa"/>
            <w:vMerge w:val="continue"/>
            <w:vAlign w:val="center"/>
          </w:tcPr>
          <w:p w14:paraId="16B02981">
            <w:pPr>
              <w:widowControl/>
              <w:jc w:val="center"/>
              <w:rPr>
                <w:rFonts w:ascii="宋体" w:hAnsi="宋体" w:cs="宋体"/>
                <w:color w:val="000000"/>
                <w:kern w:val="0"/>
                <w:sz w:val="18"/>
                <w:szCs w:val="18"/>
              </w:rPr>
            </w:pPr>
          </w:p>
        </w:tc>
        <w:tc>
          <w:tcPr>
            <w:tcW w:w="1936" w:type="dxa"/>
            <w:shd w:val="clear" w:color="auto" w:fill="auto"/>
            <w:noWrap/>
            <w:vAlign w:val="center"/>
          </w:tcPr>
          <w:p w14:paraId="7567159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基本农田保护面积</w:t>
            </w:r>
          </w:p>
        </w:tc>
        <w:tc>
          <w:tcPr>
            <w:tcW w:w="1143" w:type="dxa"/>
            <w:shd w:val="clear" w:color="auto" w:fill="auto"/>
            <w:noWrap/>
            <w:vAlign w:val="center"/>
          </w:tcPr>
          <w:p w14:paraId="792A59FD">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c>
          <w:tcPr>
            <w:tcW w:w="1976" w:type="dxa"/>
            <w:shd w:val="clear" w:color="auto" w:fill="auto"/>
            <w:noWrap/>
            <w:vAlign w:val="center"/>
          </w:tcPr>
          <w:p w14:paraId="1DB2369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基本农田保护面积</w:t>
            </w:r>
          </w:p>
        </w:tc>
        <w:tc>
          <w:tcPr>
            <w:tcW w:w="1388" w:type="dxa"/>
            <w:shd w:val="clear" w:color="auto" w:fill="auto"/>
            <w:noWrap/>
            <w:vAlign w:val="center"/>
          </w:tcPr>
          <w:p w14:paraId="4ECBC70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c>
          <w:tcPr>
            <w:tcW w:w="1206" w:type="dxa"/>
            <w:vMerge w:val="continue"/>
            <w:vAlign w:val="center"/>
          </w:tcPr>
          <w:p w14:paraId="2F7DFB76">
            <w:pPr>
              <w:widowControl/>
              <w:jc w:val="center"/>
              <w:rPr>
                <w:rFonts w:ascii="宋体" w:hAnsi="宋体" w:cs="宋体"/>
                <w:color w:val="000000"/>
                <w:kern w:val="0"/>
                <w:sz w:val="18"/>
                <w:szCs w:val="18"/>
              </w:rPr>
            </w:pPr>
          </w:p>
        </w:tc>
      </w:tr>
      <w:tr w14:paraId="2E20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24" w:type="dxa"/>
            <w:shd w:val="clear" w:color="auto" w:fill="auto"/>
            <w:noWrap/>
            <w:vAlign w:val="center"/>
          </w:tcPr>
          <w:p w14:paraId="64E1B1A2">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936" w:type="dxa"/>
            <w:shd w:val="clear" w:color="auto" w:fill="auto"/>
            <w:noWrap/>
            <w:vAlign w:val="center"/>
          </w:tcPr>
          <w:p w14:paraId="19FC7D3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4783.79 </w:t>
            </w:r>
          </w:p>
        </w:tc>
        <w:tc>
          <w:tcPr>
            <w:tcW w:w="1143" w:type="dxa"/>
            <w:shd w:val="clear" w:color="auto" w:fill="auto"/>
            <w:noWrap/>
            <w:vAlign w:val="center"/>
          </w:tcPr>
          <w:p w14:paraId="58D1052A">
            <w:pPr>
              <w:widowControl/>
              <w:jc w:val="center"/>
              <w:rPr>
                <w:rFonts w:ascii="宋体" w:hAnsi="宋体" w:cs="宋体"/>
                <w:color w:val="000000"/>
                <w:kern w:val="0"/>
                <w:sz w:val="18"/>
                <w:szCs w:val="18"/>
              </w:rPr>
            </w:pPr>
            <w:r>
              <w:rPr>
                <w:rFonts w:hint="eastAsia" w:ascii="宋体" w:hAnsi="宋体" w:cs="宋体"/>
                <w:color w:val="000000"/>
                <w:kern w:val="0"/>
                <w:sz w:val="18"/>
                <w:szCs w:val="18"/>
              </w:rPr>
              <w:t>19.87%</w:t>
            </w:r>
          </w:p>
        </w:tc>
        <w:tc>
          <w:tcPr>
            <w:tcW w:w="1976" w:type="dxa"/>
            <w:shd w:val="clear" w:color="auto" w:fill="auto"/>
            <w:noWrap/>
            <w:vAlign w:val="center"/>
          </w:tcPr>
          <w:p w14:paraId="3E5DFDB7">
            <w:pPr>
              <w:widowControl/>
              <w:jc w:val="center"/>
              <w:rPr>
                <w:rFonts w:ascii="宋体" w:hAnsi="宋体" w:cs="宋体"/>
                <w:color w:val="000000"/>
                <w:kern w:val="0"/>
                <w:sz w:val="18"/>
                <w:szCs w:val="18"/>
              </w:rPr>
            </w:pPr>
            <w:r>
              <w:rPr>
                <w:rFonts w:hint="eastAsia" w:ascii="宋体" w:hAnsi="宋体" w:cs="宋体"/>
                <w:color w:val="000000"/>
                <w:kern w:val="0"/>
                <w:sz w:val="18"/>
                <w:szCs w:val="18"/>
              </w:rPr>
              <w:t>4733</w:t>
            </w:r>
          </w:p>
        </w:tc>
        <w:tc>
          <w:tcPr>
            <w:tcW w:w="1388" w:type="dxa"/>
            <w:shd w:val="clear" w:color="auto" w:fill="auto"/>
            <w:noWrap/>
            <w:vAlign w:val="center"/>
          </w:tcPr>
          <w:p w14:paraId="4678565A">
            <w:pPr>
              <w:widowControl/>
              <w:jc w:val="center"/>
              <w:rPr>
                <w:rFonts w:ascii="宋体" w:hAnsi="宋体" w:cs="宋体"/>
                <w:color w:val="000000"/>
                <w:kern w:val="0"/>
                <w:sz w:val="18"/>
                <w:szCs w:val="18"/>
              </w:rPr>
            </w:pPr>
            <w:r>
              <w:rPr>
                <w:rFonts w:hint="eastAsia" w:ascii="宋体" w:hAnsi="宋体" w:cs="宋体"/>
                <w:color w:val="000000"/>
                <w:kern w:val="0"/>
                <w:sz w:val="18"/>
                <w:szCs w:val="18"/>
              </w:rPr>
              <w:t>20.52%</w:t>
            </w:r>
          </w:p>
        </w:tc>
        <w:tc>
          <w:tcPr>
            <w:tcW w:w="1206" w:type="dxa"/>
            <w:shd w:val="clear" w:color="auto" w:fill="auto"/>
            <w:noWrap/>
            <w:vAlign w:val="center"/>
          </w:tcPr>
          <w:p w14:paraId="55FACCA6">
            <w:pPr>
              <w:widowControl/>
              <w:jc w:val="center"/>
              <w:rPr>
                <w:rFonts w:ascii="宋体" w:hAnsi="宋体" w:cs="宋体"/>
                <w:color w:val="000000"/>
                <w:kern w:val="0"/>
                <w:sz w:val="18"/>
                <w:szCs w:val="18"/>
              </w:rPr>
            </w:pPr>
            <w:r>
              <w:rPr>
                <w:rFonts w:hint="eastAsia" w:ascii="宋体" w:hAnsi="宋体" w:cs="宋体"/>
                <w:color w:val="000000"/>
                <w:kern w:val="0"/>
                <w:sz w:val="18"/>
                <w:szCs w:val="18"/>
              </w:rPr>
              <w:t>-50.79</w:t>
            </w:r>
          </w:p>
        </w:tc>
      </w:tr>
      <w:tr w14:paraId="2A02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24" w:type="dxa"/>
            <w:shd w:val="clear" w:color="auto" w:fill="auto"/>
            <w:noWrap/>
            <w:vAlign w:val="center"/>
          </w:tcPr>
          <w:p w14:paraId="5F4E6AA5">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936" w:type="dxa"/>
            <w:shd w:val="clear" w:color="auto" w:fill="auto"/>
            <w:noWrap/>
            <w:vAlign w:val="center"/>
          </w:tcPr>
          <w:p w14:paraId="3F22DE0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4826.46 </w:t>
            </w:r>
          </w:p>
        </w:tc>
        <w:tc>
          <w:tcPr>
            <w:tcW w:w="1143" w:type="dxa"/>
            <w:shd w:val="clear" w:color="auto" w:fill="auto"/>
            <w:noWrap/>
            <w:vAlign w:val="center"/>
          </w:tcPr>
          <w:p w14:paraId="70EDBBE1">
            <w:pPr>
              <w:widowControl/>
              <w:jc w:val="center"/>
              <w:rPr>
                <w:rFonts w:ascii="宋体" w:hAnsi="宋体" w:cs="宋体"/>
                <w:color w:val="000000"/>
                <w:kern w:val="0"/>
                <w:sz w:val="18"/>
                <w:szCs w:val="18"/>
              </w:rPr>
            </w:pPr>
            <w:r>
              <w:rPr>
                <w:rFonts w:hint="eastAsia" w:ascii="宋体" w:hAnsi="宋体" w:cs="宋体"/>
                <w:color w:val="000000"/>
                <w:kern w:val="0"/>
                <w:sz w:val="18"/>
                <w:szCs w:val="18"/>
              </w:rPr>
              <w:t>20.05%</w:t>
            </w:r>
          </w:p>
        </w:tc>
        <w:tc>
          <w:tcPr>
            <w:tcW w:w="1976" w:type="dxa"/>
            <w:shd w:val="clear" w:color="auto" w:fill="auto"/>
            <w:noWrap/>
            <w:vAlign w:val="center"/>
          </w:tcPr>
          <w:p w14:paraId="2B965F6E">
            <w:pPr>
              <w:widowControl/>
              <w:jc w:val="center"/>
              <w:rPr>
                <w:rFonts w:ascii="宋体" w:hAnsi="宋体" w:cs="宋体"/>
                <w:color w:val="000000"/>
                <w:kern w:val="0"/>
                <w:sz w:val="18"/>
                <w:szCs w:val="18"/>
              </w:rPr>
            </w:pPr>
            <w:r>
              <w:rPr>
                <w:rFonts w:hint="eastAsia" w:ascii="宋体" w:hAnsi="宋体" w:cs="宋体"/>
                <w:color w:val="000000"/>
                <w:kern w:val="0"/>
                <w:sz w:val="18"/>
                <w:szCs w:val="18"/>
              </w:rPr>
              <w:t>4473</w:t>
            </w:r>
          </w:p>
        </w:tc>
        <w:tc>
          <w:tcPr>
            <w:tcW w:w="1388" w:type="dxa"/>
            <w:shd w:val="clear" w:color="auto" w:fill="auto"/>
            <w:noWrap/>
            <w:vAlign w:val="center"/>
          </w:tcPr>
          <w:p w14:paraId="08FDAE4B">
            <w:pPr>
              <w:widowControl/>
              <w:jc w:val="center"/>
              <w:rPr>
                <w:rFonts w:ascii="宋体" w:hAnsi="宋体" w:cs="宋体"/>
                <w:color w:val="000000"/>
                <w:kern w:val="0"/>
                <w:sz w:val="18"/>
                <w:szCs w:val="18"/>
              </w:rPr>
            </w:pPr>
            <w:r>
              <w:rPr>
                <w:rFonts w:hint="eastAsia" w:ascii="宋体" w:hAnsi="宋体" w:cs="宋体"/>
                <w:color w:val="000000"/>
                <w:kern w:val="0"/>
                <w:sz w:val="18"/>
                <w:szCs w:val="18"/>
              </w:rPr>
              <w:t>19.39%</w:t>
            </w:r>
          </w:p>
        </w:tc>
        <w:tc>
          <w:tcPr>
            <w:tcW w:w="1206" w:type="dxa"/>
            <w:shd w:val="clear" w:color="auto" w:fill="auto"/>
            <w:noWrap/>
            <w:vAlign w:val="center"/>
          </w:tcPr>
          <w:p w14:paraId="624CD945">
            <w:pPr>
              <w:widowControl/>
              <w:jc w:val="center"/>
              <w:rPr>
                <w:rFonts w:ascii="宋体" w:hAnsi="宋体" w:cs="宋体"/>
                <w:color w:val="000000"/>
                <w:kern w:val="0"/>
                <w:sz w:val="18"/>
                <w:szCs w:val="18"/>
              </w:rPr>
            </w:pPr>
            <w:r>
              <w:rPr>
                <w:rFonts w:hint="eastAsia" w:ascii="宋体" w:hAnsi="宋体" w:cs="宋体"/>
                <w:color w:val="000000"/>
                <w:kern w:val="0"/>
                <w:sz w:val="18"/>
                <w:szCs w:val="18"/>
              </w:rPr>
              <w:t>-353.46</w:t>
            </w:r>
          </w:p>
        </w:tc>
      </w:tr>
      <w:tr w14:paraId="4C1C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24" w:type="dxa"/>
            <w:shd w:val="clear" w:color="auto" w:fill="auto"/>
            <w:noWrap/>
            <w:vAlign w:val="center"/>
          </w:tcPr>
          <w:p w14:paraId="3588CB28">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936" w:type="dxa"/>
            <w:shd w:val="clear" w:color="auto" w:fill="auto"/>
            <w:noWrap/>
            <w:vAlign w:val="center"/>
          </w:tcPr>
          <w:p w14:paraId="00FAC05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2677.17 </w:t>
            </w:r>
          </w:p>
        </w:tc>
        <w:tc>
          <w:tcPr>
            <w:tcW w:w="1143" w:type="dxa"/>
            <w:shd w:val="clear" w:color="auto" w:fill="auto"/>
            <w:noWrap/>
            <w:vAlign w:val="center"/>
          </w:tcPr>
          <w:p w14:paraId="6807ED5A">
            <w:pPr>
              <w:widowControl/>
              <w:jc w:val="center"/>
              <w:rPr>
                <w:rFonts w:ascii="宋体" w:hAnsi="宋体" w:cs="宋体"/>
                <w:color w:val="000000"/>
                <w:kern w:val="0"/>
                <w:sz w:val="18"/>
                <w:szCs w:val="18"/>
              </w:rPr>
            </w:pPr>
            <w:r>
              <w:rPr>
                <w:rFonts w:hint="eastAsia" w:ascii="宋体" w:hAnsi="宋体" w:cs="宋体"/>
                <w:color w:val="000000"/>
                <w:kern w:val="0"/>
                <w:sz w:val="18"/>
                <w:szCs w:val="18"/>
              </w:rPr>
              <w:t>11.12%</w:t>
            </w:r>
          </w:p>
        </w:tc>
        <w:tc>
          <w:tcPr>
            <w:tcW w:w="1976" w:type="dxa"/>
            <w:shd w:val="clear" w:color="auto" w:fill="auto"/>
            <w:noWrap/>
            <w:vAlign w:val="center"/>
          </w:tcPr>
          <w:p w14:paraId="664C7978">
            <w:pPr>
              <w:widowControl/>
              <w:jc w:val="center"/>
              <w:rPr>
                <w:rFonts w:ascii="宋体" w:hAnsi="宋体" w:cs="宋体"/>
                <w:color w:val="000000"/>
                <w:kern w:val="0"/>
                <w:sz w:val="18"/>
                <w:szCs w:val="18"/>
              </w:rPr>
            </w:pPr>
            <w:r>
              <w:rPr>
                <w:rFonts w:hint="eastAsia" w:ascii="宋体" w:hAnsi="宋体" w:cs="宋体"/>
                <w:color w:val="000000"/>
                <w:kern w:val="0"/>
                <w:sz w:val="18"/>
                <w:szCs w:val="18"/>
              </w:rPr>
              <w:t>2873</w:t>
            </w:r>
          </w:p>
        </w:tc>
        <w:tc>
          <w:tcPr>
            <w:tcW w:w="1388" w:type="dxa"/>
            <w:shd w:val="clear" w:color="auto" w:fill="auto"/>
            <w:noWrap/>
            <w:vAlign w:val="center"/>
          </w:tcPr>
          <w:p w14:paraId="26EC0F48">
            <w:pPr>
              <w:widowControl/>
              <w:jc w:val="center"/>
              <w:rPr>
                <w:rFonts w:ascii="宋体" w:hAnsi="宋体" w:cs="宋体"/>
                <w:color w:val="000000"/>
                <w:kern w:val="0"/>
                <w:sz w:val="18"/>
                <w:szCs w:val="18"/>
              </w:rPr>
            </w:pPr>
            <w:r>
              <w:rPr>
                <w:rFonts w:hint="eastAsia" w:ascii="宋体" w:hAnsi="宋体" w:cs="宋体"/>
                <w:color w:val="000000"/>
                <w:kern w:val="0"/>
                <w:sz w:val="18"/>
                <w:szCs w:val="18"/>
              </w:rPr>
              <w:t>12.46%</w:t>
            </w:r>
          </w:p>
        </w:tc>
        <w:tc>
          <w:tcPr>
            <w:tcW w:w="1206" w:type="dxa"/>
            <w:shd w:val="clear" w:color="auto" w:fill="auto"/>
            <w:noWrap/>
            <w:vAlign w:val="center"/>
          </w:tcPr>
          <w:p w14:paraId="2CED97F0">
            <w:pPr>
              <w:widowControl/>
              <w:jc w:val="center"/>
              <w:rPr>
                <w:rFonts w:ascii="宋体" w:hAnsi="宋体" w:cs="宋体"/>
                <w:color w:val="000000"/>
                <w:kern w:val="0"/>
                <w:sz w:val="18"/>
                <w:szCs w:val="18"/>
              </w:rPr>
            </w:pPr>
            <w:r>
              <w:rPr>
                <w:rFonts w:hint="eastAsia" w:ascii="宋体" w:hAnsi="宋体" w:cs="宋体"/>
                <w:color w:val="000000"/>
                <w:kern w:val="0"/>
                <w:sz w:val="18"/>
                <w:szCs w:val="18"/>
              </w:rPr>
              <w:t>195.83</w:t>
            </w:r>
          </w:p>
        </w:tc>
      </w:tr>
      <w:tr w14:paraId="78A8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24" w:type="dxa"/>
            <w:shd w:val="clear" w:color="auto" w:fill="auto"/>
            <w:noWrap/>
            <w:vAlign w:val="center"/>
          </w:tcPr>
          <w:p w14:paraId="7674BD3C">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936" w:type="dxa"/>
            <w:shd w:val="clear" w:color="auto" w:fill="auto"/>
            <w:noWrap/>
            <w:vAlign w:val="center"/>
          </w:tcPr>
          <w:p w14:paraId="24CDC93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4720.01 </w:t>
            </w:r>
          </w:p>
        </w:tc>
        <w:tc>
          <w:tcPr>
            <w:tcW w:w="1143" w:type="dxa"/>
            <w:shd w:val="clear" w:color="auto" w:fill="auto"/>
            <w:noWrap/>
            <w:vAlign w:val="center"/>
          </w:tcPr>
          <w:p w14:paraId="2034A17B">
            <w:pPr>
              <w:widowControl/>
              <w:jc w:val="center"/>
              <w:rPr>
                <w:rFonts w:ascii="宋体" w:hAnsi="宋体" w:cs="宋体"/>
                <w:color w:val="000000"/>
                <w:kern w:val="0"/>
                <w:sz w:val="18"/>
                <w:szCs w:val="18"/>
              </w:rPr>
            </w:pPr>
            <w:r>
              <w:rPr>
                <w:rFonts w:hint="eastAsia" w:ascii="宋体" w:hAnsi="宋体" w:cs="宋体"/>
                <w:color w:val="000000"/>
                <w:kern w:val="0"/>
                <w:sz w:val="18"/>
                <w:szCs w:val="18"/>
              </w:rPr>
              <w:t>19.61%</w:t>
            </w:r>
          </w:p>
        </w:tc>
        <w:tc>
          <w:tcPr>
            <w:tcW w:w="1976" w:type="dxa"/>
            <w:shd w:val="clear" w:color="auto" w:fill="auto"/>
            <w:noWrap/>
            <w:vAlign w:val="center"/>
          </w:tcPr>
          <w:p w14:paraId="61940659">
            <w:pPr>
              <w:widowControl/>
              <w:jc w:val="center"/>
              <w:rPr>
                <w:rFonts w:ascii="宋体" w:hAnsi="宋体" w:cs="宋体"/>
                <w:color w:val="000000"/>
                <w:kern w:val="0"/>
                <w:sz w:val="18"/>
                <w:szCs w:val="18"/>
              </w:rPr>
            </w:pPr>
            <w:r>
              <w:rPr>
                <w:rFonts w:hint="eastAsia" w:ascii="宋体" w:hAnsi="宋体" w:cs="宋体"/>
                <w:color w:val="000000"/>
                <w:kern w:val="0"/>
                <w:sz w:val="18"/>
                <w:szCs w:val="18"/>
              </w:rPr>
              <w:t>4727</w:t>
            </w:r>
          </w:p>
        </w:tc>
        <w:tc>
          <w:tcPr>
            <w:tcW w:w="1388" w:type="dxa"/>
            <w:shd w:val="clear" w:color="auto" w:fill="auto"/>
            <w:noWrap/>
            <w:vAlign w:val="center"/>
          </w:tcPr>
          <w:p w14:paraId="376487B3">
            <w:pPr>
              <w:widowControl/>
              <w:jc w:val="center"/>
              <w:rPr>
                <w:rFonts w:ascii="宋体" w:hAnsi="宋体" w:cs="宋体"/>
                <w:color w:val="000000"/>
                <w:kern w:val="0"/>
                <w:sz w:val="18"/>
                <w:szCs w:val="18"/>
              </w:rPr>
            </w:pPr>
            <w:r>
              <w:rPr>
                <w:rFonts w:hint="eastAsia" w:ascii="宋体" w:hAnsi="宋体" w:cs="宋体"/>
                <w:color w:val="000000"/>
                <w:kern w:val="0"/>
                <w:sz w:val="18"/>
                <w:szCs w:val="18"/>
              </w:rPr>
              <w:t>20.49%</w:t>
            </w:r>
          </w:p>
        </w:tc>
        <w:tc>
          <w:tcPr>
            <w:tcW w:w="1206" w:type="dxa"/>
            <w:shd w:val="clear" w:color="auto" w:fill="auto"/>
            <w:noWrap/>
            <w:vAlign w:val="center"/>
          </w:tcPr>
          <w:p w14:paraId="5D246BE0">
            <w:pPr>
              <w:widowControl/>
              <w:jc w:val="center"/>
              <w:rPr>
                <w:rFonts w:ascii="宋体" w:hAnsi="宋体" w:cs="宋体"/>
                <w:color w:val="000000"/>
                <w:kern w:val="0"/>
                <w:sz w:val="18"/>
                <w:szCs w:val="18"/>
              </w:rPr>
            </w:pPr>
            <w:r>
              <w:rPr>
                <w:rFonts w:hint="eastAsia" w:ascii="宋体" w:hAnsi="宋体" w:cs="宋体"/>
                <w:color w:val="000000"/>
                <w:kern w:val="0"/>
                <w:sz w:val="18"/>
                <w:szCs w:val="18"/>
              </w:rPr>
              <w:t>6.99</w:t>
            </w:r>
          </w:p>
        </w:tc>
      </w:tr>
      <w:tr w14:paraId="3B8D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24" w:type="dxa"/>
            <w:shd w:val="clear" w:color="auto" w:fill="auto"/>
            <w:noWrap/>
            <w:vAlign w:val="center"/>
          </w:tcPr>
          <w:p w14:paraId="7BE815CE">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936" w:type="dxa"/>
            <w:shd w:val="clear" w:color="auto" w:fill="auto"/>
            <w:noWrap/>
            <w:vAlign w:val="center"/>
          </w:tcPr>
          <w:p w14:paraId="4FF4A83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3102.70 </w:t>
            </w:r>
          </w:p>
        </w:tc>
        <w:tc>
          <w:tcPr>
            <w:tcW w:w="1143" w:type="dxa"/>
            <w:shd w:val="clear" w:color="auto" w:fill="auto"/>
            <w:noWrap/>
            <w:vAlign w:val="center"/>
          </w:tcPr>
          <w:p w14:paraId="1F7481DC">
            <w:pPr>
              <w:widowControl/>
              <w:jc w:val="center"/>
              <w:rPr>
                <w:rFonts w:ascii="宋体" w:hAnsi="宋体" w:cs="宋体"/>
                <w:color w:val="000000"/>
                <w:kern w:val="0"/>
                <w:sz w:val="18"/>
                <w:szCs w:val="18"/>
              </w:rPr>
            </w:pPr>
            <w:r>
              <w:rPr>
                <w:rFonts w:hint="eastAsia" w:ascii="宋体" w:hAnsi="宋体" w:cs="宋体"/>
                <w:color w:val="000000"/>
                <w:kern w:val="0"/>
                <w:sz w:val="18"/>
                <w:szCs w:val="18"/>
              </w:rPr>
              <w:t>12.89%</w:t>
            </w:r>
          </w:p>
        </w:tc>
        <w:tc>
          <w:tcPr>
            <w:tcW w:w="1976" w:type="dxa"/>
            <w:shd w:val="clear" w:color="auto" w:fill="auto"/>
            <w:noWrap/>
            <w:vAlign w:val="center"/>
          </w:tcPr>
          <w:p w14:paraId="3981C755">
            <w:pPr>
              <w:widowControl/>
              <w:jc w:val="center"/>
              <w:rPr>
                <w:rFonts w:ascii="宋体" w:hAnsi="宋体" w:cs="宋体"/>
                <w:color w:val="000000"/>
                <w:kern w:val="0"/>
                <w:sz w:val="18"/>
                <w:szCs w:val="18"/>
              </w:rPr>
            </w:pPr>
            <w:r>
              <w:rPr>
                <w:rFonts w:hint="eastAsia" w:ascii="宋体" w:hAnsi="宋体" w:cs="宋体"/>
                <w:color w:val="000000"/>
                <w:kern w:val="0"/>
                <w:sz w:val="18"/>
                <w:szCs w:val="18"/>
              </w:rPr>
              <w:t>2647</w:t>
            </w:r>
          </w:p>
        </w:tc>
        <w:tc>
          <w:tcPr>
            <w:tcW w:w="1388" w:type="dxa"/>
            <w:shd w:val="clear" w:color="auto" w:fill="auto"/>
            <w:noWrap/>
            <w:vAlign w:val="center"/>
          </w:tcPr>
          <w:p w14:paraId="214875C2">
            <w:pPr>
              <w:widowControl/>
              <w:jc w:val="center"/>
              <w:rPr>
                <w:rFonts w:ascii="宋体" w:hAnsi="宋体" w:cs="宋体"/>
                <w:color w:val="000000"/>
                <w:kern w:val="0"/>
                <w:sz w:val="18"/>
                <w:szCs w:val="18"/>
              </w:rPr>
            </w:pPr>
            <w:r>
              <w:rPr>
                <w:rFonts w:hint="eastAsia" w:ascii="宋体" w:hAnsi="宋体" w:cs="宋体"/>
                <w:color w:val="000000"/>
                <w:kern w:val="0"/>
                <w:sz w:val="18"/>
                <w:szCs w:val="18"/>
              </w:rPr>
              <w:t>11.48%</w:t>
            </w:r>
          </w:p>
        </w:tc>
        <w:tc>
          <w:tcPr>
            <w:tcW w:w="1206" w:type="dxa"/>
            <w:shd w:val="clear" w:color="auto" w:fill="auto"/>
            <w:noWrap/>
            <w:vAlign w:val="center"/>
          </w:tcPr>
          <w:p w14:paraId="4CCD9A05">
            <w:pPr>
              <w:widowControl/>
              <w:jc w:val="center"/>
              <w:rPr>
                <w:rFonts w:ascii="宋体" w:hAnsi="宋体" w:cs="宋体"/>
                <w:color w:val="000000"/>
                <w:kern w:val="0"/>
                <w:sz w:val="18"/>
                <w:szCs w:val="18"/>
              </w:rPr>
            </w:pPr>
            <w:r>
              <w:rPr>
                <w:rFonts w:hint="eastAsia" w:ascii="宋体" w:hAnsi="宋体" w:cs="宋体"/>
                <w:color w:val="000000"/>
                <w:kern w:val="0"/>
                <w:sz w:val="18"/>
                <w:szCs w:val="18"/>
              </w:rPr>
              <w:t>-455.7</w:t>
            </w:r>
          </w:p>
        </w:tc>
      </w:tr>
      <w:tr w14:paraId="5A38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24" w:type="dxa"/>
            <w:shd w:val="clear" w:color="auto" w:fill="auto"/>
            <w:noWrap/>
            <w:vAlign w:val="center"/>
          </w:tcPr>
          <w:p w14:paraId="178D7466">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936" w:type="dxa"/>
            <w:shd w:val="clear" w:color="auto" w:fill="auto"/>
            <w:noWrap/>
            <w:vAlign w:val="center"/>
          </w:tcPr>
          <w:p w14:paraId="79D989C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2655.89 </w:t>
            </w:r>
          </w:p>
        </w:tc>
        <w:tc>
          <w:tcPr>
            <w:tcW w:w="1143" w:type="dxa"/>
            <w:shd w:val="clear" w:color="auto" w:fill="auto"/>
            <w:noWrap/>
            <w:vAlign w:val="center"/>
          </w:tcPr>
          <w:p w14:paraId="7010FE32">
            <w:pPr>
              <w:widowControl/>
              <w:jc w:val="center"/>
              <w:rPr>
                <w:rFonts w:ascii="宋体" w:hAnsi="宋体" w:cs="宋体"/>
                <w:color w:val="000000"/>
                <w:kern w:val="0"/>
                <w:sz w:val="18"/>
                <w:szCs w:val="18"/>
              </w:rPr>
            </w:pPr>
            <w:r>
              <w:rPr>
                <w:rFonts w:hint="eastAsia" w:ascii="宋体" w:hAnsi="宋体" w:cs="宋体"/>
                <w:color w:val="000000"/>
                <w:kern w:val="0"/>
                <w:sz w:val="18"/>
                <w:szCs w:val="18"/>
              </w:rPr>
              <w:t>11.03%</w:t>
            </w:r>
          </w:p>
        </w:tc>
        <w:tc>
          <w:tcPr>
            <w:tcW w:w="1976" w:type="dxa"/>
            <w:shd w:val="clear" w:color="auto" w:fill="auto"/>
            <w:noWrap/>
            <w:vAlign w:val="center"/>
          </w:tcPr>
          <w:p w14:paraId="42AAD350">
            <w:pPr>
              <w:widowControl/>
              <w:jc w:val="center"/>
              <w:rPr>
                <w:rFonts w:ascii="宋体" w:hAnsi="宋体" w:cs="宋体"/>
                <w:color w:val="000000"/>
                <w:kern w:val="0"/>
                <w:sz w:val="18"/>
                <w:szCs w:val="18"/>
              </w:rPr>
            </w:pPr>
            <w:r>
              <w:rPr>
                <w:rFonts w:hint="eastAsia" w:ascii="宋体" w:hAnsi="宋体" w:cs="宋体"/>
                <w:color w:val="000000"/>
                <w:kern w:val="0"/>
                <w:sz w:val="18"/>
                <w:szCs w:val="18"/>
              </w:rPr>
              <w:t>2493</w:t>
            </w:r>
          </w:p>
        </w:tc>
        <w:tc>
          <w:tcPr>
            <w:tcW w:w="1388" w:type="dxa"/>
            <w:shd w:val="clear" w:color="auto" w:fill="auto"/>
            <w:noWrap/>
            <w:vAlign w:val="center"/>
          </w:tcPr>
          <w:p w14:paraId="2E32FACF">
            <w:pPr>
              <w:widowControl/>
              <w:jc w:val="center"/>
              <w:rPr>
                <w:rFonts w:ascii="宋体" w:hAnsi="宋体" w:cs="宋体"/>
                <w:color w:val="000000"/>
                <w:kern w:val="0"/>
                <w:sz w:val="18"/>
                <w:szCs w:val="18"/>
              </w:rPr>
            </w:pPr>
            <w:r>
              <w:rPr>
                <w:rFonts w:hint="eastAsia" w:ascii="宋体" w:hAnsi="宋体" w:cs="宋体"/>
                <w:color w:val="000000"/>
                <w:kern w:val="0"/>
                <w:sz w:val="18"/>
                <w:szCs w:val="18"/>
              </w:rPr>
              <w:t>10.81%</w:t>
            </w:r>
          </w:p>
        </w:tc>
        <w:tc>
          <w:tcPr>
            <w:tcW w:w="1206" w:type="dxa"/>
            <w:shd w:val="clear" w:color="auto" w:fill="auto"/>
            <w:noWrap/>
            <w:vAlign w:val="center"/>
          </w:tcPr>
          <w:p w14:paraId="67F30D2E">
            <w:pPr>
              <w:widowControl/>
              <w:jc w:val="center"/>
              <w:rPr>
                <w:rFonts w:ascii="宋体" w:hAnsi="宋体" w:cs="宋体"/>
                <w:color w:val="000000"/>
                <w:kern w:val="0"/>
                <w:sz w:val="18"/>
                <w:szCs w:val="18"/>
              </w:rPr>
            </w:pPr>
            <w:r>
              <w:rPr>
                <w:rFonts w:hint="eastAsia" w:ascii="宋体" w:hAnsi="宋体" w:cs="宋体"/>
                <w:color w:val="000000"/>
                <w:kern w:val="0"/>
                <w:sz w:val="18"/>
                <w:szCs w:val="18"/>
              </w:rPr>
              <w:t>-162.89</w:t>
            </w:r>
          </w:p>
        </w:tc>
      </w:tr>
      <w:tr w14:paraId="2E21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24" w:type="dxa"/>
            <w:shd w:val="clear" w:color="auto" w:fill="auto"/>
            <w:noWrap/>
            <w:vAlign w:val="center"/>
          </w:tcPr>
          <w:p w14:paraId="74C0CB48">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936" w:type="dxa"/>
            <w:shd w:val="clear" w:color="auto" w:fill="auto"/>
            <w:noWrap/>
            <w:vAlign w:val="center"/>
          </w:tcPr>
          <w:p w14:paraId="624F0A5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651.61 </w:t>
            </w:r>
          </w:p>
        </w:tc>
        <w:tc>
          <w:tcPr>
            <w:tcW w:w="1143" w:type="dxa"/>
            <w:shd w:val="clear" w:color="auto" w:fill="auto"/>
            <w:noWrap/>
            <w:vAlign w:val="center"/>
          </w:tcPr>
          <w:p w14:paraId="7A76886D">
            <w:pPr>
              <w:widowControl/>
              <w:jc w:val="center"/>
              <w:rPr>
                <w:rFonts w:ascii="宋体" w:hAnsi="宋体" w:cs="宋体"/>
                <w:color w:val="000000"/>
                <w:kern w:val="0"/>
                <w:sz w:val="18"/>
                <w:szCs w:val="18"/>
              </w:rPr>
            </w:pPr>
            <w:r>
              <w:rPr>
                <w:rFonts w:hint="eastAsia" w:ascii="宋体" w:hAnsi="宋体" w:cs="宋体"/>
                <w:color w:val="000000"/>
                <w:kern w:val="0"/>
                <w:sz w:val="18"/>
                <w:szCs w:val="18"/>
              </w:rPr>
              <w:t>2.71%</w:t>
            </w:r>
          </w:p>
        </w:tc>
        <w:tc>
          <w:tcPr>
            <w:tcW w:w="1976" w:type="dxa"/>
            <w:shd w:val="clear" w:color="auto" w:fill="auto"/>
            <w:noWrap/>
            <w:vAlign w:val="center"/>
          </w:tcPr>
          <w:p w14:paraId="1D5DC38F">
            <w:pPr>
              <w:widowControl/>
              <w:jc w:val="center"/>
              <w:rPr>
                <w:rFonts w:ascii="宋体" w:hAnsi="宋体" w:cs="宋体"/>
                <w:color w:val="000000"/>
                <w:kern w:val="0"/>
                <w:sz w:val="18"/>
                <w:szCs w:val="18"/>
              </w:rPr>
            </w:pPr>
            <w:r>
              <w:rPr>
                <w:rFonts w:hint="eastAsia" w:ascii="宋体" w:hAnsi="宋体" w:cs="宋体"/>
                <w:color w:val="000000"/>
                <w:kern w:val="0"/>
                <w:sz w:val="18"/>
                <w:szCs w:val="18"/>
              </w:rPr>
              <w:t>526</w:t>
            </w:r>
          </w:p>
        </w:tc>
        <w:tc>
          <w:tcPr>
            <w:tcW w:w="1388" w:type="dxa"/>
            <w:shd w:val="clear" w:color="auto" w:fill="auto"/>
            <w:noWrap/>
            <w:vAlign w:val="center"/>
          </w:tcPr>
          <w:p w14:paraId="3B0F7E67">
            <w:pPr>
              <w:widowControl/>
              <w:jc w:val="center"/>
              <w:rPr>
                <w:rFonts w:ascii="宋体" w:hAnsi="宋体" w:cs="宋体"/>
                <w:color w:val="000000"/>
                <w:kern w:val="0"/>
                <w:sz w:val="18"/>
                <w:szCs w:val="18"/>
              </w:rPr>
            </w:pPr>
            <w:r>
              <w:rPr>
                <w:rFonts w:hint="eastAsia" w:ascii="宋体" w:hAnsi="宋体" w:cs="宋体"/>
                <w:color w:val="000000"/>
                <w:kern w:val="0"/>
                <w:sz w:val="18"/>
                <w:szCs w:val="18"/>
              </w:rPr>
              <w:t>2.28%</w:t>
            </w:r>
          </w:p>
        </w:tc>
        <w:tc>
          <w:tcPr>
            <w:tcW w:w="1206" w:type="dxa"/>
            <w:shd w:val="clear" w:color="auto" w:fill="auto"/>
            <w:noWrap/>
            <w:vAlign w:val="center"/>
          </w:tcPr>
          <w:p w14:paraId="432EF27F">
            <w:pPr>
              <w:widowControl/>
              <w:jc w:val="center"/>
              <w:rPr>
                <w:rFonts w:ascii="宋体" w:hAnsi="宋体" w:cs="宋体"/>
                <w:color w:val="000000"/>
                <w:kern w:val="0"/>
                <w:sz w:val="18"/>
                <w:szCs w:val="18"/>
              </w:rPr>
            </w:pPr>
            <w:r>
              <w:rPr>
                <w:rFonts w:hint="eastAsia" w:ascii="宋体" w:hAnsi="宋体" w:cs="宋体"/>
                <w:color w:val="000000"/>
                <w:kern w:val="0"/>
                <w:sz w:val="18"/>
                <w:szCs w:val="18"/>
              </w:rPr>
              <w:t>-125.61</w:t>
            </w:r>
          </w:p>
        </w:tc>
      </w:tr>
      <w:tr w14:paraId="092C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24" w:type="dxa"/>
            <w:shd w:val="clear" w:color="auto" w:fill="auto"/>
            <w:noWrap/>
            <w:vAlign w:val="center"/>
          </w:tcPr>
          <w:p w14:paraId="543033A3">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936" w:type="dxa"/>
            <w:shd w:val="clear" w:color="auto" w:fill="auto"/>
            <w:noWrap/>
            <w:vAlign w:val="center"/>
          </w:tcPr>
          <w:p w14:paraId="1F468C0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652.36 </w:t>
            </w:r>
          </w:p>
        </w:tc>
        <w:tc>
          <w:tcPr>
            <w:tcW w:w="1143" w:type="dxa"/>
            <w:shd w:val="clear" w:color="auto" w:fill="auto"/>
            <w:noWrap/>
            <w:vAlign w:val="center"/>
          </w:tcPr>
          <w:p w14:paraId="4E02AEEC">
            <w:pPr>
              <w:widowControl/>
              <w:jc w:val="center"/>
              <w:rPr>
                <w:rFonts w:ascii="宋体" w:hAnsi="宋体" w:cs="宋体"/>
                <w:color w:val="000000"/>
                <w:kern w:val="0"/>
                <w:sz w:val="18"/>
                <w:szCs w:val="18"/>
              </w:rPr>
            </w:pPr>
            <w:r>
              <w:rPr>
                <w:rFonts w:hint="eastAsia" w:ascii="宋体" w:hAnsi="宋体" w:cs="宋体"/>
                <w:color w:val="000000"/>
                <w:kern w:val="0"/>
                <w:sz w:val="18"/>
                <w:szCs w:val="18"/>
              </w:rPr>
              <w:t>2.71%</w:t>
            </w:r>
          </w:p>
        </w:tc>
        <w:tc>
          <w:tcPr>
            <w:tcW w:w="1976" w:type="dxa"/>
            <w:shd w:val="clear" w:color="auto" w:fill="auto"/>
            <w:noWrap/>
            <w:vAlign w:val="center"/>
          </w:tcPr>
          <w:p w14:paraId="38DFDECC">
            <w:pPr>
              <w:widowControl/>
              <w:jc w:val="center"/>
              <w:rPr>
                <w:rFonts w:ascii="宋体" w:hAnsi="宋体" w:cs="宋体"/>
                <w:color w:val="000000"/>
                <w:kern w:val="0"/>
                <w:sz w:val="18"/>
                <w:szCs w:val="18"/>
              </w:rPr>
            </w:pPr>
            <w:r>
              <w:rPr>
                <w:rFonts w:hint="eastAsia" w:ascii="宋体" w:hAnsi="宋体" w:cs="宋体"/>
                <w:color w:val="000000"/>
                <w:kern w:val="0"/>
                <w:sz w:val="18"/>
                <w:szCs w:val="18"/>
              </w:rPr>
              <w:t>593</w:t>
            </w:r>
          </w:p>
        </w:tc>
        <w:tc>
          <w:tcPr>
            <w:tcW w:w="1388" w:type="dxa"/>
            <w:shd w:val="clear" w:color="auto" w:fill="auto"/>
            <w:noWrap/>
            <w:vAlign w:val="center"/>
          </w:tcPr>
          <w:p w14:paraId="3677B1BC">
            <w:pPr>
              <w:widowControl/>
              <w:jc w:val="center"/>
              <w:rPr>
                <w:rFonts w:ascii="宋体" w:hAnsi="宋体" w:cs="宋体"/>
                <w:color w:val="000000"/>
                <w:kern w:val="0"/>
                <w:sz w:val="18"/>
                <w:szCs w:val="18"/>
              </w:rPr>
            </w:pPr>
            <w:r>
              <w:rPr>
                <w:rFonts w:hint="eastAsia" w:ascii="宋体" w:hAnsi="宋体" w:cs="宋体"/>
                <w:color w:val="000000"/>
                <w:kern w:val="0"/>
                <w:sz w:val="18"/>
                <w:szCs w:val="18"/>
              </w:rPr>
              <w:t>2.57%</w:t>
            </w:r>
          </w:p>
        </w:tc>
        <w:tc>
          <w:tcPr>
            <w:tcW w:w="1206" w:type="dxa"/>
            <w:shd w:val="clear" w:color="auto" w:fill="auto"/>
            <w:noWrap/>
            <w:vAlign w:val="center"/>
          </w:tcPr>
          <w:p w14:paraId="24D5029B">
            <w:pPr>
              <w:widowControl/>
              <w:jc w:val="center"/>
              <w:rPr>
                <w:rFonts w:ascii="宋体" w:hAnsi="宋体" w:cs="宋体"/>
                <w:color w:val="000000"/>
                <w:kern w:val="0"/>
                <w:sz w:val="18"/>
                <w:szCs w:val="18"/>
              </w:rPr>
            </w:pPr>
            <w:r>
              <w:rPr>
                <w:rFonts w:hint="eastAsia" w:ascii="宋体" w:hAnsi="宋体" w:cs="宋体"/>
                <w:color w:val="000000"/>
                <w:kern w:val="0"/>
                <w:sz w:val="18"/>
                <w:szCs w:val="18"/>
              </w:rPr>
              <w:t>-59.36</w:t>
            </w:r>
          </w:p>
        </w:tc>
      </w:tr>
      <w:tr w14:paraId="40D0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24" w:type="dxa"/>
            <w:shd w:val="clear" w:color="auto" w:fill="auto"/>
            <w:noWrap/>
            <w:vAlign w:val="center"/>
          </w:tcPr>
          <w:p w14:paraId="389745D5">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936" w:type="dxa"/>
            <w:shd w:val="clear" w:color="auto" w:fill="auto"/>
            <w:noWrap/>
            <w:vAlign w:val="center"/>
          </w:tcPr>
          <w:p w14:paraId="3928150F">
            <w:pPr>
              <w:widowControl/>
              <w:jc w:val="center"/>
              <w:rPr>
                <w:rFonts w:ascii="宋体" w:hAnsi="宋体" w:cs="宋体"/>
                <w:color w:val="000000"/>
                <w:kern w:val="0"/>
                <w:sz w:val="18"/>
                <w:szCs w:val="18"/>
              </w:rPr>
            </w:pPr>
            <w:r>
              <w:rPr>
                <w:rFonts w:hint="eastAsia" w:ascii="宋体" w:hAnsi="宋体" w:cs="宋体"/>
                <w:color w:val="000000"/>
                <w:kern w:val="0"/>
                <w:sz w:val="18"/>
                <w:szCs w:val="18"/>
              </w:rPr>
              <w:t>24070</w:t>
            </w:r>
          </w:p>
        </w:tc>
        <w:tc>
          <w:tcPr>
            <w:tcW w:w="1143" w:type="dxa"/>
            <w:shd w:val="clear" w:color="auto" w:fill="auto"/>
            <w:noWrap/>
            <w:vAlign w:val="center"/>
          </w:tcPr>
          <w:p w14:paraId="789ECB17">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976" w:type="dxa"/>
            <w:shd w:val="clear" w:color="auto" w:fill="auto"/>
            <w:noWrap/>
            <w:vAlign w:val="center"/>
          </w:tcPr>
          <w:p w14:paraId="772729D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23066.00 </w:t>
            </w:r>
          </w:p>
        </w:tc>
        <w:tc>
          <w:tcPr>
            <w:tcW w:w="1388" w:type="dxa"/>
            <w:shd w:val="clear" w:color="auto" w:fill="auto"/>
            <w:noWrap/>
            <w:vAlign w:val="center"/>
          </w:tcPr>
          <w:p w14:paraId="5F77A91C">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206" w:type="dxa"/>
            <w:shd w:val="clear" w:color="auto" w:fill="auto"/>
            <w:noWrap/>
            <w:vAlign w:val="center"/>
          </w:tcPr>
          <w:p w14:paraId="6C508E48">
            <w:pPr>
              <w:widowControl/>
              <w:jc w:val="center"/>
              <w:rPr>
                <w:rFonts w:ascii="宋体" w:hAnsi="宋体" w:cs="宋体"/>
                <w:color w:val="000000"/>
                <w:kern w:val="0"/>
                <w:sz w:val="18"/>
                <w:szCs w:val="18"/>
              </w:rPr>
            </w:pPr>
            <w:r>
              <w:rPr>
                <w:rFonts w:hint="eastAsia" w:ascii="宋体" w:hAnsi="宋体" w:cs="宋体"/>
                <w:color w:val="000000"/>
                <w:kern w:val="0"/>
                <w:sz w:val="18"/>
                <w:szCs w:val="18"/>
              </w:rPr>
              <w:t>-1004</w:t>
            </w:r>
          </w:p>
        </w:tc>
      </w:tr>
    </w:tbl>
    <w:p w14:paraId="2AB831A8">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从上表可以看出，除乌龙镇和红土地镇以外，其它6个乡镇的基本农田保护面积较调整前均有所核减，主要是因为现状基本农田中已经变更为非耕地、符合占用基本农田条件正在报批的、低丘缓坡项目、退耕还林、违法用地查处后不能复垦的建设用地，以及质量不符合要求的其他农用地，均从永久基本农田调出。</w:t>
      </w:r>
    </w:p>
    <w:p w14:paraId="3800EBF7">
      <w:pPr>
        <w:pStyle w:val="3"/>
        <w:jc w:val="center"/>
        <w:rPr>
          <w:b w:val="0"/>
          <w:color w:val="000000"/>
          <w:sz w:val="28"/>
          <w:szCs w:val="28"/>
        </w:rPr>
      </w:pPr>
      <w:bookmarkStart w:id="116" w:name="_Toc491074904"/>
      <w:r>
        <w:rPr>
          <w:rFonts w:hint="eastAsia"/>
          <w:b w:val="0"/>
          <w:color w:val="000000"/>
          <w:sz w:val="28"/>
          <w:szCs w:val="28"/>
        </w:rPr>
        <w:t>第三节  建设用地规模调整</w:t>
      </w:r>
      <w:bookmarkEnd w:id="116"/>
    </w:p>
    <w:p w14:paraId="641AE155">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一、新增建设用地</w:t>
      </w:r>
    </w:p>
    <w:p w14:paraId="5382EA04">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（一）调整原则</w:t>
      </w:r>
    </w:p>
    <w:p w14:paraId="456908CD">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根据上级下达指标，对东川区内部存量建设用地及未来建设用地需求进行梳理，按照东川区“十三五”经济社会发展规划中确定的城镇发展布局，合理确定东川区各乡镇的建设用地指标需求。</w:t>
      </w:r>
    </w:p>
    <w:p w14:paraId="16E07B1A">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（二）调整方法</w:t>
      </w:r>
    </w:p>
    <w:p w14:paraId="72FBE3E0">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首先，预留5%的新增城乡建设用地指标专项用于保障村庄建设；其次在预留指标的基础上，优先满足已报批项目和已取得批复项目的用地需求；第三，在2014年变更调查成果的基础上，本次规划调整完善满足变更为建设用地图斑的指标需求。在上级下达新增建设用地指标满足了上述需求的基础上，综合考虑东川区近年的发展规划及各乡镇用地需求，分解剩余的新增指标至各乡镇办事处，以满足辖区内的项目用地及经济发展的需求。</w:t>
      </w:r>
    </w:p>
    <w:p w14:paraId="03C015DD">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1、建设用地指标预留主要用于保障东川区未来的村庄建设，预留指标类型为新增城乡建设用地，数量为新增城乡建设用地的5%。为保障村庄发展，对部分居民点分布较为零散，难以确定范围，预留15.65公顷新增建设用地指标，专项用于保障规划期内村庄搬迁及新农村建设。</w:t>
      </w:r>
    </w:p>
    <w:p w14:paraId="5CBFB885">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2、优先保障东川区已报批的项目用地需求。本次调整完善以二调数据连续变更至</w:t>
      </w:r>
      <w:r>
        <w:rPr>
          <w:rFonts w:ascii="仿宋_GB2312" w:hAnsi="宋体" w:eastAsia="仿宋_GB2312"/>
          <w:kern w:val="0"/>
          <w:sz w:val="28"/>
          <w:szCs w:val="28"/>
        </w:rPr>
        <w:t xml:space="preserve">2014 </w:t>
      </w:r>
      <w:r>
        <w:rPr>
          <w:rFonts w:hint="eastAsia" w:ascii="仿宋_GB2312" w:hAnsi="宋体" w:eastAsia="仿宋_GB2312"/>
          <w:kern w:val="0"/>
          <w:sz w:val="28"/>
          <w:szCs w:val="28"/>
        </w:rPr>
        <w:t>年土地利用现状为基数，因此基础数据中不包括东川区近两年取得农用地转用批复的用地。经梳理，东川区没有已取得农用地转用批复，但基期数据中仍为非建设用地。</w:t>
      </w:r>
    </w:p>
    <w:p w14:paraId="22A98F82">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3、对涉及东川区辖区内的规划修改项目进行整理，分别计算其指标缺口，在本次规划调整完善中，保证其指标需求。规划实施期间，红土地镇开展了土地利用总体规划评估修改，截止到</w:t>
      </w:r>
      <w:r>
        <w:rPr>
          <w:rFonts w:ascii="仿宋_GB2312" w:hAnsi="宋体" w:eastAsia="仿宋_GB2312"/>
          <w:kern w:val="0"/>
          <w:sz w:val="28"/>
          <w:szCs w:val="28"/>
        </w:rPr>
        <w:t xml:space="preserve">2014 </w:t>
      </w:r>
      <w:r>
        <w:rPr>
          <w:rFonts w:hint="eastAsia" w:ascii="仿宋_GB2312" w:hAnsi="宋体" w:eastAsia="仿宋_GB2312"/>
          <w:kern w:val="0"/>
          <w:sz w:val="28"/>
          <w:szCs w:val="28"/>
        </w:rPr>
        <w:t>年年末，修改后的规划建设用地指标还未使用，故在此次调整完善中，优先安排修改方案确定的2.15</w:t>
      </w:r>
      <w:r>
        <w:rPr>
          <w:rFonts w:ascii="仿宋_GB2312" w:hAnsi="宋体" w:eastAsia="仿宋_GB2312"/>
          <w:kern w:val="0"/>
          <w:sz w:val="28"/>
          <w:szCs w:val="28"/>
        </w:rPr>
        <w:t xml:space="preserve"> </w:t>
      </w:r>
      <w:r>
        <w:rPr>
          <w:rFonts w:hint="eastAsia" w:ascii="仿宋_GB2312" w:hAnsi="宋体" w:eastAsia="仿宋_GB2312"/>
          <w:kern w:val="0"/>
          <w:sz w:val="28"/>
          <w:szCs w:val="28"/>
        </w:rPr>
        <w:t>公顷新增建设用地指标。</w:t>
      </w:r>
    </w:p>
    <w:p w14:paraId="184F47EA">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昆明市下达东川区新增建设用地指标为339.69</w:t>
      </w:r>
      <w:r>
        <w:rPr>
          <w:rFonts w:ascii="仿宋_GB2312" w:hAnsi="宋体" w:eastAsia="仿宋_GB2312"/>
          <w:kern w:val="0"/>
          <w:sz w:val="28"/>
          <w:szCs w:val="28"/>
        </w:rPr>
        <w:t xml:space="preserve"> </w:t>
      </w:r>
      <w:r>
        <w:rPr>
          <w:rFonts w:hint="eastAsia" w:ascii="仿宋_GB2312" w:hAnsi="宋体" w:eastAsia="仿宋_GB2312"/>
          <w:kern w:val="0"/>
          <w:sz w:val="28"/>
          <w:szCs w:val="28"/>
        </w:rPr>
        <w:t>公顷，扣除上述三类必需安排的用地指标后，新增建设用地指标还剩余337.54公顷可分解。通过对“十三五”确定的重点建设项目、“五网”建设以及各乡镇城镇化建设需求逐一梳理，再根据项目轻重缓急进行排序再次梳理调整，对剩余的新增建设用地指标进行分解。</w:t>
      </w:r>
    </w:p>
    <w:p w14:paraId="4A273F83">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ascii="仿宋_GB2312" w:hAnsi="宋体" w:eastAsia="仿宋_GB2312"/>
          <w:kern w:val="0"/>
          <w:sz w:val="28"/>
          <w:szCs w:val="28"/>
        </w:rPr>
        <w:t>铜都街道、乌龙新区、阿旺镇</w:t>
      </w:r>
      <w:r>
        <w:rPr>
          <w:rFonts w:hint="eastAsia" w:ascii="仿宋_GB2312" w:hAnsi="宋体" w:eastAsia="仿宋_GB2312"/>
          <w:kern w:val="0"/>
          <w:sz w:val="28"/>
          <w:szCs w:val="28"/>
        </w:rPr>
        <w:t>作为东川区</w:t>
      </w:r>
      <w:r>
        <w:rPr>
          <w:rFonts w:ascii="仿宋_GB2312" w:hAnsi="宋体" w:eastAsia="仿宋_GB2312"/>
          <w:kern w:val="0"/>
          <w:sz w:val="28"/>
          <w:szCs w:val="28"/>
        </w:rPr>
        <w:t>城市转型发展</w:t>
      </w:r>
      <w:r>
        <w:rPr>
          <w:rFonts w:hint="eastAsia" w:ascii="仿宋_GB2312" w:hAnsi="宋体" w:eastAsia="仿宋_GB2312"/>
          <w:kern w:val="0"/>
          <w:sz w:val="28"/>
          <w:szCs w:val="28"/>
        </w:rPr>
        <w:t>的重点区域</w:t>
      </w:r>
      <w:r>
        <w:rPr>
          <w:rFonts w:ascii="仿宋_GB2312" w:hAnsi="宋体" w:eastAsia="仿宋_GB2312"/>
          <w:kern w:val="0"/>
          <w:sz w:val="28"/>
          <w:szCs w:val="28"/>
        </w:rPr>
        <w:t>，</w:t>
      </w:r>
      <w:r>
        <w:rPr>
          <w:rFonts w:hint="eastAsia" w:ascii="仿宋_GB2312" w:hAnsi="宋体" w:eastAsia="仿宋_GB2312"/>
          <w:kern w:val="0"/>
          <w:sz w:val="28"/>
          <w:szCs w:val="28"/>
        </w:rPr>
        <w:t>在新增建设用地指标分配上给予一定倾斜，拖布卡和因民镇规划实施期间新增建设用地指标使用量较少，在指标分配上重点考虑近两年集镇建设，村庄建设指标需求，因此在现行规划指标基础上做一定的核减。</w:t>
      </w:r>
    </w:p>
    <w:p w14:paraId="378D6A51">
      <w:pPr>
        <w:jc w:val="center"/>
        <w:outlineLvl w:val="4"/>
        <w:rPr>
          <w:rFonts w:ascii="宋体" w:hAnsi="宋体"/>
          <w:b/>
          <w:sz w:val="24"/>
        </w:rPr>
      </w:pPr>
      <w:r>
        <w:rPr>
          <w:rFonts w:hint="eastAsia" w:ascii="宋体" w:hAnsi="宋体"/>
          <w:b/>
          <w:sz w:val="24"/>
        </w:rPr>
        <w:t>表</w:t>
      </w:r>
      <w:r>
        <w:rPr>
          <w:rFonts w:ascii="宋体" w:hAnsi="宋体"/>
          <w:b/>
          <w:sz w:val="24"/>
        </w:rPr>
        <w:t xml:space="preserve">5-5 </w:t>
      </w:r>
      <w:r>
        <w:rPr>
          <w:rFonts w:hint="eastAsia" w:ascii="宋体" w:hAnsi="宋体"/>
          <w:b/>
          <w:sz w:val="24"/>
        </w:rPr>
        <w:t xml:space="preserve"> 东川区各乡镇新增建设用地指标调整情况表</w:t>
      </w:r>
    </w:p>
    <w:p w14:paraId="7C358123">
      <w:pPr>
        <w:widowControl/>
        <w:tabs>
          <w:tab w:val="left" w:pos="1950"/>
        </w:tabs>
        <w:adjustRightInd w:val="0"/>
        <w:snapToGrid w:val="0"/>
        <w:spacing w:line="360" w:lineRule="auto"/>
        <w:ind w:firstLine="561"/>
        <w:jc w:val="right"/>
        <w:rPr>
          <w:rFonts w:ascii="宋体" w:hAnsi="宋体" w:cs="宋体"/>
          <w:color w:val="000000"/>
          <w:kern w:val="0"/>
          <w:sz w:val="18"/>
          <w:szCs w:val="18"/>
        </w:rPr>
      </w:pPr>
      <w:r>
        <w:rPr>
          <w:rFonts w:hint="eastAsia" w:ascii="宋体" w:hAnsi="宋体" w:cs="宋体"/>
          <w:color w:val="000000"/>
          <w:kern w:val="0"/>
          <w:sz w:val="18"/>
          <w:szCs w:val="18"/>
        </w:rPr>
        <w:t>单位：公顷</w:t>
      </w:r>
    </w:p>
    <w:tbl>
      <w:tblPr>
        <w:tblStyle w:val="27"/>
        <w:tblW w:w="8414" w:type="dxa"/>
        <w:jc w:val="center"/>
        <w:tblLayout w:type="autofit"/>
        <w:tblCellMar>
          <w:top w:w="0" w:type="dxa"/>
          <w:left w:w="108" w:type="dxa"/>
          <w:bottom w:w="0" w:type="dxa"/>
          <w:right w:w="108" w:type="dxa"/>
        </w:tblCellMar>
      </w:tblPr>
      <w:tblGrid>
        <w:gridCol w:w="1116"/>
        <w:gridCol w:w="1505"/>
        <w:gridCol w:w="2033"/>
        <w:gridCol w:w="1300"/>
        <w:gridCol w:w="1300"/>
        <w:gridCol w:w="1160"/>
      </w:tblGrid>
      <w:tr w14:paraId="3CF8164A">
        <w:tblPrEx>
          <w:tblCellMar>
            <w:top w:w="0" w:type="dxa"/>
            <w:left w:w="108" w:type="dxa"/>
            <w:bottom w:w="0" w:type="dxa"/>
            <w:right w:w="108" w:type="dxa"/>
          </w:tblCellMar>
        </w:tblPrEx>
        <w:trPr>
          <w:trHeight w:val="312" w:hRule="atLeast"/>
          <w:jc w:val="center"/>
        </w:trPr>
        <w:tc>
          <w:tcPr>
            <w:tcW w:w="1116"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36D624C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行政区</w:t>
            </w:r>
          </w:p>
        </w:tc>
        <w:tc>
          <w:tcPr>
            <w:tcW w:w="150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3572FB9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xml:space="preserve">规划实施期间因修改需安排 </w:t>
            </w:r>
          </w:p>
        </w:tc>
        <w:tc>
          <w:tcPr>
            <w:tcW w:w="2033" w:type="dxa"/>
            <w:vMerge w:val="restart"/>
            <w:tcBorders>
              <w:top w:val="single" w:color="auto" w:sz="8" w:space="0"/>
              <w:left w:val="nil"/>
              <w:right w:val="single" w:color="auto" w:sz="8" w:space="0"/>
            </w:tcBorders>
            <w:shd w:val="clear" w:color="auto" w:fill="auto"/>
            <w:vAlign w:val="center"/>
          </w:tcPr>
          <w:p w14:paraId="6E927ED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2010-2014年已取得征转批复的非建设用地</w:t>
            </w:r>
          </w:p>
        </w:tc>
        <w:tc>
          <w:tcPr>
            <w:tcW w:w="2600" w:type="dxa"/>
            <w:gridSpan w:val="2"/>
            <w:tcBorders>
              <w:top w:val="single" w:color="auto" w:sz="8" w:space="0"/>
              <w:left w:val="nil"/>
              <w:bottom w:val="single" w:color="auto" w:sz="8" w:space="0"/>
              <w:right w:val="single" w:color="000000" w:sz="8" w:space="0"/>
            </w:tcBorders>
            <w:shd w:val="clear" w:color="auto" w:fill="auto"/>
            <w:vAlign w:val="center"/>
          </w:tcPr>
          <w:p w14:paraId="7B65311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“十三五”期间重点项目用地</w:t>
            </w:r>
          </w:p>
        </w:tc>
        <w:tc>
          <w:tcPr>
            <w:tcW w:w="116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375D36C4">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新增建设用地规模</w:t>
            </w:r>
          </w:p>
        </w:tc>
      </w:tr>
      <w:tr w14:paraId="38CDB9E6">
        <w:tblPrEx>
          <w:tblCellMar>
            <w:top w:w="0" w:type="dxa"/>
            <w:left w:w="108" w:type="dxa"/>
            <w:bottom w:w="0" w:type="dxa"/>
            <w:right w:w="108" w:type="dxa"/>
          </w:tblCellMar>
        </w:tblPrEx>
        <w:trPr>
          <w:trHeight w:val="312" w:hRule="atLeast"/>
          <w:jc w:val="center"/>
        </w:trPr>
        <w:tc>
          <w:tcPr>
            <w:tcW w:w="1116" w:type="dxa"/>
            <w:vMerge w:val="continue"/>
            <w:tcBorders>
              <w:top w:val="single" w:color="auto" w:sz="8" w:space="0"/>
              <w:left w:val="single" w:color="auto" w:sz="8" w:space="0"/>
              <w:bottom w:val="single" w:color="000000" w:sz="8" w:space="0"/>
              <w:right w:val="single" w:color="auto" w:sz="8" w:space="0"/>
            </w:tcBorders>
            <w:vAlign w:val="center"/>
          </w:tcPr>
          <w:p w14:paraId="37CCA4D2">
            <w:pPr>
              <w:widowControl/>
              <w:jc w:val="left"/>
              <w:rPr>
                <w:rFonts w:ascii="宋体" w:hAnsi="宋体" w:cs="宋体"/>
                <w:b/>
                <w:bCs/>
                <w:color w:val="000000"/>
                <w:kern w:val="0"/>
                <w:sz w:val="18"/>
                <w:szCs w:val="18"/>
              </w:rPr>
            </w:pPr>
          </w:p>
        </w:tc>
        <w:tc>
          <w:tcPr>
            <w:tcW w:w="1505" w:type="dxa"/>
            <w:vMerge w:val="continue"/>
            <w:tcBorders>
              <w:top w:val="single" w:color="auto" w:sz="8" w:space="0"/>
              <w:left w:val="single" w:color="auto" w:sz="8" w:space="0"/>
              <w:bottom w:val="single" w:color="000000" w:sz="8" w:space="0"/>
              <w:right w:val="single" w:color="auto" w:sz="8" w:space="0"/>
            </w:tcBorders>
            <w:vAlign w:val="center"/>
          </w:tcPr>
          <w:p w14:paraId="7258DB28">
            <w:pPr>
              <w:widowControl/>
              <w:jc w:val="left"/>
              <w:rPr>
                <w:rFonts w:ascii="宋体" w:hAnsi="宋体" w:cs="宋体"/>
                <w:b/>
                <w:bCs/>
                <w:color w:val="000000"/>
                <w:kern w:val="0"/>
                <w:sz w:val="18"/>
                <w:szCs w:val="18"/>
              </w:rPr>
            </w:pPr>
          </w:p>
        </w:tc>
        <w:tc>
          <w:tcPr>
            <w:tcW w:w="2033" w:type="dxa"/>
            <w:vMerge w:val="continue"/>
            <w:tcBorders>
              <w:left w:val="nil"/>
              <w:bottom w:val="single" w:color="auto" w:sz="8" w:space="0"/>
              <w:right w:val="single" w:color="auto" w:sz="8" w:space="0"/>
            </w:tcBorders>
            <w:shd w:val="clear" w:color="auto" w:fill="auto"/>
            <w:vAlign w:val="center"/>
          </w:tcPr>
          <w:p w14:paraId="51D5DAAD">
            <w:pPr>
              <w:widowControl/>
              <w:jc w:val="center"/>
              <w:rPr>
                <w:rFonts w:ascii="宋体" w:hAnsi="宋体" w:cs="宋体"/>
                <w:b/>
                <w:bCs/>
                <w:color w:val="000000"/>
                <w:kern w:val="0"/>
                <w:sz w:val="18"/>
                <w:szCs w:val="18"/>
              </w:rPr>
            </w:pPr>
          </w:p>
        </w:tc>
        <w:tc>
          <w:tcPr>
            <w:tcW w:w="1300" w:type="dxa"/>
            <w:tcBorders>
              <w:top w:val="nil"/>
              <w:left w:val="nil"/>
              <w:bottom w:val="single" w:color="auto" w:sz="8" w:space="0"/>
              <w:right w:val="single" w:color="auto" w:sz="8" w:space="0"/>
            </w:tcBorders>
            <w:shd w:val="clear" w:color="auto" w:fill="auto"/>
            <w:vAlign w:val="center"/>
          </w:tcPr>
          <w:p w14:paraId="1BF2766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需求量预测</w:t>
            </w:r>
          </w:p>
        </w:tc>
        <w:tc>
          <w:tcPr>
            <w:tcW w:w="1300" w:type="dxa"/>
            <w:tcBorders>
              <w:top w:val="nil"/>
              <w:left w:val="nil"/>
              <w:bottom w:val="single" w:color="auto" w:sz="8" w:space="0"/>
              <w:right w:val="single" w:color="auto" w:sz="8" w:space="0"/>
            </w:tcBorders>
            <w:shd w:val="clear" w:color="auto" w:fill="auto"/>
            <w:vAlign w:val="center"/>
          </w:tcPr>
          <w:p w14:paraId="785F52A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调整后规模</w:t>
            </w:r>
          </w:p>
        </w:tc>
        <w:tc>
          <w:tcPr>
            <w:tcW w:w="1160" w:type="dxa"/>
            <w:vMerge w:val="continue"/>
            <w:tcBorders>
              <w:top w:val="single" w:color="auto" w:sz="8" w:space="0"/>
              <w:left w:val="single" w:color="auto" w:sz="8" w:space="0"/>
              <w:bottom w:val="single" w:color="000000" w:sz="8" w:space="0"/>
              <w:right w:val="single" w:color="auto" w:sz="8" w:space="0"/>
            </w:tcBorders>
            <w:vAlign w:val="center"/>
          </w:tcPr>
          <w:p w14:paraId="783A17AE">
            <w:pPr>
              <w:widowControl/>
              <w:jc w:val="left"/>
              <w:rPr>
                <w:rFonts w:ascii="宋体" w:hAnsi="宋体" w:cs="宋体"/>
                <w:b/>
                <w:bCs/>
                <w:color w:val="000000"/>
                <w:kern w:val="0"/>
                <w:sz w:val="18"/>
                <w:szCs w:val="18"/>
              </w:rPr>
            </w:pPr>
          </w:p>
        </w:tc>
      </w:tr>
      <w:tr w14:paraId="794BEBC1">
        <w:tblPrEx>
          <w:tblCellMar>
            <w:top w:w="0" w:type="dxa"/>
            <w:left w:w="108" w:type="dxa"/>
            <w:bottom w:w="0" w:type="dxa"/>
            <w:right w:w="108" w:type="dxa"/>
          </w:tblCellMar>
        </w:tblPrEx>
        <w:trPr>
          <w:trHeight w:val="312" w:hRule="atLeast"/>
          <w:jc w:val="center"/>
        </w:trPr>
        <w:tc>
          <w:tcPr>
            <w:tcW w:w="1116" w:type="dxa"/>
            <w:tcBorders>
              <w:top w:val="nil"/>
              <w:left w:val="single" w:color="auto" w:sz="8" w:space="0"/>
              <w:bottom w:val="single" w:color="auto" w:sz="8" w:space="0"/>
              <w:right w:val="single" w:color="auto" w:sz="8" w:space="0"/>
            </w:tcBorders>
            <w:shd w:val="clear" w:color="auto" w:fill="auto"/>
            <w:noWrap/>
            <w:vAlign w:val="center"/>
          </w:tcPr>
          <w:p w14:paraId="06D73B21">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505" w:type="dxa"/>
            <w:tcBorders>
              <w:top w:val="nil"/>
              <w:left w:val="nil"/>
              <w:bottom w:val="single" w:color="auto" w:sz="8" w:space="0"/>
              <w:right w:val="single" w:color="auto" w:sz="8" w:space="0"/>
            </w:tcBorders>
            <w:shd w:val="clear" w:color="auto" w:fill="auto"/>
          </w:tcPr>
          <w:p w14:paraId="5A2C662B">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2033" w:type="dxa"/>
            <w:tcBorders>
              <w:top w:val="nil"/>
              <w:left w:val="nil"/>
              <w:bottom w:val="single" w:color="auto" w:sz="8" w:space="0"/>
              <w:right w:val="single" w:color="auto" w:sz="8" w:space="0"/>
            </w:tcBorders>
            <w:shd w:val="clear" w:color="auto" w:fill="auto"/>
          </w:tcPr>
          <w:p w14:paraId="100351DB">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300" w:type="dxa"/>
            <w:tcBorders>
              <w:top w:val="nil"/>
              <w:left w:val="nil"/>
              <w:bottom w:val="single" w:color="auto" w:sz="8" w:space="0"/>
              <w:right w:val="single" w:color="auto" w:sz="8" w:space="0"/>
            </w:tcBorders>
            <w:shd w:val="clear" w:color="auto" w:fill="auto"/>
            <w:vAlign w:val="center"/>
          </w:tcPr>
          <w:p w14:paraId="6E0856EB">
            <w:pPr>
              <w:widowControl/>
              <w:jc w:val="center"/>
              <w:rPr>
                <w:rFonts w:ascii="宋体" w:hAnsi="宋体" w:cs="宋体"/>
                <w:color w:val="000000"/>
                <w:kern w:val="0"/>
                <w:sz w:val="18"/>
                <w:szCs w:val="18"/>
              </w:rPr>
            </w:pPr>
            <w:r>
              <w:rPr>
                <w:rFonts w:hint="eastAsia" w:ascii="宋体" w:hAnsi="宋体" w:cs="宋体"/>
                <w:color w:val="000000"/>
                <w:kern w:val="0"/>
                <w:sz w:val="18"/>
                <w:szCs w:val="18"/>
              </w:rPr>
              <w:t>32.85</w:t>
            </w:r>
          </w:p>
        </w:tc>
        <w:tc>
          <w:tcPr>
            <w:tcW w:w="1300" w:type="dxa"/>
            <w:tcBorders>
              <w:top w:val="nil"/>
              <w:left w:val="nil"/>
              <w:bottom w:val="single" w:color="auto" w:sz="8" w:space="0"/>
              <w:right w:val="single" w:color="auto" w:sz="8" w:space="0"/>
            </w:tcBorders>
            <w:shd w:val="clear" w:color="auto" w:fill="auto"/>
            <w:vAlign w:val="center"/>
          </w:tcPr>
          <w:p w14:paraId="7AD33A3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18.84 </w:t>
            </w:r>
          </w:p>
        </w:tc>
        <w:tc>
          <w:tcPr>
            <w:tcW w:w="1160" w:type="dxa"/>
            <w:tcBorders>
              <w:top w:val="nil"/>
              <w:left w:val="nil"/>
              <w:bottom w:val="single" w:color="auto" w:sz="8" w:space="0"/>
              <w:right w:val="single" w:color="auto" w:sz="8" w:space="0"/>
            </w:tcBorders>
            <w:shd w:val="clear" w:color="auto" w:fill="auto"/>
            <w:noWrap/>
            <w:vAlign w:val="center"/>
          </w:tcPr>
          <w:p w14:paraId="73EF305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18.84 </w:t>
            </w:r>
          </w:p>
        </w:tc>
      </w:tr>
      <w:tr w14:paraId="7810C04C">
        <w:tblPrEx>
          <w:tblCellMar>
            <w:top w:w="0" w:type="dxa"/>
            <w:left w:w="108" w:type="dxa"/>
            <w:bottom w:w="0" w:type="dxa"/>
            <w:right w:w="108" w:type="dxa"/>
          </w:tblCellMar>
        </w:tblPrEx>
        <w:trPr>
          <w:trHeight w:val="312" w:hRule="atLeast"/>
          <w:jc w:val="center"/>
        </w:trPr>
        <w:tc>
          <w:tcPr>
            <w:tcW w:w="1116" w:type="dxa"/>
            <w:tcBorders>
              <w:top w:val="nil"/>
              <w:left w:val="single" w:color="auto" w:sz="8" w:space="0"/>
              <w:bottom w:val="single" w:color="auto" w:sz="8" w:space="0"/>
              <w:right w:val="single" w:color="auto" w:sz="8" w:space="0"/>
            </w:tcBorders>
            <w:shd w:val="clear" w:color="auto" w:fill="auto"/>
            <w:noWrap/>
            <w:vAlign w:val="center"/>
          </w:tcPr>
          <w:p w14:paraId="1EF6EA5F">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505" w:type="dxa"/>
            <w:tcBorders>
              <w:top w:val="nil"/>
              <w:left w:val="nil"/>
              <w:bottom w:val="single" w:color="auto" w:sz="8" w:space="0"/>
              <w:right w:val="single" w:color="auto" w:sz="8" w:space="0"/>
            </w:tcBorders>
            <w:shd w:val="clear" w:color="auto" w:fill="auto"/>
          </w:tcPr>
          <w:p w14:paraId="5B38A750">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2033" w:type="dxa"/>
            <w:tcBorders>
              <w:top w:val="nil"/>
              <w:left w:val="nil"/>
              <w:bottom w:val="single" w:color="auto" w:sz="8" w:space="0"/>
              <w:right w:val="single" w:color="auto" w:sz="8" w:space="0"/>
            </w:tcBorders>
            <w:shd w:val="clear" w:color="auto" w:fill="auto"/>
          </w:tcPr>
          <w:p w14:paraId="5413257D">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300" w:type="dxa"/>
            <w:tcBorders>
              <w:top w:val="nil"/>
              <w:left w:val="nil"/>
              <w:bottom w:val="single" w:color="auto" w:sz="8" w:space="0"/>
              <w:right w:val="single" w:color="auto" w:sz="8" w:space="0"/>
            </w:tcBorders>
            <w:shd w:val="clear" w:color="auto" w:fill="auto"/>
            <w:vAlign w:val="center"/>
          </w:tcPr>
          <w:p w14:paraId="371373E4">
            <w:pPr>
              <w:widowControl/>
              <w:jc w:val="center"/>
              <w:rPr>
                <w:rFonts w:ascii="宋体" w:hAnsi="宋体" w:cs="宋体"/>
                <w:color w:val="000000"/>
                <w:kern w:val="0"/>
                <w:sz w:val="18"/>
                <w:szCs w:val="18"/>
              </w:rPr>
            </w:pPr>
            <w:r>
              <w:rPr>
                <w:rFonts w:hint="eastAsia" w:ascii="宋体" w:hAnsi="宋体" w:cs="宋体"/>
                <w:color w:val="000000"/>
                <w:kern w:val="0"/>
                <w:sz w:val="18"/>
                <w:szCs w:val="18"/>
              </w:rPr>
              <w:t>227.93</w:t>
            </w:r>
          </w:p>
        </w:tc>
        <w:tc>
          <w:tcPr>
            <w:tcW w:w="1300" w:type="dxa"/>
            <w:tcBorders>
              <w:top w:val="nil"/>
              <w:left w:val="nil"/>
              <w:bottom w:val="single" w:color="auto" w:sz="8" w:space="0"/>
              <w:right w:val="single" w:color="auto" w:sz="8" w:space="0"/>
            </w:tcBorders>
            <w:shd w:val="clear" w:color="auto" w:fill="auto"/>
            <w:vAlign w:val="center"/>
          </w:tcPr>
          <w:p w14:paraId="6D2ABBE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148.71 </w:t>
            </w:r>
          </w:p>
        </w:tc>
        <w:tc>
          <w:tcPr>
            <w:tcW w:w="1160" w:type="dxa"/>
            <w:tcBorders>
              <w:top w:val="nil"/>
              <w:left w:val="nil"/>
              <w:bottom w:val="single" w:color="auto" w:sz="8" w:space="0"/>
              <w:right w:val="single" w:color="auto" w:sz="8" w:space="0"/>
            </w:tcBorders>
            <w:shd w:val="clear" w:color="auto" w:fill="auto"/>
            <w:noWrap/>
            <w:vAlign w:val="center"/>
          </w:tcPr>
          <w:p w14:paraId="7559880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148.71 </w:t>
            </w:r>
          </w:p>
        </w:tc>
      </w:tr>
      <w:tr w14:paraId="0285320A">
        <w:tblPrEx>
          <w:tblCellMar>
            <w:top w:w="0" w:type="dxa"/>
            <w:left w:w="108" w:type="dxa"/>
            <w:bottom w:w="0" w:type="dxa"/>
            <w:right w:w="108" w:type="dxa"/>
          </w:tblCellMar>
        </w:tblPrEx>
        <w:trPr>
          <w:trHeight w:val="312" w:hRule="atLeast"/>
          <w:jc w:val="center"/>
        </w:trPr>
        <w:tc>
          <w:tcPr>
            <w:tcW w:w="1116" w:type="dxa"/>
            <w:tcBorders>
              <w:top w:val="nil"/>
              <w:left w:val="single" w:color="auto" w:sz="8" w:space="0"/>
              <w:bottom w:val="single" w:color="auto" w:sz="8" w:space="0"/>
              <w:right w:val="single" w:color="auto" w:sz="8" w:space="0"/>
            </w:tcBorders>
            <w:shd w:val="clear" w:color="auto" w:fill="auto"/>
            <w:noWrap/>
            <w:vAlign w:val="center"/>
          </w:tcPr>
          <w:p w14:paraId="14B81B03">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505" w:type="dxa"/>
            <w:tcBorders>
              <w:top w:val="nil"/>
              <w:left w:val="nil"/>
              <w:bottom w:val="single" w:color="auto" w:sz="8" w:space="0"/>
              <w:right w:val="single" w:color="auto" w:sz="8" w:space="0"/>
            </w:tcBorders>
            <w:shd w:val="clear" w:color="auto" w:fill="auto"/>
          </w:tcPr>
          <w:p w14:paraId="267457CA">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2033" w:type="dxa"/>
            <w:tcBorders>
              <w:top w:val="nil"/>
              <w:left w:val="nil"/>
              <w:bottom w:val="single" w:color="auto" w:sz="8" w:space="0"/>
              <w:right w:val="single" w:color="auto" w:sz="8" w:space="0"/>
            </w:tcBorders>
            <w:shd w:val="clear" w:color="auto" w:fill="auto"/>
          </w:tcPr>
          <w:p w14:paraId="0D1F69D8">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300" w:type="dxa"/>
            <w:tcBorders>
              <w:top w:val="nil"/>
              <w:left w:val="nil"/>
              <w:bottom w:val="single" w:color="auto" w:sz="8" w:space="0"/>
              <w:right w:val="single" w:color="auto" w:sz="8" w:space="0"/>
            </w:tcBorders>
            <w:shd w:val="clear" w:color="auto" w:fill="auto"/>
            <w:vAlign w:val="center"/>
          </w:tcPr>
          <w:p w14:paraId="5E474BB0">
            <w:pPr>
              <w:widowControl/>
              <w:jc w:val="center"/>
              <w:rPr>
                <w:rFonts w:ascii="宋体" w:hAnsi="宋体" w:cs="宋体"/>
                <w:color w:val="000000"/>
                <w:kern w:val="0"/>
                <w:sz w:val="18"/>
                <w:szCs w:val="18"/>
              </w:rPr>
            </w:pPr>
            <w:r>
              <w:rPr>
                <w:rFonts w:hint="eastAsia" w:ascii="宋体" w:hAnsi="宋体" w:cs="宋体"/>
                <w:color w:val="000000"/>
                <w:kern w:val="0"/>
                <w:sz w:val="18"/>
                <w:szCs w:val="18"/>
              </w:rPr>
              <w:t>18.89</w:t>
            </w:r>
          </w:p>
        </w:tc>
        <w:tc>
          <w:tcPr>
            <w:tcW w:w="1300" w:type="dxa"/>
            <w:tcBorders>
              <w:top w:val="nil"/>
              <w:left w:val="nil"/>
              <w:bottom w:val="single" w:color="auto" w:sz="8" w:space="0"/>
              <w:right w:val="single" w:color="auto" w:sz="8" w:space="0"/>
            </w:tcBorders>
            <w:shd w:val="clear" w:color="auto" w:fill="auto"/>
            <w:vAlign w:val="center"/>
          </w:tcPr>
          <w:p w14:paraId="35C6455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13.98 </w:t>
            </w:r>
          </w:p>
        </w:tc>
        <w:tc>
          <w:tcPr>
            <w:tcW w:w="1160" w:type="dxa"/>
            <w:tcBorders>
              <w:top w:val="nil"/>
              <w:left w:val="nil"/>
              <w:bottom w:val="single" w:color="auto" w:sz="8" w:space="0"/>
              <w:right w:val="single" w:color="auto" w:sz="8" w:space="0"/>
            </w:tcBorders>
            <w:shd w:val="clear" w:color="auto" w:fill="auto"/>
            <w:noWrap/>
            <w:vAlign w:val="center"/>
          </w:tcPr>
          <w:p w14:paraId="1DFD817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13.98 </w:t>
            </w:r>
          </w:p>
        </w:tc>
      </w:tr>
      <w:tr w14:paraId="10069BDB">
        <w:tblPrEx>
          <w:tblCellMar>
            <w:top w:w="0" w:type="dxa"/>
            <w:left w:w="108" w:type="dxa"/>
            <w:bottom w:w="0" w:type="dxa"/>
            <w:right w:w="108" w:type="dxa"/>
          </w:tblCellMar>
        </w:tblPrEx>
        <w:trPr>
          <w:trHeight w:val="312" w:hRule="atLeast"/>
          <w:jc w:val="center"/>
        </w:trPr>
        <w:tc>
          <w:tcPr>
            <w:tcW w:w="1116" w:type="dxa"/>
            <w:tcBorders>
              <w:top w:val="nil"/>
              <w:left w:val="single" w:color="auto" w:sz="8" w:space="0"/>
              <w:bottom w:val="single" w:color="auto" w:sz="8" w:space="0"/>
              <w:right w:val="single" w:color="auto" w:sz="8" w:space="0"/>
            </w:tcBorders>
            <w:shd w:val="clear" w:color="auto" w:fill="auto"/>
            <w:noWrap/>
            <w:vAlign w:val="center"/>
          </w:tcPr>
          <w:p w14:paraId="653D8ADD">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505" w:type="dxa"/>
            <w:tcBorders>
              <w:top w:val="nil"/>
              <w:left w:val="nil"/>
              <w:bottom w:val="single" w:color="auto" w:sz="8" w:space="0"/>
              <w:right w:val="single" w:color="auto" w:sz="8" w:space="0"/>
            </w:tcBorders>
            <w:shd w:val="clear" w:color="auto" w:fill="auto"/>
          </w:tcPr>
          <w:p w14:paraId="272E4272">
            <w:pPr>
              <w:widowControl/>
              <w:jc w:val="center"/>
              <w:rPr>
                <w:rFonts w:ascii="宋体" w:hAnsi="宋体" w:cs="宋体"/>
                <w:color w:val="000000"/>
                <w:kern w:val="0"/>
                <w:sz w:val="18"/>
                <w:szCs w:val="18"/>
              </w:rPr>
            </w:pPr>
            <w:r>
              <w:rPr>
                <w:rFonts w:hint="eastAsia" w:ascii="宋体" w:hAnsi="宋体" w:cs="宋体"/>
                <w:color w:val="000000"/>
                <w:kern w:val="0"/>
                <w:sz w:val="18"/>
                <w:szCs w:val="18"/>
              </w:rPr>
              <w:t>2.15</w:t>
            </w:r>
          </w:p>
        </w:tc>
        <w:tc>
          <w:tcPr>
            <w:tcW w:w="2033" w:type="dxa"/>
            <w:tcBorders>
              <w:top w:val="nil"/>
              <w:left w:val="nil"/>
              <w:bottom w:val="single" w:color="auto" w:sz="8" w:space="0"/>
              <w:right w:val="single" w:color="auto" w:sz="8" w:space="0"/>
            </w:tcBorders>
            <w:shd w:val="clear" w:color="auto" w:fill="auto"/>
          </w:tcPr>
          <w:p w14:paraId="42607719">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300" w:type="dxa"/>
            <w:tcBorders>
              <w:top w:val="nil"/>
              <w:left w:val="nil"/>
              <w:bottom w:val="single" w:color="auto" w:sz="8" w:space="0"/>
              <w:right w:val="single" w:color="auto" w:sz="8" w:space="0"/>
            </w:tcBorders>
            <w:shd w:val="clear" w:color="auto" w:fill="auto"/>
            <w:vAlign w:val="center"/>
          </w:tcPr>
          <w:p w14:paraId="09F76BAE">
            <w:pPr>
              <w:widowControl/>
              <w:jc w:val="center"/>
              <w:rPr>
                <w:rFonts w:ascii="宋体" w:hAnsi="宋体" w:cs="宋体"/>
                <w:color w:val="000000"/>
                <w:kern w:val="0"/>
                <w:sz w:val="18"/>
                <w:szCs w:val="18"/>
              </w:rPr>
            </w:pPr>
            <w:r>
              <w:rPr>
                <w:rFonts w:hint="eastAsia" w:ascii="宋体" w:hAnsi="宋体" w:cs="宋体"/>
                <w:color w:val="000000"/>
                <w:kern w:val="0"/>
                <w:sz w:val="18"/>
                <w:szCs w:val="18"/>
              </w:rPr>
              <w:t>121.64</w:t>
            </w:r>
          </w:p>
        </w:tc>
        <w:tc>
          <w:tcPr>
            <w:tcW w:w="1300" w:type="dxa"/>
            <w:tcBorders>
              <w:top w:val="nil"/>
              <w:left w:val="nil"/>
              <w:bottom w:val="single" w:color="auto" w:sz="8" w:space="0"/>
              <w:right w:val="single" w:color="auto" w:sz="8" w:space="0"/>
            </w:tcBorders>
            <w:shd w:val="clear" w:color="auto" w:fill="auto"/>
            <w:vAlign w:val="center"/>
          </w:tcPr>
          <w:p w14:paraId="4888985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77.32 </w:t>
            </w:r>
          </w:p>
        </w:tc>
        <w:tc>
          <w:tcPr>
            <w:tcW w:w="1160" w:type="dxa"/>
            <w:tcBorders>
              <w:top w:val="nil"/>
              <w:left w:val="nil"/>
              <w:bottom w:val="single" w:color="auto" w:sz="8" w:space="0"/>
              <w:right w:val="single" w:color="auto" w:sz="8" w:space="0"/>
            </w:tcBorders>
            <w:shd w:val="clear" w:color="auto" w:fill="auto"/>
            <w:noWrap/>
            <w:vAlign w:val="center"/>
          </w:tcPr>
          <w:p w14:paraId="53F77AA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77.32 </w:t>
            </w:r>
          </w:p>
        </w:tc>
      </w:tr>
      <w:tr w14:paraId="51C6F009">
        <w:tblPrEx>
          <w:tblCellMar>
            <w:top w:w="0" w:type="dxa"/>
            <w:left w:w="108" w:type="dxa"/>
            <w:bottom w:w="0" w:type="dxa"/>
            <w:right w:w="108" w:type="dxa"/>
          </w:tblCellMar>
        </w:tblPrEx>
        <w:trPr>
          <w:trHeight w:val="312" w:hRule="atLeast"/>
          <w:jc w:val="center"/>
        </w:trPr>
        <w:tc>
          <w:tcPr>
            <w:tcW w:w="1116" w:type="dxa"/>
            <w:tcBorders>
              <w:top w:val="nil"/>
              <w:left w:val="single" w:color="auto" w:sz="8" w:space="0"/>
              <w:bottom w:val="single" w:color="auto" w:sz="8" w:space="0"/>
              <w:right w:val="single" w:color="auto" w:sz="8" w:space="0"/>
            </w:tcBorders>
            <w:shd w:val="clear" w:color="auto" w:fill="auto"/>
            <w:noWrap/>
            <w:vAlign w:val="center"/>
          </w:tcPr>
          <w:p w14:paraId="6E8356DF">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505" w:type="dxa"/>
            <w:tcBorders>
              <w:top w:val="nil"/>
              <w:left w:val="nil"/>
              <w:bottom w:val="single" w:color="auto" w:sz="8" w:space="0"/>
              <w:right w:val="single" w:color="auto" w:sz="8" w:space="0"/>
            </w:tcBorders>
            <w:shd w:val="clear" w:color="auto" w:fill="auto"/>
          </w:tcPr>
          <w:p w14:paraId="358C7C16">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2033" w:type="dxa"/>
            <w:tcBorders>
              <w:top w:val="nil"/>
              <w:left w:val="nil"/>
              <w:bottom w:val="single" w:color="auto" w:sz="8" w:space="0"/>
              <w:right w:val="single" w:color="auto" w:sz="8" w:space="0"/>
            </w:tcBorders>
            <w:shd w:val="clear" w:color="auto" w:fill="auto"/>
          </w:tcPr>
          <w:p w14:paraId="614AC8BF">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300" w:type="dxa"/>
            <w:tcBorders>
              <w:top w:val="nil"/>
              <w:left w:val="nil"/>
              <w:bottom w:val="single" w:color="auto" w:sz="8" w:space="0"/>
              <w:right w:val="single" w:color="auto" w:sz="8" w:space="0"/>
            </w:tcBorders>
            <w:shd w:val="clear" w:color="auto" w:fill="auto"/>
            <w:vAlign w:val="center"/>
          </w:tcPr>
          <w:p w14:paraId="07DBA97B">
            <w:pPr>
              <w:widowControl/>
              <w:jc w:val="center"/>
              <w:rPr>
                <w:rFonts w:ascii="宋体" w:hAnsi="宋体" w:cs="宋体"/>
                <w:color w:val="000000"/>
                <w:kern w:val="0"/>
                <w:sz w:val="18"/>
                <w:szCs w:val="18"/>
              </w:rPr>
            </w:pPr>
            <w:r>
              <w:rPr>
                <w:rFonts w:hint="eastAsia" w:ascii="宋体" w:hAnsi="宋体" w:cs="宋体"/>
                <w:color w:val="000000"/>
                <w:kern w:val="0"/>
                <w:sz w:val="18"/>
                <w:szCs w:val="18"/>
              </w:rPr>
              <w:t>22.19</w:t>
            </w:r>
          </w:p>
        </w:tc>
        <w:tc>
          <w:tcPr>
            <w:tcW w:w="1300" w:type="dxa"/>
            <w:tcBorders>
              <w:top w:val="nil"/>
              <w:left w:val="nil"/>
              <w:bottom w:val="single" w:color="auto" w:sz="8" w:space="0"/>
              <w:right w:val="single" w:color="auto" w:sz="8" w:space="0"/>
            </w:tcBorders>
            <w:shd w:val="clear" w:color="auto" w:fill="auto"/>
            <w:vAlign w:val="center"/>
          </w:tcPr>
          <w:p w14:paraId="6F1588C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15.76 </w:t>
            </w:r>
          </w:p>
        </w:tc>
        <w:tc>
          <w:tcPr>
            <w:tcW w:w="1160" w:type="dxa"/>
            <w:tcBorders>
              <w:top w:val="nil"/>
              <w:left w:val="nil"/>
              <w:bottom w:val="single" w:color="auto" w:sz="8" w:space="0"/>
              <w:right w:val="single" w:color="auto" w:sz="8" w:space="0"/>
            </w:tcBorders>
            <w:shd w:val="clear" w:color="auto" w:fill="auto"/>
            <w:noWrap/>
            <w:vAlign w:val="center"/>
          </w:tcPr>
          <w:p w14:paraId="742B98F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15.76 </w:t>
            </w:r>
          </w:p>
        </w:tc>
      </w:tr>
      <w:tr w14:paraId="4605A56E">
        <w:tblPrEx>
          <w:tblCellMar>
            <w:top w:w="0" w:type="dxa"/>
            <w:left w:w="108" w:type="dxa"/>
            <w:bottom w:w="0" w:type="dxa"/>
            <w:right w:w="108" w:type="dxa"/>
          </w:tblCellMar>
        </w:tblPrEx>
        <w:trPr>
          <w:trHeight w:val="312" w:hRule="atLeast"/>
          <w:jc w:val="center"/>
        </w:trPr>
        <w:tc>
          <w:tcPr>
            <w:tcW w:w="1116" w:type="dxa"/>
            <w:tcBorders>
              <w:top w:val="nil"/>
              <w:left w:val="single" w:color="auto" w:sz="8" w:space="0"/>
              <w:bottom w:val="single" w:color="auto" w:sz="8" w:space="0"/>
              <w:right w:val="single" w:color="auto" w:sz="8" w:space="0"/>
            </w:tcBorders>
            <w:shd w:val="clear" w:color="auto" w:fill="auto"/>
            <w:noWrap/>
            <w:vAlign w:val="center"/>
          </w:tcPr>
          <w:p w14:paraId="730FB83A">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505" w:type="dxa"/>
            <w:tcBorders>
              <w:top w:val="nil"/>
              <w:left w:val="nil"/>
              <w:bottom w:val="single" w:color="auto" w:sz="8" w:space="0"/>
              <w:right w:val="single" w:color="auto" w:sz="8" w:space="0"/>
            </w:tcBorders>
            <w:shd w:val="clear" w:color="auto" w:fill="auto"/>
          </w:tcPr>
          <w:p w14:paraId="62DE2D06">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2033" w:type="dxa"/>
            <w:tcBorders>
              <w:top w:val="nil"/>
              <w:left w:val="nil"/>
              <w:bottom w:val="single" w:color="auto" w:sz="8" w:space="0"/>
              <w:right w:val="single" w:color="auto" w:sz="8" w:space="0"/>
            </w:tcBorders>
            <w:shd w:val="clear" w:color="auto" w:fill="auto"/>
          </w:tcPr>
          <w:p w14:paraId="34735EAE">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300" w:type="dxa"/>
            <w:tcBorders>
              <w:top w:val="nil"/>
              <w:left w:val="nil"/>
              <w:bottom w:val="single" w:color="auto" w:sz="8" w:space="0"/>
              <w:right w:val="single" w:color="auto" w:sz="8" w:space="0"/>
            </w:tcBorders>
            <w:shd w:val="clear" w:color="auto" w:fill="auto"/>
            <w:vAlign w:val="center"/>
          </w:tcPr>
          <w:p w14:paraId="22BFCB33">
            <w:pPr>
              <w:widowControl/>
              <w:jc w:val="center"/>
              <w:rPr>
                <w:rFonts w:ascii="宋体" w:hAnsi="宋体" w:cs="宋体"/>
                <w:color w:val="000000"/>
                <w:kern w:val="0"/>
                <w:sz w:val="18"/>
                <w:szCs w:val="18"/>
              </w:rPr>
            </w:pPr>
            <w:r>
              <w:rPr>
                <w:rFonts w:hint="eastAsia" w:ascii="宋体" w:hAnsi="宋体" w:cs="宋体"/>
                <w:color w:val="000000"/>
                <w:kern w:val="0"/>
                <w:sz w:val="18"/>
                <w:szCs w:val="18"/>
              </w:rPr>
              <w:t>20.68</w:t>
            </w:r>
          </w:p>
        </w:tc>
        <w:tc>
          <w:tcPr>
            <w:tcW w:w="1300" w:type="dxa"/>
            <w:tcBorders>
              <w:top w:val="nil"/>
              <w:left w:val="nil"/>
              <w:bottom w:val="single" w:color="auto" w:sz="8" w:space="0"/>
              <w:right w:val="single" w:color="auto" w:sz="8" w:space="0"/>
            </w:tcBorders>
            <w:shd w:val="clear" w:color="auto" w:fill="auto"/>
            <w:vAlign w:val="center"/>
          </w:tcPr>
          <w:p w14:paraId="59D5778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18.41 </w:t>
            </w:r>
          </w:p>
        </w:tc>
        <w:tc>
          <w:tcPr>
            <w:tcW w:w="1160" w:type="dxa"/>
            <w:tcBorders>
              <w:top w:val="nil"/>
              <w:left w:val="nil"/>
              <w:bottom w:val="single" w:color="auto" w:sz="8" w:space="0"/>
              <w:right w:val="single" w:color="auto" w:sz="8" w:space="0"/>
            </w:tcBorders>
            <w:shd w:val="clear" w:color="auto" w:fill="auto"/>
            <w:noWrap/>
            <w:vAlign w:val="center"/>
          </w:tcPr>
          <w:p w14:paraId="11411C7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18.41 </w:t>
            </w:r>
          </w:p>
        </w:tc>
      </w:tr>
      <w:tr w14:paraId="65F3882D">
        <w:tblPrEx>
          <w:tblCellMar>
            <w:top w:w="0" w:type="dxa"/>
            <w:left w:w="108" w:type="dxa"/>
            <w:bottom w:w="0" w:type="dxa"/>
            <w:right w:w="108" w:type="dxa"/>
          </w:tblCellMar>
        </w:tblPrEx>
        <w:trPr>
          <w:trHeight w:val="312" w:hRule="atLeast"/>
          <w:jc w:val="center"/>
        </w:trPr>
        <w:tc>
          <w:tcPr>
            <w:tcW w:w="1116" w:type="dxa"/>
            <w:tcBorders>
              <w:top w:val="nil"/>
              <w:left w:val="single" w:color="auto" w:sz="8" w:space="0"/>
              <w:bottom w:val="single" w:color="auto" w:sz="8" w:space="0"/>
              <w:right w:val="single" w:color="auto" w:sz="8" w:space="0"/>
            </w:tcBorders>
            <w:shd w:val="clear" w:color="auto" w:fill="auto"/>
            <w:noWrap/>
            <w:vAlign w:val="center"/>
          </w:tcPr>
          <w:p w14:paraId="02E79265">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505" w:type="dxa"/>
            <w:tcBorders>
              <w:top w:val="nil"/>
              <w:left w:val="nil"/>
              <w:bottom w:val="single" w:color="auto" w:sz="8" w:space="0"/>
              <w:right w:val="single" w:color="auto" w:sz="8" w:space="0"/>
            </w:tcBorders>
            <w:shd w:val="clear" w:color="auto" w:fill="auto"/>
          </w:tcPr>
          <w:p w14:paraId="4873E278">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2033" w:type="dxa"/>
            <w:tcBorders>
              <w:top w:val="nil"/>
              <w:left w:val="nil"/>
              <w:bottom w:val="single" w:color="auto" w:sz="8" w:space="0"/>
              <w:right w:val="single" w:color="auto" w:sz="8" w:space="0"/>
            </w:tcBorders>
            <w:shd w:val="clear" w:color="auto" w:fill="auto"/>
          </w:tcPr>
          <w:p w14:paraId="4F07D3CB">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300" w:type="dxa"/>
            <w:tcBorders>
              <w:top w:val="nil"/>
              <w:left w:val="nil"/>
              <w:bottom w:val="single" w:color="auto" w:sz="8" w:space="0"/>
              <w:right w:val="single" w:color="auto" w:sz="8" w:space="0"/>
            </w:tcBorders>
            <w:shd w:val="clear" w:color="auto" w:fill="auto"/>
            <w:vAlign w:val="center"/>
          </w:tcPr>
          <w:p w14:paraId="5BA70AF9">
            <w:pPr>
              <w:widowControl/>
              <w:jc w:val="center"/>
              <w:rPr>
                <w:rFonts w:ascii="宋体" w:hAnsi="宋体" w:cs="宋体"/>
                <w:color w:val="000000"/>
                <w:kern w:val="0"/>
                <w:sz w:val="18"/>
                <w:szCs w:val="18"/>
              </w:rPr>
            </w:pPr>
            <w:r>
              <w:rPr>
                <w:rFonts w:hint="eastAsia" w:ascii="宋体" w:hAnsi="宋体" w:cs="宋体"/>
                <w:color w:val="000000"/>
                <w:kern w:val="0"/>
                <w:sz w:val="18"/>
                <w:szCs w:val="18"/>
              </w:rPr>
              <w:t>29.4</w:t>
            </w:r>
          </w:p>
        </w:tc>
        <w:tc>
          <w:tcPr>
            <w:tcW w:w="1300" w:type="dxa"/>
            <w:tcBorders>
              <w:top w:val="nil"/>
              <w:left w:val="nil"/>
              <w:bottom w:val="single" w:color="auto" w:sz="8" w:space="0"/>
              <w:right w:val="single" w:color="auto" w:sz="8" w:space="0"/>
            </w:tcBorders>
            <w:shd w:val="clear" w:color="auto" w:fill="auto"/>
            <w:vAlign w:val="center"/>
          </w:tcPr>
          <w:p w14:paraId="47224A5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23.26 </w:t>
            </w:r>
          </w:p>
        </w:tc>
        <w:tc>
          <w:tcPr>
            <w:tcW w:w="1160" w:type="dxa"/>
            <w:tcBorders>
              <w:top w:val="nil"/>
              <w:left w:val="nil"/>
              <w:bottom w:val="single" w:color="auto" w:sz="8" w:space="0"/>
              <w:right w:val="single" w:color="auto" w:sz="8" w:space="0"/>
            </w:tcBorders>
            <w:shd w:val="clear" w:color="auto" w:fill="auto"/>
            <w:noWrap/>
            <w:vAlign w:val="center"/>
          </w:tcPr>
          <w:p w14:paraId="3EED018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23.26 </w:t>
            </w:r>
          </w:p>
        </w:tc>
      </w:tr>
      <w:tr w14:paraId="73A8A5AF">
        <w:tblPrEx>
          <w:tblCellMar>
            <w:top w:w="0" w:type="dxa"/>
            <w:left w:w="108" w:type="dxa"/>
            <w:bottom w:w="0" w:type="dxa"/>
            <w:right w:w="108" w:type="dxa"/>
          </w:tblCellMar>
        </w:tblPrEx>
        <w:trPr>
          <w:trHeight w:val="312" w:hRule="atLeast"/>
          <w:jc w:val="center"/>
        </w:trPr>
        <w:tc>
          <w:tcPr>
            <w:tcW w:w="1116" w:type="dxa"/>
            <w:tcBorders>
              <w:top w:val="nil"/>
              <w:left w:val="single" w:color="auto" w:sz="8" w:space="0"/>
              <w:bottom w:val="single" w:color="auto" w:sz="8" w:space="0"/>
              <w:right w:val="single" w:color="auto" w:sz="8" w:space="0"/>
            </w:tcBorders>
            <w:shd w:val="clear" w:color="auto" w:fill="auto"/>
            <w:noWrap/>
            <w:vAlign w:val="center"/>
          </w:tcPr>
          <w:p w14:paraId="6765283C">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505" w:type="dxa"/>
            <w:tcBorders>
              <w:top w:val="nil"/>
              <w:left w:val="nil"/>
              <w:bottom w:val="single" w:color="auto" w:sz="8" w:space="0"/>
              <w:right w:val="single" w:color="auto" w:sz="8" w:space="0"/>
            </w:tcBorders>
            <w:shd w:val="clear" w:color="auto" w:fill="auto"/>
          </w:tcPr>
          <w:p w14:paraId="1881402C">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2033" w:type="dxa"/>
            <w:tcBorders>
              <w:top w:val="nil"/>
              <w:left w:val="nil"/>
              <w:bottom w:val="single" w:color="auto" w:sz="8" w:space="0"/>
              <w:right w:val="single" w:color="auto" w:sz="8" w:space="0"/>
            </w:tcBorders>
            <w:shd w:val="clear" w:color="auto" w:fill="auto"/>
          </w:tcPr>
          <w:p w14:paraId="239F2995">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300" w:type="dxa"/>
            <w:tcBorders>
              <w:top w:val="nil"/>
              <w:left w:val="nil"/>
              <w:bottom w:val="single" w:color="auto" w:sz="8" w:space="0"/>
              <w:right w:val="single" w:color="auto" w:sz="8" w:space="0"/>
            </w:tcBorders>
            <w:shd w:val="clear" w:color="auto" w:fill="auto"/>
            <w:vAlign w:val="center"/>
          </w:tcPr>
          <w:p w14:paraId="33D1B542">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1300" w:type="dxa"/>
            <w:tcBorders>
              <w:top w:val="nil"/>
              <w:left w:val="nil"/>
              <w:bottom w:val="single" w:color="auto" w:sz="8" w:space="0"/>
              <w:right w:val="single" w:color="auto" w:sz="8" w:space="0"/>
            </w:tcBorders>
            <w:shd w:val="clear" w:color="auto" w:fill="auto"/>
            <w:vAlign w:val="center"/>
          </w:tcPr>
          <w:p w14:paraId="4C25186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7.75 </w:t>
            </w:r>
          </w:p>
        </w:tc>
        <w:tc>
          <w:tcPr>
            <w:tcW w:w="1160" w:type="dxa"/>
            <w:tcBorders>
              <w:top w:val="nil"/>
              <w:left w:val="nil"/>
              <w:bottom w:val="single" w:color="auto" w:sz="8" w:space="0"/>
              <w:right w:val="single" w:color="auto" w:sz="8" w:space="0"/>
            </w:tcBorders>
            <w:shd w:val="clear" w:color="auto" w:fill="auto"/>
            <w:noWrap/>
            <w:vAlign w:val="center"/>
          </w:tcPr>
          <w:p w14:paraId="7FE642D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7.75 </w:t>
            </w:r>
          </w:p>
        </w:tc>
      </w:tr>
      <w:tr w14:paraId="069262EE">
        <w:tblPrEx>
          <w:tblCellMar>
            <w:top w:w="0" w:type="dxa"/>
            <w:left w:w="108" w:type="dxa"/>
            <w:bottom w:w="0" w:type="dxa"/>
            <w:right w:w="108" w:type="dxa"/>
          </w:tblCellMar>
        </w:tblPrEx>
        <w:trPr>
          <w:trHeight w:val="312" w:hRule="atLeast"/>
          <w:jc w:val="center"/>
        </w:trPr>
        <w:tc>
          <w:tcPr>
            <w:tcW w:w="1116" w:type="dxa"/>
            <w:tcBorders>
              <w:top w:val="nil"/>
              <w:left w:val="single" w:color="auto" w:sz="8" w:space="0"/>
              <w:bottom w:val="single" w:color="auto" w:sz="8" w:space="0"/>
              <w:right w:val="single" w:color="auto" w:sz="8" w:space="0"/>
            </w:tcBorders>
            <w:shd w:val="clear" w:color="auto" w:fill="auto"/>
            <w:vAlign w:val="center"/>
          </w:tcPr>
          <w:p w14:paraId="1A6337B1">
            <w:pPr>
              <w:widowControl/>
              <w:jc w:val="center"/>
              <w:rPr>
                <w:rFonts w:ascii="宋体" w:hAnsi="宋体" w:cs="宋体"/>
                <w:color w:val="000000"/>
                <w:kern w:val="0"/>
                <w:sz w:val="18"/>
                <w:szCs w:val="18"/>
              </w:rPr>
            </w:pPr>
            <w:r>
              <w:rPr>
                <w:rFonts w:hint="eastAsia" w:ascii="宋体" w:hAnsi="宋体" w:cs="宋体"/>
                <w:color w:val="000000"/>
                <w:kern w:val="0"/>
                <w:sz w:val="18"/>
                <w:szCs w:val="18"/>
              </w:rPr>
              <w:t>预留</w:t>
            </w:r>
          </w:p>
        </w:tc>
        <w:tc>
          <w:tcPr>
            <w:tcW w:w="1505" w:type="dxa"/>
            <w:tcBorders>
              <w:top w:val="nil"/>
              <w:left w:val="nil"/>
              <w:bottom w:val="single" w:color="auto" w:sz="8" w:space="0"/>
              <w:right w:val="single" w:color="auto" w:sz="8" w:space="0"/>
            </w:tcBorders>
            <w:shd w:val="clear" w:color="auto" w:fill="auto"/>
            <w:vAlign w:val="center"/>
          </w:tcPr>
          <w:p w14:paraId="66B839A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w:t>
            </w:r>
          </w:p>
        </w:tc>
        <w:tc>
          <w:tcPr>
            <w:tcW w:w="2033" w:type="dxa"/>
            <w:tcBorders>
              <w:top w:val="nil"/>
              <w:left w:val="nil"/>
              <w:bottom w:val="single" w:color="auto" w:sz="8" w:space="0"/>
              <w:right w:val="single" w:color="auto" w:sz="8" w:space="0"/>
            </w:tcBorders>
            <w:shd w:val="clear" w:color="auto" w:fill="auto"/>
            <w:vAlign w:val="center"/>
          </w:tcPr>
          <w:p w14:paraId="47161DB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300" w:type="dxa"/>
            <w:tcBorders>
              <w:top w:val="nil"/>
              <w:left w:val="nil"/>
              <w:bottom w:val="single" w:color="auto" w:sz="8" w:space="0"/>
              <w:right w:val="single" w:color="auto" w:sz="8" w:space="0"/>
            </w:tcBorders>
            <w:shd w:val="clear" w:color="auto" w:fill="auto"/>
            <w:vAlign w:val="center"/>
          </w:tcPr>
          <w:p w14:paraId="04346FF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300" w:type="dxa"/>
            <w:tcBorders>
              <w:top w:val="nil"/>
              <w:left w:val="nil"/>
              <w:bottom w:val="single" w:color="auto" w:sz="8" w:space="0"/>
              <w:right w:val="single" w:color="auto" w:sz="8" w:space="0"/>
            </w:tcBorders>
            <w:shd w:val="clear" w:color="auto" w:fill="auto"/>
            <w:vAlign w:val="center"/>
          </w:tcPr>
          <w:p w14:paraId="56BF9A0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0" w:type="dxa"/>
            <w:tcBorders>
              <w:top w:val="nil"/>
              <w:left w:val="nil"/>
              <w:bottom w:val="single" w:color="auto" w:sz="8" w:space="0"/>
              <w:right w:val="single" w:color="auto" w:sz="8" w:space="0"/>
            </w:tcBorders>
            <w:shd w:val="clear" w:color="auto" w:fill="auto"/>
            <w:vAlign w:val="center"/>
          </w:tcPr>
          <w:p w14:paraId="22C942F2">
            <w:pPr>
              <w:widowControl/>
              <w:jc w:val="center"/>
              <w:rPr>
                <w:rFonts w:ascii="宋体" w:hAnsi="宋体" w:cs="宋体"/>
                <w:color w:val="000000"/>
                <w:kern w:val="0"/>
                <w:sz w:val="18"/>
                <w:szCs w:val="18"/>
              </w:rPr>
            </w:pPr>
            <w:r>
              <w:rPr>
                <w:rFonts w:hint="eastAsia" w:ascii="宋体" w:hAnsi="宋体" w:cs="宋体"/>
                <w:color w:val="000000"/>
                <w:kern w:val="0"/>
                <w:sz w:val="18"/>
                <w:szCs w:val="18"/>
              </w:rPr>
              <w:t>15.65</w:t>
            </w:r>
          </w:p>
        </w:tc>
      </w:tr>
      <w:tr w14:paraId="4F4A1004">
        <w:tblPrEx>
          <w:tblCellMar>
            <w:top w:w="0" w:type="dxa"/>
            <w:left w:w="108" w:type="dxa"/>
            <w:bottom w:w="0" w:type="dxa"/>
            <w:right w:w="108" w:type="dxa"/>
          </w:tblCellMar>
        </w:tblPrEx>
        <w:trPr>
          <w:trHeight w:val="312" w:hRule="atLeast"/>
          <w:jc w:val="center"/>
        </w:trPr>
        <w:tc>
          <w:tcPr>
            <w:tcW w:w="1116" w:type="dxa"/>
            <w:tcBorders>
              <w:top w:val="nil"/>
              <w:left w:val="single" w:color="auto" w:sz="8" w:space="0"/>
              <w:bottom w:val="single" w:color="auto" w:sz="8" w:space="0"/>
              <w:right w:val="single" w:color="auto" w:sz="8" w:space="0"/>
            </w:tcBorders>
            <w:shd w:val="clear" w:color="auto" w:fill="auto"/>
            <w:vAlign w:val="center"/>
          </w:tcPr>
          <w:p w14:paraId="664F1F59">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505" w:type="dxa"/>
            <w:tcBorders>
              <w:top w:val="nil"/>
              <w:left w:val="nil"/>
              <w:bottom w:val="single" w:color="auto" w:sz="8" w:space="0"/>
              <w:right w:val="single" w:color="auto" w:sz="8" w:space="0"/>
            </w:tcBorders>
            <w:shd w:val="clear" w:color="auto" w:fill="auto"/>
            <w:vAlign w:val="center"/>
          </w:tcPr>
          <w:p w14:paraId="3FFBB6BF">
            <w:pPr>
              <w:widowControl/>
              <w:jc w:val="center"/>
              <w:rPr>
                <w:rFonts w:ascii="宋体" w:hAnsi="宋体" w:cs="宋体"/>
                <w:color w:val="000000"/>
                <w:kern w:val="0"/>
                <w:sz w:val="18"/>
                <w:szCs w:val="18"/>
              </w:rPr>
            </w:pPr>
            <w:r>
              <w:rPr>
                <w:rFonts w:hint="eastAsia" w:ascii="宋体" w:hAnsi="宋体" w:cs="宋体"/>
                <w:color w:val="000000"/>
                <w:kern w:val="0"/>
                <w:sz w:val="18"/>
                <w:szCs w:val="18"/>
              </w:rPr>
              <w:t>2.15</w:t>
            </w:r>
          </w:p>
        </w:tc>
        <w:tc>
          <w:tcPr>
            <w:tcW w:w="2033" w:type="dxa"/>
            <w:tcBorders>
              <w:top w:val="nil"/>
              <w:left w:val="nil"/>
              <w:bottom w:val="single" w:color="auto" w:sz="8" w:space="0"/>
              <w:right w:val="single" w:color="auto" w:sz="8" w:space="0"/>
            </w:tcBorders>
            <w:shd w:val="clear" w:color="auto" w:fill="auto"/>
            <w:vAlign w:val="center"/>
          </w:tcPr>
          <w:p w14:paraId="4F044A68">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300" w:type="dxa"/>
            <w:tcBorders>
              <w:top w:val="nil"/>
              <w:left w:val="nil"/>
              <w:bottom w:val="single" w:color="auto" w:sz="8" w:space="0"/>
              <w:right w:val="single" w:color="auto" w:sz="8" w:space="0"/>
            </w:tcBorders>
            <w:shd w:val="clear" w:color="auto" w:fill="auto"/>
            <w:vAlign w:val="center"/>
          </w:tcPr>
          <w:p w14:paraId="1D3FB39F">
            <w:pPr>
              <w:widowControl/>
              <w:jc w:val="center"/>
              <w:rPr>
                <w:rFonts w:ascii="宋体" w:hAnsi="宋体" w:cs="宋体"/>
                <w:color w:val="000000"/>
                <w:kern w:val="0"/>
                <w:sz w:val="18"/>
                <w:szCs w:val="18"/>
              </w:rPr>
            </w:pPr>
            <w:r>
              <w:rPr>
                <w:rFonts w:hint="eastAsia" w:ascii="宋体" w:hAnsi="宋体" w:cs="宋体"/>
                <w:color w:val="000000"/>
                <w:kern w:val="0"/>
                <w:sz w:val="18"/>
                <w:szCs w:val="18"/>
              </w:rPr>
              <w:t>479.98</w:t>
            </w:r>
          </w:p>
        </w:tc>
        <w:tc>
          <w:tcPr>
            <w:tcW w:w="1300" w:type="dxa"/>
            <w:tcBorders>
              <w:top w:val="nil"/>
              <w:left w:val="nil"/>
              <w:bottom w:val="single" w:color="auto" w:sz="8" w:space="0"/>
              <w:right w:val="single" w:color="auto" w:sz="8" w:space="0"/>
            </w:tcBorders>
            <w:shd w:val="clear" w:color="auto" w:fill="auto"/>
            <w:vAlign w:val="center"/>
          </w:tcPr>
          <w:p w14:paraId="107713DA">
            <w:pPr>
              <w:widowControl/>
              <w:jc w:val="center"/>
              <w:rPr>
                <w:rFonts w:ascii="宋体" w:hAnsi="宋体" w:cs="宋体"/>
                <w:color w:val="000000"/>
                <w:kern w:val="0"/>
                <w:sz w:val="18"/>
                <w:szCs w:val="18"/>
              </w:rPr>
            </w:pPr>
            <w:r>
              <w:rPr>
                <w:rFonts w:hint="eastAsia" w:ascii="宋体" w:hAnsi="宋体" w:cs="宋体"/>
                <w:color w:val="000000"/>
                <w:kern w:val="0"/>
                <w:sz w:val="18"/>
                <w:szCs w:val="18"/>
              </w:rPr>
              <w:t>324.04</w:t>
            </w:r>
          </w:p>
        </w:tc>
        <w:tc>
          <w:tcPr>
            <w:tcW w:w="1160" w:type="dxa"/>
            <w:tcBorders>
              <w:top w:val="nil"/>
              <w:left w:val="nil"/>
              <w:bottom w:val="single" w:color="auto" w:sz="8" w:space="0"/>
              <w:right w:val="single" w:color="auto" w:sz="8" w:space="0"/>
            </w:tcBorders>
            <w:shd w:val="clear" w:color="auto" w:fill="auto"/>
            <w:vAlign w:val="center"/>
          </w:tcPr>
          <w:p w14:paraId="0BBF6F12">
            <w:pPr>
              <w:widowControl/>
              <w:jc w:val="center"/>
              <w:rPr>
                <w:rFonts w:ascii="宋体" w:hAnsi="宋体" w:cs="宋体"/>
                <w:color w:val="000000"/>
                <w:kern w:val="0"/>
                <w:sz w:val="18"/>
                <w:szCs w:val="18"/>
              </w:rPr>
            </w:pPr>
            <w:r>
              <w:rPr>
                <w:rFonts w:hint="eastAsia" w:ascii="宋体" w:hAnsi="宋体" w:cs="宋体"/>
                <w:color w:val="000000"/>
                <w:kern w:val="0"/>
                <w:sz w:val="18"/>
                <w:szCs w:val="18"/>
              </w:rPr>
              <w:t>339.69</w:t>
            </w:r>
          </w:p>
        </w:tc>
      </w:tr>
    </w:tbl>
    <w:p w14:paraId="0CE3F245">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（三）调整结果</w:t>
      </w:r>
    </w:p>
    <w:p w14:paraId="4D8461AA">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调整后，东川区新增建设用地规模为339.69公顷，在扣减预留5%的新增城乡建设用地面积（15.65公顷）后，比调整前减少313.69公顷。除红土地镇增加1.13公顷外，其他7个乡镇新增建设用地规模较调整前均有所减少，主要是由于现行规划新增建设用地是为了保障2010-2020年10年的项目用地，而调整完善只需要保障2015-2020年5年的用地需求，因此新增建设用地指标有所减少。</w:t>
      </w:r>
    </w:p>
    <w:p w14:paraId="6A47B3C0">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34056A5C">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23F6BB0F">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02355425">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400CE8D4">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2C63F4A6">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7F1AB07B">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68C1D81C">
      <w:pPr>
        <w:jc w:val="center"/>
        <w:outlineLvl w:val="4"/>
        <w:rPr>
          <w:rFonts w:ascii="宋体" w:hAnsi="宋体"/>
          <w:b/>
          <w:sz w:val="24"/>
        </w:rPr>
      </w:pPr>
      <w:r>
        <w:rPr>
          <w:rFonts w:hint="eastAsia" w:ascii="宋体" w:hAnsi="宋体"/>
          <w:b/>
          <w:sz w:val="24"/>
        </w:rPr>
        <w:t>表5-6 东川区新增建设用地总量指标调整情况表</w:t>
      </w:r>
    </w:p>
    <w:p w14:paraId="75A5183B">
      <w:pPr>
        <w:spacing w:line="360" w:lineRule="auto"/>
        <w:ind w:right="360" w:firstLine="360" w:firstLineChars="200"/>
        <w:jc w:val="center"/>
        <w:rPr>
          <w:rFonts w:ascii="宋体" w:hAnsi="宋体"/>
          <w:color w:val="000000"/>
          <w:sz w:val="18"/>
          <w:szCs w:val="18"/>
        </w:rPr>
      </w:pPr>
      <w:r>
        <w:rPr>
          <w:rFonts w:hint="eastAsia" w:ascii="宋体" w:hAnsi="宋体"/>
          <w:color w:val="000000"/>
          <w:sz w:val="18"/>
          <w:szCs w:val="18"/>
        </w:rPr>
        <w:t xml:space="preserve">                                                                         单位：公顷</w:t>
      </w:r>
    </w:p>
    <w:tbl>
      <w:tblPr>
        <w:tblStyle w:val="27"/>
        <w:tblW w:w="7891" w:type="dxa"/>
        <w:jc w:val="center"/>
        <w:tblLayout w:type="autofit"/>
        <w:tblCellMar>
          <w:top w:w="0" w:type="dxa"/>
          <w:left w:w="108" w:type="dxa"/>
          <w:bottom w:w="0" w:type="dxa"/>
          <w:right w:w="108" w:type="dxa"/>
        </w:tblCellMar>
      </w:tblPr>
      <w:tblGrid>
        <w:gridCol w:w="1855"/>
        <w:gridCol w:w="1843"/>
        <w:gridCol w:w="1984"/>
        <w:gridCol w:w="2209"/>
      </w:tblGrid>
      <w:tr w14:paraId="223BB3CB">
        <w:tblPrEx>
          <w:tblCellMar>
            <w:top w:w="0" w:type="dxa"/>
            <w:left w:w="108" w:type="dxa"/>
            <w:bottom w:w="0" w:type="dxa"/>
            <w:right w:w="108" w:type="dxa"/>
          </w:tblCellMar>
        </w:tblPrEx>
        <w:trPr>
          <w:trHeight w:val="300" w:hRule="atLeast"/>
          <w:jc w:val="center"/>
        </w:trPr>
        <w:tc>
          <w:tcPr>
            <w:tcW w:w="1855" w:type="dxa"/>
            <w:tcBorders>
              <w:top w:val="single" w:color="auto" w:sz="8" w:space="0"/>
              <w:left w:val="single" w:color="auto" w:sz="8" w:space="0"/>
              <w:bottom w:val="single" w:color="auto" w:sz="8" w:space="0"/>
              <w:right w:val="single" w:color="auto" w:sz="8" w:space="0"/>
            </w:tcBorders>
            <w:shd w:val="clear" w:color="auto" w:fill="auto"/>
            <w:noWrap/>
            <w:vAlign w:val="center"/>
          </w:tcPr>
          <w:p w14:paraId="5760D22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行政辖区</w:t>
            </w:r>
          </w:p>
        </w:tc>
        <w:tc>
          <w:tcPr>
            <w:tcW w:w="1843" w:type="dxa"/>
            <w:tcBorders>
              <w:top w:val="single" w:color="auto" w:sz="8" w:space="0"/>
              <w:left w:val="nil"/>
              <w:bottom w:val="single" w:color="auto" w:sz="8" w:space="0"/>
              <w:right w:val="single" w:color="auto" w:sz="8" w:space="0"/>
            </w:tcBorders>
            <w:shd w:val="clear" w:color="auto" w:fill="auto"/>
            <w:noWrap/>
            <w:vAlign w:val="center"/>
          </w:tcPr>
          <w:p w14:paraId="543DDDE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调整前</w:t>
            </w:r>
          </w:p>
        </w:tc>
        <w:tc>
          <w:tcPr>
            <w:tcW w:w="1984" w:type="dxa"/>
            <w:tcBorders>
              <w:top w:val="single" w:color="auto" w:sz="8" w:space="0"/>
              <w:left w:val="nil"/>
              <w:bottom w:val="single" w:color="auto" w:sz="8" w:space="0"/>
              <w:right w:val="single" w:color="auto" w:sz="8" w:space="0"/>
            </w:tcBorders>
            <w:shd w:val="clear" w:color="auto" w:fill="auto"/>
            <w:noWrap/>
            <w:vAlign w:val="center"/>
          </w:tcPr>
          <w:p w14:paraId="19BE94E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调整后</w:t>
            </w:r>
          </w:p>
        </w:tc>
        <w:tc>
          <w:tcPr>
            <w:tcW w:w="2209" w:type="dxa"/>
            <w:tcBorders>
              <w:top w:val="single" w:color="auto" w:sz="8" w:space="0"/>
              <w:left w:val="nil"/>
              <w:bottom w:val="single" w:color="auto" w:sz="8" w:space="0"/>
              <w:right w:val="single" w:color="auto" w:sz="8" w:space="0"/>
            </w:tcBorders>
            <w:shd w:val="clear" w:color="auto" w:fill="auto"/>
            <w:noWrap/>
            <w:vAlign w:val="center"/>
          </w:tcPr>
          <w:p w14:paraId="4D6640B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差值</w:t>
            </w:r>
          </w:p>
        </w:tc>
      </w:tr>
      <w:tr w14:paraId="2981D73E">
        <w:tblPrEx>
          <w:tblCellMar>
            <w:top w:w="0" w:type="dxa"/>
            <w:left w:w="108" w:type="dxa"/>
            <w:bottom w:w="0" w:type="dxa"/>
            <w:right w:w="108" w:type="dxa"/>
          </w:tblCellMar>
        </w:tblPrEx>
        <w:trPr>
          <w:trHeight w:val="300" w:hRule="atLeast"/>
          <w:jc w:val="center"/>
        </w:trPr>
        <w:tc>
          <w:tcPr>
            <w:tcW w:w="1855" w:type="dxa"/>
            <w:tcBorders>
              <w:top w:val="nil"/>
              <w:left w:val="single" w:color="auto" w:sz="8" w:space="0"/>
              <w:bottom w:val="single" w:color="auto" w:sz="8" w:space="0"/>
              <w:right w:val="single" w:color="auto" w:sz="8" w:space="0"/>
            </w:tcBorders>
            <w:shd w:val="clear" w:color="auto" w:fill="auto"/>
            <w:noWrap/>
            <w:vAlign w:val="center"/>
          </w:tcPr>
          <w:p w14:paraId="5334D15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预留指标</w:t>
            </w:r>
          </w:p>
        </w:tc>
        <w:tc>
          <w:tcPr>
            <w:tcW w:w="1843" w:type="dxa"/>
            <w:tcBorders>
              <w:top w:val="nil"/>
              <w:left w:val="nil"/>
              <w:bottom w:val="single" w:color="auto" w:sz="8" w:space="0"/>
              <w:right w:val="single" w:color="auto" w:sz="8" w:space="0"/>
            </w:tcBorders>
            <w:shd w:val="clear" w:color="auto" w:fill="auto"/>
            <w:noWrap/>
            <w:vAlign w:val="center"/>
          </w:tcPr>
          <w:p w14:paraId="64A3D9C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w:t>
            </w:r>
          </w:p>
        </w:tc>
        <w:tc>
          <w:tcPr>
            <w:tcW w:w="1984" w:type="dxa"/>
            <w:tcBorders>
              <w:top w:val="nil"/>
              <w:left w:val="nil"/>
              <w:bottom w:val="single" w:color="auto" w:sz="8" w:space="0"/>
              <w:right w:val="single" w:color="auto" w:sz="8" w:space="0"/>
            </w:tcBorders>
            <w:shd w:val="clear" w:color="auto" w:fill="auto"/>
            <w:noWrap/>
            <w:vAlign w:val="center"/>
          </w:tcPr>
          <w:p w14:paraId="1861E67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15.65</w:t>
            </w:r>
          </w:p>
        </w:tc>
        <w:tc>
          <w:tcPr>
            <w:tcW w:w="2209" w:type="dxa"/>
            <w:tcBorders>
              <w:top w:val="nil"/>
              <w:left w:val="nil"/>
              <w:bottom w:val="single" w:color="auto" w:sz="8" w:space="0"/>
              <w:right w:val="single" w:color="auto" w:sz="8" w:space="0"/>
            </w:tcBorders>
            <w:shd w:val="clear" w:color="auto" w:fill="auto"/>
            <w:noWrap/>
            <w:vAlign w:val="center"/>
          </w:tcPr>
          <w:p w14:paraId="0AD0A5C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w:t>
            </w:r>
          </w:p>
        </w:tc>
      </w:tr>
      <w:tr w14:paraId="028BD649">
        <w:tblPrEx>
          <w:tblCellMar>
            <w:top w:w="0" w:type="dxa"/>
            <w:left w:w="108" w:type="dxa"/>
            <w:bottom w:w="0" w:type="dxa"/>
            <w:right w:w="108" w:type="dxa"/>
          </w:tblCellMar>
        </w:tblPrEx>
        <w:trPr>
          <w:trHeight w:val="300" w:hRule="atLeast"/>
          <w:jc w:val="center"/>
        </w:trPr>
        <w:tc>
          <w:tcPr>
            <w:tcW w:w="1855" w:type="dxa"/>
            <w:tcBorders>
              <w:top w:val="nil"/>
              <w:left w:val="single" w:color="auto" w:sz="8" w:space="0"/>
              <w:bottom w:val="single" w:color="auto" w:sz="8" w:space="0"/>
              <w:right w:val="single" w:color="auto" w:sz="8" w:space="0"/>
            </w:tcBorders>
            <w:shd w:val="clear" w:color="auto" w:fill="auto"/>
            <w:noWrap/>
            <w:vAlign w:val="center"/>
          </w:tcPr>
          <w:p w14:paraId="5A17C87D">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843" w:type="dxa"/>
            <w:tcBorders>
              <w:top w:val="nil"/>
              <w:left w:val="nil"/>
              <w:bottom w:val="single" w:color="auto" w:sz="8" w:space="0"/>
              <w:right w:val="single" w:color="auto" w:sz="8" w:space="0"/>
            </w:tcBorders>
            <w:shd w:val="clear" w:color="auto" w:fill="auto"/>
            <w:noWrap/>
            <w:vAlign w:val="center"/>
          </w:tcPr>
          <w:p w14:paraId="3EBCFB1C">
            <w:pPr>
              <w:widowControl/>
              <w:jc w:val="center"/>
              <w:rPr>
                <w:rFonts w:ascii="宋体" w:hAnsi="宋体" w:cs="宋体"/>
                <w:color w:val="000000"/>
                <w:kern w:val="0"/>
                <w:sz w:val="18"/>
                <w:szCs w:val="18"/>
              </w:rPr>
            </w:pPr>
            <w:r>
              <w:rPr>
                <w:rFonts w:hint="eastAsia" w:ascii="宋体" w:hAnsi="宋体" w:cs="宋体"/>
                <w:color w:val="000000"/>
                <w:kern w:val="0"/>
                <w:sz w:val="18"/>
                <w:szCs w:val="18"/>
              </w:rPr>
              <w:t>42.06</w:t>
            </w:r>
          </w:p>
        </w:tc>
        <w:tc>
          <w:tcPr>
            <w:tcW w:w="1984" w:type="dxa"/>
            <w:tcBorders>
              <w:top w:val="nil"/>
              <w:left w:val="nil"/>
              <w:bottom w:val="single" w:color="auto" w:sz="8" w:space="0"/>
              <w:right w:val="single" w:color="auto" w:sz="8" w:space="0"/>
            </w:tcBorders>
            <w:shd w:val="clear" w:color="auto" w:fill="auto"/>
            <w:noWrap/>
            <w:vAlign w:val="center"/>
          </w:tcPr>
          <w:p w14:paraId="7F9A5AAE">
            <w:pPr>
              <w:widowControl/>
              <w:jc w:val="center"/>
              <w:rPr>
                <w:rFonts w:ascii="宋体" w:hAnsi="宋体" w:cs="宋体"/>
                <w:color w:val="000000"/>
                <w:kern w:val="0"/>
                <w:sz w:val="18"/>
                <w:szCs w:val="18"/>
              </w:rPr>
            </w:pPr>
            <w:r>
              <w:rPr>
                <w:rFonts w:hint="eastAsia" w:ascii="宋体" w:hAnsi="宋体" w:cs="宋体"/>
                <w:color w:val="000000"/>
                <w:kern w:val="0"/>
                <w:sz w:val="18"/>
                <w:szCs w:val="18"/>
              </w:rPr>
              <w:t>22.18</w:t>
            </w:r>
          </w:p>
        </w:tc>
        <w:tc>
          <w:tcPr>
            <w:tcW w:w="2209" w:type="dxa"/>
            <w:tcBorders>
              <w:top w:val="nil"/>
              <w:left w:val="nil"/>
              <w:bottom w:val="single" w:color="auto" w:sz="8" w:space="0"/>
              <w:right w:val="single" w:color="auto" w:sz="8" w:space="0"/>
            </w:tcBorders>
            <w:shd w:val="clear" w:color="auto" w:fill="auto"/>
            <w:noWrap/>
            <w:vAlign w:val="center"/>
          </w:tcPr>
          <w:p w14:paraId="1FD5C7A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-23.22 </w:t>
            </w:r>
          </w:p>
        </w:tc>
      </w:tr>
      <w:tr w14:paraId="17E65A2B">
        <w:tblPrEx>
          <w:tblCellMar>
            <w:top w:w="0" w:type="dxa"/>
            <w:left w:w="108" w:type="dxa"/>
            <w:bottom w:w="0" w:type="dxa"/>
            <w:right w:w="108" w:type="dxa"/>
          </w:tblCellMar>
        </w:tblPrEx>
        <w:trPr>
          <w:trHeight w:val="300" w:hRule="atLeast"/>
          <w:jc w:val="center"/>
        </w:trPr>
        <w:tc>
          <w:tcPr>
            <w:tcW w:w="1855" w:type="dxa"/>
            <w:tcBorders>
              <w:top w:val="nil"/>
              <w:left w:val="single" w:color="auto" w:sz="8" w:space="0"/>
              <w:bottom w:val="single" w:color="auto" w:sz="8" w:space="0"/>
              <w:right w:val="single" w:color="auto" w:sz="8" w:space="0"/>
            </w:tcBorders>
            <w:shd w:val="clear" w:color="auto" w:fill="auto"/>
            <w:noWrap/>
            <w:vAlign w:val="center"/>
          </w:tcPr>
          <w:p w14:paraId="4C65FA92">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843" w:type="dxa"/>
            <w:tcBorders>
              <w:top w:val="nil"/>
              <w:left w:val="nil"/>
              <w:bottom w:val="single" w:color="auto" w:sz="8" w:space="0"/>
              <w:right w:val="single" w:color="auto" w:sz="8" w:space="0"/>
            </w:tcBorders>
            <w:shd w:val="clear" w:color="auto" w:fill="auto"/>
            <w:noWrap/>
            <w:vAlign w:val="center"/>
          </w:tcPr>
          <w:p w14:paraId="0B09B9DA">
            <w:pPr>
              <w:widowControl/>
              <w:jc w:val="center"/>
              <w:rPr>
                <w:rFonts w:ascii="宋体" w:hAnsi="宋体" w:cs="宋体"/>
                <w:color w:val="000000"/>
                <w:kern w:val="0"/>
                <w:sz w:val="18"/>
                <w:szCs w:val="18"/>
              </w:rPr>
            </w:pPr>
            <w:r>
              <w:rPr>
                <w:rFonts w:hint="eastAsia" w:ascii="宋体" w:hAnsi="宋体" w:cs="宋体"/>
                <w:color w:val="000000"/>
                <w:kern w:val="0"/>
                <w:sz w:val="18"/>
                <w:szCs w:val="18"/>
              </w:rPr>
              <w:t>354.18</w:t>
            </w:r>
          </w:p>
        </w:tc>
        <w:tc>
          <w:tcPr>
            <w:tcW w:w="1984" w:type="dxa"/>
            <w:tcBorders>
              <w:top w:val="nil"/>
              <w:left w:val="nil"/>
              <w:bottom w:val="single" w:color="auto" w:sz="8" w:space="0"/>
              <w:right w:val="single" w:color="auto" w:sz="8" w:space="0"/>
            </w:tcBorders>
            <w:shd w:val="clear" w:color="auto" w:fill="auto"/>
            <w:noWrap/>
            <w:vAlign w:val="center"/>
          </w:tcPr>
          <w:p w14:paraId="77721EE4">
            <w:pPr>
              <w:widowControl/>
              <w:jc w:val="center"/>
              <w:rPr>
                <w:rFonts w:ascii="宋体" w:hAnsi="宋体" w:cs="宋体"/>
                <w:color w:val="000000"/>
                <w:kern w:val="0"/>
                <w:sz w:val="18"/>
                <w:szCs w:val="18"/>
              </w:rPr>
            </w:pPr>
            <w:r>
              <w:rPr>
                <w:rFonts w:hint="eastAsia" w:ascii="宋体" w:hAnsi="宋体" w:cs="宋体"/>
                <w:color w:val="000000"/>
                <w:kern w:val="0"/>
                <w:sz w:val="18"/>
                <w:szCs w:val="18"/>
              </w:rPr>
              <w:t>153.88</w:t>
            </w:r>
          </w:p>
        </w:tc>
        <w:tc>
          <w:tcPr>
            <w:tcW w:w="2209" w:type="dxa"/>
            <w:tcBorders>
              <w:top w:val="nil"/>
              <w:left w:val="nil"/>
              <w:bottom w:val="single" w:color="auto" w:sz="8" w:space="0"/>
              <w:right w:val="single" w:color="auto" w:sz="8" w:space="0"/>
            </w:tcBorders>
            <w:shd w:val="clear" w:color="auto" w:fill="auto"/>
            <w:noWrap/>
            <w:vAlign w:val="center"/>
          </w:tcPr>
          <w:p w14:paraId="2257E07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-205.47 </w:t>
            </w:r>
          </w:p>
        </w:tc>
      </w:tr>
      <w:tr w14:paraId="37F18DBB">
        <w:tblPrEx>
          <w:tblCellMar>
            <w:top w:w="0" w:type="dxa"/>
            <w:left w:w="108" w:type="dxa"/>
            <w:bottom w:w="0" w:type="dxa"/>
            <w:right w:w="108" w:type="dxa"/>
          </w:tblCellMar>
        </w:tblPrEx>
        <w:trPr>
          <w:trHeight w:val="300" w:hRule="atLeast"/>
          <w:jc w:val="center"/>
        </w:trPr>
        <w:tc>
          <w:tcPr>
            <w:tcW w:w="1855" w:type="dxa"/>
            <w:tcBorders>
              <w:top w:val="nil"/>
              <w:left w:val="single" w:color="auto" w:sz="8" w:space="0"/>
              <w:bottom w:val="single" w:color="auto" w:sz="8" w:space="0"/>
              <w:right w:val="single" w:color="auto" w:sz="8" w:space="0"/>
            </w:tcBorders>
            <w:shd w:val="clear" w:color="auto" w:fill="auto"/>
            <w:noWrap/>
            <w:vAlign w:val="center"/>
          </w:tcPr>
          <w:p w14:paraId="0FCDD5BA">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843" w:type="dxa"/>
            <w:tcBorders>
              <w:top w:val="nil"/>
              <w:left w:val="nil"/>
              <w:bottom w:val="single" w:color="auto" w:sz="8" w:space="0"/>
              <w:right w:val="single" w:color="auto" w:sz="8" w:space="0"/>
            </w:tcBorders>
            <w:shd w:val="clear" w:color="auto" w:fill="auto"/>
            <w:noWrap/>
            <w:vAlign w:val="center"/>
          </w:tcPr>
          <w:p w14:paraId="4A1D28F0">
            <w:pPr>
              <w:widowControl/>
              <w:jc w:val="center"/>
              <w:rPr>
                <w:rFonts w:ascii="宋体" w:hAnsi="宋体" w:cs="宋体"/>
                <w:color w:val="000000"/>
                <w:kern w:val="0"/>
                <w:sz w:val="18"/>
                <w:szCs w:val="18"/>
              </w:rPr>
            </w:pPr>
            <w:r>
              <w:rPr>
                <w:rFonts w:hint="eastAsia" w:ascii="宋体" w:hAnsi="宋体" w:cs="宋体"/>
                <w:color w:val="000000"/>
                <w:kern w:val="0"/>
                <w:sz w:val="18"/>
                <w:szCs w:val="18"/>
              </w:rPr>
              <w:t>54.34</w:t>
            </w:r>
          </w:p>
        </w:tc>
        <w:tc>
          <w:tcPr>
            <w:tcW w:w="1984" w:type="dxa"/>
            <w:tcBorders>
              <w:top w:val="nil"/>
              <w:left w:val="nil"/>
              <w:bottom w:val="single" w:color="auto" w:sz="8" w:space="0"/>
              <w:right w:val="single" w:color="auto" w:sz="8" w:space="0"/>
            </w:tcBorders>
            <w:shd w:val="clear" w:color="auto" w:fill="auto"/>
            <w:noWrap/>
            <w:vAlign w:val="center"/>
          </w:tcPr>
          <w:p w14:paraId="3A54ABEC">
            <w:pPr>
              <w:widowControl/>
              <w:jc w:val="center"/>
              <w:rPr>
                <w:rFonts w:ascii="宋体" w:hAnsi="宋体" w:cs="宋体"/>
                <w:color w:val="000000"/>
                <w:kern w:val="0"/>
                <w:sz w:val="18"/>
                <w:szCs w:val="18"/>
              </w:rPr>
            </w:pPr>
            <w:r>
              <w:rPr>
                <w:rFonts w:hint="eastAsia" w:ascii="宋体" w:hAnsi="宋体" w:cs="宋体"/>
                <w:color w:val="000000"/>
                <w:kern w:val="0"/>
                <w:sz w:val="18"/>
                <w:szCs w:val="18"/>
              </w:rPr>
              <w:t>12.75</w:t>
            </w:r>
          </w:p>
        </w:tc>
        <w:tc>
          <w:tcPr>
            <w:tcW w:w="2209" w:type="dxa"/>
            <w:tcBorders>
              <w:top w:val="nil"/>
              <w:left w:val="nil"/>
              <w:bottom w:val="single" w:color="auto" w:sz="8" w:space="0"/>
              <w:right w:val="single" w:color="auto" w:sz="8" w:space="0"/>
            </w:tcBorders>
            <w:shd w:val="clear" w:color="auto" w:fill="auto"/>
            <w:noWrap/>
            <w:vAlign w:val="center"/>
          </w:tcPr>
          <w:p w14:paraId="2975D4A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-40.36 </w:t>
            </w:r>
          </w:p>
        </w:tc>
      </w:tr>
      <w:tr w14:paraId="48D8D801">
        <w:tblPrEx>
          <w:tblCellMar>
            <w:top w:w="0" w:type="dxa"/>
            <w:left w:w="108" w:type="dxa"/>
            <w:bottom w:w="0" w:type="dxa"/>
            <w:right w:w="108" w:type="dxa"/>
          </w:tblCellMar>
        </w:tblPrEx>
        <w:trPr>
          <w:trHeight w:val="300" w:hRule="atLeast"/>
          <w:jc w:val="center"/>
        </w:trPr>
        <w:tc>
          <w:tcPr>
            <w:tcW w:w="1855" w:type="dxa"/>
            <w:tcBorders>
              <w:top w:val="nil"/>
              <w:left w:val="single" w:color="auto" w:sz="8" w:space="0"/>
              <w:bottom w:val="single" w:color="auto" w:sz="8" w:space="0"/>
              <w:right w:val="single" w:color="auto" w:sz="8" w:space="0"/>
            </w:tcBorders>
            <w:shd w:val="clear" w:color="auto" w:fill="auto"/>
            <w:noWrap/>
            <w:vAlign w:val="center"/>
          </w:tcPr>
          <w:p w14:paraId="4B124168">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843" w:type="dxa"/>
            <w:tcBorders>
              <w:top w:val="nil"/>
              <w:left w:val="nil"/>
              <w:bottom w:val="single" w:color="auto" w:sz="8" w:space="0"/>
              <w:right w:val="single" w:color="auto" w:sz="8" w:space="0"/>
            </w:tcBorders>
            <w:shd w:val="clear" w:color="auto" w:fill="auto"/>
            <w:noWrap/>
            <w:vAlign w:val="center"/>
          </w:tcPr>
          <w:p w14:paraId="1478392D">
            <w:pPr>
              <w:widowControl/>
              <w:jc w:val="center"/>
              <w:rPr>
                <w:rFonts w:ascii="宋体" w:hAnsi="宋体" w:cs="宋体"/>
                <w:color w:val="000000"/>
                <w:kern w:val="0"/>
                <w:sz w:val="18"/>
                <w:szCs w:val="18"/>
              </w:rPr>
            </w:pPr>
            <w:r>
              <w:rPr>
                <w:rFonts w:hint="eastAsia" w:ascii="宋体" w:hAnsi="宋体" w:cs="宋体"/>
                <w:color w:val="000000"/>
                <w:kern w:val="0"/>
                <w:sz w:val="18"/>
                <w:szCs w:val="18"/>
              </w:rPr>
              <w:t>80.99</w:t>
            </w:r>
          </w:p>
        </w:tc>
        <w:tc>
          <w:tcPr>
            <w:tcW w:w="1984" w:type="dxa"/>
            <w:tcBorders>
              <w:top w:val="nil"/>
              <w:left w:val="nil"/>
              <w:bottom w:val="single" w:color="auto" w:sz="8" w:space="0"/>
              <w:right w:val="single" w:color="auto" w:sz="8" w:space="0"/>
            </w:tcBorders>
            <w:shd w:val="clear" w:color="auto" w:fill="auto"/>
            <w:noWrap/>
            <w:vAlign w:val="center"/>
          </w:tcPr>
          <w:p w14:paraId="54A2B935">
            <w:pPr>
              <w:widowControl/>
              <w:jc w:val="center"/>
              <w:rPr>
                <w:rFonts w:ascii="宋体" w:hAnsi="宋体" w:cs="宋体"/>
                <w:color w:val="000000"/>
                <w:kern w:val="0"/>
                <w:sz w:val="18"/>
                <w:szCs w:val="18"/>
              </w:rPr>
            </w:pPr>
            <w:r>
              <w:rPr>
                <w:rFonts w:hint="eastAsia" w:ascii="宋体" w:hAnsi="宋体" w:cs="宋体"/>
                <w:color w:val="000000"/>
                <w:kern w:val="0"/>
                <w:sz w:val="18"/>
                <w:szCs w:val="18"/>
              </w:rPr>
              <w:t>82.12</w:t>
            </w:r>
          </w:p>
        </w:tc>
        <w:tc>
          <w:tcPr>
            <w:tcW w:w="2209" w:type="dxa"/>
            <w:tcBorders>
              <w:top w:val="nil"/>
              <w:left w:val="nil"/>
              <w:bottom w:val="single" w:color="auto" w:sz="8" w:space="0"/>
              <w:right w:val="single" w:color="auto" w:sz="8" w:space="0"/>
            </w:tcBorders>
            <w:shd w:val="clear" w:color="auto" w:fill="auto"/>
            <w:noWrap/>
            <w:vAlign w:val="center"/>
          </w:tcPr>
          <w:p w14:paraId="547D2E1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-3.67 </w:t>
            </w:r>
          </w:p>
        </w:tc>
      </w:tr>
      <w:tr w14:paraId="63142C2E">
        <w:tblPrEx>
          <w:tblCellMar>
            <w:top w:w="0" w:type="dxa"/>
            <w:left w:w="108" w:type="dxa"/>
            <w:bottom w:w="0" w:type="dxa"/>
            <w:right w:w="108" w:type="dxa"/>
          </w:tblCellMar>
        </w:tblPrEx>
        <w:trPr>
          <w:trHeight w:val="300" w:hRule="atLeast"/>
          <w:jc w:val="center"/>
        </w:trPr>
        <w:tc>
          <w:tcPr>
            <w:tcW w:w="1855" w:type="dxa"/>
            <w:tcBorders>
              <w:top w:val="nil"/>
              <w:left w:val="single" w:color="auto" w:sz="8" w:space="0"/>
              <w:bottom w:val="single" w:color="auto" w:sz="8" w:space="0"/>
              <w:right w:val="single" w:color="auto" w:sz="8" w:space="0"/>
            </w:tcBorders>
            <w:shd w:val="clear" w:color="auto" w:fill="auto"/>
            <w:noWrap/>
            <w:vAlign w:val="center"/>
          </w:tcPr>
          <w:p w14:paraId="1A2B2622">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843" w:type="dxa"/>
            <w:tcBorders>
              <w:top w:val="nil"/>
              <w:left w:val="nil"/>
              <w:bottom w:val="single" w:color="auto" w:sz="8" w:space="0"/>
              <w:right w:val="single" w:color="auto" w:sz="8" w:space="0"/>
            </w:tcBorders>
            <w:shd w:val="clear" w:color="auto" w:fill="auto"/>
            <w:noWrap/>
            <w:vAlign w:val="center"/>
          </w:tcPr>
          <w:p w14:paraId="4EEC0857">
            <w:pPr>
              <w:widowControl/>
              <w:jc w:val="center"/>
              <w:rPr>
                <w:rFonts w:ascii="宋体" w:hAnsi="宋体" w:cs="宋体"/>
                <w:color w:val="000000"/>
                <w:kern w:val="0"/>
                <w:sz w:val="18"/>
                <w:szCs w:val="18"/>
              </w:rPr>
            </w:pPr>
            <w:r>
              <w:rPr>
                <w:rFonts w:hint="eastAsia" w:ascii="宋体" w:hAnsi="宋体" w:cs="宋体"/>
                <w:color w:val="000000"/>
                <w:kern w:val="0"/>
                <w:sz w:val="18"/>
                <w:szCs w:val="18"/>
              </w:rPr>
              <w:t>40.62</w:t>
            </w:r>
          </w:p>
        </w:tc>
        <w:tc>
          <w:tcPr>
            <w:tcW w:w="1984" w:type="dxa"/>
            <w:tcBorders>
              <w:top w:val="nil"/>
              <w:left w:val="nil"/>
              <w:bottom w:val="single" w:color="auto" w:sz="8" w:space="0"/>
              <w:right w:val="single" w:color="auto" w:sz="8" w:space="0"/>
            </w:tcBorders>
            <w:shd w:val="clear" w:color="auto" w:fill="auto"/>
            <w:noWrap/>
            <w:vAlign w:val="center"/>
          </w:tcPr>
          <w:p w14:paraId="330858A9">
            <w:pPr>
              <w:widowControl/>
              <w:jc w:val="center"/>
              <w:rPr>
                <w:rFonts w:ascii="宋体" w:hAnsi="宋体" w:cs="宋体"/>
                <w:color w:val="000000"/>
                <w:kern w:val="0"/>
                <w:sz w:val="18"/>
                <w:szCs w:val="18"/>
              </w:rPr>
            </w:pPr>
            <w:r>
              <w:rPr>
                <w:rFonts w:hint="eastAsia" w:ascii="宋体" w:hAnsi="宋体" w:cs="宋体"/>
                <w:color w:val="000000"/>
                <w:kern w:val="0"/>
                <w:sz w:val="18"/>
                <w:szCs w:val="18"/>
              </w:rPr>
              <w:t>14.98</w:t>
            </w:r>
          </w:p>
        </w:tc>
        <w:tc>
          <w:tcPr>
            <w:tcW w:w="2209" w:type="dxa"/>
            <w:tcBorders>
              <w:top w:val="nil"/>
              <w:left w:val="nil"/>
              <w:bottom w:val="single" w:color="auto" w:sz="8" w:space="0"/>
              <w:right w:val="single" w:color="auto" w:sz="8" w:space="0"/>
            </w:tcBorders>
            <w:shd w:val="clear" w:color="auto" w:fill="auto"/>
            <w:noWrap/>
            <w:vAlign w:val="center"/>
          </w:tcPr>
          <w:p w14:paraId="5E6DFAE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-24.86 </w:t>
            </w:r>
          </w:p>
        </w:tc>
      </w:tr>
      <w:tr w14:paraId="6B069CAF">
        <w:tblPrEx>
          <w:tblCellMar>
            <w:top w:w="0" w:type="dxa"/>
            <w:left w:w="108" w:type="dxa"/>
            <w:bottom w:w="0" w:type="dxa"/>
            <w:right w:w="108" w:type="dxa"/>
          </w:tblCellMar>
        </w:tblPrEx>
        <w:trPr>
          <w:trHeight w:val="300" w:hRule="atLeast"/>
          <w:jc w:val="center"/>
        </w:trPr>
        <w:tc>
          <w:tcPr>
            <w:tcW w:w="1855" w:type="dxa"/>
            <w:tcBorders>
              <w:top w:val="nil"/>
              <w:left w:val="single" w:color="auto" w:sz="8" w:space="0"/>
              <w:bottom w:val="single" w:color="auto" w:sz="8" w:space="0"/>
              <w:right w:val="single" w:color="auto" w:sz="8" w:space="0"/>
            </w:tcBorders>
            <w:shd w:val="clear" w:color="auto" w:fill="auto"/>
            <w:noWrap/>
            <w:vAlign w:val="center"/>
          </w:tcPr>
          <w:p w14:paraId="187A2AB2">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843" w:type="dxa"/>
            <w:tcBorders>
              <w:top w:val="nil"/>
              <w:left w:val="nil"/>
              <w:bottom w:val="single" w:color="auto" w:sz="8" w:space="0"/>
              <w:right w:val="single" w:color="auto" w:sz="8" w:space="0"/>
            </w:tcBorders>
            <w:shd w:val="clear" w:color="auto" w:fill="auto"/>
            <w:noWrap/>
            <w:vAlign w:val="center"/>
          </w:tcPr>
          <w:p w14:paraId="451108A6">
            <w:pPr>
              <w:widowControl/>
              <w:jc w:val="center"/>
              <w:rPr>
                <w:rFonts w:ascii="宋体" w:hAnsi="宋体" w:cs="宋体"/>
                <w:color w:val="000000"/>
                <w:kern w:val="0"/>
                <w:sz w:val="18"/>
                <w:szCs w:val="18"/>
              </w:rPr>
            </w:pPr>
            <w:r>
              <w:rPr>
                <w:rFonts w:hint="eastAsia" w:ascii="宋体" w:hAnsi="宋体" w:cs="宋体"/>
                <w:color w:val="000000"/>
                <w:kern w:val="0"/>
                <w:sz w:val="18"/>
                <w:szCs w:val="18"/>
              </w:rPr>
              <w:t>32.86</w:t>
            </w:r>
          </w:p>
        </w:tc>
        <w:tc>
          <w:tcPr>
            <w:tcW w:w="1984" w:type="dxa"/>
            <w:tcBorders>
              <w:top w:val="nil"/>
              <w:left w:val="nil"/>
              <w:bottom w:val="single" w:color="auto" w:sz="8" w:space="0"/>
              <w:right w:val="single" w:color="auto" w:sz="8" w:space="0"/>
            </w:tcBorders>
            <w:shd w:val="clear" w:color="auto" w:fill="auto"/>
            <w:noWrap/>
            <w:vAlign w:val="center"/>
          </w:tcPr>
          <w:p w14:paraId="1A3B9A36">
            <w:pPr>
              <w:widowControl/>
              <w:jc w:val="center"/>
              <w:rPr>
                <w:rFonts w:ascii="宋体" w:hAnsi="宋体" w:cs="宋体"/>
                <w:color w:val="000000"/>
                <w:kern w:val="0"/>
                <w:sz w:val="18"/>
                <w:szCs w:val="18"/>
              </w:rPr>
            </w:pPr>
            <w:r>
              <w:rPr>
                <w:rFonts w:hint="eastAsia" w:ascii="宋体" w:hAnsi="宋体" w:cs="宋体"/>
                <w:color w:val="000000"/>
                <w:kern w:val="0"/>
                <w:sz w:val="18"/>
                <w:szCs w:val="18"/>
              </w:rPr>
              <w:t>13.96</w:t>
            </w:r>
          </w:p>
        </w:tc>
        <w:tc>
          <w:tcPr>
            <w:tcW w:w="2209" w:type="dxa"/>
            <w:tcBorders>
              <w:top w:val="nil"/>
              <w:left w:val="nil"/>
              <w:bottom w:val="single" w:color="auto" w:sz="8" w:space="0"/>
              <w:right w:val="single" w:color="auto" w:sz="8" w:space="0"/>
            </w:tcBorders>
            <w:shd w:val="clear" w:color="auto" w:fill="auto"/>
            <w:noWrap/>
            <w:vAlign w:val="center"/>
          </w:tcPr>
          <w:p w14:paraId="367507F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-14.45 </w:t>
            </w:r>
          </w:p>
        </w:tc>
      </w:tr>
      <w:tr w14:paraId="42D039D3">
        <w:tblPrEx>
          <w:tblCellMar>
            <w:top w:w="0" w:type="dxa"/>
            <w:left w:w="108" w:type="dxa"/>
            <w:bottom w:w="0" w:type="dxa"/>
            <w:right w:w="108" w:type="dxa"/>
          </w:tblCellMar>
        </w:tblPrEx>
        <w:trPr>
          <w:trHeight w:val="300" w:hRule="atLeast"/>
          <w:jc w:val="center"/>
        </w:trPr>
        <w:tc>
          <w:tcPr>
            <w:tcW w:w="1855" w:type="dxa"/>
            <w:tcBorders>
              <w:top w:val="nil"/>
              <w:left w:val="single" w:color="auto" w:sz="8" w:space="0"/>
              <w:bottom w:val="single" w:color="auto" w:sz="8" w:space="0"/>
              <w:right w:val="single" w:color="auto" w:sz="8" w:space="0"/>
            </w:tcBorders>
            <w:shd w:val="clear" w:color="auto" w:fill="auto"/>
            <w:noWrap/>
            <w:vAlign w:val="center"/>
          </w:tcPr>
          <w:p w14:paraId="185F46A1">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843" w:type="dxa"/>
            <w:tcBorders>
              <w:top w:val="nil"/>
              <w:left w:val="nil"/>
              <w:bottom w:val="single" w:color="auto" w:sz="8" w:space="0"/>
              <w:right w:val="single" w:color="auto" w:sz="8" w:space="0"/>
            </w:tcBorders>
            <w:shd w:val="clear" w:color="auto" w:fill="auto"/>
            <w:noWrap/>
            <w:vAlign w:val="center"/>
          </w:tcPr>
          <w:p w14:paraId="6A42AC25">
            <w:pPr>
              <w:widowControl/>
              <w:jc w:val="center"/>
              <w:rPr>
                <w:rFonts w:ascii="宋体" w:hAnsi="宋体" w:cs="宋体"/>
                <w:color w:val="000000"/>
                <w:kern w:val="0"/>
                <w:sz w:val="18"/>
                <w:szCs w:val="18"/>
              </w:rPr>
            </w:pPr>
            <w:r>
              <w:rPr>
                <w:rFonts w:hint="eastAsia" w:ascii="宋体" w:hAnsi="宋体" w:cs="宋体"/>
                <w:color w:val="000000"/>
                <w:kern w:val="0"/>
                <w:sz w:val="18"/>
                <w:szCs w:val="18"/>
              </w:rPr>
              <w:t>21.52</w:t>
            </w:r>
          </w:p>
        </w:tc>
        <w:tc>
          <w:tcPr>
            <w:tcW w:w="1984" w:type="dxa"/>
            <w:tcBorders>
              <w:top w:val="nil"/>
              <w:left w:val="nil"/>
              <w:bottom w:val="single" w:color="auto" w:sz="8" w:space="0"/>
              <w:right w:val="single" w:color="auto" w:sz="8" w:space="0"/>
            </w:tcBorders>
            <w:shd w:val="clear" w:color="auto" w:fill="auto"/>
            <w:noWrap/>
            <w:vAlign w:val="center"/>
          </w:tcPr>
          <w:p w14:paraId="02021C6D">
            <w:pPr>
              <w:widowControl/>
              <w:jc w:val="center"/>
              <w:rPr>
                <w:rFonts w:ascii="宋体" w:hAnsi="宋体" w:cs="宋体"/>
                <w:color w:val="000000"/>
                <w:kern w:val="0"/>
                <w:sz w:val="18"/>
                <w:szCs w:val="18"/>
              </w:rPr>
            </w:pPr>
            <w:r>
              <w:rPr>
                <w:rFonts w:hint="eastAsia" w:ascii="宋体" w:hAnsi="宋体" w:cs="宋体"/>
                <w:color w:val="000000"/>
                <w:kern w:val="0"/>
                <w:sz w:val="18"/>
                <w:szCs w:val="18"/>
              </w:rPr>
              <w:t>19.85</w:t>
            </w:r>
          </w:p>
        </w:tc>
        <w:tc>
          <w:tcPr>
            <w:tcW w:w="2209" w:type="dxa"/>
            <w:tcBorders>
              <w:top w:val="nil"/>
              <w:left w:val="nil"/>
              <w:bottom w:val="single" w:color="auto" w:sz="8" w:space="0"/>
              <w:right w:val="single" w:color="auto" w:sz="8" w:space="0"/>
            </w:tcBorders>
            <w:shd w:val="clear" w:color="auto" w:fill="auto"/>
            <w:noWrap/>
            <w:vAlign w:val="center"/>
          </w:tcPr>
          <w:p w14:paraId="7ACBB0B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1.74 </w:t>
            </w:r>
          </w:p>
        </w:tc>
      </w:tr>
      <w:tr w14:paraId="4F85F415">
        <w:tblPrEx>
          <w:tblCellMar>
            <w:top w:w="0" w:type="dxa"/>
            <w:left w:w="108" w:type="dxa"/>
            <w:bottom w:w="0" w:type="dxa"/>
            <w:right w:w="108" w:type="dxa"/>
          </w:tblCellMar>
        </w:tblPrEx>
        <w:trPr>
          <w:trHeight w:val="300" w:hRule="atLeast"/>
          <w:jc w:val="center"/>
        </w:trPr>
        <w:tc>
          <w:tcPr>
            <w:tcW w:w="1855" w:type="dxa"/>
            <w:tcBorders>
              <w:top w:val="nil"/>
              <w:left w:val="single" w:color="auto" w:sz="8" w:space="0"/>
              <w:bottom w:val="single" w:color="auto" w:sz="8" w:space="0"/>
              <w:right w:val="single" w:color="auto" w:sz="8" w:space="0"/>
            </w:tcBorders>
            <w:shd w:val="clear" w:color="auto" w:fill="auto"/>
            <w:noWrap/>
            <w:vAlign w:val="center"/>
          </w:tcPr>
          <w:p w14:paraId="4B929DCA">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843" w:type="dxa"/>
            <w:tcBorders>
              <w:top w:val="nil"/>
              <w:left w:val="nil"/>
              <w:bottom w:val="single" w:color="auto" w:sz="8" w:space="0"/>
              <w:right w:val="single" w:color="auto" w:sz="8" w:space="0"/>
            </w:tcBorders>
            <w:shd w:val="clear" w:color="auto" w:fill="auto"/>
            <w:noWrap/>
            <w:vAlign w:val="center"/>
          </w:tcPr>
          <w:p w14:paraId="7AA25DEB">
            <w:pPr>
              <w:widowControl/>
              <w:jc w:val="center"/>
              <w:rPr>
                <w:rFonts w:ascii="宋体" w:hAnsi="宋体" w:cs="宋体"/>
                <w:color w:val="000000"/>
                <w:kern w:val="0"/>
                <w:sz w:val="18"/>
                <w:szCs w:val="18"/>
              </w:rPr>
            </w:pPr>
            <w:r>
              <w:rPr>
                <w:rFonts w:hint="eastAsia" w:ascii="宋体" w:hAnsi="宋体" w:cs="宋体"/>
                <w:color w:val="000000"/>
                <w:kern w:val="0"/>
                <w:sz w:val="18"/>
                <w:szCs w:val="18"/>
              </w:rPr>
              <w:t>26.81</w:t>
            </w:r>
          </w:p>
        </w:tc>
        <w:tc>
          <w:tcPr>
            <w:tcW w:w="1984" w:type="dxa"/>
            <w:tcBorders>
              <w:top w:val="nil"/>
              <w:left w:val="nil"/>
              <w:bottom w:val="single" w:color="auto" w:sz="8" w:space="0"/>
              <w:right w:val="single" w:color="auto" w:sz="8" w:space="0"/>
            </w:tcBorders>
            <w:shd w:val="clear" w:color="auto" w:fill="auto"/>
            <w:noWrap/>
            <w:vAlign w:val="center"/>
          </w:tcPr>
          <w:p w14:paraId="4C4D5247">
            <w:pPr>
              <w:widowControl/>
              <w:jc w:val="center"/>
              <w:rPr>
                <w:rFonts w:ascii="宋体" w:hAnsi="宋体" w:cs="宋体"/>
                <w:color w:val="000000"/>
                <w:kern w:val="0"/>
                <w:sz w:val="18"/>
                <w:szCs w:val="18"/>
              </w:rPr>
            </w:pPr>
            <w:r>
              <w:rPr>
                <w:rFonts w:hint="eastAsia" w:ascii="宋体" w:hAnsi="宋体" w:cs="宋体"/>
                <w:color w:val="000000"/>
                <w:kern w:val="0"/>
                <w:sz w:val="18"/>
                <w:szCs w:val="18"/>
              </w:rPr>
              <w:t>4.32</w:t>
            </w:r>
          </w:p>
        </w:tc>
        <w:tc>
          <w:tcPr>
            <w:tcW w:w="2209" w:type="dxa"/>
            <w:tcBorders>
              <w:top w:val="nil"/>
              <w:left w:val="nil"/>
              <w:bottom w:val="single" w:color="auto" w:sz="8" w:space="0"/>
              <w:right w:val="single" w:color="auto" w:sz="8" w:space="0"/>
            </w:tcBorders>
            <w:shd w:val="clear" w:color="auto" w:fill="auto"/>
            <w:noWrap/>
            <w:vAlign w:val="center"/>
          </w:tcPr>
          <w:p w14:paraId="128FB73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-19.06 </w:t>
            </w:r>
          </w:p>
        </w:tc>
      </w:tr>
      <w:tr w14:paraId="55916DB3">
        <w:tblPrEx>
          <w:tblCellMar>
            <w:top w:w="0" w:type="dxa"/>
            <w:left w:w="108" w:type="dxa"/>
            <w:bottom w:w="0" w:type="dxa"/>
            <w:right w:w="108" w:type="dxa"/>
          </w:tblCellMar>
        </w:tblPrEx>
        <w:trPr>
          <w:trHeight w:val="300" w:hRule="atLeast"/>
          <w:jc w:val="center"/>
        </w:trPr>
        <w:tc>
          <w:tcPr>
            <w:tcW w:w="1855" w:type="dxa"/>
            <w:tcBorders>
              <w:top w:val="nil"/>
              <w:left w:val="single" w:color="auto" w:sz="8" w:space="0"/>
              <w:bottom w:val="single" w:color="auto" w:sz="8" w:space="0"/>
              <w:right w:val="single" w:color="auto" w:sz="8" w:space="0"/>
            </w:tcBorders>
            <w:shd w:val="clear" w:color="auto" w:fill="auto"/>
            <w:noWrap/>
            <w:vAlign w:val="center"/>
          </w:tcPr>
          <w:p w14:paraId="1547D21D">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843" w:type="dxa"/>
            <w:tcBorders>
              <w:top w:val="nil"/>
              <w:left w:val="nil"/>
              <w:bottom w:val="single" w:color="auto" w:sz="8" w:space="0"/>
              <w:right w:val="single" w:color="auto" w:sz="8" w:space="0"/>
            </w:tcBorders>
            <w:shd w:val="clear" w:color="auto" w:fill="auto"/>
            <w:noWrap/>
            <w:vAlign w:val="center"/>
          </w:tcPr>
          <w:p w14:paraId="5EEF51D5">
            <w:pPr>
              <w:widowControl/>
              <w:jc w:val="center"/>
              <w:rPr>
                <w:rFonts w:ascii="宋体" w:hAnsi="宋体" w:cs="宋体"/>
                <w:color w:val="000000"/>
                <w:kern w:val="0"/>
                <w:sz w:val="18"/>
                <w:szCs w:val="18"/>
              </w:rPr>
            </w:pPr>
            <w:r>
              <w:rPr>
                <w:rFonts w:hint="eastAsia" w:ascii="宋体" w:hAnsi="宋体" w:cs="宋体"/>
                <w:color w:val="000000"/>
                <w:kern w:val="0"/>
                <w:sz w:val="18"/>
                <w:szCs w:val="18"/>
              </w:rPr>
              <w:t>653.38</w:t>
            </w:r>
          </w:p>
        </w:tc>
        <w:tc>
          <w:tcPr>
            <w:tcW w:w="1984" w:type="dxa"/>
            <w:tcBorders>
              <w:top w:val="nil"/>
              <w:left w:val="nil"/>
              <w:bottom w:val="single" w:color="auto" w:sz="8" w:space="0"/>
              <w:right w:val="single" w:color="auto" w:sz="8" w:space="0"/>
            </w:tcBorders>
            <w:shd w:val="clear" w:color="auto" w:fill="auto"/>
            <w:noWrap/>
            <w:vAlign w:val="center"/>
          </w:tcPr>
          <w:p w14:paraId="51D3FCEB">
            <w:pPr>
              <w:widowControl/>
              <w:jc w:val="center"/>
              <w:rPr>
                <w:rFonts w:ascii="宋体" w:hAnsi="宋体" w:cs="宋体"/>
                <w:color w:val="000000"/>
                <w:kern w:val="0"/>
                <w:sz w:val="18"/>
                <w:szCs w:val="18"/>
              </w:rPr>
            </w:pPr>
            <w:r>
              <w:rPr>
                <w:rFonts w:hint="eastAsia" w:ascii="宋体" w:hAnsi="宋体" w:cs="宋体"/>
                <w:color w:val="000000"/>
                <w:kern w:val="0"/>
                <w:sz w:val="18"/>
                <w:szCs w:val="18"/>
              </w:rPr>
              <w:t>339.69</w:t>
            </w:r>
          </w:p>
        </w:tc>
        <w:tc>
          <w:tcPr>
            <w:tcW w:w="2209" w:type="dxa"/>
            <w:tcBorders>
              <w:top w:val="nil"/>
              <w:left w:val="nil"/>
              <w:bottom w:val="single" w:color="auto" w:sz="8" w:space="0"/>
              <w:right w:val="single" w:color="auto" w:sz="8" w:space="0"/>
            </w:tcBorders>
            <w:shd w:val="clear" w:color="auto" w:fill="auto"/>
            <w:noWrap/>
            <w:vAlign w:val="center"/>
          </w:tcPr>
          <w:p w14:paraId="0CD21C4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-313.69 </w:t>
            </w:r>
          </w:p>
        </w:tc>
      </w:tr>
    </w:tbl>
    <w:p w14:paraId="0AB8033E">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二、建设用地总规模</w:t>
      </w:r>
    </w:p>
    <w:p w14:paraId="48201332">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（一）调整原则</w:t>
      </w:r>
    </w:p>
    <w:p w14:paraId="7E736F88">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在保持上级下达东川区建设用地总规模不变的前提下，综合考虑各乡镇资源环境承载力、社会经济发展水平、各乡镇征转供地情况和现行规划建设用地指标剩余情况，以</w:t>
      </w:r>
      <w:r>
        <w:rPr>
          <w:rFonts w:ascii="仿宋_GB2312" w:hAnsi="宋体" w:eastAsia="仿宋_GB2312"/>
          <w:kern w:val="0"/>
          <w:sz w:val="28"/>
          <w:szCs w:val="28"/>
        </w:rPr>
        <w:t xml:space="preserve">2014 </w:t>
      </w:r>
      <w:r>
        <w:rPr>
          <w:rFonts w:hint="eastAsia" w:ascii="仿宋_GB2312" w:hAnsi="宋体" w:eastAsia="仿宋_GB2312"/>
          <w:kern w:val="0"/>
          <w:sz w:val="28"/>
          <w:szCs w:val="28"/>
        </w:rPr>
        <w:t>年现状建设用地规模为基础，按照区域协调发展、新型城镇化、易地扶贫和新农村建设的战略要求，统筹安排各乡镇建设用地规模，合理确定各乡镇建设用地总规模。</w:t>
      </w:r>
    </w:p>
    <w:p w14:paraId="062617AB">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（二）调整方法</w:t>
      </w:r>
    </w:p>
    <w:p w14:paraId="28A4BE39">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按照《云南省市县乡级土地利用总体规划调整完善技术指南》要求，县级规划应预留不低于</w:t>
      </w:r>
      <w:r>
        <w:rPr>
          <w:rFonts w:ascii="仿宋_GB2312" w:hAnsi="宋体" w:eastAsia="仿宋_GB2312"/>
          <w:kern w:val="0"/>
          <w:sz w:val="28"/>
          <w:szCs w:val="28"/>
        </w:rPr>
        <w:t>5%</w:t>
      </w:r>
      <w:r>
        <w:rPr>
          <w:rFonts w:hint="eastAsia" w:ascii="仿宋_GB2312" w:hAnsi="宋体" w:eastAsia="仿宋_GB2312"/>
          <w:kern w:val="0"/>
          <w:sz w:val="28"/>
          <w:szCs w:val="28"/>
        </w:rPr>
        <w:t>的新增城乡建设用地，配套相应的新增建设占用农用地和新增建设占用耕地规模，专项保障村庄用地，东川区共预留15.65公顷新增城乡建设用地。本次调整完善，东川区不再安排城乡建设用地增减挂钩指标，规划末期建设用地总规模为</w:t>
      </w:r>
      <w:r>
        <w:rPr>
          <w:rFonts w:ascii="仿宋_GB2312" w:hAnsi="宋体" w:eastAsia="仿宋_GB2312"/>
          <w:kern w:val="0"/>
          <w:sz w:val="28"/>
          <w:szCs w:val="28"/>
        </w:rPr>
        <w:t xml:space="preserve">2014 </w:t>
      </w:r>
      <w:r>
        <w:rPr>
          <w:rFonts w:hint="eastAsia" w:ascii="仿宋_GB2312" w:hAnsi="宋体" w:eastAsia="仿宋_GB2312"/>
          <w:kern w:val="0"/>
          <w:sz w:val="28"/>
          <w:szCs w:val="28"/>
        </w:rPr>
        <w:t>年建设用地总规模与新增建设用地指标之和，各乡镇规划末期建设用地总规模的计算方法如下：</w:t>
      </w:r>
    </w:p>
    <w:p w14:paraId="4EB2A03D">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ascii="仿宋_GB2312" w:hAnsi="宋体" w:eastAsia="仿宋_GB2312"/>
          <w:kern w:val="0"/>
          <w:sz w:val="28"/>
          <w:szCs w:val="28"/>
        </w:rPr>
        <w:t xml:space="preserve">2020 </w:t>
      </w:r>
      <w:r>
        <w:rPr>
          <w:rFonts w:hint="eastAsia" w:ascii="仿宋_GB2312" w:hAnsi="宋体" w:eastAsia="仿宋_GB2312"/>
          <w:kern w:val="0"/>
          <w:sz w:val="28"/>
          <w:szCs w:val="28"/>
        </w:rPr>
        <w:t>年建设用地总规模</w:t>
      </w:r>
      <w:r>
        <w:rPr>
          <w:rFonts w:ascii="仿宋_GB2312" w:hAnsi="宋体" w:eastAsia="仿宋_GB2312"/>
          <w:kern w:val="0"/>
          <w:sz w:val="28"/>
          <w:szCs w:val="28"/>
        </w:rPr>
        <w:t xml:space="preserve">=2014 </w:t>
      </w:r>
      <w:r>
        <w:rPr>
          <w:rFonts w:hint="eastAsia" w:ascii="仿宋_GB2312" w:hAnsi="宋体" w:eastAsia="仿宋_GB2312"/>
          <w:kern w:val="0"/>
          <w:sz w:val="28"/>
          <w:szCs w:val="28"/>
        </w:rPr>
        <w:t>年建设用地总规模</w:t>
      </w:r>
      <w:r>
        <w:rPr>
          <w:rFonts w:ascii="仿宋_GB2312" w:hAnsi="宋体" w:eastAsia="仿宋_GB2312"/>
          <w:kern w:val="0"/>
          <w:sz w:val="28"/>
          <w:szCs w:val="28"/>
        </w:rPr>
        <w:t>+</w:t>
      </w:r>
      <w:r>
        <w:rPr>
          <w:rFonts w:hint="eastAsia" w:ascii="仿宋_GB2312" w:hAnsi="宋体" w:eastAsia="仿宋_GB2312"/>
          <w:kern w:val="0"/>
          <w:sz w:val="28"/>
          <w:szCs w:val="28"/>
        </w:rPr>
        <w:t>各乡镇新增建设用地指标</w:t>
      </w:r>
    </w:p>
    <w:p w14:paraId="7A0BA565">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（三）调整结果</w:t>
      </w:r>
    </w:p>
    <w:p w14:paraId="1E4A73A4">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基于2014年变更调查结果和新增建设用地指标分解结果，在扣减预留5%新增城乡建设用地的基础上，根据各乡镇的变更、已报批未变更、涉及规划修改及计划项目用地需求，将建设用地总量指标分解到各乡镇。至2020年东川区建设用地总规模控制在6156公顷以内，较调整前增加了1008.61公顷，8个乡镇的建设用地总规模较调整前均有增加。</w:t>
      </w:r>
    </w:p>
    <w:p w14:paraId="3D97641B">
      <w:pPr>
        <w:jc w:val="center"/>
        <w:outlineLvl w:val="4"/>
        <w:rPr>
          <w:rFonts w:ascii="宋体" w:hAnsi="宋体"/>
          <w:b/>
          <w:sz w:val="24"/>
        </w:rPr>
      </w:pPr>
      <w:r>
        <w:rPr>
          <w:rFonts w:hint="eastAsia" w:ascii="宋体" w:hAnsi="宋体"/>
          <w:b/>
          <w:sz w:val="24"/>
        </w:rPr>
        <w:t>表5-7  东川区建设用地总规模指标调整情况表</w:t>
      </w:r>
    </w:p>
    <w:p w14:paraId="51BD10B6">
      <w:pPr>
        <w:spacing w:line="360" w:lineRule="auto"/>
        <w:ind w:firstLine="360" w:firstLineChars="200"/>
        <w:jc w:val="right"/>
        <w:rPr>
          <w:rFonts w:ascii="宋体" w:hAnsi="宋体"/>
          <w:color w:val="000000"/>
          <w:sz w:val="18"/>
          <w:szCs w:val="18"/>
        </w:rPr>
      </w:pPr>
      <w:r>
        <w:rPr>
          <w:rFonts w:hint="eastAsia" w:ascii="宋体" w:hAnsi="宋体"/>
          <w:color w:val="000000"/>
          <w:sz w:val="18"/>
          <w:szCs w:val="18"/>
        </w:rPr>
        <w:t>单位：公顷</w:t>
      </w:r>
    </w:p>
    <w:tbl>
      <w:tblPr>
        <w:tblStyle w:val="27"/>
        <w:tblW w:w="7259" w:type="dxa"/>
        <w:jc w:val="center"/>
        <w:tblLayout w:type="autofit"/>
        <w:tblCellMar>
          <w:top w:w="0" w:type="dxa"/>
          <w:left w:w="108" w:type="dxa"/>
          <w:bottom w:w="0" w:type="dxa"/>
          <w:right w:w="108" w:type="dxa"/>
        </w:tblCellMar>
      </w:tblPr>
      <w:tblGrid>
        <w:gridCol w:w="1572"/>
        <w:gridCol w:w="1842"/>
        <w:gridCol w:w="1843"/>
        <w:gridCol w:w="2002"/>
      </w:tblGrid>
      <w:tr w14:paraId="0A48E8F9">
        <w:tblPrEx>
          <w:tblCellMar>
            <w:top w:w="0" w:type="dxa"/>
            <w:left w:w="108" w:type="dxa"/>
            <w:bottom w:w="0" w:type="dxa"/>
            <w:right w:w="108" w:type="dxa"/>
          </w:tblCellMar>
        </w:tblPrEx>
        <w:trPr>
          <w:trHeight w:val="288" w:hRule="atLeast"/>
          <w:jc w:val="center"/>
        </w:trPr>
        <w:tc>
          <w:tcPr>
            <w:tcW w:w="15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750F8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行政辖区</w:t>
            </w:r>
          </w:p>
        </w:tc>
        <w:tc>
          <w:tcPr>
            <w:tcW w:w="1842" w:type="dxa"/>
            <w:tcBorders>
              <w:top w:val="single" w:color="auto" w:sz="4" w:space="0"/>
              <w:left w:val="nil"/>
              <w:bottom w:val="single" w:color="auto" w:sz="4" w:space="0"/>
              <w:right w:val="single" w:color="auto" w:sz="4" w:space="0"/>
            </w:tcBorders>
            <w:shd w:val="clear" w:color="auto" w:fill="auto"/>
            <w:noWrap/>
            <w:vAlign w:val="center"/>
          </w:tcPr>
          <w:p w14:paraId="6AF4484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调整前</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F37B62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调整后</w:t>
            </w:r>
          </w:p>
        </w:tc>
        <w:tc>
          <w:tcPr>
            <w:tcW w:w="2002" w:type="dxa"/>
            <w:tcBorders>
              <w:top w:val="single" w:color="auto" w:sz="4" w:space="0"/>
              <w:left w:val="nil"/>
              <w:bottom w:val="single" w:color="auto" w:sz="4" w:space="0"/>
              <w:right w:val="single" w:color="auto" w:sz="4" w:space="0"/>
            </w:tcBorders>
            <w:shd w:val="clear" w:color="auto" w:fill="auto"/>
            <w:noWrap/>
            <w:vAlign w:val="center"/>
          </w:tcPr>
          <w:p w14:paraId="763DE3A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差值</w:t>
            </w:r>
          </w:p>
        </w:tc>
      </w:tr>
      <w:tr w14:paraId="2B981718">
        <w:tblPrEx>
          <w:tblCellMar>
            <w:top w:w="0" w:type="dxa"/>
            <w:left w:w="108" w:type="dxa"/>
            <w:bottom w:w="0" w:type="dxa"/>
            <w:right w:w="108" w:type="dxa"/>
          </w:tblCellMar>
        </w:tblPrEx>
        <w:trPr>
          <w:trHeight w:val="288" w:hRule="atLeast"/>
          <w:jc w:val="center"/>
        </w:trPr>
        <w:tc>
          <w:tcPr>
            <w:tcW w:w="1572" w:type="dxa"/>
            <w:tcBorders>
              <w:top w:val="nil"/>
              <w:left w:val="single" w:color="auto" w:sz="4" w:space="0"/>
              <w:bottom w:val="single" w:color="auto" w:sz="4" w:space="0"/>
              <w:right w:val="single" w:color="auto" w:sz="4" w:space="0"/>
            </w:tcBorders>
            <w:shd w:val="clear" w:color="auto" w:fill="auto"/>
            <w:noWrap/>
            <w:vAlign w:val="center"/>
          </w:tcPr>
          <w:p w14:paraId="2E977BC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预留指标</w:t>
            </w:r>
          </w:p>
        </w:tc>
        <w:tc>
          <w:tcPr>
            <w:tcW w:w="1842" w:type="dxa"/>
            <w:tcBorders>
              <w:top w:val="nil"/>
              <w:left w:val="nil"/>
              <w:bottom w:val="single" w:color="auto" w:sz="4" w:space="0"/>
              <w:right w:val="single" w:color="auto" w:sz="4" w:space="0"/>
            </w:tcBorders>
            <w:shd w:val="clear" w:color="auto" w:fill="auto"/>
            <w:noWrap/>
            <w:vAlign w:val="center"/>
          </w:tcPr>
          <w:p w14:paraId="27D4A30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w:t>
            </w:r>
          </w:p>
        </w:tc>
        <w:tc>
          <w:tcPr>
            <w:tcW w:w="1843" w:type="dxa"/>
            <w:tcBorders>
              <w:top w:val="nil"/>
              <w:left w:val="nil"/>
              <w:bottom w:val="single" w:color="auto" w:sz="4" w:space="0"/>
              <w:right w:val="single" w:color="auto" w:sz="4" w:space="0"/>
            </w:tcBorders>
            <w:shd w:val="clear" w:color="auto" w:fill="auto"/>
            <w:noWrap/>
            <w:vAlign w:val="center"/>
          </w:tcPr>
          <w:p w14:paraId="179C0DD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15.65</w:t>
            </w:r>
          </w:p>
        </w:tc>
        <w:tc>
          <w:tcPr>
            <w:tcW w:w="2002" w:type="dxa"/>
            <w:tcBorders>
              <w:top w:val="nil"/>
              <w:left w:val="nil"/>
              <w:bottom w:val="single" w:color="auto" w:sz="4" w:space="0"/>
              <w:right w:val="single" w:color="auto" w:sz="4" w:space="0"/>
            </w:tcBorders>
            <w:shd w:val="clear" w:color="auto" w:fill="auto"/>
            <w:noWrap/>
            <w:vAlign w:val="center"/>
          </w:tcPr>
          <w:p w14:paraId="2F9D7F9F">
            <w:pPr>
              <w:jc w:val="center"/>
              <w:rPr>
                <w:rFonts w:ascii="宋体" w:hAnsi="宋体" w:cs="宋体"/>
                <w:b/>
                <w:bCs/>
                <w:color w:val="000000"/>
                <w:sz w:val="18"/>
                <w:szCs w:val="18"/>
              </w:rPr>
            </w:pPr>
            <w:r>
              <w:rPr>
                <w:rFonts w:hint="eastAsia"/>
                <w:b/>
                <w:bCs/>
                <w:color w:val="000000"/>
                <w:sz w:val="18"/>
                <w:szCs w:val="18"/>
              </w:rPr>
              <w:t>——</w:t>
            </w:r>
          </w:p>
        </w:tc>
      </w:tr>
      <w:tr w14:paraId="33CCF12B">
        <w:tblPrEx>
          <w:tblCellMar>
            <w:top w:w="0" w:type="dxa"/>
            <w:left w:w="108" w:type="dxa"/>
            <w:bottom w:w="0" w:type="dxa"/>
            <w:right w:w="108" w:type="dxa"/>
          </w:tblCellMar>
        </w:tblPrEx>
        <w:trPr>
          <w:trHeight w:val="288" w:hRule="atLeast"/>
          <w:jc w:val="center"/>
        </w:trPr>
        <w:tc>
          <w:tcPr>
            <w:tcW w:w="1572" w:type="dxa"/>
            <w:tcBorders>
              <w:top w:val="nil"/>
              <w:left w:val="single" w:color="auto" w:sz="4" w:space="0"/>
              <w:bottom w:val="single" w:color="auto" w:sz="4" w:space="0"/>
              <w:right w:val="single" w:color="auto" w:sz="4" w:space="0"/>
            </w:tcBorders>
            <w:shd w:val="clear" w:color="auto" w:fill="auto"/>
            <w:noWrap/>
            <w:vAlign w:val="center"/>
          </w:tcPr>
          <w:p w14:paraId="62705510">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842" w:type="dxa"/>
            <w:tcBorders>
              <w:top w:val="nil"/>
              <w:left w:val="nil"/>
              <w:bottom w:val="single" w:color="auto" w:sz="4" w:space="0"/>
              <w:right w:val="single" w:color="auto" w:sz="4" w:space="0"/>
            </w:tcBorders>
            <w:shd w:val="clear" w:color="auto" w:fill="auto"/>
            <w:noWrap/>
            <w:vAlign w:val="center"/>
          </w:tcPr>
          <w:p w14:paraId="66CD65C1">
            <w:pPr>
              <w:widowControl/>
              <w:jc w:val="center"/>
              <w:rPr>
                <w:rFonts w:ascii="宋体" w:hAnsi="宋体" w:cs="宋体"/>
                <w:color w:val="000000"/>
                <w:kern w:val="0"/>
                <w:sz w:val="18"/>
                <w:szCs w:val="18"/>
              </w:rPr>
            </w:pPr>
            <w:r>
              <w:rPr>
                <w:rFonts w:hint="eastAsia" w:ascii="宋体" w:hAnsi="宋体" w:cs="宋体"/>
                <w:color w:val="000000"/>
                <w:kern w:val="0"/>
                <w:sz w:val="18"/>
                <w:szCs w:val="18"/>
              </w:rPr>
              <w:t>510.74</w:t>
            </w:r>
          </w:p>
        </w:tc>
        <w:tc>
          <w:tcPr>
            <w:tcW w:w="1843" w:type="dxa"/>
            <w:tcBorders>
              <w:top w:val="nil"/>
              <w:left w:val="nil"/>
              <w:bottom w:val="single" w:color="auto" w:sz="4" w:space="0"/>
              <w:right w:val="single" w:color="auto" w:sz="4" w:space="0"/>
            </w:tcBorders>
            <w:shd w:val="clear" w:color="auto" w:fill="auto"/>
            <w:noWrap/>
            <w:vAlign w:val="center"/>
          </w:tcPr>
          <w:p w14:paraId="6282BFB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643.46 </w:t>
            </w:r>
          </w:p>
        </w:tc>
        <w:tc>
          <w:tcPr>
            <w:tcW w:w="2002" w:type="dxa"/>
            <w:tcBorders>
              <w:top w:val="nil"/>
              <w:left w:val="nil"/>
              <w:bottom w:val="single" w:color="auto" w:sz="4" w:space="0"/>
              <w:right w:val="single" w:color="auto" w:sz="4" w:space="0"/>
            </w:tcBorders>
            <w:shd w:val="clear" w:color="auto" w:fill="auto"/>
            <w:noWrap/>
            <w:vAlign w:val="center"/>
          </w:tcPr>
          <w:p w14:paraId="166BAD62">
            <w:pPr>
              <w:widowControl/>
              <w:jc w:val="center"/>
              <w:rPr>
                <w:rFonts w:ascii="宋体" w:hAnsi="宋体" w:cs="宋体"/>
                <w:color w:val="000000"/>
                <w:kern w:val="0"/>
                <w:sz w:val="18"/>
                <w:szCs w:val="18"/>
              </w:rPr>
            </w:pPr>
            <w:r>
              <w:rPr>
                <w:rFonts w:hint="eastAsia" w:ascii="宋体" w:hAnsi="宋体" w:cs="宋体"/>
                <w:color w:val="000000"/>
                <w:kern w:val="0"/>
                <w:sz w:val="18"/>
                <w:szCs w:val="18"/>
              </w:rPr>
              <w:t>132.72</w:t>
            </w:r>
          </w:p>
        </w:tc>
      </w:tr>
      <w:tr w14:paraId="28F05F81">
        <w:tblPrEx>
          <w:tblCellMar>
            <w:top w:w="0" w:type="dxa"/>
            <w:left w:w="108" w:type="dxa"/>
            <w:bottom w:w="0" w:type="dxa"/>
            <w:right w:w="108" w:type="dxa"/>
          </w:tblCellMar>
        </w:tblPrEx>
        <w:trPr>
          <w:trHeight w:val="288" w:hRule="atLeast"/>
          <w:jc w:val="center"/>
        </w:trPr>
        <w:tc>
          <w:tcPr>
            <w:tcW w:w="1572" w:type="dxa"/>
            <w:tcBorders>
              <w:top w:val="nil"/>
              <w:left w:val="single" w:color="auto" w:sz="4" w:space="0"/>
              <w:bottom w:val="single" w:color="auto" w:sz="4" w:space="0"/>
              <w:right w:val="single" w:color="auto" w:sz="4" w:space="0"/>
            </w:tcBorders>
            <w:shd w:val="clear" w:color="auto" w:fill="auto"/>
            <w:noWrap/>
            <w:vAlign w:val="center"/>
          </w:tcPr>
          <w:p w14:paraId="6A2B0DE9">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842" w:type="dxa"/>
            <w:tcBorders>
              <w:top w:val="nil"/>
              <w:left w:val="nil"/>
              <w:bottom w:val="single" w:color="auto" w:sz="4" w:space="0"/>
              <w:right w:val="single" w:color="auto" w:sz="4" w:space="0"/>
            </w:tcBorders>
            <w:shd w:val="clear" w:color="auto" w:fill="auto"/>
            <w:noWrap/>
            <w:vAlign w:val="center"/>
          </w:tcPr>
          <w:p w14:paraId="7123CBAF">
            <w:pPr>
              <w:widowControl/>
              <w:jc w:val="center"/>
              <w:rPr>
                <w:rFonts w:ascii="宋体" w:hAnsi="宋体" w:cs="宋体"/>
                <w:color w:val="000000"/>
                <w:kern w:val="0"/>
                <w:sz w:val="18"/>
                <w:szCs w:val="18"/>
              </w:rPr>
            </w:pPr>
            <w:r>
              <w:rPr>
                <w:rFonts w:hint="eastAsia" w:ascii="宋体" w:hAnsi="宋体" w:cs="宋体"/>
                <w:color w:val="000000"/>
                <w:kern w:val="0"/>
                <w:sz w:val="18"/>
                <w:szCs w:val="18"/>
              </w:rPr>
              <w:t>2409.22</w:t>
            </w:r>
          </w:p>
        </w:tc>
        <w:tc>
          <w:tcPr>
            <w:tcW w:w="1843" w:type="dxa"/>
            <w:tcBorders>
              <w:top w:val="nil"/>
              <w:left w:val="nil"/>
              <w:bottom w:val="single" w:color="auto" w:sz="4" w:space="0"/>
              <w:right w:val="single" w:color="auto" w:sz="4" w:space="0"/>
            </w:tcBorders>
            <w:shd w:val="clear" w:color="auto" w:fill="auto"/>
            <w:noWrap/>
            <w:vAlign w:val="center"/>
          </w:tcPr>
          <w:p w14:paraId="0B0748F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2528.88 </w:t>
            </w:r>
          </w:p>
        </w:tc>
        <w:tc>
          <w:tcPr>
            <w:tcW w:w="2002" w:type="dxa"/>
            <w:tcBorders>
              <w:top w:val="nil"/>
              <w:left w:val="nil"/>
              <w:bottom w:val="single" w:color="auto" w:sz="4" w:space="0"/>
              <w:right w:val="single" w:color="auto" w:sz="4" w:space="0"/>
            </w:tcBorders>
            <w:shd w:val="clear" w:color="auto" w:fill="auto"/>
            <w:noWrap/>
            <w:vAlign w:val="center"/>
          </w:tcPr>
          <w:p w14:paraId="31585182">
            <w:pPr>
              <w:widowControl/>
              <w:jc w:val="center"/>
              <w:rPr>
                <w:rFonts w:ascii="宋体" w:hAnsi="宋体" w:cs="宋体"/>
                <w:color w:val="000000"/>
                <w:kern w:val="0"/>
                <w:sz w:val="18"/>
                <w:szCs w:val="18"/>
              </w:rPr>
            </w:pPr>
            <w:r>
              <w:rPr>
                <w:rFonts w:hint="eastAsia" w:ascii="宋体" w:hAnsi="宋体" w:cs="宋体"/>
                <w:color w:val="000000"/>
                <w:kern w:val="0"/>
                <w:sz w:val="18"/>
                <w:szCs w:val="18"/>
              </w:rPr>
              <w:t>119.66</w:t>
            </w:r>
          </w:p>
        </w:tc>
      </w:tr>
      <w:tr w14:paraId="25E08C59">
        <w:tblPrEx>
          <w:tblCellMar>
            <w:top w:w="0" w:type="dxa"/>
            <w:left w:w="108" w:type="dxa"/>
            <w:bottom w:w="0" w:type="dxa"/>
            <w:right w:w="108" w:type="dxa"/>
          </w:tblCellMar>
        </w:tblPrEx>
        <w:trPr>
          <w:trHeight w:val="288" w:hRule="atLeast"/>
          <w:jc w:val="center"/>
        </w:trPr>
        <w:tc>
          <w:tcPr>
            <w:tcW w:w="1572" w:type="dxa"/>
            <w:tcBorders>
              <w:top w:val="nil"/>
              <w:left w:val="single" w:color="auto" w:sz="4" w:space="0"/>
              <w:bottom w:val="single" w:color="auto" w:sz="4" w:space="0"/>
              <w:right w:val="single" w:color="auto" w:sz="4" w:space="0"/>
            </w:tcBorders>
            <w:shd w:val="clear" w:color="auto" w:fill="auto"/>
            <w:noWrap/>
            <w:vAlign w:val="center"/>
          </w:tcPr>
          <w:p w14:paraId="1D25C681">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842" w:type="dxa"/>
            <w:tcBorders>
              <w:top w:val="nil"/>
              <w:left w:val="nil"/>
              <w:bottom w:val="single" w:color="auto" w:sz="4" w:space="0"/>
              <w:right w:val="single" w:color="auto" w:sz="4" w:space="0"/>
            </w:tcBorders>
            <w:shd w:val="clear" w:color="auto" w:fill="auto"/>
            <w:noWrap/>
            <w:vAlign w:val="center"/>
          </w:tcPr>
          <w:p w14:paraId="621FD0CA">
            <w:pPr>
              <w:widowControl/>
              <w:jc w:val="center"/>
              <w:rPr>
                <w:rFonts w:ascii="宋体" w:hAnsi="宋体" w:cs="宋体"/>
                <w:color w:val="000000"/>
                <w:kern w:val="0"/>
                <w:sz w:val="18"/>
                <w:szCs w:val="18"/>
              </w:rPr>
            </w:pPr>
            <w:r>
              <w:rPr>
                <w:rFonts w:hint="eastAsia" w:ascii="宋体" w:hAnsi="宋体" w:cs="宋体"/>
                <w:color w:val="000000"/>
                <w:kern w:val="0"/>
                <w:sz w:val="18"/>
                <w:szCs w:val="18"/>
              </w:rPr>
              <w:t>506.49</w:t>
            </w:r>
          </w:p>
        </w:tc>
        <w:tc>
          <w:tcPr>
            <w:tcW w:w="1843" w:type="dxa"/>
            <w:tcBorders>
              <w:top w:val="nil"/>
              <w:left w:val="nil"/>
              <w:bottom w:val="single" w:color="auto" w:sz="4" w:space="0"/>
              <w:right w:val="single" w:color="auto" w:sz="4" w:space="0"/>
            </w:tcBorders>
            <w:shd w:val="clear" w:color="auto" w:fill="auto"/>
            <w:noWrap/>
            <w:vAlign w:val="center"/>
          </w:tcPr>
          <w:p w14:paraId="7B89684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553.21 </w:t>
            </w:r>
          </w:p>
        </w:tc>
        <w:tc>
          <w:tcPr>
            <w:tcW w:w="2002" w:type="dxa"/>
            <w:tcBorders>
              <w:top w:val="nil"/>
              <w:left w:val="nil"/>
              <w:bottom w:val="single" w:color="auto" w:sz="4" w:space="0"/>
              <w:right w:val="single" w:color="auto" w:sz="4" w:space="0"/>
            </w:tcBorders>
            <w:shd w:val="clear" w:color="auto" w:fill="auto"/>
            <w:noWrap/>
            <w:vAlign w:val="center"/>
          </w:tcPr>
          <w:p w14:paraId="228059A4">
            <w:pPr>
              <w:widowControl/>
              <w:jc w:val="center"/>
              <w:rPr>
                <w:rFonts w:ascii="宋体" w:hAnsi="宋体" w:cs="宋体"/>
                <w:color w:val="000000"/>
                <w:kern w:val="0"/>
                <w:sz w:val="18"/>
                <w:szCs w:val="18"/>
              </w:rPr>
            </w:pPr>
            <w:r>
              <w:rPr>
                <w:rFonts w:hint="eastAsia" w:ascii="宋体" w:hAnsi="宋体" w:cs="宋体"/>
                <w:color w:val="000000"/>
                <w:kern w:val="0"/>
                <w:sz w:val="18"/>
                <w:szCs w:val="18"/>
              </w:rPr>
              <w:t>46.72</w:t>
            </w:r>
          </w:p>
        </w:tc>
      </w:tr>
      <w:tr w14:paraId="7803D8FF">
        <w:tblPrEx>
          <w:tblCellMar>
            <w:top w:w="0" w:type="dxa"/>
            <w:left w:w="108" w:type="dxa"/>
            <w:bottom w:w="0" w:type="dxa"/>
            <w:right w:w="108" w:type="dxa"/>
          </w:tblCellMar>
        </w:tblPrEx>
        <w:trPr>
          <w:trHeight w:val="288" w:hRule="atLeast"/>
          <w:jc w:val="center"/>
        </w:trPr>
        <w:tc>
          <w:tcPr>
            <w:tcW w:w="1572" w:type="dxa"/>
            <w:tcBorders>
              <w:top w:val="nil"/>
              <w:left w:val="single" w:color="auto" w:sz="4" w:space="0"/>
              <w:bottom w:val="single" w:color="auto" w:sz="4" w:space="0"/>
              <w:right w:val="single" w:color="auto" w:sz="4" w:space="0"/>
            </w:tcBorders>
            <w:shd w:val="clear" w:color="auto" w:fill="auto"/>
            <w:noWrap/>
            <w:vAlign w:val="center"/>
          </w:tcPr>
          <w:p w14:paraId="6B18DE0D">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842" w:type="dxa"/>
            <w:tcBorders>
              <w:top w:val="nil"/>
              <w:left w:val="nil"/>
              <w:bottom w:val="single" w:color="auto" w:sz="4" w:space="0"/>
              <w:right w:val="single" w:color="auto" w:sz="4" w:space="0"/>
            </w:tcBorders>
            <w:shd w:val="clear" w:color="auto" w:fill="auto"/>
            <w:noWrap/>
            <w:vAlign w:val="center"/>
          </w:tcPr>
          <w:p w14:paraId="73DDF5ED">
            <w:pPr>
              <w:widowControl/>
              <w:jc w:val="center"/>
              <w:rPr>
                <w:rFonts w:ascii="宋体" w:hAnsi="宋体" w:cs="宋体"/>
                <w:color w:val="000000"/>
                <w:kern w:val="0"/>
                <w:sz w:val="18"/>
                <w:szCs w:val="18"/>
              </w:rPr>
            </w:pPr>
            <w:r>
              <w:rPr>
                <w:rFonts w:hint="eastAsia" w:ascii="宋体" w:hAnsi="宋体" w:cs="宋体"/>
                <w:color w:val="000000"/>
                <w:kern w:val="0"/>
                <w:sz w:val="18"/>
                <w:szCs w:val="18"/>
              </w:rPr>
              <w:t>474.36</w:t>
            </w:r>
          </w:p>
        </w:tc>
        <w:tc>
          <w:tcPr>
            <w:tcW w:w="1843" w:type="dxa"/>
            <w:tcBorders>
              <w:top w:val="nil"/>
              <w:left w:val="nil"/>
              <w:bottom w:val="single" w:color="auto" w:sz="4" w:space="0"/>
              <w:right w:val="single" w:color="auto" w:sz="4" w:space="0"/>
            </w:tcBorders>
            <w:shd w:val="clear" w:color="auto" w:fill="auto"/>
            <w:noWrap/>
            <w:vAlign w:val="center"/>
          </w:tcPr>
          <w:p w14:paraId="2C250C5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480.64 </w:t>
            </w:r>
          </w:p>
        </w:tc>
        <w:tc>
          <w:tcPr>
            <w:tcW w:w="2002" w:type="dxa"/>
            <w:tcBorders>
              <w:top w:val="nil"/>
              <w:left w:val="nil"/>
              <w:bottom w:val="single" w:color="auto" w:sz="4" w:space="0"/>
              <w:right w:val="single" w:color="auto" w:sz="4" w:space="0"/>
            </w:tcBorders>
            <w:shd w:val="clear" w:color="auto" w:fill="auto"/>
            <w:noWrap/>
            <w:vAlign w:val="center"/>
          </w:tcPr>
          <w:p w14:paraId="0CFEFA3B">
            <w:pPr>
              <w:widowControl/>
              <w:jc w:val="center"/>
              <w:rPr>
                <w:rFonts w:ascii="宋体" w:hAnsi="宋体" w:cs="宋体"/>
                <w:color w:val="000000"/>
                <w:kern w:val="0"/>
                <w:sz w:val="18"/>
                <w:szCs w:val="18"/>
              </w:rPr>
            </w:pPr>
            <w:r>
              <w:rPr>
                <w:rFonts w:hint="eastAsia" w:ascii="宋体" w:hAnsi="宋体" w:cs="宋体"/>
                <w:color w:val="000000"/>
                <w:kern w:val="0"/>
                <w:sz w:val="18"/>
                <w:szCs w:val="18"/>
              </w:rPr>
              <w:t>6.28</w:t>
            </w:r>
          </w:p>
        </w:tc>
      </w:tr>
      <w:tr w14:paraId="74495217">
        <w:tblPrEx>
          <w:tblCellMar>
            <w:top w:w="0" w:type="dxa"/>
            <w:left w:w="108" w:type="dxa"/>
            <w:bottom w:w="0" w:type="dxa"/>
            <w:right w:w="108" w:type="dxa"/>
          </w:tblCellMar>
        </w:tblPrEx>
        <w:trPr>
          <w:trHeight w:val="288" w:hRule="atLeast"/>
          <w:jc w:val="center"/>
        </w:trPr>
        <w:tc>
          <w:tcPr>
            <w:tcW w:w="1572" w:type="dxa"/>
            <w:tcBorders>
              <w:top w:val="nil"/>
              <w:left w:val="single" w:color="auto" w:sz="4" w:space="0"/>
              <w:bottom w:val="single" w:color="auto" w:sz="4" w:space="0"/>
              <w:right w:val="single" w:color="auto" w:sz="4" w:space="0"/>
            </w:tcBorders>
            <w:shd w:val="clear" w:color="auto" w:fill="auto"/>
            <w:noWrap/>
            <w:vAlign w:val="center"/>
          </w:tcPr>
          <w:p w14:paraId="79CF9B73">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842" w:type="dxa"/>
            <w:tcBorders>
              <w:top w:val="nil"/>
              <w:left w:val="nil"/>
              <w:bottom w:val="single" w:color="auto" w:sz="4" w:space="0"/>
              <w:right w:val="single" w:color="auto" w:sz="4" w:space="0"/>
            </w:tcBorders>
            <w:shd w:val="clear" w:color="auto" w:fill="auto"/>
            <w:noWrap/>
            <w:vAlign w:val="center"/>
          </w:tcPr>
          <w:p w14:paraId="397D02C5">
            <w:pPr>
              <w:widowControl/>
              <w:jc w:val="center"/>
              <w:rPr>
                <w:rFonts w:ascii="宋体" w:hAnsi="宋体" w:cs="宋体"/>
                <w:color w:val="000000"/>
                <w:kern w:val="0"/>
                <w:sz w:val="18"/>
                <w:szCs w:val="18"/>
              </w:rPr>
            </w:pPr>
            <w:r>
              <w:rPr>
                <w:rFonts w:hint="eastAsia" w:ascii="宋体" w:hAnsi="宋体" w:cs="宋体"/>
                <w:color w:val="000000"/>
                <w:kern w:val="0"/>
                <w:sz w:val="18"/>
                <w:szCs w:val="18"/>
              </w:rPr>
              <w:t>591.94</w:t>
            </w:r>
          </w:p>
        </w:tc>
        <w:tc>
          <w:tcPr>
            <w:tcW w:w="1843" w:type="dxa"/>
            <w:tcBorders>
              <w:top w:val="nil"/>
              <w:left w:val="nil"/>
              <w:bottom w:val="single" w:color="auto" w:sz="4" w:space="0"/>
              <w:right w:val="single" w:color="auto" w:sz="4" w:space="0"/>
            </w:tcBorders>
            <w:shd w:val="clear" w:color="auto" w:fill="auto"/>
            <w:noWrap/>
            <w:vAlign w:val="center"/>
          </w:tcPr>
          <w:p w14:paraId="65D3CF1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952.05 </w:t>
            </w:r>
          </w:p>
        </w:tc>
        <w:tc>
          <w:tcPr>
            <w:tcW w:w="2002" w:type="dxa"/>
            <w:tcBorders>
              <w:top w:val="nil"/>
              <w:left w:val="nil"/>
              <w:bottom w:val="single" w:color="auto" w:sz="4" w:space="0"/>
              <w:right w:val="single" w:color="auto" w:sz="4" w:space="0"/>
            </w:tcBorders>
            <w:shd w:val="clear" w:color="auto" w:fill="auto"/>
            <w:noWrap/>
            <w:vAlign w:val="center"/>
          </w:tcPr>
          <w:p w14:paraId="0B52195D">
            <w:pPr>
              <w:widowControl/>
              <w:jc w:val="center"/>
              <w:rPr>
                <w:rFonts w:ascii="宋体" w:hAnsi="宋体" w:cs="宋体"/>
                <w:color w:val="000000"/>
                <w:kern w:val="0"/>
                <w:sz w:val="18"/>
                <w:szCs w:val="18"/>
              </w:rPr>
            </w:pPr>
            <w:r>
              <w:rPr>
                <w:rFonts w:hint="eastAsia" w:ascii="宋体" w:hAnsi="宋体" w:cs="宋体"/>
                <w:color w:val="000000"/>
                <w:kern w:val="0"/>
                <w:sz w:val="18"/>
                <w:szCs w:val="18"/>
              </w:rPr>
              <w:t>360.11</w:t>
            </w:r>
          </w:p>
        </w:tc>
      </w:tr>
      <w:tr w14:paraId="5303A198">
        <w:tblPrEx>
          <w:tblCellMar>
            <w:top w:w="0" w:type="dxa"/>
            <w:left w:w="108" w:type="dxa"/>
            <w:bottom w:w="0" w:type="dxa"/>
            <w:right w:w="108" w:type="dxa"/>
          </w:tblCellMar>
        </w:tblPrEx>
        <w:trPr>
          <w:trHeight w:val="288" w:hRule="atLeast"/>
          <w:jc w:val="center"/>
        </w:trPr>
        <w:tc>
          <w:tcPr>
            <w:tcW w:w="1572" w:type="dxa"/>
            <w:tcBorders>
              <w:top w:val="nil"/>
              <w:left w:val="single" w:color="auto" w:sz="4" w:space="0"/>
              <w:bottom w:val="single" w:color="auto" w:sz="4" w:space="0"/>
              <w:right w:val="single" w:color="auto" w:sz="4" w:space="0"/>
            </w:tcBorders>
            <w:shd w:val="clear" w:color="auto" w:fill="auto"/>
            <w:noWrap/>
            <w:vAlign w:val="center"/>
          </w:tcPr>
          <w:p w14:paraId="080744B0">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842" w:type="dxa"/>
            <w:tcBorders>
              <w:top w:val="nil"/>
              <w:left w:val="nil"/>
              <w:bottom w:val="single" w:color="auto" w:sz="4" w:space="0"/>
              <w:right w:val="single" w:color="auto" w:sz="4" w:space="0"/>
            </w:tcBorders>
            <w:shd w:val="clear" w:color="auto" w:fill="auto"/>
            <w:noWrap/>
            <w:vAlign w:val="center"/>
          </w:tcPr>
          <w:p w14:paraId="6297924F">
            <w:pPr>
              <w:widowControl/>
              <w:jc w:val="center"/>
              <w:rPr>
                <w:rFonts w:ascii="宋体" w:hAnsi="宋体" w:cs="宋体"/>
                <w:color w:val="000000"/>
                <w:kern w:val="0"/>
                <w:sz w:val="18"/>
                <w:szCs w:val="18"/>
              </w:rPr>
            </w:pPr>
            <w:r>
              <w:rPr>
                <w:rFonts w:hint="eastAsia" w:ascii="宋体" w:hAnsi="宋体" w:cs="宋体"/>
                <w:color w:val="000000"/>
                <w:kern w:val="0"/>
                <w:sz w:val="18"/>
                <w:szCs w:val="18"/>
              </w:rPr>
              <w:t>365.43</w:t>
            </w:r>
          </w:p>
        </w:tc>
        <w:tc>
          <w:tcPr>
            <w:tcW w:w="1843" w:type="dxa"/>
            <w:tcBorders>
              <w:top w:val="nil"/>
              <w:left w:val="nil"/>
              <w:bottom w:val="single" w:color="auto" w:sz="4" w:space="0"/>
              <w:right w:val="single" w:color="auto" w:sz="4" w:space="0"/>
            </w:tcBorders>
            <w:shd w:val="clear" w:color="auto" w:fill="auto"/>
            <w:noWrap/>
            <w:vAlign w:val="center"/>
          </w:tcPr>
          <w:p w14:paraId="2A3DC2F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561.45 </w:t>
            </w:r>
          </w:p>
        </w:tc>
        <w:tc>
          <w:tcPr>
            <w:tcW w:w="2002" w:type="dxa"/>
            <w:tcBorders>
              <w:top w:val="nil"/>
              <w:left w:val="nil"/>
              <w:bottom w:val="single" w:color="auto" w:sz="4" w:space="0"/>
              <w:right w:val="single" w:color="auto" w:sz="4" w:space="0"/>
            </w:tcBorders>
            <w:shd w:val="clear" w:color="auto" w:fill="auto"/>
            <w:noWrap/>
            <w:vAlign w:val="center"/>
          </w:tcPr>
          <w:p w14:paraId="52957F23">
            <w:pPr>
              <w:widowControl/>
              <w:jc w:val="center"/>
              <w:rPr>
                <w:rFonts w:ascii="宋体" w:hAnsi="宋体" w:cs="宋体"/>
                <w:color w:val="000000"/>
                <w:kern w:val="0"/>
                <w:sz w:val="18"/>
                <w:szCs w:val="18"/>
              </w:rPr>
            </w:pPr>
            <w:r>
              <w:rPr>
                <w:rFonts w:hint="eastAsia" w:ascii="宋体" w:hAnsi="宋体" w:cs="宋体"/>
                <w:color w:val="000000"/>
                <w:kern w:val="0"/>
                <w:sz w:val="18"/>
                <w:szCs w:val="18"/>
              </w:rPr>
              <w:t>196.02</w:t>
            </w:r>
          </w:p>
        </w:tc>
      </w:tr>
      <w:tr w14:paraId="39BB4952">
        <w:tblPrEx>
          <w:tblCellMar>
            <w:top w:w="0" w:type="dxa"/>
            <w:left w:w="108" w:type="dxa"/>
            <w:bottom w:w="0" w:type="dxa"/>
            <w:right w:w="108" w:type="dxa"/>
          </w:tblCellMar>
        </w:tblPrEx>
        <w:trPr>
          <w:trHeight w:val="288" w:hRule="atLeast"/>
          <w:jc w:val="center"/>
        </w:trPr>
        <w:tc>
          <w:tcPr>
            <w:tcW w:w="1572" w:type="dxa"/>
            <w:tcBorders>
              <w:top w:val="nil"/>
              <w:left w:val="single" w:color="auto" w:sz="4" w:space="0"/>
              <w:bottom w:val="single" w:color="auto" w:sz="4" w:space="0"/>
              <w:right w:val="single" w:color="auto" w:sz="4" w:space="0"/>
            </w:tcBorders>
            <w:shd w:val="clear" w:color="auto" w:fill="auto"/>
            <w:noWrap/>
            <w:vAlign w:val="center"/>
          </w:tcPr>
          <w:p w14:paraId="7C5E8D27">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842" w:type="dxa"/>
            <w:tcBorders>
              <w:top w:val="nil"/>
              <w:left w:val="nil"/>
              <w:bottom w:val="single" w:color="auto" w:sz="4" w:space="0"/>
              <w:right w:val="single" w:color="auto" w:sz="4" w:space="0"/>
            </w:tcBorders>
            <w:shd w:val="clear" w:color="auto" w:fill="auto"/>
            <w:noWrap/>
            <w:vAlign w:val="center"/>
          </w:tcPr>
          <w:p w14:paraId="2B676556">
            <w:pPr>
              <w:widowControl/>
              <w:jc w:val="center"/>
              <w:rPr>
                <w:rFonts w:ascii="宋体" w:hAnsi="宋体" w:cs="宋体"/>
                <w:color w:val="000000"/>
                <w:kern w:val="0"/>
                <w:sz w:val="18"/>
                <w:szCs w:val="18"/>
              </w:rPr>
            </w:pPr>
            <w:r>
              <w:rPr>
                <w:rFonts w:hint="eastAsia" w:ascii="宋体" w:hAnsi="宋体" w:cs="宋体"/>
                <w:color w:val="000000"/>
                <w:kern w:val="0"/>
                <w:sz w:val="18"/>
                <w:szCs w:val="18"/>
              </w:rPr>
              <w:t>155.58</w:t>
            </w:r>
          </w:p>
        </w:tc>
        <w:tc>
          <w:tcPr>
            <w:tcW w:w="1843" w:type="dxa"/>
            <w:tcBorders>
              <w:top w:val="nil"/>
              <w:left w:val="nil"/>
              <w:bottom w:val="single" w:color="auto" w:sz="4" w:space="0"/>
              <w:right w:val="single" w:color="auto" w:sz="4" w:space="0"/>
            </w:tcBorders>
            <w:shd w:val="clear" w:color="auto" w:fill="auto"/>
            <w:noWrap/>
            <w:vAlign w:val="center"/>
          </w:tcPr>
          <w:p w14:paraId="68730CB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284.30 </w:t>
            </w:r>
          </w:p>
        </w:tc>
        <w:tc>
          <w:tcPr>
            <w:tcW w:w="2002" w:type="dxa"/>
            <w:tcBorders>
              <w:top w:val="nil"/>
              <w:left w:val="nil"/>
              <w:bottom w:val="single" w:color="auto" w:sz="4" w:space="0"/>
              <w:right w:val="single" w:color="auto" w:sz="4" w:space="0"/>
            </w:tcBorders>
            <w:shd w:val="clear" w:color="auto" w:fill="auto"/>
            <w:noWrap/>
            <w:vAlign w:val="center"/>
          </w:tcPr>
          <w:p w14:paraId="1BB77B40">
            <w:pPr>
              <w:widowControl/>
              <w:jc w:val="center"/>
              <w:rPr>
                <w:rFonts w:ascii="宋体" w:hAnsi="宋体" w:cs="宋体"/>
                <w:color w:val="000000"/>
                <w:kern w:val="0"/>
                <w:sz w:val="18"/>
                <w:szCs w:val="18"/>
              </w:rPr>
            </w:pPr>
            <w:r>
              <w:rPr>
                <w:rFonts w:hint="eastAsia" w:ascii="宋体" w:hAnsi="宋体" w:cs="宋体"/>
                <w:color w:val="000000"/>
                <w:kern w:val="0"/>
                <w:sz w:val="18"/>
                <w:szCs w:val="18"/>
              </w:rPr>
              <w:t>128.72</w:t>
            </w:r>
          </w:p>
        </w:tc>
      </w:tr>
      <w:tr w14:paraId="325A4B43">
        <w:tblPrEx>
          <w:tblCellMar>
            <w:top w:w="0" w:type="dxa"/>
            <w:left w:w="108" w:type="dxa"/>
            <w:bottom w:w="0" w:type="dxa"/>
            <w:right w:w="108" w:type="dxa"/>
          </w:tblCellMar>
        </w:tblPrEx>
        <w:trPr>
          <w:trHeight w:val="288" w:hRule="atLeast"/>
          <w:jc w:val="center"/>
        </w:trPr>
        <w:tc>
          <w:tcPr>
            <w:tcW w:w="1572" w:type="dxa"/>
            <w:tcBorders>
              <w:top w:val="nil"/>
              <w:left w:val="single" w:color="auto" w:sz="4" w:space="0"/>
              <w:bottom w:val="single" w:color="auto" w:sz="4" w:space="0"/>
              <w:right w:val="single" w:color="auto" w:sz="4" w:space="0"/>
            </w:tcBorders>
            <w:shd w:val="clear" w:color="auto" w:fill="auto"/>
            <w:noWrap/>
            <w:vAlign w:val="center"/>
          </w:tcPr>
          <w:p w14:paraId="0A4C0647">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842" w:type="dxa"/>
            <w:tcBorders>
              <w:top w:val="nil"/>
              <w:left w:val="nil"/>
              <w:bottom w:val="single" w:color="auto" w:sz="4" w:space="0"/>
              <w:right w:val="single" w:color="auto" w:sz="4" w:space="0"/>
            </w:tcBorders>
            <w:shd w:val="clear" w:color="auto" w:fill="auto"/>
            <w:noWrap/>
            <w:vAlign w:val="center"/>
          </w:tcPr>
          <w:p w14:paraId="4529D6D3">
            <w:pPr>
              <w:widowControl/>
              <w:jc w:val="center"/>
              <w:rPr>
                <w:rFonts w:ascii="宋体" w:hAnsi="宋体" w:cs="宋体"/>
                <w:color w:val="000000"/>
                <w:kern w:val="0"/>
                <w:sz w:val="18"/>
                <w:szCs w:val="18"/>
              </w:rPr>
            </w:pPr>
            <w:r>
              <w:rPr>
                <w:rFonts w:hint="eastAsia" w:ascii="宋体" w:hAnsi="宋体" w:cs="宋体"/>
                <w:color w:val="000000"/>
                <w:kern w:val="0"/>
                <w:sz w:val="18"/>
                <w:szCs w:val="18"/>
              </w:rPr>
              <w:t>133.64</w:t>
            </w:r>
          </w:p>
        </w:tc>
        <w:tc>
          <w:tcPr>
            <w:tcW w:w="1843" w:type="dxa"/>
            <w:tcBorders>
              <w:top w:val="nil"/>
              <w:left w:val="nil"/>
              <w:bottom w:val="single" w:color="auto" w:sz="4" w:space="0"/>
              <w:right w:val="single" w:color="auto" w:sz="4" w:space="0"/>
            </w:tcBorders>
            <w:shd w:val="clear" w:color="auto" w:fill="auto"/>
            <w:noWrap/>
            <w:vAlign w:val="center"/>
          </w:tcPr>
          <w:p w14:paraId="44E56DF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136.35 </w:t>
            </w:r>
          </w:p>
        </w:tc>
        <w:tc>
          <w:tcPr>
            <w:tcW w:w="2002" w:type="dxa"/>
            <w:tcBorders>
              <w:top w:val="nil"/>
              <w:left w:val="nil"/>
              <w:bottom w:val="single" w:color="auto" w:sz="4" w:space="0"/>
              <w:right w:val="single" w:color="auto" w:sz="4" w:space="0"/>
            </w:tcBorders>
            <w:shd w:val="clear" w:color="auto" w:fill="auto"/>
            <w:noWrap/>
            <w:vAlign w:val="center"/>
          </w:tcPr>
          <w:p w14:paraId="16C79884">
            <w:pPr>
              <w:widowControl/>
              <w:jc w:val="center"/>
              <w:rPr>
                <w:rFonts w:ascii="宋体" w:hAnsi="宋体" w:cs="宋体"/>
                <w:color w:val="000000"/>
                <w:kern w:val="0"/>
                <w:sz w:val="18"/>
                <w:szCs w:val="18"/>
              </w:rPr>
            </w:pPr>
            <w:r>
              <w:rPr>
                <w:rFonts w:hint="eastAsia" w:ascii="宋体" w:hAnsi="宋体" w:cs="宋体"/>
                <w:color w:val="000000"/>
                <w:kern w:val="0"/>
                <w:sz w:val="18"/>
                <w:szCs w:val="18"/>
              </w:rPr>
              <w:t>2.71</w:t>
            </w:r>
          </w:p>
        </w:tc>
      </w:tr>
      <w:tr w14:paraId="758C35D1">
        <w:tblPrEx>
          <w:tblCellMar>
            <w:top w:w="0" w:type="dxa"/>
            <w:left w:w="108" w:type="dxa"/>
            <w:bottom w:w="0" w:type="dxa"/>
            <w:right w:w="108" w:type="dxa"/>
          </w:tblCellMar>
        </w:tblPrEx>
        <w:trPr>
          <w:trHeight w:val="288" w:hRule="atLeast"/>
          <w:jc w:val="center"/>
        </w:trPr>
        <w:tc>
          <w:tcPr>
            <w:tcW w:w="1572" w:type="dxa"/>
            <w:tcBorders>
              <w:top w:val="nil"/>
              <w:left w:val="single" w:color="auto" w:sz="4" w:space="0"/>
              <w:bottom w:val="single" w:color="auto" w:sz="4" w:space="0"/>
              <w:right w:val="single" w:color="auto" w:sz="4" w:space="0"/>
            </w:tcBorders>
            <w:shd w:val="clear" w:color="auto" w:fill="auto"/>
            <w:noWrap/>
            <w:vAlign w:val="center"/>
          </w:tcPr>
          <w:p w14:paraId="58B004EC">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842" w:type="dxa"/>
            <w:tcBorders>
              <w:top w:val="nil"/>
              <w:left w:val="nil"/>
              <w:bottom w:val="single" w:color="auto" w:sz="4" w:space="0"/>
              <w:right w:val="single" w:color="auto" w:sz="4" w:space="0"/>
            </w:tcBorders>
            <w:shd w:val="clear" w:color="auto" w:fill="auto"/>
            <w:noWrap/>
            <w:vAlign w:val="center"/>
          </w:tcPr>
          <w:p w14:paraId="257AC1D4">
            <w:pPr>
              <w:widowControl/>
              <w:jc w:val="center"/>
              <w:rPr>
                <w:rFonts w:ascii="宋体" w:hAnsi="宋体" w:cs="宋体"/>
                <w:color w:val="000000"/>
                <w:kern w:val="0"/>
                <w:sz w:val="18"/>
                <w:szCs w:val="18"/>
              </w:rPr>
            </w:pPr>
            <w:r>
              <w:rPr>
                <w:rFonts w:hint="eastAsia" w:ascii="宋体" w:hAnsi="宋体" w:cs="宋体"/>
                <w:color w:val="000000"/>
                <w:kern w:val="0"/>
                <w:sz w:val="18"/>
                <w:szCs w:val="18"/>
              </w:rPr>
              <w:t>5147.39</w:t>
            </w:r>
          </w:p>
        </w:tc>
        <w:tc>
          <w:tcPr>
            <w:tcW w:w="1843" w:type="dxa"/>
            <w:tcBorders>
              <w:top w:val="nil"/>
              <w:left w:val="nil"/>
              <w:bottom w:val="single" w:color="auto" w:sz="4" w:space="0"/>
              <w:right w:val="single" w:color="auto" w:sz="4" w:space="0"/>
            </w:tcBorders>
            <w:shd w:val="clear" w:color="auto" w:fill="auto"/>
            <w:noWrap/>
            <w:vAlign w:val="center"/>
          </w:tcPr>
          <w:p w14:paraId="3C8999D6">
            <w:pPr>
              <w:widowControl/>
              <w:jc w:val="center"/>
              <w:rPr>
                <w:rFonts w:ascii="宋体" w:hAnsi="宋体" w:cs="宋体"/>
                <w:color w:val="000000"/>
                <w:kern w:val="0"/>
                <w:sz w:val="18"/>
                <w:szCs w:val="18"/>
              </w:rPr>
            </w:pPr>
            <w:r>
              <w:rPr>
                <w:rFonts w:hint="eastAsia" w:ascii="宋体" w:hAnsi="宋体" w:cs="宋体"/>
                <w:color w:val="000000"/>
                <w:kern w:val="0"/>
                <w:sz w:val="18"/>
                <w:szCs w:val="18"/>
              </w:rPr>
              <w:t>6156</w:t>
            </w:r>
          </w:p>
        </w:tc>
        <w:tc>
          <w:tcPr>
            <w:tcW w:w="2002" w:type="dxa"/>
            <w:tcBorders>
              <w:top w:val="nil"/>
              <w:left w:val="nil"/>
              <w:bottom w:val="single" w:color="auto" w:sz="4" w:space="0"/>
              <w:right w:val="single" w:color="auto" w:sz="4" w:space="0"/>
            </w:tcBorders>
            <w:shd w:val="clear" w:color="auto" w:fill="auto"/>
            <w:noWrap/>
            <w:vAlign w:val="center"/>
          </w:tcPr>
          <w:p w14:paraId="55419F72">
            <w:pPr>
              <w:widowControl/>
              <w:jc w:val="center"/>
              <w:rPr>
                <w:rFonts w:ascii="宋体" w:hAnsi="宋体" w:cs="宋体"/>
                <w:color w:val="000000"/>
                <w:kern w:val="0"/>
                <w:sz w:val="18"/>
                <w:szCs w:val="18"/>
              </w:rPr>
            </w:pPr>
            <w:r>
              <w:rPr>
                <w:rFonts w:hint="eastAsia" w:ascii="宋体" w:hAnsi="宋体" w:cs="宋体"/>
                <w:color w:val="000000"/>
                <w:kern w:val="0"/>
                <w:sz w:val="18"/>
                <w:szCs w:val="18"/>
              </w:rPr>
              <w:t>1008.61</w:t>
            </w:r>
          </w:p>
        </w:tc>
      </w:tr>
    </w:tbl>
    <w:p w14:paraId="6E1446BA">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三、城乡建设用地规模</w:t>
      </w:r>
    </w:p>
    <w:p w14:paraId="45A19698">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（一）调整原则</w:t>
      </w:r>
    </w:p>
    <w:p w14:paraId="6F76BDD9">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根据规划实施期间年度土地变更调查中城乡建设用地的变化趋势，合理预测</w:t>
      </w:r>
      <w:r>
        <w:rPr>
          <w:rFonts w:ascii="仿宋_GB2312" w:hAnsi="宋体" w:eastAsia="仿宋_GB2312"/>
          <w:kern w:val="0"/>
          <w:sz w:val="28"/>
          <w:szCs w:val="28"/>
        </w:rPr>
        <w:t xml:space="preserve">2020 </w:t>
      </w:r>
      <w:r>
        <w:rPr>
          <w:rFonts w:hint="eastAsia" w:ascii="仿宋_GB2312" w:hAnsi="宋体" w:eastAsia="仿宋_GB2312"/>
          <w:kern w:val="0"/>
          <w:sz w:val="28"/>
          <w:szCs w:val="28"/>
        </w:rPr>
        <w:t>年城乡建设用地规模和新增城乡建设用地规模，结合各乡镇建设发展需要，对分解至各乡镇城乡建设用地规模进行调整。</w:t>
      </w:r>
    </w:p>
    <w:p w14:paraId="044D123C">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（二）调整方法及结果</w:t>
      </w:r>
    </w:p>
    <w:p w14:paraId="0D9DD56A">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昆明市下达东川区的城乡建设用地指标为</w:t>
      </w:r>
      <w:r>
        <w:rPr>
          <w:rFonts w:ascii="仿宋_GB2312" w:hAnsi="宋体" w:eastAsia="仿宋_GB2312"/>
          <w:kern w:val="0"/>
          <w:sz w:val="28"/>
          <w:szCs w:val="28"/>
        </w:rPr>
        <w:t>5368.57</w:t>
      </w:r>
      <w:r>
        <w:rPr>
          <w:rFonts w:hint="eastAsia" w:ascii="仿宋_GB2312" w:hAnsi="宋体" w:eastAsia="仿宋_GB2312"/>
          <w:kern w:val="0"/>
          <w:sz w:val="28"/>
          <w:szCs w:val="28"/>
        </w:rPr>
        <w:t>公顷，预留5%的新增城乡建设用地面积15.65公顷，扣减预留指标后，以2014年变更调查结果为基础，满足变更、报批及涉及规划修改的项目指标需求后，综合考虑东川区未来经济社会发展计划等内容，对各乡镇的城乡建设用地指标进行分解。</w:t>
      </w:r>
    </w:p>
    <w:p w14:paraId="1B54BAB9">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昆明市下达东川区城乡建设用地规模为</w:t>
      </w:r>
      <w:r>
        <w:rPr>
          <w:rFonts w:ascii="仿宋_GB2312" w:hAnsi="宋体" w:eastAsia="仿宋_GB2312"/>
          <w:kern w:val="0"/>
          <w:sz w:val="28"/>
          <w:szCs w:val="28"/>
        </w:rPr>
        <w:t xml:space="preserve"> 5368.57</w:t>
      </w:r>
      <w:r>
        <w:rPr>
          <w:rFonts w:hint="eastAsia" w:ascii="仿宋_GB2312" w:hAnsi="宋体" w:eastAsia="仿宋_GB2312"/>
          <w:kern w:val="0"/>
          <w:sz w:val="28"/>
          <w:szCs w:val="28"/>
        </w:rPr>
        <w:t>公顷，扣除</w:t>
      </w:r>
      <w:r>
        <w:rPr>
          <w:rFonts w:ascii="仿宋_GB2312" w:hAnsi="宋体" w:eastAsia="仿宋_GB2312"/>
          <w:kern w:val="0"/>
          <w:sz w:val="28"/>
          <w:szCs w:val="28"/>
        </w:rPr>
        <w:t xml:space="preserve">2014 </w:t>
      </w:r>
      <w:r>
        <w:rPr>
          <w:rFonts w:hint="eastAsia" w:ascii="仿宋_GB2312" w:hAnsi="宋体" w:eastAsia="仿宋_GB2312"/>
          <w:kern w:val="0"/>
          <w:sz w:val="28"/>
          <w:szCs w:val="28"/>
        </w:rPr>
        <w:t>年现状城乡建设用地后，可安排新增城乡建设用地313.03公顷。为了保障新农村建设，预留15.65公顷新增城乡建设用地，占新增城乡建设用地规模的5</w:t>
      </w:r>
      <w:r>
        <w:rPr>
          <w:rFonts w:ascii="仿宋_GB2312" w:hAnsi="宋体" w:eastAsia="仿宋_GB2312"/>
          <w:kern w:val="0"/>
          <w:sz w:val="28"/>
          <w:szCs w:val="28"/>
        </w:rPr>
        <w:t>%</w:t>
      </w:r>
      <w:r>
        <w:rPr>
          <w:rFonts w:hint="eastAsia" w:ascii="仿宋_GB2312" w:hAnsi="宋体" w:eastAsia="仿宋_GB2312"/>
          <w:kern w:val="0"/>
          <w:sz w:val="28"/>
          <w:szCs w:val="28"/>
        </w:rPr>
        <w:t>，各乡镇可分解安排的新增城乡建设用地指标为297.38公顷。按照各乡镇安排新增城乡建设用地增长情况及城乡建设用地占建设用地比例，将新增城乡建设用地分解至各乡镇，再根据规划实施期间各乡镇城乡建设用指标使用进度，适当增加或核减。</w:t>
      </w:r>
    </w:p>
    <w:p w14:paraId="2EA01442">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指标调整后，</w:t>
      </w:r>
      <w:r>
        <w:rPr>
          <w:rFonts w:ascii="仿宋_GB2312" w:hAnsi="宋体" w:eastAsia="仿宋_GB2312"/>
          <w:kern w:val="0"/>
          <w:sz w:val="28"/>
          <w:szCs w:val="28"/>
        </w:rPr>
        <w:t xml:space="preserve">2020 </w:t>
      </w:r>
      <w:r>
        <w:rPr>
          <w:rFonts w:hint="eastAsia" w:ascii="仿宋_GB2312" w:hAnsi="宋体" w:eastAsia="仿宋_GB2312"/>
          <w:kern w:val="0"/>
          <w:sz w:val="28"/>
          <w:szCs w:val="28"/>
        </w:rPr>
        <w:t>年东川区城乡建设用地规模调整为</w:t>
      </w:r>
      <w:r>
        <w:rPr>
          <w:rFonts w:ascii="仿宋_GB2312" w:hAnsi="宋体" w:eastAsia="仿宋_GB2312"/>
          <w:kern w:val="0"/>
          <w:sz w:val="28"/>
          <w:szCs w:val="28"/>
        </w:rPr>
        <w:t xml:space="preserve">5368.57 </w:t>
      </w:r>
      <w:r>
        <w:rPr>
          <w:rFonts w:hint="eastAsia" w:ascii="仿宋_GB2312" w:hAnsi="宋体" w:eastAsia="仿宋_GB2312"/>
          <w:kern w:val="0"/>
          <w:sz w:val="28"/>
          <w:szCs w:val="28"/>
        </w:rPr>
        <w:t>公顷，较调整前增加了1691.32公顷，各个乡镇的城乡建设用地均有所增加。主要是由于现行规划安排了大量的城乡建设用地增加挂钩拆旧区，却没有安排相应的新增用地指标，本次规划取消城乡建设用地增减挂钩项目后，合理考虑了城镇及村镇建设用地需求，故城乡建设用地规模有所增加。</w:t>
      </w:r>
    </w:p>
    <w:p w14:paraId="2BCA6D5E">
      <w:pPr>
        <w:jc w:val="center"/>
        <w:outlineLvl w:val="4"/>
        <w:rPr>
          <w:rFonts w:ascii="宋体" w:hAnsi="宋体"/>
          <w:b/>
          <w:sz w:val="24"/>
        </w:rPr>
      </w:pPr>
      <w:r>
        <w:rPr>
          <w:rFonts w:hint="eastAsia" w:ascii="宋体" w:hAnsi="宋体"/>
          <w:b/>
          <w:sz w:val="24"/>
        </w:rPr>
        <w:t>表5-8 东川区城乡建设用地规模指标调整情况表</w:t>
      </w:r>
    </w:p>
    <w:p w14:paraId="2B1D2B4C">
      <w:pPr>
        <w:spacing w:line="360" w:lineRule="auto"/>
        <w:ind w:firstLine="360" w:firstLineChars="200"/>
        <w:jc w:val="center"/>
        <w:rPr>
          <w:rFonts w:ascii="宋体" w:hAnsi="宋体"/>
          <w:color w:val="000000"/>
          <w:sz w:val="18"/>
          <w:szCs w:val="18"/>
        </w:rPr>
      </w:pPr>
      <w:r>
        <w:rPr>
          <w:rFonts w:hint="eastAsia" w:ascii="宋体" w:hAnsi="宋体"/>
          <w:color w:val="000000"/>
          <w:sz w:val="18"/>
          <w:szCs w:val="18"/>
        </w:rPr>
        <w:t xml:space="preserve">                                                          单位：公顷</w:t>
      </w:r>
    </w:p>
    <w:tbl>
      <w:tblPr>
        <w:tblStyle w:val="27"/>
        <w:tblW w:w="6978" w:type="dxa"/>
        <w:jc w:val="center"/>
        <w:tblLayout w:type="autofit"/>
        <w:tblCellMar>
          <w:top w:w="0" w:type="dxa"/>
          <w:left w:w="108" w:type="dxa"/>
          <w:bottom w:w="0" w:type="dxa"/>
          <w:right w:w="108" w:type="dxa"/>
        </w:tblCellMar>
      </w:tblPr>
      <w:tblGrid>
        <w:gridCol w:w="1961"/>
        <w:gridCol w:w="1513"/>
        <w:gridCol w:w="1519"/>
        <w:gridCol w:w="1985"/>
      </w:tblGrid>
      <w:tr w14:paraId="76B05B7C">
        <w:tblPrEx>
          <w:tblCellMar>
            <w:top w:w="0" w:type="dxa"/>
            <w:left w:w="108" w:type="dxa"/>
            <w:bottom w:w="0" w:type="dxa"/>
            <w:right w:w="108" w:type="dxa"/>
          </w:tblCellMar>
        </w:tblPrEx>
        <w:trPr>
          <w:trHeight w:val="288" w:hRule="atLeast"/>
          <w:jc w:val="center"/>
        </w:trPr>
        <w:tc>
          <w:tcPr>
            <w:tcW w:w="196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E20D6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行政辖区</w:t>
            </w:r>
          </w:p>
        </w:tc>
        <w:tc>
          <w:tcPr>
            <w:tcW w:w="1513" w:type="dxa"/>
            <w:tcBorders>
              <w:top w:val="single" w:color="auto" w:sz="4" w:space="0"/>
              <w:left w:val="nil"/>
              <w:bottom w:val="single" w:color="auto" w:sz="4" w:space="0"/>
              <w:right w:val="single" w:color="auto" w:sz="4" w:space="0"/>
            </w:tcBorders>
            <w:shd w:val="clear" w:color="auto" w:fill="auto"/>
            <w:noWrap/>
            <w:vAlign w:val="center"/>
          </w:tcPr>
          <w:p w14:paraId="5138388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调整前</w:t>
            </w:r>
          </w:p>
        </w:tc>
        <w:tc>
          <w:tcPr>
            <w:tcW w:w="1519" w:type="dxa"/>
            <w:tcBorders>
              <w:top w:val="single" w:color="auto" w:sz="4" w:space="0"/>
              <w:left w:val="nil"/>
              <w:bottom w:val="single" w:color="auto" w:sz="4" w:space="0"/>
              <w:right w:val="single" w:color="auto" w:sz="4" w:space="0"/>
            </w:tcBorders>
            <w:shd w:val="clear" w:color="auto" w:fill="auto"/>
            <w:noWrap/>
            <w:vAlign w:val="center"/>
          </w:tcPr>
          <w:p w14:paraId="1C9BED8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调整后</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3FDFF7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差值</w:t>
            </w:r>
          </w:p>
        </w:tc>
      </w:tr>
      <w:tr w14:paraId="0D14BF4F">
        <w:tblPrEx>
          <w:tblCellMar>
            <w:top w:w="0" w:type="dxa"/>
            <w:left w:w="108" w:type="dxa"/>
            <w:bottom w:w="0" w:type="dxa"/>
            <w:right w:w="108" w:type="dxa"/>
          </w:tblCellMar>
        </w:tblPrEx>
        <w:trPr>
          <w:trHeight w:val="288" w:hRule="atLeast"/>
          <w:jc w:val="center"/>
        </w:trPr>
        <w:tc>
          <w:tcPr>
            <w:tcW w:w="1961" w:type="dxa"/>
            <w:tcBorders>
              <w:top w:val="nil"/>
              <w:left w:val="single" w:color="auto" w:sz="4" w:space="0"/>
              <w:bottom w:val="single" w:color="auto" w:sz="4" w:space="0"/>
              <w:right w:val="single" w:color="auto" w:sz="4" w:space="0"/>
            </w:tcBorders>
            <w:shd w:val="clear" w:color="auto" w:fill="auto"/>
            <w:noWrap/>
            <w:vAlign w:val="center"/>
          </w:tcPr>
          <w:p w14:paraId="31DC2B2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预留指标</w:t>
            </w:r>
          </w:p>
        </w:tc>
        <w:tc>
          <w:tcPr>
            <w:tcW w:w="1513" w:type="dxa"/>
            <w:tcBorders>
              <w:top w:val="nil"/>
              <w:left w:val="nil"/>
              <w:bottom w:val="single" w:color="auto" w:sz="4" w:space="0"/>
              <w:right w:val="single" w:color="auto" w:sz="4" w:space="0"/>
            </w:tcBorders>
            <w:shd w:val="clear" w:color="auto" w:fill="auto"/>
            <w:noWrap/>
            <w:vAlign w:val="center"/>
          </w:tcPr>
          <w:p w14:paraId="39047FF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w:t>
            </w:r>
          </w:p>
        </w:tc>
        <w:tc>
          <w:tcPr>
            <w:tcW w:w="1519" w:type="dxa"/>
            <w:tcBorders>
              <w:top w:val="nil"/>
              <w:left w:val="nil"/>
              <w:bottom w:val="single" w:color="auto" w:sz="4" w:space="0"/>
              <w:right w:val="single" w:color="auto" w:sz="4" w:space="0"/>
            </w:tcBorders>
            <w:shd w:val="clear" w:color="auto" w:fill="auto"/>
            <w:noWrap/>
            <w:vAlign w:val="center"/>
          </w:tcPr>
          <w:p w14:paraId="76723C54">
            <w:pPr>
              <w:widowControl/>
              <w:jc w:val="center"/>
              <w:rPr>
                <w:rFonts w:ascii="宋体" w:hAnsi="宋体" w:cs="宋体"/>
                <w:color w:val="000000"/>
                <w:kern w:val="0"/>
                <w:sz w:val="18"/>
                <w:szCs w:val="18"/>
              </w:rPr>
            </w:pPr>
            <w:r>
              <w:rPr>
                <w:rFonts w:hint="eastAsia" w:ascii="宋体" w:hAnsi="宋体" w:cs="宋体"/>
                <w:color w:val="000000"/>
                <w:kern w:val="0"/>
                <w:sz w:val="18"/>
                <w:szCs w:val="18"/>
              </w:rPr>
              <w:t>15.65</w:t>
            </w:r>
          </w:p>
        </w:tc>
        <w:tc>
          <w:tcPr>
            <w:tcW w:w="1985" w:type="dxa"/>
            <w:tcBorders>
              <w:top w:val="nil"/>
              <w:left w:val="nil"/>
              <w:bottom w:val="single" w:color="auto" w:sz="4" w:space="0"/>
              <w:right w:val="single" w:color="auto" w:sz="4" w:space="0"/>
            </w:tcBorders>
            <w:shd w:val="clear" w:color="auto" w:fill="auto"/>
            <w:noWrap/>
            <w:vAlign w:val="center"/>
          </w:tcPr>
          <w:p w14:paraId="54AEDD3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w:t>
            </w:r>
          </w:p>
        </w:tc>
      </w:tr>
      <w:tr w14:paraId="1250D6ED">
        <w:tblPrEx>
          <w:tblCellMar>
            <w:top w:w="0" w:type="dxa"/>
            <w:left w:w="108" w:type="dxa"/>
            <w:bottom w:w="0" w:type="dxa"/>
            <w:right w:w="108" w:type="dxa"/>
          </w:tblCellMar>
        </w:tblPrEx>
        <w:trPr>
          <w:trHeight w:val="288" w:hRule="atLeast"/>
          <w:jc w:val="center"/>
        </w:trPr>
        <w:tc>
          <w:tcPr>
            <w:tcW w:w="1961" w:type="dxa"/>
            <w:tcBorders>
              <w:top w:val="nil"/>
              <w:left w:val="single" w:color="auto" w:sz="4" w:space="0"/>
              <w:bottom w:val="single" w:color="auto" w:sz="4" w:space="0"/>
              <w:right w:val="single" w:color="auto" w:sz="4" w:space="0"/>
            </w:tcBorders>
            <w:shd w:val="clear" w:color="auto" w:fill="auto"/>
            <w:noWrap/>
            <w:vAlign w:val="center"/>
          </w:tcPr>
          <w:p w14:paraId="114B18D3">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513" w:type="dxa"/>
            <w:tcBorders>
              <w:top w:val="nil"/>
              <w:left w:val="nil"/>
              <w:bottom w:val="single" w:color="auto" w:sz="4" w:space="0"/>
              <w:right w:val="single" w:color="auto" w:sz="4" w:space="0"/>
            </w:tcBorders>
            <w:shd w:val="clear" w:color="auto" w:fill="auto"/>
            <w:noWrap/>
            <w:vAlign w:val="center"/>
          </w:tcPr>
          <w:p w14:paraId="4E104F98">
            <w:pPr>
              <w:widowControl/>
              <w:jc w:val="center"/>
              <w:rPr>
                <w:rFonts w:ascii="宋体" w:hAnsi="宋体" w:cs="宋体"/>
                <w:color w:val="000000"/>
                <w:kern w:val="0"/>
                <w:sz w:val="18"/>
                <w:szCs w:val="18"/>
              </w:rPr>
            </w:pPr>
            <w:r>
              <w:rPr>
                <w:rFonts w:hint="eastAsia" w:ascii="宋体" w:hAnsi="宋体" w:cs="宋体"/>
                <w:color w:val="000000"/>
                <w:kern w:val="0"/>
                <w:sz w:val="18"/>
                <w:szCs w:val="18"/>
              </w:rPr>
              <w:t>328.14</w:t>
            </w:r>
          </w:p>
        </w:tc>
        <w:tc>
          <w:tcPr>
            <w:tcW w:w="1519" w:type="dxa"/>
            <w:tcBorders>
              <w:top w:val="nil"/>
              <w:left w:val="nil"/>
              <w:bottom w:val="single" w:color="auto" w:sz="4" w:space="0"/>
              <w:right w:val="single" w:color="auto" w:sz="4" w:space="0"/>
            </w:tcBorders>
            <w:shd w:val="clear" w:color="auto" w:fill="auto"/>
            <w:noWrap/>
            <w:vAlign w:val="center"/>
          </w:tcPr>
          <w:p w14:paraId="2D2BB1C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497.12 </w:t>
            </w:r>
          </w:p>
        </w:tc>
        <w:tc>
          <w:tcPr>
            <w:tcW w:w="1985" w:type="dxa"/>
            <w:tcBorders>
              <w:top w:val="nil"/>
              <w:left w:val="nil"/>
              <w:bottom w:val="single" w:color="auto" w:sz="4" w:space="0"/>
              <w:right w:val="single" w:color="auto" w:sz="4" w:space="0"/>
            </w:tcBorders>
            <w:shd w:val="clear" w:color="auto" w:fill="auto"/>
            <w:noWrap/>
            <w:vAlign w:val="center"/>
          </w:tcPr>
          <w:p w14:paraId="517B1EDE">
            <w:pPr>
              <w:widowControl/>
              <w:jc w:val="center"/>
              <w:rPr>
                <w:rFonts w:ascii="宋体" w:hAnsi="宋体" w:cs="宋体"/>
                <w:color w:val="000000"/>
                <w:kern w:val="0"/>
                <w:sz w:val="18"/>
                <w:szCs w:val="18"/>
              </w:rPr>
            </w:pPr>
            <w:r>
              <w:rPr>
                <w:rFonts w:hint="eastAsia" w:ascii="宋体" w:hAnsi="宋体" w:cs="宋体"/>
                <w:color w:val="000000"/>
                <w:kern w:val="0"/>
                <w:sz w:val="18"/>
                <w:szCs w:val="18"/>
              </w:rPr>
              <w:t>168.98</w:t>
            </w:r>
          </w:p>
        </w:tc>
      </w:tr>
      <w:tr w14:paraId="1DDD69B2">
        <w:tblPrEx>
          <w:tblCellMar>
            <w:top w:w="0" w:type="dxa"/>
            <w:left w:w="108" w:type="dxa"/>
            <w:bottom w:w="0" w:type="dxa"/>
            <w:right w:w="108" w:type="dxa"/>
          </w:tblCellMar>
        </w:tblPrEx>
        <w:trPr>
          <w:trHeight w:val="288" w:hRule="atLeast"/>
          <w:jc w:val="center"/>
        </w:trPr>
        <w:tc>
          <w:tcPr>
            <w:tcW w:w="1961" w:type="dxa"/>
            <w:tcBorders>
              <w:top w:val="nil"/>
              <w:left w:val="single" w:color="auto" w:sz="4" w:space="0"/>
              <w:bottom w:val="single" w:color="auto" w:sz="4" w:space="0"/>
              <w:right w:val="single" w:color="auto" w:sz="4" w:space="0"/>
            </w:tcBorders>
            <w:shd w:val="clear" w:color="auto" w:fill="auto"/>
            <w:noWrap/>
            <w:vAlign w:val="center"/>
          </w:tcPr>
          <w:p w14:paraId="3202BB0A">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513" w:type="dxa"/>
            <w:tcBorders>
              <w:top w:val="nil"/>
              <w:left w:val="nil"/>
              <w:bottom w:val="single" w:color="auto" w:sz="4" w:space="0"/>
              <w:right w:val="single" w:color="auto" w:sz="4" w:space="0"/>
            </w:tcBorders>
            <w:shd w:val="clear" w:color="auto" w:fill="auto"/>
            <w:noWrap/>
            <w:vAlign w:val="center"/>
          </w:tcPr>
          <w:p w14:paraId="7EA4A86A">
            <w:pPr>
              <w:widowControl/>
              <w:jc w:val="center"/>
              <w:rPr>
                <w:rFonts w:ascii="宋体" w:hAnsi="宋体" w:cs="宋体"/>
                <w:color w:val="000000"/>
                <w:kern w:val="0"/>
                <w:sz w:val="18"/>
                <w:szCs w:val="18"/>
              </w:rPr>
            </w:pPr>
            <w:r>
              <w:rPr>
                <w:rFonts w:hint="eastAsia" w:ascii="宋体" w:hAnsi="宋体" w:cs="宋体"/>
                <w:color w:val="000000"/>
                <w:kern w:val="0"/>
                <w:sz w:val="18"/>
                <w:szCs w:val="18"/>
              </w:rPr>
              <w:t>1888.17</w:t>
            </w:r>
          </w:p>
        </w:tc>
        <w:tc>
          <w:tcPr>
            <w:tcW w:w="1519" w:type="dxa"/>
            <w:tcBorders>
              <w:top w:val="nil"/>
              <w:left w:val="nil"/>
              <w:bottom w:val="single" w:color="auto" w:sz="4" w:space="0"/>
              <w:right w:val="single" w:color="auto" w:sz="4" w:space="0"/>
            </w:tcBorders>
            <w:shd w:val="clear" w:color="auto" w:fill="auto"/>
            <w:noWrap/>
            <w:vAlign w:val="center"/>
          </w:tcPr>
          <w:p w14:paraId="6DB210F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2318.87 </w:t>
            </w:r>
          </w:p>
        </w:tc>
        <w:tc>
          <w:tcPr>
            <w:tcW w:w="1985" w:type="dxa"/>
            <w:tcBorders>
              <w:top w:val="nil"/>
              <w:left w:val="nil"/>
              <w:bottom w:val="single" w:color="auto" w:sz="4" w:space="0"/>
              <w:right w:val="single" w:color="auto" w:sz="4" w:space="0"/>
            </w:tcBorders>
            <w:shd w:val="clear" w:color="auto" w:fill="auto"/>
            <w:noWrap/>
            <w:vAlign w:val="center"/>
          </w:tcPr>
          <w:p w14:paraId="5A78AEE6">
            <w:pPr>
              <w:widowControl/>
              <w:jc w:val="center"/>
              <w:rPr>
                <w:rFonts w:ascii="宋体" w:hAnsi="宋体" w:cs="宋体"/>
                <w:color w:val="000000"/>
                <w:kern w:val="0"/>
                <w:sz w:val="18"/>
                <w:szCs w:val="18"/>
              </w:rPr>
            </w:pPr>
            <w:r>
              <w:rPr>
                <w:rFonts w:hint="eastAsia" w:ascii="宋体" w:hAnsi="宋体" w:cs="宋体"/>
                <w:color w:val="000000"/>
                <w:kern w:val="0"/>
                <w:sz w:val="18"/>
                <w:szCs w:val="18"/>
              </w:rPr>
              <w:t>430.7</w:t>
            </w:r>
          </w:p>
        </w:tc>
      </w:tr>
      <w:tr w14:paraId="1D0A5000">
        <w:tblPrEx>
          <w:tblCellMar>
            <w:top w:w="0" w:type="dxa"/>
            <w:left w:w="108" w:type="dxa"/>
            <w:bottom w:w="0" w:type="dxa"/>
            <w:right w:w="108" w:type="dxa"/>
          </w:tblCellMar>
        </w:tblPrEx>
        <w:trPr>
          <w:trHeight w:val="288" w:hRule="atLeast"/>
          <w:jc w:val="center"/>
        </w:trPr>
        <w:tc>
          <w:tcPr>
            <w:tcW w:w="1961" w:type="dxa"/>
            <w:tcBorders>
              <w:top w:val="nil"/>
              <w:left w:val="single" w:color="auto" w:sz="4" w:space="0"/>
              <w:bottom w:val="single" w:color="auto" w:sz="4" w:space="0"/>
              <w:right w:val="single" w:color="auto" w:sz="4" w:space="0"/>
            </w:tcBorders>
            <w:shd w:val="clear" w:color="auto" w:fill="auto"/>
            <w:noWrap/>
            <w:vAlign w:val="center"/>
          </w:tcPr>
          <w:p w14:paraId="6FEEF93D">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513" w:type="dxa"/>
            <w:tcBorders>
              <w:top w:val="nil"/>
              <w:left w:val="nil"/>
              <w:bottom w:val="single" w:color="auto" w:sz="4" w:space="0"/>
              <w:right w:val="single" w:color="auto" w:sz="4" w:space="0"/>
            </w:tcBorders>
            <w:shd w:val="clear" w:color="auto" w:fill="auto"/>
            <w:noWrap/>
            <w:vAlign w:val="center"/>
          </w:tcPr>
          <w:p w14:paraId="204CD92A">
            <w:pPr>
              <w:widowControl/>
              <w:jc w:val="center"/>
              <w:rPr>
                <w:rFonts w:ascii="宋体" w:hAnsi="宋体" w:cs="宋体"/>
                <w:color w:val="000000"/>
                <w:kern w:val="0"/>
                <w:sz w:val="18"/>
                <w:szCs w:val="18"/>
              </w:rPr>
            </w:pPr>
            <w:r>
              <w:rPr>
                <w:rFonts w:hint="eastAsia" w:ascii="宋体" w:hAnsi="宋体" w:cs="宋体"/>
                <w:color w:val="000000"/>
                <w:kern w:val="0"/>
                <w:sz w:val="18"/>
                <w:szCs w:val="18"/>
              </w:rPr>
              <w:t>352.22</w:t>
            </w:r>
          </w:p>
        </w:tc>
        <w:tc>
          <w:tcPr>
            <w:tcW w:w="1519" w:type="dxa"/>
            <w:tcBorders>
              <w:top w:val="nil"/>
              <w:left w:val="nil"/>
              <w:bottom w:val="single" w:color="auto" w:sz="4" w:space="0"/>
              <w:right w:val="single" w:color="auto" w:sz="4" w:space="0"/>
            </w:tcBorders>
            <w:shd w:val="clear" w:color="auto" w:fill="auto"/>
            <w:noWrap/>
            <w:vAlign w:val="center"/>
          </w:tcPr>
          <w:p w14:paraId="001D1DB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417.72 </w:t>
            </w:r>
          </w:p>
        </w:tc>
        <w:tc>
          <w:tcPr>
            <w:tcW w:w="1985" w:type="dxa"/>
            <w:tcBorders>
              <w:top w:val="nil"/>
              <w:left w:val="nil"/>
              <w:bottom w:val="single" w:color="auto" w:sz="4" w:space="0"/>
              <w:right w:val="single" w:color="auto" w:sz="4" w:space="0"/>
            </w:tcBorders>
            <w:shd w:val="clear" w:color="auto" w:fill="auto"/>
            <w:noWrap/>
            <w:vAlign w:val="center"/>
          </w:tcPr>
          <w:p w14:paraId="4B622C6F">
            <w:pPr>
              <w:widowControl/>
              <w:jc w:val="center"/>
              <w:rPr>
                <w:rFonts w:ascii="宋体" w:hAnsi="宋体" w:cs="宋体"/>
                <w:color w:val="000000"/>
                <w:kern w:val="0"/>
                <w:sz w:val="18"/>
                <w:szCs w:val="18"/>
              </w:rPr>
            </w:pPr>
            <w:r>
              <w:rPr>
                <w:rFonts w:hint="eastAsia" w:ascii="宋体" w:hAnsi="宋体" w:cs="宋体"/>
                <w:color w:val="000000"/>
                <w:kern w:val="0"/>
                <w:sz w:val="18"/>
                <w:szCs w:val="18"/>
              </w:rPr>
              <w:t>65.5</w:t>
            </w:r>
          </w:p>
        </w:tc>
      </w:tr>
      <w:tr w14:paraId="1F385252">
        <w:tblPrEx>
          <w:tblCellMar>
            <w:top w:w="0" w:type="dxa"/>
            <w:left w:w="108" w:type="dxa"/>
            <w:bottom w:w="0" w:type="dxa"/>
            <w:right w:w="108" w:type="dxa"/>
          </w:tblCellMar>
        </w:tblPrEx>
        <w:trPr>
          <w:trHeight w:val="288" w:hRule="atLeast"/>
          <w:jc w:val="center"/>
        </w:trPr>
        <w:tc>
          <w:tcPr>
            <w:tcW w:w="1961" w:type="dxa"/>
            <w:tcBorders>
              <w:top w:val="nil"/>
              <w:left w:val="single" w:color="auto" w:sz="4" w:space="0"/>
              <w:bottom w:val="single" w:color="auto" w:sz="4" w:space="0"/>
              <w:right w:val="single" w:color="auto" w:sz="4" w:space="0"/>
            </w:tcBorders>
            <w:shd w:val="clear" w:color="auto" w:fill="auto"/>
            <w:noWrap/>
            <w:vAlign w:val="center"/>
          </w:tcPr>
          <w:p w14:paraId="5B6D136F">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513" w:type="dxa"/>
            <w:tcBorders>
              <w:top w:val="nil"/>
              <w:left w:val="nil"/>
              <w:bottom w:val="single" w:color="auto" w:sz="4" w:space="0"/>
              <w:right w:val="single" w:color="auto" w:sz="4" w:space="0"/>
            </w:tcBorders>
            <w:shd w:val="clear" w:color="auto" w:fill="auto"/>
            <w:noWrap/>
            <w:vAlign w:val="center"/>
          </w:tcPr>
          <w:p w14:paraId="1C9B53B4">
            <w:pPr>
              <w:widowControl/>
              <w:jc w:val="center"/>
              <w:rPr>
                <w:rFonts w:ascii="宋体" w:hAnsi="宋体" w:cs="宋体"/>
                <w:color w:val="000000"/>
                <w:kern w:val="0"/>
                <w:sz w:val="18"/>
                <w:szCs w:val="18"/>
              </w:rPr>
            </w:pPr>
            <w:r>
              <w:rPr>
                <w:rFonts w:hint="eastAsia" w:ascii="宋体" w:hAnsi="宋体" w:cs="宋体"/>
                <w:color w:val="000000"/>
                <w:kern w:val="0"/>
                <w:sz w:val="18"/>
                <w:szCs w:val="18"/>
              </w:rPr>
              <w:t>241.55</w:t>
            </w:r>
          </w:p>
        </w:tc>
        <w:tc>
          <w:tcPr>
            <w:tcW w:w="1519" w:type="dxa"/>
            <w:tcBorders>
              <w:top w:val="nil"/>
              <w:left w:val="nil"/>
              <w:bottom w:val="single" w:color="auto" w:sz="4" w:space="0"/>
              <w:right w:val="single" w:color="auto" w:sz="4" w:space="0"/>
            </w:tcBorders>
            <w:shd w:val="clear" w:color="auto" w:fill="auto"/>
            <w:noWrap/>
            <w:vAlign w:val="center"/>
          </w:tcPr>
          <w:p w14:paraId="130C9FE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412.89 </w:t>
            </w:r>
          </w:p>
        </w:tc>
        <w:tc>
          <w:tcPr>
            <w:tcW w:w="1985" w:type="dxa"/>
            <w:tcBorders>
              <w:top w:val="nil"/>
              <w:left w:val="nil"/>
              <w:bottom w:val="single" w:color="auto" w:sz="4" w:space="0"/>
              <w:right w:val="single" w:color="auto" w:sz="4" w:space="0"/>
            </w:tcBorders>
            <w:shd w:val="clear" w:color="auto" w:fill="auto"/>
            <w:noWrap/>
            <w:vAlign w:val="center"/>
          </w:tcPr>
          <w:p w14:paraId="2358174F">
            <w:pPr>
              <w:widowControl/>
              <w:jc w:val="center"/>
              <w:rPr>
                <w:rFonts w:ascii="宋体" w:hAnsi="宋体" w:cs="宋体"/>
                <w:color w:val="000000"/>
                <w:kern w:val="0"/>
                <w:sz w:val="18"/>
                <w:szCs w:val="18"/>
              </w:rPr>
            </w:pPr>
            <w:r>
              <w:rPr>
                <w:rFonts w:hint="eastAsia" w:ascii="宋体" w:hAnsi="宋体" w:cs="宋体"/>
                <w:color w:val="000000"/>
                <w:kern w:val="0"/>
                <w:sz w:val="18"/>
                <w:szCs w:val="18"/>
              </w:rPr>
              <w:t>171.34</w:t>
            </w:r>
          </w:p>
        </w:tc>
      </w:tr>
      <w:tr w14:paraId="04E0C6EF">
        <w:tblPrEx>
          <w:tblCellMar>
            <w:top w:w="0" w:type="dxa"/>
            <w:left w:w="108" w:type="dxa"/>
            <w:bottom w:w="0" w:type="dxa"/>
            <w:right w:w="108" w:type="dxa"/>
          </w:tblCellMar>
        </w:tblPrEx>
        <w:trPr>
          <w:trHeight w:val="288" w:hRule="atLeast"/>
          <w:jc w:val="center"/>
        </w:trPr>
        <w:tc>
          <w:tcPr>
            <w:tcW w:w="1961" w:type="dxa"/>
            <w:tcBorders>
              <w:top w:val="nil"/>
              <w:left w:val="single" w:color="auto" w:sz="4" w:space="0"/>
              <w:bottom w:val="single" w:color="auto" w:sz="4" w:space="0"/>
              <w:right w:val="single" w:color="auto" w:sz="4" w:space="0"/>
            </w:tcBorders>
            <w:shd w:val="clear" w:color="auto" w:fill="auto"/>
            <w:noWrap/>
            <w:vAlign w:val="center"/>
          </w:tcPr>
          <w:p w14:paraId="68032EAD">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513" w:type="dxa"/>
            <w:tcBorders>
              <w:top w:val="nil"/>
              <w:left w:val="nil"/>
              <w:bottom w:val="single" w:color="auto" w:sz="4" w:space="0"/>
              <w:right w:val="single" w:color="auto" w:sz="4" w:space="0"/>
            </w:tcBorders>
            <w:shd w:val="clear" w:color="auto" w:fill="auto"/>
            <w:noWrap/>
            <w:vAlign w:val="center"/>
          </w:tcPr>
          <w:p w14:paraId="2632BFAC">
            <w:pPr>
              <w:widowControl/>
              <w:jc w:val="center"/>
              <w:rPr>
                <w:rFonts w:ascii="宋体" w:hAnsi="宋体" w:cs="宋体"/>
                <w:color w:val="000000"/>
                <w:kern w:val="0"/>
                <w:sz w:val="18"/>
                <w:szCs w:val="18"/>
              </w:rPr>
            </w:pPr>
            <w:r>
              <w:rPr>
                <w:rFonts w:hint="eastAsia" w:ascii="宋体" w:hAnsi="宋体" w:cs="宋体"/>
                <w:color w:val="000000"/>
                <w:kern w:val="0"/>
                <w:sz w:val="18"/>
                <w:szCs w:val="18"/>
              </w:rPr>
              <w:t>441.31</w:t>
            </w:r>
          </w:p>
        </w:tc>
        <w:tc>
          <w:tcPr>
            <w:tcW w:w="1519" w:type="dxa"/>
            <w:tcBorders>
              <w:top w:val="nil"/>
              <w:left w:val="nil"/>
              <w:bottom w:val="single" w:color="auto" w:sz="4" w:space="0"/>
              <w:right w:val="single" w:color="auto" w:sz="4" w:space="0"/>
            </w:tcBorders>
            <w:shd w:val="clear" w:color="auto" w:fill="auto"/>
            <w:noWrap/>
            <w:vAlign w:val="center"/>
          </w:tcPr>
          <w:p w14:paraId="18D4ED6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854.88 </w:t>
            </w:r>
          </w:p>
        </w:tc>
        <w:tc>
          <w:tcPr>
            <w:tcW w:w="1985" w:type="dxa"/>
            <w:tcBorders>
              <w:top w:val="nil"/>
              <w:left w:val="nil"/>
              <w:bottom w:val="single" w:color="auto" w:sz="4" w:space="0"/>
              <w:right w:val="single" w:color="auto" w:sz="4" w:space="0"/>
            </w:tcBorders>
            <w:shd w:val="clear" w:color="auto" w:fill="auto"/>
            <w:noWrap/>
            <w:vAlign w:val="center"/>
          </w:tcPr>
          <w:p w14:paraId="4C4D6A2A">
            <w:pPr>
              <w:widowControl/>
              <w:jc w:val="center"/>
              <w:rPr>
                <w:rFonts w:ascii="宋体" w:hAnsi="宋体" w:cs="宋体"/>
                <w:color w:val="000000"/>
                <w:kern w:val="0"/>
                <w:sz w:val="18"/>
                <w:szCs w:val="18"/>
              </w:rPr>
            </w:pPr>
            <w:r>
              <w:rPr>
                <w:rFonts w:hint="eastAsia" w:ascii="宋体" w:hAnsi="宋体" w:cs="宋体"/>
                <w:color w:val="000000"/>
                <w:kern w:val="0"/>
                <w:sz w:val="18"/>
                <w:szCs w:val="18"/>
              </w:rPr>
              <w:t>413.57</w:t>
            </w:r>
          </w:p>
        </w:tc>
      </w:tr>
      <w:tr w14:paraId="1F099A7E">
        <w:tblPrEx>
          <w:tblCellMar>
            <w:top w:w="0" w:type="dxa"/>
            <w:left w:w="108" w:type="dxa"/>
            <w:bottom w:w="0" w:type="dxa"/>
            <w:right w:w="108" w:type="dxa"/>
          </w:tblCellMar>
        </w:tblPrEx>
        <w:trPr>
          <w:trHeight w:val="288" w:hRule="atLeast"/>
          <w:jc w:val="center"/>
        </w:trPr>
        <w:tc>
          <w:tcPr>
            <w:tcW w:w="1961" w:type="dxa"/>
            <w:tcBorders>
              <w:top w:val="nil"/>
              <w:left w:val="single" w:color="auto" w:sz="4" w:space="0"/>
              <w:bottom w:val="single" w:color="auto" w:sz="4" w:space="0"/>
              <w:right w:val="single" w:color="auto" w:sz="4" w:space="0"/>
            </w:tcBorders>
            <w:shd w:val="clear" w:color="auto" w:fill="auto"/>
            <w:noWrap/>
            <w:vAlign w:val="center"/>
          </w:tcPr>
          <w:p w14:paraId="1DA381E2">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513" w:type="dxa"/>
            <w:tcBorders>
              <w:top w:val="nil"/>
              <w:left w:val="nil"/>
              <w:bottom w:val="single" w:color="auto" w:sz="4" w:space="0"/>
              <w:right w:val="single" w:color="auto" w:sz="4" w:space="0"/>
            </w:tcBorders>
            <w:shd w:val="clear" w:color="auto" w:fill="auto"/>
            <w:noWrap/>
            <w:vAlign w:val="center"/>
          </w:tcPr>
          <w:p w14:paraId="7D7BB749">
            <w:pPr>
              <w:widowControl/>
              <w:jc w:val="center"/>
              <w:rPr>
                <w:rFonts w:ascii="宋体" w:hAnsi="宋体" w:cs="宋体"/>
                <w:color w:val="000000"/>
                <w:kern w:val="0"/>
                <w:sz w:val="18"/>
                <w:szCs w:val="18"/>
              </w:rPr>
            </w:pPr>
            <w:r>
              <w:rPr>
                <w:rFonts w:hint="eastAsia" w:ascii="宋体" w:hAnsi="宋体" w:cs="宋体"/>
                <w:color w:val="000000"/>
                <w:kern w:val="0"/>
                <w:sz w:val="18"/>
                <w:szCs w:val="18"/>
              </w:rPr>
              <w:t>254.16</w:t>
            </w:r>
          </w:p>
        </w:tc>
        <w:tc>
          <w:tcPr>
            <w:tcW w:w="1519" w:type="dxa"/>
            <w:tcBorders>
              <w:top w:val="nil"/>
              <w:left w:val="nil"/>
              <w:bottom w:val="single" w:color="auto" w:sz="4" w:space="0"/>
              <w:right w:val="single" w:color="auto" w:sz="4" w:space="0"/>
            </w:tcBorders>
            <w:shd w:val="clear" w:color="auto" w:fill="auto"/>
            <w:noWrap/>
            <w:vAlign w:val="center"/>
          </w:tcPr>
          <w:p w14:paraId="0F16C20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479.66 </w:t>
            </w:r>
          </w:p>
        </w:tc>
        <w:tc>
          <w:tcPr>
            <w:tcW w:w="1985" w:type="dxa"/>
            <w:tcBorders>
              <w:top w:val="nil"/>
              <w:left w:val="nil"/>
              <w:bottom w:val="single" w:color="auto" w:sz="4" w:space="0"/>
              <w:right w:val="single" w:color="auto" w:sz="4" w:space="0"/>
            </w:tcBorders>
            <w:shd w:val="clear" w:color="auto" w:fill="auto"/>
            <w:noWrap/>
            <w:vAlign w:val="center"/>
          </w:tcPr>
          <w:p w14:paraId="6EC210B8">
            <w:pPr>
              <w:widowControl/>
              <w:jc w:val="center"/>
              <w:rPr>
                <w:rFonts w:ascii="宋体" w:hAnsi="宋体" w:cs="宋体"/>
                <w:color w:val="000000"/>
                <w:kern w:val="0"/>
                <w:sz w:val="18"/>
                <w:szCs w:val="18"/>
              </w:rPr>
            </w:pPr>
            <w:r>
              <w:rPr>
                <w:rFonts w:hint="eastAsia" w:ascii="宋体" w:hAnsi="宋体" w:cs="宋体"/>
                <w:color w:val="000000"/>
                <w:kern w:val="0"/>
                <w:sz w:val="18"/>
                <w:szCs w:val="18"/>
              </w:rPr>
              <w:t>225.5</w:t>
            </w:r>
          </w:p>
        </w:tc>
      </w:tr>
      <w:tr w14:paraId="5EC3158C">
        <w:tblPrEx>
          <w:tblCellMar>
            <w:top w:w="0" w:type="dxa"/>
            <w:left w:w="108" w:type="dxa"/>
            <w:bottom w:w="0" w:type="dxa"/>
            <w:right w:w="108" w:type="dxa"/>
          </w:tblCellMar>
        </w:tblPrEx>
        <w:trPr>
          <w:trHeight w:val="288" w:hRule="atLeast"/>
          <w:jc w:val="center"/>
        </w:trPr>
        <w:tc>
          <w:tcPr>
            <w:tcW w:w="1961" w:type="dxa"/>
            <w:tcBorders>
              <w:top w:val="nil"/>
              <w:left w:val="single" w:color="auto" w:sz="4" w:space="0"/>
              <w:bottom w:val="single" w:color="auto" w:sz="4" w:space="0"/>
              <w:right w:val="single" w:color="auto" w:sz="4" w:space="0"/>
            </w:tcBorders>
            <w:shd w:val="clear" w:color="auto" w:fill="auto"/>
            <w:noWrap/>
            <w:vAlign w:val="center"/>
          </w:tcPr>
          <w:p w14:paraId="6A88E7F0">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513" w:type="dxa"/>
            <w:tcBorders>
              <w:top w:val="nil"/>
              <w:left w:val="nil"/>
              <w:bottom w:val="single" w:color="auto" w:sz="4" w:space="0"/>
              <w:right w:val="single" w:color="auto" w:sz="4" w:space="0"/>
            </w:tcBorders>
            <w:shd w:val="clear" w:color="auto" w:fill="auto"/>
            <w:noWrap/>
            <w:vAlign w:val="center"/>
          </w:tcPr>
          <w:p w14:paraId="5E6ED37A">
            <w:pPr>
              <w:widowControl/>
              <w:jc w:val="center"/>
              <w:rPr>
                <w:rFonts w:ascii="宋体" w:hAnsi="宋体" w:cs="宋体"/>
                <w:color w:val="000000"/>
                <w:kern w:val="0"/>
                <w:sz w:val="18"/>
                <w:szCs w:val="18"/>
              </w:rPr>
            </w:pPr>
            <w:r>
              <w:rPr>
                <w:rFonts w:hint="eastAsia" w:ascii="宋体" w:hAnsi="宋体" w:cs="宋体"/>
                <w:color w:val="000000"/>
                <w:kern w:val="0"/>
                <w:sz w:val="18"/>
                <w:szCs w:val="18"/>
              </w:rPr>
              <w:t>111.57</w:t>
            </w:r>
          </w:p>
        </w:tc>
        <w:tc>
          <w:tcPr>
            <w:tcW w:w="1519" w:type="dxa"/>
            <w:tcBorders>
              <w:top w:val="nil"/>
              <w:left w:val="nil"/>
              <w:bottom w:val="single" w:color="auto" w:sz="4" w:space="0"/>
              <w:right w:val="single" w:color="auto" w:sz="4" w:space="0"/>
            </w:tcBorders>
            <w:shd w:val="clear" w:color="auto" w:fill="auto"/>
            <w:noWrap/>
            <w:vAlign w:val="center"/>
          </w:tcPr>
          <w:p w14:paraId="2E41F53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251.82 </w:t>
            </w:r>
          </w:p>
        </w:tc>
        <w:tc>
          <w:tcPr>
            <w:tcW w:w="1985" w:type="dxa"/>
            <w:tcBorders>
              <w:top w:val="nil"/>
              <w:left w:val="nil"/>
              <w:bottom w:val="single" w:color="auto" w:sz="4" w:space="0"/>
              <w:right w:val="single" w:color="auto" w:sz="4" w:space="0"/>
            </w:tcBorders>
            <w:shd w:val="clear" w:color="auto" w:fill="auto"/>
            <w:noWrap/>
            <w:vAlign w:val="center"/>
          </w:tcPr>
          <w:p w14:paraId="6931178D">
            <w:pPr>
              <w:widowControl/>
              <w:jc w:val="center"/>
              <w:rPr>
                <w:rFonts w:ascii="宋体" w:hAnsi="宋体" w:cs="宋体"/>
                <w:color w:val="000000"/>
                <w:kern w:val="0"/>
                <w:sz w:val="18"/>
                <w:szCs w:val="18"/>
              </w:rPr>
            </w:pPr>
            <w:r>
              <w:rPr>
                <w:rFonts w:hint="eastAsia" w:ascii="宋体" w:hAnsi="宋体" w:cs="宋体"/>
                <w:color w:val="000000"/>
                <w:kern w:val="0"/>
                <w:sz w:val="18"/>
                <w:szCs w:val="18"/>
              </w:rPr>
              <w:t>140.25</w:t>
            </w:r>
          </w:p>
        </w:tc>
      </w:tr>
      <w:tr w14:paraId="50EEAACC">
        <w:tblPrEx>
          <w:tblCellMar>
            <w:top w:w="0" w:type="dxa"/>
            <w:left w:w="108" w:type="dxa"/>
            <w:bottom w:w="0" w:type="dxa"/>
            <w:right w:w="108" w:type="dxa"/>
          </w:tblCellMar>
        </w:tblPrEx>
        <w:trPr>
          <w:trHeight w:val="288" w:hRule="atLeast"/>
          <w:jc w:val="center"/>
        </w:trPr>
        <w:tc>
          <w:tcPr>
            <w:tcW w:w="1961" w:type="dxa"/>
            <w:tcBorders>
              <w:top w:val="nil"/>
              <w:left w:val="single" w:color="auto" w:sz="4" w:space="0"/>
              <w:bottom w:val="single" w:color="auto" w:sz="4" w:space="0"/>
              <w:right w:val="single" w:color="auto" w:sz="4" w:space="0"/>
            </w:tcBorders>
            <w:shd w:val="clear" w:color="auto" w:fill="auto"/>
            <w:noWrap/>
            <w:vAlign w:val="center"/>
          </w:tcPr>
          <w:p w14:paraId="2557C960">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513" w:type="dxa"/>
            <w:tcBorders>
              <w:top w:val="nil"/>
              <w:left w:val="nil"/>
              <w:bottom w:val="single" w:color="auto" w:sz="4" w:space="0"/>
              <w:right w:val="single" w:color="auto" w:sz="4" w:space="0"/>
            </w:tcBorders>
            <w:shd w:val="clear" w:color="auto" w:fill="auto"/>
            <w:noWrap/>
            <w:vAlign w:val="center"/>
          </w:tcPr>
          <w:p w14:paraId="0FA70E25">
            <w:pPr>
              <w:widowControl/>
              <w:jc w:val="center"/>
              <w:rPr>
                <w:rFonts w:ascii="宋体" w:hAnsi="宋体" w:cs="宋体"/>
                <w:color w:val="000000"/>
                <w:kern w:val="0"/>
                <w:sz w:val="18"/>
                <w:szCs w:val="18"/>
              </w:rPr>
            </w:pPr>
            <w:r>
              <w:rPr>
                <w:rFonts w:hint="eastAsia" w:ascii="宋体" w:hAnsi="宋体" w:cs="宋体"/>
                <w:color w:val="000000"/>
                <w:kern w:val="0"/>
                <w:sz w:val="18"/>
                <w:szCs w:val="18"/>
              </w:rPr>
              <w:t>60.12</w:t>
            </w:r>
          </w:p>
        </w:tc>
        <w:tc>
          <w:tcPr>
            <w:tcW w:w="1519" w:type="dxa"/>
            <w:tcBorders>
              <w:top w:val="nil"/>
              <w:left w:val="nil"/>
              <w:bottom w:val="single" w:color="auto" w:sz="4" w:space="0"/>
              <w:right w:val="single" w:color="auto" w:sz="4" w:space="0"/>
            </w:tcBorders>
            <w:shd w:val="clear" w:color="auto" w:fill="auto"/>
            <w:noWrap/>
            <w:vAlign w:val="center"/>
          </w:tcPr>
          <w:p w14:paraId="5F66725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119.97 </w:t>
            </w:r>
          </w:p>
        </w:tc>
        <w:tc>
          <w:tcPr>
            <w:tcW w:w="1985" w:type="dxa"/>
            <w:tcBorders>
              <w:top w:val="nil"/>
              <w:left w:val="nil"/>
              <w:bottom w:val="single" w:color="auto" w:sz="4" w:space="0"/>
              <w:right w:val="single" w:color="auto" w:sz="4" w:space="0"/>
            </w:tcBorders>
            <w:shd w:val="clear" w:color="auto" w:fill="auto"/>
            <w:noWrap/>
            <w:vAlign w:val="center"/>
          </w:tcPr>
          <w:p w14:paraId="3BC3E65B">
            <w:pPr>
              <w:widowControl/>
              <w:jc w:val="center"/>
              <w:rPr>
                <w:rFonts w:ascii="宋体" w:hAnsi="宋体" w:cs="宋体"/>
                <w:color w:val="000000"/>
                <w:kern w:val="0"/>
                <w:sz w:val="18"/>
                <w:szCs w:val="18"/>
              </w:rPr>
            </w:pPr>
            <w:r>
              <w:rPr>
                <w:rFonts w:hint="eastAsia" w:ascii="宋体" w:hAnsi="宋体" w:cs="宋体"/>
                <w:color w:val="000000"/>
                <w:kern w:val="0"/>
                <w:sz w:val="18"/>
                <w:szCs w:val="18"/>
              </w:rPr>
              <w:t>59.85</w:t>
            </w:r>
          </w:p>
        </w:tc>
      </w:tr>
      <w:tr w14:paraId="5D877A20">
        <w:tblPrEx>
          <w:tblCellMar>
            <w:top w:w="0" w:type="dxa"/>
            <w:left w:w="108" w:type="dxa"/>
            <w:bottom w:w="0" w:type="dxa"/>
            <w:right w:w="108" w:type="dxa"/>
          </w:tblCellMar>
        </w:tblPrEx>
        <w:trPr>
          <w:trHeight w:val="288" w:hRule="atLeast"/>
          <w:jc w:val="center"/>
        </w:trPr>
        <w:tc>
          <w:tcPr>
            <w:tcW w:w="1961" w:type="dxa"/>
            <w:tcBorders>
              <w:top w:val="nil"/>
              <w:left w:val="single" w:color="auto" w:sz="4" w:space="0"/>
              <w:bottom w:val="single" w:color="auto" w:sz="4" w:space="0"/>
              <w:right w:val="single" w:color="auto" w:sz="4" w:space="0"/>
            </w:tcBorders>
            <w:shd w:val="clear" w:color="auto" w:fill="auto"/>
            <w:noWrap/>
            <w:vAlign w:val="center"/>
          </w:tcPr>
          <w:p w14:paraId="68E7A2B6">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513" w:type="dxa"/>
            <w:tcBorders>
              <w:top w:val="nil"/>
              <w:left w:val="nil"/>
              <w:bottom w:val="single" w:color="auto" w:sz="4" w:space="0"/>
              <w:right w:val="single" w:color="auto" w:sz="4" w:space="0"/>
            </w:tcBorders>
            <w:shd w:val="clear" w:color="auto" w:fill="auto"/>
            <w:noWrap/>
            <w:vAlign w:val="center"/>
          </w:tcPr>
          <w:p w14:paraId="6AAFFDC5">
            <w:pPr>
              <w:widowControl/>
              <w:jc w:val="center"/>
              <w:rPr>
                <w:rFonts w:ascii="宋体" w:hAnsi="宋体" w:cs="宋体"/>
                <w:color w:val="000000"/>
                <w:kern w:val="0"/>
                <w:sz w:val="18"/>
                <w:szCs w:val="18"/>
              </w:rPr>
            </w:pPr>
            <w:r>
              <w:rPr>
                <w:rFonts w:hint="eastAsia" w:ascii="宋体" w:hAnsi="宋体" w:cs="宋体"/>
                <w:color w:val="000000"/>
                <w:kern w:val="0"/>
                <w:sz w:val="18"/>
                <w:szCs w:val="18"/>
              </w:rPr>
              <w:t>3677.25</w:t>
            </w:r>
          </w:p>
        </w:tc>
        <w:tc>
          <w:tcPr>
            <w:tcW w:w="1519" w:type="dxa"/>
            <w:tcBorders>
              <w:top w:val="nil"/>
              <w:left w:val="nil"/>
              <w:bottom w:val="single" w:color="auto" w:sz="4" w:space="0"/>
              <w:right w:val="single" w:color="auto" w:sz="4" w:space="0"/>
            </w:tcBorders>
            <w:shd w:val="clear" w:color="auto" w:fill="auto"/>
            <w:noWrap/>
            <w:vAlign w:val="center"/>
          </w:tcPr>
          <w:p w14:paraId="6DC971E3">
            <w:pPr>
              <w:widowControl/>
              <w:jc w:val="center"/>
              <w:rPr>
                <w:rFonts w:ascii="宋体" w:hAnsi="宋体" w:cs="宋体"/>
                <w:color w:val="000000"/>
                <w:kern w:val="0"/>
                <w:sz w:val="18"/>
                <w:szCs w:val="18"/>
              </w:rPr>
            </w:pPr>
            <w:r>
              <w:rPr>
                <w:rFonts w:hint="eastAsia" w:ascii="宋体" w:hAnsi="宋体" w:cs="宋体"/>
                <w:color w:val="000000"/>
                <w:kern w:val="0"/>
                <w:sz w:val="18"/>
                <w:szCs w:val="18"/>
              </w:rPr>
              <w:t>5368.57</w:t>
            </w:r>
          </w:p>
        </w:tc>
        <w:tc>
          <w:tcPr>
            <w:tcW w:w="1985" w:type="dxa"/>
            <w:tcBorders>
              <w:top w:val="nil"/>
              <w:left w:val="nil"/>
              <w:bottom w:val="single" w:color="auto" w:sz="4" w:space="0"/>
              <w:right w:val="single" w:color="auto" w:sz="4" w:space="0"/>
            </w:tcBorders>
            <w:shd w:val="clear" w:color="auto" w:fill="auto"/>
            <w:noWrap/>
            <w:vAlign w:val="center"/>
          </w:tcPr>
          <w:p w14:paraId="480B2538">
            <w:pPr>
              <w:widowControl/>
              <w:jc w:val="center"/>
              <w:rPr>
                <w:rFonts w:ascii="宋体" w:hAnsi="宋体" w:cs="宋体"/>
                <w:color w:val="000000"/>
                <w:kern w:val="0"/>
                <w:sz w:val="18"/>
                <w:szCs w:val="18"/>
              </w:rPr>
            </w:pPr>
            <w:r>
              <w:rPr>
                <w:rFonts w:hint="eastAsia" w:ascii="宋体" w:hAnsi="宋体" w:cs="宋体"/>
                <w:color w:val="000000"/>
                <w:kern w:val="0"/>
                <w:sz w:val="18"/>
                <w:szCs w:val="18"/>
              </w:rPr>
              <w:t>1691.32</w:t>
            </w:r>
          </w:p>
        </w:tc>
      </w:tr>
    </w:tbl>
    <w:p w14:paraId="15B1F92A">
      <w:pPr>
        <w:pStyle w:val="3"/>
        <w:jc w:val="center"/>
        <w:rPr>
          <w:b w:val="0"/>
          <w:color w:val="000000"/>
          <w:sz w:val="28"/>
          <w:szCs w:val="28"/>
        </w:rPr>
      </w:pPr>
      <w:bookmarkStart w:id="117" w:name="_Toc491074905"/>
      <w:r>
        <w:rPr>
          <w:rFonts w:hint="eastAsia"/>
          <w:b w:val="0"/>
          <w:color w:val="000000"/>
          <w:sz w:val="28"/>
          <w:szCs w:val="28"/>
        </w:rPr>
        <w:t>第四节  其他指标调整</w:t>
      </w:r>
      <w:bookmarkEnd w:id="117"/>
    </w:p>
    <w:p w14:paraId="2FA81EBB">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一、新增建设用占用耕地指标</w:t>
      </w:r>
    </w:p>
    <w:p w14:paraId="2313A12C">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本次调整完善昆明市下达东川区新增建设用地指标为339.69</w:t>
      </w:r>
      <w:r>
        <w:rPr>
          <w:rFonts w:ascii="仿宋_GB2312" w:hAnsi="宋体" w:eastAsia="仿宋_GB2312"/>
          <w:kern w:val="0"/>
          <w:sz w:val="28"/>
          <w:szCs w:val="28"/>
        </w:rPr>
        <w:t xml:space="preserve"> </w:t>
      </w:r>
      <w:r>
        <w:rPr>
          <w:rFonts w:hint="eastAsia" w:ascii="仿宋_GB2312" w:hAnsi="宋体" w:eastAsia="仿宋_GB2312"/>
          <w:kern w:val="0"/>
          <w:sz w:val="28"/>
          <w:szCs w:val="28"/>
        </w:rPr>
        <w:t>公顷，下达的新增建设用地占用耕地指标为203.32</w:t>
      </w:r>
      <w:r>
        <w:rPr>
          <w:rFonts w:ascii="仿宋_GB2312" w:hAnsi="宋体" w:eastAsia="仿宋_GB2312"/>
          <w:kern w:val="0"/>
          <w:sz w:val="28"/>
          <w:szCs w:val="28"/>
        </w:rPr>
        <w:t xml:space="preserve"> </w:t>
      </w:r>
      <w:r>
        <w:rPr>
          <w:rFonts w:hint="eastAsia" w:ascii="仿宋_GB2312" w:hAnsi="宋体" w:eastAsia="仿宋_GB2312"/>
          <w:kern w:val="0"/>
          <w:sz w:val="28"/>
          <w:szCs w:val="28"/>
        </w:rPr>
        <w:t>公顷，占新增建设用地指标总规模的</w:t>
      </w:r>
      <w:r>
        <w:rPr>
          <w:rFonts w:ascii="仿宋_GB2312" w:hAnsi="宋体" w:eastAsia="仿宋_GB2312"/>
          <w:kern w:val="0"/>
          <w:sz w:val="28"/>
          <w:szCs w:val="28"/>
        </w:rPr>
        <w:t>5</w:t>
      </w:r>
      <w:r>
        <w:rPr>
          <w:rFonts w:hint="eastAsia" w:ascii="仿宋_GB2312" w:hAnsi="宋体" w:eastAsia="仿宋_GB2312"/>
          <w:kern w:val="0"/>
          <w:sz w:val="28"/>
          <w:szCs w:val="28"/>
        </w:rPr>
        <w:t>9.85</w:t>
      </w:r>
      <w:r>
        <w:rPr>
          <w:rFonts w:ascii="仿宋_GB2312" w:hAnsi="宋体" w:eastAsia="仿宋_GB2312"/>
          <w:kern w:val="0"/>
          <w:sz w:val="28"/>
          <w:szCs w:val="28"/>
        </w:rPr>
        <w:t>%</w:t>
      </w:r>
      <w:r>
        <w:rPr>
          <w:rFonts w:hint="eastAsia" w:ascii="仿宋_GB2312" w:hAnsi="宋体" w:eastAsia="仿宋_GB2312"/>
          <w:kern w:val="0"/>
          <w:sz w:val="28"/>
          <w:szCs w:val="28"/>
        </w:rPr>
        <w:t>。按照《云南省市县乡级土地利用总体规划调整完善技术指南》要求，县级规划应预留不低于</w:t>
      </w:r>
      <w:r>
        <w:rPr>
          <w:rFonts w:ascii="仿宋_GB2312" w:hAnsi="宋体" w:eastAsia="仿宋_GB2312"/>
          <w:kern w:val="0"/>
          <w:sz w:val="28"/>
          <w:szCs w:val="28"/>
        </w:rPr>
        <w:t>5%</w:t>
      </w:r>
      <w:r>
        <w:rPr>
          <w:rFonts w:hint="eastAsia" w:ascii="仿宋_GB2312" w:hAnsi="宋体" w:eastAsia="仿宋_GB2312"/>
          <w:kern w:val="0"/>
          <w:sz w:val="28"/>
          <w:szCs w:val="28"/>
        </w:rPr>
        <w:t>的新增城乡建设用地，配套相应的新增建设占用农用地和新增建设占用耕地规模，专项保障村庄用地，东川区共预留15.65</w:t>
      </w:r>
      <w:r>
        <w:rPr>
          <w:rFonts w:ascii="仿宋_GB2312" w:hAnsi="宋体" w:eastAsia="仿宋_GB2312"/>
          <w:kern w:val="0"/>
          <w:sz w:val="28"/>
          <w:szCs w:val="28"/>
        </w:rPr>
        <w:t xml:space="preserve"> </w:t>
      </w:r>
      <w:r>
        <w:rPr>
          <w:rFonts w:hint="eastAsia" w:ascii="仿宋_GB2312" w:hAnsi="宋体" w:eastAsia="仿宋_GB2312"/>
          <w:kern w:val="0"/>
          <w:sz w:val="28"/>
          <w:szCs w:val="28"/>
        </w:rPr>
        <w:t>公顷新增城乡建设用地，并配套15.65</w:t>
      </w:r>
      <w:r>
        <w:rPr>
          <w:rFonts w:ascii="仿宋_GB2312" w:hAnsi="宋体" w:eastAsia="仿宋_GB2312"/>
          <w:kern w:val="0"/>
          <w:sz w:val="28"/>
          <w:szCs w:val="28"/>
        </w:rPr>
        <w:t xml:space="preserve"> </w:t>
      </w:r>
      <w:r>
        <w:rPr>
          <w:rFonts w:hint="eastAsia" w:ascii="仿宋_GB2312" w:hAnsi="宋体" w:eastAsia="仿宋_GB2312"/>
          <w:kern w:val="0"/>
          <w:sz w:val="28"/>
          <w:szCs w:val="28"/>
        </w:rPr>
        <w:t>公顷新增建设用地占用农用地指标和13</w:t>
      </w:r>
      <w:r>
        <w:rPr>
          <w:rFonts w:ascii="仿宋_GB2312" w:hAnsi="宋体" w:eastAsia="仿宋_GB2312"/>
          <w:kern w:val="0"/>
          <w:sz w:val="28"/>
          <w:szCs w:val="28"/>
        </w:rPr>
        <w:t xml:space="preserve"> </w:t>
      </w:r>
      <w:r>
        <w:rPr>
          <w:rFonts w:hint="eastAsia" w:ascii="仿宋_GB2312" w:hAnsi="宋体" w:eastAsia="仿宋_GB2312"/>
          <w:kern w:val="0"/>
          <w:sz w:val="28"/>
          <w:szCs w:val="28"/>
        </w:rPr>
        <w:t>公顷新增建设占用耕地指标。扣除拟预留的13公顷新增建设占用耕地指标后，以各乡镇安排的新增建设用地指标为基础，按相应比例的新增建设用地占用耕地规模比例将剩余的190.32</w:t>
      </w:r>
      <w:r>
        <w:rPr>
          <w:rFonts w:ascii="仿宋_GB2312" w:hAnsi="宋体" w:eastAsia="仿宋_GB2312"/>
          <w:kern w:val="0"/>
          <w:sz w:val="28"/>
          <w:szCs w:val="28"/>
        </w:rPr>
        <w:t xml:space="preserve"> </w:t>
      </w:r>
      <w:r>
        <w:rPr>
          <w:rFonts w:hint="eastAsia" w:ascii="仿宋_GB2312" w:hAnsi="宋体" w:eastAsia="仿宋_GB2312"/>
          <w:kern w:val="0"/>
          <w:sz w:val="28"/>
          <w:szCs w:val="28"/>
        </w:rPr>
        <w:t>公顷新增建设用地占用耕地指标分解至各乡镇。</w:t>
      </w:r>
    </w:p>
    <w:p w14:paraId="000743B1">
      <w:pPr>
        <w:jc w:val="center"/>
        <w:outlineLvl w:val="4"/>
        <w:rPr>
          <w:rFonts w:ascii="宋体" w:hAnsi="宋体"/>
          <w:b/>
          <w:sz w:val="24"/>
        </w:rPr>
      </w:pPr>
      <w:r>
        <w:rPr>
          <w:rFonts w:hint="eastAsia" w:ascii="宋体" w:hAnsi="宋体"/>
          <w:b/>
          <w:sz w:val="24"/>
        </w:rPr>
        <w:t>表5-9  东川区新增建设用地占用耕地指标调整情况表</w:t>
      </w:r>
    </w:p>
    <w:p w14:paraId="5A48C2B3">
      <w:pPr>
        <w:spacing w:line="360" w:lineRule="auto"/>
        <w:ind w:right="360" w:firstLine="360" w:firstLineChars="200"/>
        <w:jc w:val="center"/>
        <w:rPr>
          <w:rFonts w:ascii="宋体" w:hAnsi="宋体"/>
          <w:color w:val="000000"/>
          <w:sz w:val="18"/>
          <w:szCs w:val="18"/>
        </w:rPr>
      </w:pPr>
      <w:r>
        <w:rPr>
          <w:rFonts w:hint="eastAsia" w:ascii="宋体" w:hAnsi="宋体"/>
          <w:color w:val="000000"/>
          <w:sz w:val="18"/>
          <w:szCs w:val="18"/>
        </w:rPr>
        <w:t xml:space="preserve">                                                   单位：公顷</w:t>
      </w:r>
    </w:p>
    <w:tbl>
      <w:tblPr>
        <w:tblStyle w:val="27"/>
        <w:tblW w:w="6391" w:type="dxa"/>
        <w:jc w:val="center"/>
        <w:tblLayout w:type="autofit"/>
        <w:tblCellMar>
          <w:top w:w="0" w:type="dxa"/>
          <w:left w:w="108" w:type="dxa"/>
          <w:bottom w:w="0" w:type="dxa"/>
          <w:right w:w="108" w:type="dxa"/>
        </w:tblCellMar>
      </w:tblPr>
      <w:tblGrid>
        <w:gridCol w:w="2070"/>
        <w:gridCol w:w="1356"/>
        <w:gridCol w:w="1276"/>
        <w:gridCol w:w="1689"/>
      </w:tblGrid>
      <w:tr w14:paraId="58EE6D61">
        <w:tblPrEx>
          <w:tblCellMar>
            <w:top w:w="0" w:type="dxa"/>
            <w:left w:w="108" w:type="dxa"/>
            <w:bottom w:w="0" w:type="dxa"/>
            <w:right w:w="108" w:type="dxa"/>
          </w:tblCellMar>
        </w:tblPrEx>
        <w:trPr>
          <w:trHeight w:val="300" w:hRule="atLeast"/>
          <w:jc w:val="center"/>
        </w:trPr>
        <w:tc>
          <w:tcPr>
            <w:tcW w:w="2070" w:type="dxa"/>
            <w:tcBorders>
              <w:top w:val="single" w:color="auto" w:sz="8" w:space="0"/>
              <w:left w:val="single" w:color="auto" w:sz="8" w:space="0"/>
              <w:bottom w:val="single" w:color="auto" w:sz="8" w:space="0"/>
              <w:right w:val="single" w:color="auto" w:sz="8" w:space="0"/>
            </w:tcBorders>
            <w:shd w:val="clear" w:color="auto" w:fill="auto"/>
            <w:noWrap/>
            <w:vAlign w:val="center"/>
          </w:tcPr>
          <w:p w14:paraId="26A2CEC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行政辖区</w:t>
            </w:r>
          </w:p>
        </w:tc>
        <w:tc>
          <w:tcPr>
            <w:tcW w:w="1356" w:type="dxa"/>
            <w:tcBorders>
              <w:top w:val="single" w:color="auto" w:sz="8" w:space="0"/>
              <w:left w:val="nil"/>
              <w:bottom w:val="single" w:color="auto" w:sz="8" w:space="0"/>
              <w:right w:val="single" w:color="auto" w:sz="8" w:space="0"/>
            </w:tcBorders>
            <w:shd w:val="clear" w:color="auto" w:fill="auto"/>
            <w:noWrap/>
            <w:vAlign w:val="center"/>
          </w:tcPr>
          <w:p w14:paraId="2C1A207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调整前</w:t>
            </w:r>
          </w:p>
        </w:tc>
        <w:tc>
          <w:tcPr>
            <w:tcW w:w="1276" w:type="dxa"/>
            <w:tcBorders>
              <w:top w:val="single" w:color="auto" w:sz="8" w:space="0"/>
              <w:left w:val="nil"/>
              <w:bottom w:val="single" w:color="auto" w:sz="8" w:space="0"/>
              <w:right w:val="single" w:color="auto" w:sz="8" w:space="0"/>
            </w:tcBorders>
            <w:shd w:val="clear" w:color="auto" w:fill="auto"/>
            <w:noWrap/>
            <w:vAlign w:val="center"/>
          </w:tcPr>
          <w:p w14:paraId="33EC83B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调整后</w:t>
            </w:r>
          </w:p>
        </w:tc>
        <w:tc>
          <w:tcPr>
            <w:tcW w:w="1689" w:type="dxa"/>
            <w:tcBorders>
              <w:top w:val="single" w:color="auto" w:sz="8" w:space="0"/>
              <w:left w:val="nil"/>
              <w:bottom w:val="single" w:color="auto" w:sz="8" w:space="0"/>
              <w:right w:val="single" w:color="auto" w:sz="8" w:space="0"/>
            </w:tcBorders>
            <w:shd w:val="clear" w:color="auto" w:fill="auto"/>
            <w:noWrap/>
            <w:vAlign w:val="center"/>
          </w:tcPr>
          <w:p w14:paraId="3609507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变化量</w:t>
            </w:r>
          </w:p>
        </w:tc>
      </w:tr>
      <w:tr w14:paraId="0C09D493">
        <w:tblPrEx>
          <w:tblCellMar>
            <w:top w:w="0" w:type="dxa"/>
            <w:left w:w="108" w:type="dxa"/>
            <w:bottom w:w="0" w:type="dxa"/>
            <w:right w:w="108" w:type="dxa"/>
          </w:tblCellMar>
        </w:tblPrEx>
        <w:trPr>
          <w:trHeight w:val="300" w:hRule="atLeast"/>
          <w:jc w:val="center"/>
        </w:trPr>
        <w:tc>
          <w:tcPr>
            <w:tcW w:w="2070" w:type="dxa"/>
            <w:tcBorders>
              <w:top w:val="nil"/>
              <w:left w:val="single" w:color="auto" w:sz="8" w:space="0"/>
              <w:bottom w:val="single" w:color="auto" w:sz="8" w:space="0"/>
              <w:right w:val="single" w:color="auto" w:sz="8" w:space="0"/>
            </w:tcBorders>
            <w:shd w:val="clear" w:color="auto" w:fill="auto"/>
            <w:noWrap/>
            <w:vAlign w:val="center"/>
          </w:tcPr>
          <w:p w14:paraId="416BDF88">
            <w:pPr>
              <w:widowControl/>
              <w:jc w:val="center"/>
              <w:rPr>
                <w:rFonts w:ascii="宋体" w:hAnsi="宋体" w:cs="宋体"/>
                <w:color w:val="000000"/>
                <w:kern w:val="0"/>
                <w:sz w:val="18"/>
                <w:szCs w:val="18"/>
              </w:rPr>
            </w:pPr>
            <w:r>
              <w:rPr>
                <w:rFonts w:hint="eastAsia" w:ascii="宋体" w:hAnsi="宋体" w:cs="宋体"/>
                <w:color w:val="000000"/>
                <w:kern w:val="0"/>
                <w:sz w:val="18"/>
                <w:szCs w:val="18"/>
              </w:rPr>
              <w:t>预留指标</w:t>
            </w:r>
          </w:p>
        </w:tc>
        <w:tc>
          <w:tcPr>
            <w:tcW w:w="1356" w:type="dxa"/>
            <w:tcBorders>
              <w:top w:val="nil"/>
              <w:left w:val="nil"/>
              <w:bottom w:val="single" w:color="auto" w:sz="8" w:space="0"/>
              <w:right w:val="single" w:color="auto" w:sz="8" w:space="0"/>
            </w:tcBorders>
            <w:shd w:val="clear" w:color="auto" w:fill="auto"/>
            <w:noWrap/>
            <w:vAlign w:val="center"/>
          </w:tcPr>
          <w:p w14:paraId="6BFA5C5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76" w:type="dxa"/>
            <w:tcBorders>
              <w:top w:val="nil"/>
              <w:left w:val="nil"/>
              <w:bottom w:val="single" w:color="auto" w:sz="8" w:space="0"/>
              <w:right w:val="single" w:color="auto" w:sz="8" w:space="0"/>
            </w:tcBorders>
            <w:shd w:val="clear" w:color="auto" w:fill="auto"/>
            <w:noWrap/>
            <w:vAlign w:val="center"/>
          </w:tcPr>
          <w:p w14:paraId="66166563">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689" w:type="dxa"/>
            <w:tcBorders>
              <w:top w:val="nil"/>
              <w:left w:val="nil"/>
              <w:bottom w:val="single" w:color="auto" w:sz="8" w:space="0"/>
              <w:right w:val="single" w:color="auto" w:sz="8" w:space="0"/>
            </w:tcBorders>
            <w:shd w:val="clear" w:color="auto" w:fill="auto"/>
            <w:noWrap/>
            <w:vAlign w:val="center"/>
          </w:tcPr>
          <w:p w14:paraId="5359647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29349729">
        <w:tblPrEx>
          <w:tblCellMar>
            <w:top w:w="0" w:type="dxa"/>
            <w:left w:w="108" w:type="dxa"/>
            <w:bottom w:w="0" w:type="dxa"/>
            <w:right w:w="108" w:type="dxa"/>
          </w:tblCellMar>
        </w:tblPrEx>
        <w:trPr>
          <w:trHeight w:val="300" w:hRule="atLeast"/>
          <w:jc w:val="center"/>
        </w:trPr>
        <w:tc>
          <w:tcPr>
            <w:tcW w:w="2070" w:type="dxa"/>
            <w:tcBorders>
              <w:top w:val="nil"/>
              <w:left w:val="single" w:color="auto" w:sz="8" w:space="0"/>
              <w:bottom w:val="single" w:color="auto" w:sz="8" w:space="0"/>
              <w:right w:val="single" w:color="auto" w:sz="8" w:space="0"/>
            </w:tcBorders>
            <w:shd w:val="clear" w:color="auto" w:fill="auto"/>
            <w:noWrap/>
            <w:vAlign w:val="center"/>
          </w:tcPr>
          <w:p w14:paraId="7FE24F42">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356" w:type="dxa"/>
            <w:tcBorders>
              <w:top w:val="nil"/>
              <w:left w:val="nil"/>
              <w:bottom w:val="single" w:color="auto" w:sz="8" w:space="0"/>
              <w:right w:val="single" w:color="auto" w:sz="8" w:space="0"/>
            </w:tcBorders>
            <w:shd w:val="clear" w:color="auto" w:fill="auto"/>
            <w:noWrap/>
            <w:vAlign w:val="center"/>
          </w:tcPr>
          <w:p w14:paraId="4480DD40">
            <w:pPr>
              <w:widowControl/>
              <w:jc w:val="center"/>
              <w:rPr>
                <w:rFonts w:ascii="宋体" w:hAnsi="宋体" w:cs="宋体"/>
                <w:color w:val="000000"/>
                <w:kern w:val="0"/>
                <w:sz w:val="18"/>
                <w:szCs w:val="18"/>
              </w:rPr>
            </w:pPr>
            <w:r>
              <w:rPr>
                <w:rFonts w:hint="eastAsia" w:ascii="宋体" w:hAnsi="宋体" w:cs="宋体"/>
                <w:color w:val="000000"/>
                <w:kern w:val="0"/>
                <w:sz w:val="18"/>
                <w:szCs w:val="18"/>
              </w:rPr>
              <w:t>21.6</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D0DEE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18.04 </w:t>
            </w:r>
          </w:p>
        </w:tc>
        <w:tc>
          <w:tcPr>
            <w:tcW w:w="1689" w:type="dxa"/>
            <w:tcBorders>
              <w:top w:val="nil"/>
              <w:left w:val="nil"/>
              <w:bottom w:val="single" w:color="auto" w:sz="8" w:space="0"/>
              <w:right w:val="single" w:color="auto" w:sz="8" w:space="0"/>
            </w:tcBorders>
            <w:shd w:val="clear" w:color="auto" w:fill="auto"/>
            <w:noWrap/>
            <w:vAlign w:val="center"/>
          </w:tcPr>
          <w:p w14:paraId="015FBB21">
            <w:pPr>
              <w:widowControl/>
              <w:jc w:val="center"/>
              <w:rPr>
                <w:rFonts w:ascii="宋体" w:hAnsi="宋体" w:cs="宋体"/>
                <w:color w:val="000000"/>
                <w:kern w:val="0"/>
                <w:sz w:val="18"/>
                <w:szCs w:val="18"/>
              </w:rPr>
            </w:pPr>
            <w:r>
              <w:rPr>
                <w:rFonts w:hint="eastAsia" w:ascii="宋体" w:hAnsi="宋体" w:cs="宋体"/>
                <w:color w:val="000000"/>
                <w:kern w:val="0"/>
                <w:sz w:val="18"/>
                <w:szCs w:val="18"/>
              </w:rPr>
              <w:t>-3.56</w:t>
            </w:r>
          </w:p>
        </w:tc>
      </w:tr>
      <w:tr w14:paraId="388E5D94">
        <w:tblPrEx>
          <w:tblCellMar>
            <w:top w:w="0" w:type="dxa"/>
            <w:left w:w="108" w:type="dxa"/>
            <w:bottom w:w="0" w:type="dxa"/>
            <w:right w:w="108" w:type="dxa"/>
          </w:tblCellMar>
        </w:tblPrEx>
        <w:trPr>
          <w:trHeight w:val="300" w:hRule="atLeast"/>
          <w:jc w:val="center"/>
        </w:trPr>
        <w:tc>
          <w:tcPr>
            <w:tcW w:w="2070" w:type="dxa"/>
            <w:tcBorders>
              <w:top w:val="nil"/>
              <w:left w:val="single" w:color="auto" w:sz="8" w:space="0"/>
              <w:bottom w:val="single" w:color="auto" w:sz="8" w:space="0"/>
              <w:right w:val="single" w:color="auto" w:sz="8" w:space="0"/>
            </w:tcBorders>
            <w:shd w:val="clear" w:color="auto" w:fill="auto"/>
            <w:noWrap/>
            <w:vAlign w:val="center"/>
          </w:tcPr>
          <w:p w14:paraId="273F2889">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356" w:type="dxa"/>
            <w:tcBorders>
              <w:top w:val="nil"/>
              <w:left w:val="nil"/>
              <w:bottom w:val="single" w:color="auto" w:sz="8" w:space="0"/>
              <w:right w:val="single" w:color="auto" w:sz="8" w:space="0"/>
            </w:tcBorders>
            <w:shd w:val="clear" w:color="auto" w:fill="auto"/>
            <w:noWrap/>
            <w:vAlign w:val="center"/>
          </w:tcPr>
          <w:p w14:paraId="1DFF7E15">
            <w:pPr>
              <w:widowControl/>
              <w:jc w:val="center"/>
              <w:rPr>
                <w:rFonts w:ascii="宋体" w:hAnsi="宋体" w:cs="宋体"/>
                <w:color w:val="000000"/>
                <w:kern w:val="0"/>
                <w:sz w:val="18"/>
                <w:szCs w:val="18"/>
              </w:rPr>
            </w:pPr>
            <w:r>
              <w:rPr>
                <w:rFonts w:hint="eastAsia" w:ascii="宋体" w:hAnsi="宋体" w:cs="宋体"/>
                <w:color w:val="000000"/>
                <w:kern w:val="0"/>
                <w:sz w:val="18"/>
                <w:szCs w:val="18"/>
              </w:rPr>
              <w:t>241.96</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6D7FCA7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80.50 </w:t>
            </w:r>
          </w:p>
        </w:tc>
        <w:tc>
          <w:tcPr>
            <w:tcW w:w="1689" w:type="dxa"/>
            <w:tcBorders>
              <w:top w:val="nil"/>
              <w:left w:val="nil"/>
              <w:bottom w:val="single" w:color="auto" w:sz="8" w:space="0"/>
              <w:right w:val="single" w:color="auto" w:sz="8" w:space="0"/>
            </w:tcBorders>
            <w:shd w:val="clear" w:color="auto" w:fill="auto"/>
            <w:noWrap/>
            <w:vAlign w:val="center"/>
          </w:tcPr>
          <w:p w14:paraId="77ADE4A6">
            <w:pPr>
              <w:widowControl/>
              <w:jc w:val="center"/>
              <w:rPr>
                <w:rFonts w:ascii="宋体" w:hAnsi="宋体" w:cs="宋体"/>
                <w:color w:val="000000"/>
                <w:kern w:val="0"/>
                <w:sz w:val="18"/>
                <w:szCs w:val="18"/>
              </w:rPr>
            </w:pPr>
            <w:r>
              <w:rPr>
                <w:rFonts w:hint="eastAsia" w:ascii="宋体" w:hAnsi="宋体" w:cs="宋体"/>
                <w:color w:val="000000"/>
                <w:kern w:val="0"/>
                <w:sz w:val="18"/>
                <w:szCs w:val="18"/>
              </w:rPr>
              <w:t>-161.46</w:t>
            </w:r>
          </w:p>
        </w:tc>
      </w:tr>
      <w:tr w14:paraId="50825EB2">
        <w:tblPrEx>
          <w:tblCellMar>
            <w:top w:w="0" w:type="dxa"/>
            <w:left w:w="108" w:type="dxa"/>
            <w:bottom w:w="0" w:type="dxa"/>
            <w:right w:w="108" w:type="dxa"/>
          </w:tblCellMar>
        </w:tblPrEx>
        <w:trPr>
          <w:trHeight w:val="300" w:hRule="atLeast"/>
          <w:jc w:val="center"/>
        </w:trPr>
        <w:tc>
          <w:tcPr>
            <w:tcW w:w="2070" w:type="dxa"/>
            <w:tcBorders>
              <w:top w:val="nil"/>
              <w:left w:val="single" w:color="auto" w:sz="8" w:space="0"/>
              <w:bottom w:val="single" w:color="auto" w:sz="8" w:space="0"/>
              <w:right w:val="single" w:color="auto" w:sz="8" w:space="0"/>
            </w:tcBorders>
            <w:shd w:val="clear" w:color="auto" w:fill="auto"/>
            <w:noWrap/>
            <w:vAlign w:val="center"/>
          </w:tcPr>
          <w:p w14:paraId="4F7125EF">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356" w:type="dxa"/>
            <w:tcBorders>
              <w:top w:val="nil"/>
              <w:left w:val="nil"/>
              <w:bottom w:val="single" w:color="auto" w:sz="8" w:space="0"/>
              <w:right w:val="single" w:color="auto" w:sz="8" w:space="0"/>
            </w:tcBorders>
            <w:shd w:val="clear" w:color="auto" w:fill="auto"/>
            <w:noWrap/>
            <w:vAlign w:val="center"/>
          </w:tcPr>
          <w:p w14:paraId="5E76FE94">
            <w:pPr>
              <w:widowControl/>
              <w:jc w:val="center"/>
              <w:rPr>
                <w:rFonts w:ascii="宋体" w:hAnsi="宋体" w:cs="宋体"/>
                <w:color w:val="000000"/>
                <w:kern w:val="0"/>
                <w:sz w:val="18"/>
                <w:szCs w:val="18"/>
              </w:rPr>
            </w:pPr>
            <w:r>
              <w:rPr>
                <w:rFonts w:hint="eastAsia" w:ascii="宋体" w:hAnsi="宋体" w:cs="宋体"/>
                <w:color w:val="000000"/>
                <w:kern w:val="0"/>
                <w:sz w:val="18"/>
                <w:szCs w:val="18"/>
              </w:rPr>
              <w:t>23.84</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15FB788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10.32 </w:t>
            </w:r>
          </w:p>
        </w:tc>
        <w:tc>
          <w:tcPr>
            <w:tcW w:w="1689" w:type="dxa"/>
            <w:tcBorders>
              <w:top w:val="nil"/>
              <w:left w:val="nil"/>
              <w:bottom w:val="single" w:color="auto" w:sz="8" w:space="0"/>
              <w:right w:val="single" w:color="auto" w:sz="8" w:space="0"/>
            </w:tcBorders>
            <w:shd w:val="clear" w:color="auto" w:fill="auto"/>
            <w:noWrap/>
            <w:vAlign w:val="center"/>
          </w:tcPr>
          <w:p w14:paraId="55A36A9D">
            <w:pPr>
              <w:widowControl/>
              <w:jc w:val="center"/>
              <w:rPr>
                <w:rFonts w:ascii="宋体" w:hAnsi="宋体" w:cs="宋体"/>
                <w:color w:val="000000"/>
                <w:kern w:val="0"/>
                <w:sz w:val="18"/>
                <w:szCs w:val="18"/>
              </w:rPr>
            </w:pPr>
            <w:r>
              <w:rPr>
                <w:rFonts w:hint="eastAsia" w:ascii="宋体" w:hAnsi="宋体" w:cs="宋体"/>
                <w:color w:val="000000"/>
                <w:kern w:val="0"/>
                <w:sz w:val="18"/>
                <w:szCs w:val="18"/>
              </w:rPr>
              <w:t>-13.52</w:t>
            </w:r>
          </w:p>
        </w:tc>
      </w:tr>
      <w:tr w14:paraId="42DD62B2">
        <w:tblPrEx>
          <w:tblCellMar>
            <w:top w:w="0" w:type="dxa"/>
            <w:left w:w="108" w:type="dxa"/>
            <w:bottom w:w="0" w:type="dxa"/>
            <w:right w:w="108" w:type="dxa"/>
          </w:tblCellMar>
        </w:tblPrEx>
        <w:trPr>
          <w:trHeight w:val="300" w:hRule="atLeast"/>
          <w:jc w:val="center"/>
        </w:trPr>
        <w:tc>
          <w:tcPr>
            <w:tcW w:w="2070" w:type="dxa"/>
            <w:tcBorders>
              <w:top w:val="nil"/>
              <w:left w:val="single" w:color="auto" w:sz="8" w:space="0"/>
              <w:bottom w:val="single" w:color="auto" w:sz="8" w:space="0"/>
              <w:right w:val="single" w:color="auto" w:sz="8" w:space="0"/>
            </w:tcBorders>
            <w:shd w:val="clear" w:color="auto" w:fill="auto"/>
            <w:noWrap/>
            <w:vAlign w:val="center"/>
          </w:tcPr>
          <w:p w14:paraId="16E29518">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356" w:type="dxa"/>
            <w:tcBorders>
              <w:top w:val="nil"/>
              <w:left w:val="nil"/>
              <w:bottom w:val="single" w:color="auto" w:sz="8" w:space="0"/>
              <w:right w:val="single" w:color="auto" w:sz="8" w:space="0"/>
            </w:tcBorders>
            <w:shd w:val="clear" w:color="auto" w:fill="auto"/>
            <w:noWrap/>
            <w:vAlign w:val="center"/>
          </w:tcPr>
          <w:p w14:paraId="11499330">
            <w:pPr>
              <w:widowControl/>
              <w:jc w:val="center"/>
              <w:rPr>
                <w:rFonts w:ascii="宋体" w:hAnsi="宋体" w:cs="宋体"/>
                <w:color w:val="000000"/>
                <w:kern w:val="0"/>
                <w:sz w:val="18"/>
                <w:szCs w:val="18"/>
              </w:rPr>
            </w:pPr>
            <w:r>
              <w:rPr>
                <w:rFonts w:hint="eastAsia" w:ascii="宋体" w:hAnsi="宋体" w:cs="宋体"/>
                <w:color w:val="000000"/>
                <w:kern w:val="0"/>
                <w:sz w:val="18"/>
                <w:szCs w:val="18"/>
              </w:rPr>
              <w:t>81.53</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12560AE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50.19 </w:t>
            </w:r>
          </w:p>
        </w:tc>
        <w:tc>
          <w:tcPr>
            <w:tcW w:w="1689" w:type="dxa"/>
            <w:tcBorders>
              <w:top w:val="nil"/>
              <w:left w:val="nil"/>
              <w:bottom w:val="single" w:color="auto" w:sz="8" w:space="0"/>
              <w:right w:val="single" w:color="auto" w:sz="8" w:space="0"/>
            </w:tcBorders>
            <w:shd w:val="clear" w:color="auto" w:fill="auto"/>
            <w:noWrap/>
            <w:vAlign w:val="center"/>
          </w:tcPr>
          <w:p w14:paraId="74AA436B">
            <w:pPr>
              <w:widowControl/>
              <w:jc w:val="center"/>
              <w:rPr>
                <w:rFonts w:ascii="宋体" w:hAnsi="宋体" w:cs="宋体"/>
                <w:color w:val="000000"/>
                <w:kern w:val="0"/>
                <w:sz w:val="18"/>
                <w:szCs w:val="18"/>
              </w:rPr>
            </w:pPr>
            <w:r>
              <w:rPr>
                <w:rFonts w:hint="eastAsia" w:ascii="宋体" w:hAnsi="宋体" w:cs="宋体"/>
                <w:color w:val="000000"/>
                <w:kern w:val="0"/>
                <w:sz w:val="18"/>
                <w:szCs w:val="18"/>
              </w:rPr>
              <w:t>-31.34</w:t>
            </w:r>
          </w:p>
        </w:tc>
      </w:tr>
      <w:tr w14:paraId="72915D81">
        <w:tblPrEx>
          <w:tblCellMar>
            <w:top w:w="0" w:type="dxa"/>
            <w:left w:w="108" w:type="dxa"/>
            <w:bottom w:w="0" w:type="dxa"/>
            <w:right w:w="108" w:type="dxa"/>
          </w:tblCellMar>
        </w:tblPrEx>
        <w:trPr>
          <w:trHeight w:val="300" w:hRule="atLeast"/>
          <w:jc w:val="center"/>
        </w:trPr>
        <w:tc>
          <w:tcPr>
            <w:tcW w:w="2070" w:type="dxa"/>
            <w:tcBorders>
              <w:top w:val="nil"/>
              <w:left w:val="single" w:color="auto" w:sz="8" w:space="0"/>
              <w:bottom w:val="single" w:color="auto" w:sz="8" w:space="0"/>
              <w:right w:val="single" w:color="auto" w:sz="8" w:space="0"/>
            </w:tcBorders>
            <w:shd w:val="clear" w:color="auto" w:fill="auto"/>
            <w:noWrap/>
            <w:vAlign w:val="center"/>
          </w:tcPr>
          <w:p w14:paraId="7A3414A5">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356" w:type="dxa"/>
            <w:tcBorders>
              <w:top w:val="nil"/>
              <w:left w:val="nil"/>
              <w:bottom w:val="single" w:color="auto" w:sz="8" w:space="0"/>
              <w:right w:val="single" w:color="auto" w:sz="8" w:space="0"/>
            </w:tcBorders>
            <w:shd w:val="clear" w:color="auto" w:fill="auto"/>
            <w:noWrap/>
            <w:vAlign w:val="center"/>
          </w:tcPr>
          <w:p w14:paraId="3A10EC99">
            <w:pPr>
              <w:widowControl/>
              <w:jc w:val="center"/>
              <w:rPr>
                <w:rFonts w:ascii="宋体" w:hAnsi="宋体" w:cs="宋体"/>
                <w:color w:val="000000"/>
                <w:kern w:val="0"/>
                <w:sz w:val="18"/>
                <w:szCs w:val="18"/>
              </w:rPr>
            </w:pPr>
            <w:r>
              <w:rPr>
                <w:rFonts w:hint="eastAsia" w:ascii="宋体" w:hAnsi="宋体" w:cs="宋体"/>
                <w:color w:val="000000"/>
                <w:kern w:val="0"/>
                <w:sz w:val="18"/>
                <w:szCs w:val="18"/>
              </w:rPr>
              <w:t>15.13</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403BFB8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5.88 </w:t>
            </w:r>
          </w:p>
        </w:tc>
        <w:tc>
          <w:tcPr>
            <w:tcW w:w="1689" w:type="dxa"/>
            <w:tcBorders>
              <w:top w:val="nil"/>
              <w:left w:val="nil"/>
              <w:bottom w:val="single" w:color="auto" w:sz="8" w:space="0"/>
              <w:right w:val="single" w:color="auto" w:sz="8" w:space="0"/>
            </w:tcBorders>
            <w:shd w:val="clear" w:color="auto" w:fill="auto"/>
            <w:noWrap/>
            <w:vAlign w:val="center"/>
          </w:tcPr>
          <w:p w14:paraId="015A4349">
            <w:pPr>
              <w:widowControl/>
              <w:jc w:val="center"/>
              <w:rPr>
                <w:rFonts w:ascii="宋体" w:hAnsi="宋体" w:cs="宋体"/>
                <w:color w:val="000000"/>
                <w:kern w:val="0"/>
                <w:sz w:val="18"/>
                <w:szCs w:val="18"/>
              </w:rPr>
            </w:pPr>
            <w:r>
              <w:rPr>
                <w:rFonts w:hint="eastAsia" w:ascii="宋体" w:hAnsi="宋体" w:cs="宋体"/>
                <w:color w:val="000000"/>
                <w:kern w:val="0"/>
                <w:sz w:val="18"/>
                <w:szCs w:val="18"/>
              </w:rPr>
              <w:t>-9.25</w:t>
            </w:r>
          </w:p>
        </w:tc>
      </w:tr>
      <w:tr w14:paraId="0B0A7A17">
        <w:tblPrEx>
          <w:tblCellMar>
            <w:top w:w="0" w:type="dxa"/>
            <w:left w:w="108" w:type="dxa"/>
            <w:bottom w:w="0" w:type="dxa"/>
            <w:right w:w="108" w:type="dxa"/>
          </w:tblCellMar>
        </w:tblPrEx>
        <w:trPr>
          <w:trHeight w:val="300" w:hRule="atLeast"/>
          <w:jc w:val="center"/>
        </w:trPr>
        <w:tc>
          <w:tcPr>
            <w:tcW w:w="2070" w:type="dxa"/>
            <w:tcBorders>
              <w:top w:val="nil"/>
              <w:left w:val="single" w:color="auto" w:sz="8" w:space="0"/>
              <w:bottom w:val="single" w:color="auto" w:sz="8" w:space="0"/>
              <w:right w:val="single" w:color="auto" w:sz="8" w:space="0"/>
            </w:tcBorders>
            <w:shd w:val="clear" w:color="auto" w:fill="auto"/>
            <w:noWrap/>
            <w:vAlign w:val="center"/>
          </w:tcPr>
          <w:p w14:paraId="68C3CF05">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356" w:type="dxa"/>
            <w:tcBorders>
              <w:top w:val="nil"/>
              <w:left w:val="nil"/>
              <w:bottom w:val="single" w:color="auto" w:sz="8" w:space="0"/>
              <w:right w:val="single" w:color="auto" w:sz="8" w:space="0"/>
            </w:tcBorders>
            <w:shd w:val="clear" w:color="auto" w:fill="auto"/>
            <w:noWrap/>
            <w:vAlign w:val="center"/>
          </w:tcPr>
          <w:p w14:paraId="1BF6A39F">
            <w:pPr>
              <w:widowControl/>
              <w:jc w:val="center"/>
              <w:rPr>
                <w:rFonts w:ascii="宋体" w:hAnsi="宋体" w:cs="宋体"/>
                <w:color w:val="000000"/>
                <w:kern w:val="0"/>
                <w:sz w:val="18"/>
                <w:szCs w:val="18"/>
              </w:rPr>
            </w:pPr>
            <w:r>
              <w:rPr>
                <w:rFonts w:hint="eastAsia" w:ascii="宋体" w:hAnsi="宋体" w:cs="宋体"/>
                <w:color w:val="000000"/>
                <w:kern w:val="0"/>
                <w:sz w:val="18"/>
                <w:szCs w:val="18"/>
              </w:rPr>
              <w:t>17.77</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1EFE4F8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15.93 </w:t>
            </w:r>
          </w:p>
        </w:tc>
        <w:tc>
          <w:tcPr>
            <w:tcW w:w="1689" w:type="dxa"/>
            <w:tcBorders>
              <w:top w:val="nil"/>
              <w:left w:val="nil"/>
              <w:bottom w:val="single" w:color="auto" w:sz="8" w:space="0"/>
              <w:right w:val="single" w:color="auto" w:sz="8" w:space="0"/>
            </w:tcBorders>
            <w:shd w:val="clear" w:color="auto" w:fill="auto"/>
            <w:noWrap/>
            <w:vAlign w:val="center"/>
          </w:tcPr>
          <w:p w14:paraId="109A8B71">
            <w:pPr>
              <w:widowControl/>
              <w:jc w:val="center"/>
              <w:rPr>
                <w:rFonts w:ascii="宋体" w:hAnsi="宋体" w:cs="宋体"/>
                <w:color w:val="000000"/>
                <w:kern w:val="0"/>
                <w:sz w:val="18"/>
                <w:szCs w:val="18"/>
              </w:rPr>
            </w:pPr>
            <w:r>
              <w:rPr>
                <w:rFonts w:hint="eastAsia" w:ascii="宋体" w:hAnsi="宋体" w:cs="宋体"/>
                <w:color w:val="000000"/>
                <w:kern w:val="0"/>
                <w:sz w:val="18"/>
                <w:szCs w:val="18"/>
              </w:rPr>
              <w:t>-1.84</w:t>
            </w:r>
          </w:p>
        </w:tc>
      </w:tr>
      <w:tr w14:paraId="1C64CEF9">
        <w:tblPrEx>
          <w:tblCellMar>
            <w:top w:w="0" w:type="dxa"/>
            <w:left w:w="108" w:type="dxa"/>
            <w:bottom w:w="0" w:type="dxa"/>
            <w:right w:w="108" w:type="dxa"/>
          </w:tblCellMar>
        </w:tblPrEx>
        <w:trPr>
          <w:trHeight w:val="300" w:hRule="atLeast"/>
          <w:jc w:val="center"/>
        </w:trPr>
        <w:tc>
          <w:tcPr>
            <w:tcW w:w="2070" w:type="dxa"/>
            <w:tcBorders>
              <w:top w:val="nil"/>
              <w:left w:val="single" w:color="auto" w:sz="8" w:space="0"/>
              <w:bottom w:val="single" w:color="auto" w:sz="8" w:space="0"/>
              <w:right w:val="single" w:color="auto" w:sz="8" w:space="0"/>
            </w:tcBorders>
            <w:shd w:val="clear" w:color="auto" w:fill="auto"/>
            <w:noWrap/>
            <w:vAlign w:val="center"/>
          </w:tcPr>
          <w:p w14:paraId="0C70F0A9">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356" w:type="dxa"/>
            <w:tcBorders>
              <w:top w:val="nil"/>
              <w:left w:val="nil"/>
              <w:bottom w:val="single" w:color="auto" w:sz="8" w:space="0"/>
              <w:right w:val="single" w:color="auto" w:sz="8" w:space="0"/>
            </w:tcBorders>
            <w:shd w:val="clear" w:color="auto" w:fill="auto"/>
            <w:noWrap/>
            <w:vAlign w:val="center"/>
          </w:tcPr>
          <w:p w14:paraId="5C5068BF">
            <w:pPr>
              <w:widowControl/>
              <w:jc w:val="center"/>
              <w:rPr>
                <w:rFonts w:ascii="宋体" w:hAnsi="宋体" w:cs="宋体"/>
                <w:color w:val="000000"/>
                <w:kern w:val="0"/>
                <w:sz w:val="18"/>
                <w:szCs w:val="18"/>
              </w:rPr>
            </w:pPr>
            <w:r>
              <w:rPr>
                <w:rFonts w:hint="eastAsia" w:ascii="宋体" w:hAnsi="宋体" w:cs="宋体"/>
                <w:color w:val="000000"/>
                <w:kern w:val="0"/>
                <w:sz w:val="18"/>
                <w:szCs w:val="18"/>
              </w:rPr>
              <w:t>2.31</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2DB6ABD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6.64 </w:t>
            </w:r>
          </w:p>
        </w:tc>
        <w:tc>
          <w:tcPr>
            <w:tcW w:w="1689" w:type="dxa"/>
            <w:tcBorders>
              <w:top w:val="nil"/>
              <w:left w:val="nil"/>
              <w:bottom w:val="single" w:color="auto" w:sz="8" w:space="0"/>
              <w:right w:val="single" w:color="auto" w:sz="8" w:space="0"/>
            </w:tcBorders>
            <w:shd w:val="clear" w:color="auto" w:fill="auto"/>
            <w:noWrap/>
            <w:vAlign w:val="center"/>
          </w:tcPr>
          <w:p w14:paraId="741CBF4D">
            <w:pPr>
              <w:widowControl/>
              <w:jc w:val="center"/>
              <w:rPr>
                <w:rFonts w:ascii="宋体" w:hAnsi="宋体" w:cs="宋体"/>
                <w:color w:val="000000"/>
                <w:kern w:val="0"/>
                <w:sz w:val="18"/>
                <w:szCs w:val="18"/>
              </w:rPr>
            </w:pPr>
            <w:r>
              <w:rPr>
                <w:rFonts w:hint="eastAsia" w:ascii="宋体" w:hAnsi="宋体" w:cs="宋体"/>
                <w:color w:val="000000"/>
                <w:kern w:val="0"/>
                <w:sz w:val="18"/>
                <w:szCs w:val="18"/>
              </w:rPr>
              <w:t>4.33</w:t>
            </w:r>
          </w:p>
        </w:tc>
      </w:tr>
      <w:tr w14:paraId="69879929">
        <w:tblPrEx>
          <w:tblCellMar>
            <w:top w:w="0" w:type="dxa"/>
            <w:left w:w="108" w:type="dxa"/>
            <w:bottom w:w="0" w:type="dxa"/>
            <w:right w:w="108" w:type="dxa"/>
          </w:tblCellMar>
        </w:tblPrEx>
        <w:trPr>
          <w:trHeight w:val="300" w:hRule="atLeast"/>
          <w:jc w:val="center"/>
        </w:trPr>
        <w:tc>
          <w:tcPr>
            <w:tcW w:w="2070" w:type="dxa"/>
            <w:tcBorders>
              <w:top w:val="nil"/>
              <w:left w:val="single" w:color="auto" w:sz="8" w:space="0"/>
              <w:bottom w:val="single" w:color="auto" w:sz="8" w:space="0"/>
              <w:right w:val="single" w:color="auto" w:sz="8" w:space="0"/>
            </w:tcBorders>
            <w:shd w:val="clear" w:color="auto" w:fill="auto"/>
            <w:noWrap/>
            <w:vAlign w:val="center"/>
          </w:tcPr>
          <w:p w14:paraId="53A53AA1">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356" w:type="dxa"/>
            <w:tcBorders>
              <w:top w:val="nil"/>
              <w:left w:val="nil"/>
              <w:bottom w:val="single" w:color="auto" w:sz="8" w:space="0"/>
              <w:right w:val="single" w:color="auto" w:sz="8" w:space="0"/>
            </w:tcBorders>
            <w:shd w:val="clear" w:color="auto" w:fill="auto"/>
            <w:noWrap/>
            <w:vAlign w:val="center"/>
          </w:tcPr>
          <w:p w14:paraId="68C87B1C">
            <w:pPr>
              <w:widowControl/>
              <w:jc w:val="center"/>
              <w:rPr>
                <w:rFonts w:ascii="宋体" w:hAnsi="宋体" w:cs="宋体"/>
                <w:color w:val="000000"/>
                <w:kern w:val="0"/>
                <w:sz w:val="18"/>
                <w:szCs w:val="18"/>
              </w:rPr>
            </w:pPr>
            <w:r>
              <w:rPr>
                <w:rFonts w:hint="eastAsia" w:ascii="宋体" w:hAnsi="宋体" w:cs="宋体"/>
                <w:color w:val="000000"/>
                <w:kern w:val="0"/>
                <w:sz w:val="18"/>
                <w:szCs w:val="18"/>
              </w:rPr>
              <w:t>6.34</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0F49E10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2.82 </w:t>
            </w:r>
          </w:p>
        </w:tc>
        <w:tc>
          <w:tcPr>
            <w:tcW w:w="1689" w:type="dxa"/>
            <w:tcBorders>
              <w:top w:val="nil"/>
              <w:left w:val="nil"/>
              <w:bottom w:val="single" w:color="auto" w:sz="8" w:space="0"/>
              <w:right w:val="single" w:color="auto" w:sz="8" w:space="0"/>
            </w:tcBorders>
            <w:shd w:val="clear" w:color="auto" w:fill="auto"/>
            <w:noWrap/>
            <w:vAlign w:val="center"/>
          </w:tcPr>
          <w:p w14:paraId="0ACFC014">
            <w:pPr>
              <w:widowControl/>
              <w:jc w:val="center"/>
              <w:rPr>
                <w:rFonts w:ascii="宋体" w:hAnsi="宋体" w:cs="宋体"/>
                <w:color w:val="000000"/>
                <w:kern w:val="0"/>
                <w:sz w:val="18"/>
                <w:szCs w:val="18"/>
              </w:rPr>
            </w:pPr>
            <w:r>
              <w:rPr>
                <w:rFonts w:hint="eastAsia" w:ascii="宋体" w:hAnsi="宋体" w:cs="宋体"/>
                <w:color w:val="000000"/>
                <w:kern w:val="0"/>
                <w:sz w:val="18"/>
                <w:szCs w:val="18"/>
              </w:rPr>
              <w:t>-3.52</w:t>
            </w:r>
          </w:p>
        </w:tc>
      </w:tr>
      <w:tr w14:paraId="1C704A5A">
        <w:tblPrEx>
          <w:tblCellMar>
            <w:top w:w="0" w:type="dxa"/>
            <w:left w:w="108" w:type="dxa"/>
            <w:bottom w:w="0" w:type="dxa"/>
            <w:right w:w="108" w:type="dxa"/>
          </w:tblCellMar>
        </w:tblPrEx>
        <w:trPr>
          <w:trHeight w:val="300" w:hRule="atLeast"/>
          <w:jc w:val="center"/>
        </w:trPr>
        <w:tc>
          <w:tcPr>
            <w:tcW w:w="2070" w:type="dxa"/>
            <w:tcBorders>
              <w:top w:val="nil"/>
              <w:left w:val="single" w:color="auto" w:sz="8" w:space="0"/>
              <w:bottom w:val="single" w:color="auto" w:sz="8" w:space="0"/>
              <w:right w:val="single" w:color="auto" w:sz="8" w:space="0"/>
            </w:tcBorders>
            <w:shd w:val="clear" w:color="auto" w:fill="auto"/>
            <w:noWrap/>
            <w:vAlign w:val="center"/>
          </w:tcPr>
          <w:p w14:paraId="670C4418">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356" w:type="dxa"/>
            <w:tcBorders>
              <w:top w:val="nil"/>
              <w:left w:val="nil"/>
              <w:bottom w:val="single" w:color="auto" w:sz="8" w:space="0"/>
              <w:right w:val="single" w:color="auto" w:sz="8" w:space="0"/>
            </w:tcBorders>
            <w:shd w:val="clear" w:color="auto" w:fill="auto"/>
            <w:noWrap/>
            <w:vAlign w:val="center"/>
          </w:tcPr>
          <w:p w14:paraId="7A4AD502">
            <w:pPr>
              <w:widowControl/>
              <w:jc w:val="center"/>
              <w:rPr>
                <w:rFonts w:ascii="宋体" w:hAnsi="宋体" w:cs="宋体"/>
                <w:color w:val="000000"/>
                <w:kern w:val="0"/>
                <w:sz w:val="18"/>
                <w:szCs w:val="18"/>
              </w:rPr>
            </w:pPr>
            <w:r>
              <w:rPr>
                <w:rFonts w:hint="eastAsia" w:ascii="宋体" w:hAnsi="宋体" w:cs="宋体"/>
                <w:color w:val="000000"/>
                <w:kern w:val="0"/>
                <w:sz w:val="18"/>
                <w:szCs w:val="18"/>
              </w:rPr>
              <w:t>410.48</w:t>
            </w:r>
          </w:p>
        </w:tc>
        <w:tc>
          <w:tcPr>
            <w:tcW w:w="1276" w:type="dxa"/>
            <w:tcBorders>
              <w:top w:val="nil"/>
              <w:left w:val="nil"/>
              <w:bottom w:val="single" w:color="auto" w:sz="8" w:space="0"/>
              <w:right w:val="single" w:color="auto" w:sz="8" w:space="0"/>
            </w:tcBorders>
            <w:shd w:val="clear" w:color="auto" w:fill="auto"/>
            <w:noWrap/>
            <w:vAlign w:val="center"/>
          </w:tcPr>
          <w:p w14:paraId="716E56AD">
            <w:pPr>
              <w:widowControl/>
              <w:jc w:val="center"/>
              <w:rPr>
                <w:rFonts w:ascii="宋体" w:hAnsi="宋体" w:cs="宋体"/>
                <w:color w:val="000000"/>
                <w:kern w:val="0"/>
                <w:sz w:val="18"/>
                <w:szCs w:val="18"/>
              </w:rPr>
            </w:pPr>
            <w:r>
              <w:rPr>
                <w:rFonts w:hint="eastAsia" w:ascii="宋体" w:hAnsi="宋体" w:cs="宋体"/>
                <w:color w:val="000000"/>
                <w:kern w:val="0"/>
                <w:sz w:val="18"/>
                <w:szCs w:val="18"/>
              </w:rPr>
              <w:t>203.32</w:t>
            </w:r>
          </w:p>
        </w:tc>
        <w:tc>
          <w:tcPr>
            <w:tcW w:w="1689" w:type="dxa"/>
            <w:tcBorders>
              <w:top w:val="nil"/>
              <w:left w:val="nil"/>
              <w:bottom w:val="single" w:color="auto" w:sz="8" w:space="0"/>
              <w:right w:val="single" w:color="auto" w:sz="8" w:space="0"/>
            </w:tcBorders>
            <w:shd w:val="clear" w:color="auto" w:fill="auto"/>
            <w:noWrap/>
            <w:vAlign w:val="center"/>
          </w:tcPr>
          <w:p w14:paraId="3CC9ACB1">
            <w:pPr>
              <w:jc w:val="center"/>
              <w:rPr>
                <w:rFonts w:ascii="宋体" w:hAnsi="宋体" w:cs="宋体"/>
                <w:color w:val="000000"/>
                <w:kern w:val="0"/>
                <w:sz w:val="18"/>
                <w:szCs w:val="18"/>
              </w:rPr>
            </w:pPr>
            <w:r>
              <w:rPr>
                <w:rFonts w:hint="eastAsia" w:ascii="宋体" w:hAnsi="宋体" w:cs="宋体"/>
                <w:color w:val="000000"/>
                <w:kern w:val="0"/>
                <w:sz w:val="18"/>
                <w:szCs w:val="18"/>
              </w:rPr>
              <w:t>-207.16</w:t>
            </w:r>
          </w:p>
        </w:tc>
      </w:tr>
    </w:tbl>
    <w:p w14:paraId="13D7E6CF">
      <w:pPr>
        <w:pStyle w:val="4"/>
        <w:spacing w:before="0" w:after="0" w:line="480" w:lineRule="auto"/>
        <w:rPr>
          <w:rFonts w:ascii="仿宋_GB2312" w:hAnsi="宋体" w:eastAsia="仿宋_GB2312"/>
          <w:kern w:val="0"/>
          <w:sz w:val="28"/>
          <w:szCs w:val="28"/>
        </w:rPr>
      </w:pPr>
      <w:r>
        <w:rPr>
          <w:rFonts w:hint="eastAsia" w:ascii="Arial" w:hAnsi="Arial" w:eastAsia="黑体"/>
          <w:b w:val="0"/>
          <w:color w:val="000000"/>
          <w:sz w:val="28"/>
          <w:szCs w:val="28"/>
        </w:rPr>
        <w:t>二、其他指标调整</w:t>
      </w:r>
    </w:p>
    <w:p w14:paraId="036B0880">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根据云南省市县乡级调整完善技术指南,在不突破昆明市下达东川区耕地保有量、基本农田保护面积、建设用地总规模、城乡建设用地总规模等指标的前提下，还需对其他指标进行合理分解，主要包括总量指标、增量指标和效率指标。</w:t>
      </w:r>
    </w:p>
    <w:p w14:paraId="05CDFECE">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其他总量指标指园地、林地、草地、牧草地、城镇工矿用地规模、交通水利及其他建设用地规模；增量指标指新增建设用地规模、新增建设占用农用地规模、新增建设占用耕地规模、整理复垦开发补充耕地规模；效率指标指人均城镇工矿用地。园地、林地、牧草地等以2014年现状规模为基础，主要根据2009-2014年均变化量，按照趋势外推法进行调整。</w:t>
      </w:r>
    </w:p>
    <w:p w14:paraId="1E2186B8">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城镇工矿用地按历年来其他用地规模占城乡建设用地规模比重进行测算调整；交通水利及其他建设用地规模通过建设用地总量扣除城乡建设用地进行调整。</w:t>
      </w:r>
    </w:p>
    <w:p w14:paraId="443871F2">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新增建设占用农用地原则按新增建设用地的90%进行测算调整。补充耕地义务量和人均城镇工矿用地参照昆明市下达指标。</w:t>
      </w:r>
    </w:p>
    <w:p w14:paraId="07D8A907">
      <w:pPr>
        <w:jc w:val="center"/>
        <w:outlineLvl w:val="4"/>
        <w:rPr>
          <w:rFonts w:ascii="宋体" w:hAnsi="宋体"/>
          <w:b/>
          <w:sz w:val="24"/>
        </w:rPr>
      </w:pPr>
      <w:r>
        <w:rPr>
          <w:rFonts w:hint="eastAsia" w:ascii="宋体" w:hAnsi="宋体"/>
          <w:b/>
          <w:sz w:val="24"/>
        </w:rPr>
        <w:t>表5-10  东川区其他指标调整情况表</w:t>
      </w:r>
    </w:p>
    <w:p w14:paraId="668DD9C7">
      <w:pPr>
        <w:spacing w:line="360" w:lineRule="auto"/>
        <w:ind w:firstLine="360" w:firstLineChars="200"/>
        <w:jc w:val="right"/>
        <w:rPr>
          <w:rFonts w:ascii="宋体" w:hAnsi="宋体"/>
          <w:color w:val="000000"/>
          <w:sz w:val="18"/>
          <w:szCs w:val="18"/>
        </w:rPr>
      </w:pPr>
      <w:r>
        <w:rPr>
          <w:rFonts w:hint="eastAsia" w:ascii="宋体" w:hAnsi="宋体"/>
          <w:color w:val="000000"/>
          <w:sz w:val="18"/>
          <w:szCs w:val="18"/>
        </w:rPr>
        <w:t>单位：公顷、平方米/人</w:t>
      </w:r>
    </w:p>
    <w:tbl>
      <w:tblPr>
        <w:tblStyle w:val="27"/>
        <w:tblW w:w="10698" w:type="dxa"/>
        <w:jc w:val="center"/>
        <w:tblLayout w:type="autofit"/>
        <w:tblCellMar>
          <w:top w:w="0" w:type="dxa"/>
          <w:left w:w="108" w:type="dxa"/>
          <w:bottom w:w="0" w:type="dxa"/>
          <w:right w:w="108" w:type="dxa"/>
        </w:tblCellMar>
      </w:tblPr>
      <w:tblGrid>
        <w:gridCol w:w="1026"/>
        <w:gridCol w:w="1116"/>
        <w:gridCol w:w="936"/>
        <w:gridCol w:w="981"/>
        <w:gridCol w:w="1394"/>
        <w:gridCol w:w="1300"/>
        <w:gridCol w:w="940"/>
        <w:gridCol w:w="992"/>
        <w:gridCol w:w="939"/>
        <w:gridCol w:w="1074"/>
      </w:tblGrid>
      <w:tr w14:paraId="71C8E806">
        <w:tblPrEx>
          <w:tblCellMar>
            <w:top w:w="0" w:type="dxa"/>
            <w:left w:w="108" w:type="dxa"/>
            <w:bottom w:w="0" w:type="dxa"/>
            <w:right w:w="108" w:type="dxa"/>
          </w:tblCellMar>
        </w:tblPrEx>
        <w:trPr>
          <w:trHeight w:val="340" w:hRule="atLeast"/>
          <w:jc w:val="center"/>
        </w:trPr>
        <w:tc>
          <w:tcPr>
            <w:tcW w:w="545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73CD41C3">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总量指标</w:t>
            </w:r>
          </w:p>
        </w:tc>
        <w:tc>
          <w:tcPr>
            <w:tcW w:w="4171" w:type="dxa"/>
            <w:gridSpan w:val="4"/>
            <w:tcBorders>
              <w:top w:val="single" w:color="auto" w:sz="4" w:space="0"/>
              <w:left w:val="nil"/>
              <w:bottom w:val="single" w:color="auto" w:sz="4" w:space="0"/>
              <w:right w:val="single" w:color="auto" w:sz="4" w:space="0"/>
            </w:tcBorders>
            <w:shd w:val="clear" w:color="auto" w:fill="auto"/>
            <w:noWrap/>
            <w:vAlign w:val="center"/>
          </w:tcPr>
          <w:p w14:paraId="0777609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增量指标</w:t>
            </w:r>
          </w:p>
        </w:tc>
        <w:tc>
          <w:tcPr>
            <w:tcW w:w="1074" w:type="dxa"/>
            <w:tcBorders>
              <w:top w:val="single" w:color="auto" w:sz="4" w:space="0"/>
              <w:left w:val="nil"/>
              <w:bottom w:val="single" w:color="auto" w:sz="4" w:space="0"/>
              <w:right w:val="single" w:color="auto" w:sz="4" w:space="0"/>
            </w:tcBorders>
            <w:shd w:val="clear" w:color="auto" w:fill="auto"/>
            <w:noWrap/>
            <w:vAlign w:val="center"/>
          </w:tcPr>
          <w:p w14:paraId="678E50E2">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效率指标</w:t>
            </w:r>
          </w:p>
        </w:tc>
      </w:tr>
      <w:tr w14:paraId="20DD234C">
        <w:tblPrEx>
          <w:tblCellMar>
            <w:top w:w="0" w:type="dxa"/>
            <w:left w:w="108" w:type="dxa"/>
            <w:bottom w:w="0" w:type="dxa"/>
            <w:right w:w="108" w:type="dxa"/>
          </w:tblCellMar>
        </w:tblPrEx>
        <w:trPr>
          <w:trHeight w:val="340" w:hRule="atLeast"/>
          <w:jc w:val="center"/>
        </w:trPr>
        <w:tc>
          <w:tcPr>
            <w:tcW w:w="1026" w:type="dxa"/>
            <w:vMerge w:val="restart"/>
            <w:tcBorders>
              <w:top w:val="nil"/>
              <w:left w:val="single" w:color="auto" w:sz="4" w:space="0"/>
              <w:bottom w:val="single" w:color="auto" w:sz="4" w:space="0"/>
              <w:right w:val="single" w:color="auto" w:sz="4" w:space="0"/>
            </w:tcBorders>
            <w:shd w:val="clear" w:color="auto" w:fill="auto"/>
            <w:vAlign w:val="center"/>
          </w:tcPr>
          <w:p w14:paraId="787FD2E2">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园地</w:t>
            </w:r>
          </w:p>
        </w:tc>
        <w:tc>
          <w:tcPr>
            <w:tcW w:w="1116" w:type="dxa"/>
            <w:vMerge w:val="restart"/>
            <w:tcBorders>
              <w:top w:val="nil"/>
              <w:left w:val="single" w:color="auto" w:sz="4" w:space="0"/>
              <w:bottom w:val="single" w:color="auto" w:sz="4" w:space="0"/>
              <w:right w:val="single" w:color="auto" w:sz="4" w:space="0"/>
            </w:tcBorders>
            <w:shd w:val="clear" w:color="auto" w:fill="auto"/>
            <w:noWrap/>
            <w:vAlign w:val="center"/>
          </w:tcPr>
          <w:p w14:paraId="5B2302E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林地</w:t>
            </w:r>
          </w:p>
        </w:tc>
        <w:tc>
          <w:tcPr>
            <w:tcW w:w="936" w:type="dxa"/>
            <w:vMerge w:val="restart"/>
            <w:tcBorders>
              <w:top w:val="nil"/>
              <w:left w:val="single" w:color="auto" w:sz="4" w:space="0"/>
              <w:bottom w:val="single" w:color="auto" w:sz="4" w:space="0"/>
              <w:right w:val="single" w:color="auto" w:sz="4" w:space="0"/>
            </w:tcBorders>
            <w:shd w:val="clear" w:color="auto" w:fill="auto"/>
            <w:vAlign w:val="center"/>
          </w:tcPr>
          <w:p w14:paraId="243A0663">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牧草地</w:t>
            </w:r>
          </w:p>
        </w:tc>
        <w:tc>
          <w:tcPr>
            <w:tcW w:w="981" w:type="dxa"/>
            <w:vMerge w:val="restart"/>
            <w:tcBorders>
              <w:top w:val="nil"/>
              <w:left w:val="single" w:color="auto" w:sz="4" w:space="0"/>
              <w:bottom w:val="single" w:color="auto" w:sz="4" w:space="0"/>
              <w:right w:val="single" w:color="auto" w:sz="4" w:space="0"/>
            </w:tcBorders>
            <w:shd w:val="clear" w:color="auto" w:fill="auto"/>
            <w:noWrap/>
            <w:vAlign w:val="center"/>
          </w:tcPr>
          <w:p w14:paraId="3B6FC39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城镇工矿</w:t>
            </w:r>
          </w:p>
          <w:p w14:paraId="45DA87E5">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用地</w:t>
            </w:r>
          </w:p>
        </w:tc>
        <w:tc>
          <w:tcPr>
            <w:tcW w:w="1394" w:type="dxa"/>
            <w:vMerge w:val="restart"/>
            <w:tcBorders>
              <w:top w:val="nil"/>
              <w:left w:val="single" w:color="auto" w:sz="4" w:space="0"/>
              <w:bottom w:val="single" w:color="auto" w:sz="4" w:space="0"/>
              <w:right w:val="single" w:color="auto" w:sz="4" w:space="0"/>
            </w:tcBorders>
            <w:shd w:val="clear" w:color="auto" w:fill="auto"/>
            <w:vAlign w:val="center"/>
          </w:tcPr>
          <w:p w14:paraId="03FE1BC3">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交通水利及其他建设用地</w:t>
            </w:r>
          </w:p>
        </w:tc>
        <w:tc>
          <w:tcPr>
            <w:tcW w:w="1300" w:type="dxa"/>
            <w:vMerge w:val="restart"/>
            <w:tcBorders>
              <w:top w:val="nil"/>
              <w:left w:val="single" w:color="auto" w:sz="4" w:space="0"/>
              <w:bottom w:val="single" w:color="auto" w:sz="4" w:space="0"/>
              <w:right w:val="single" w:color="auto" w:sz="4" w:space="0"/>
            </w:tcBorders>
            <w:shd w:val="clear" w:color="auto" w:fill="auto"/>
            <w:noWrap/>
            <w:vAlign w:val="center"/>
          </w:tcPr>
          <w:p w14:paraId="2496553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新增建设</w:t>
            </w:r>
          </w:p>
          <w:p w14:paraId="1361F1DB">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占用农用地</w:t>
            </w:r>
          </w:p>
        </w:tc>
        <w:tc>
          <w:tcPr>
            <w:tcW w:w="940" w:type="dxa"/>
            <w:vMerge w:val="restart"/>
            <w:tcBorders>
              <w:top w:val="nil"/>
              <w:left w:val="single" w:color="auto" w:sz="4" w:space="0"/>
              <w:bottom w:val="single" w:color="auto" w:sz="4" w:space="0"/>
              <w:right w:val="single" w:color="auto" w:sz="4" w:space="0"/>
            </w:tcBorders>
            <w:shd w:val="clear" w:color="auto" w:fill="auto"/>
            <w:vAlign w:val="center"/>
          </w:tcPr>
          <w:p w14:paraId="1AE4387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新增建设占用耕地</w:t>
            </w:r>
          </w:p>
        </w:tc>
        <w:tc>
          <w:tcPr>
            <w:tcW w:w="1931" w:type="dxa"/>
            <w:gridSpan w:val="2"/>
            <w:tcBorders>
              <w:top w:val="single" w:color="auto" w:sz="4" w:space="0"/>
              <w:left w:val="nil"/>
              <w:bottom w:val="single" w:color="auto" w:sz="4" w:space="0"/>
              <w:right w:val="single" w:color="auto" w:sz="4" w:space="0"/>
            </w:tcBorders>
            <w:shd w:val="clear" w:color="auto" w:fill="auto"/>
            <w:noWrap/>
            <w:vAlign w:val="center"/>
          </w:tcPr>
          <w:p w14:paraId="6835DEC2">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整理复垦开发</w:t>
            </w:r>
          </w:p>
          <w:p w14:paraId="6AF8A74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补充耕地</w:t>
            </w:r>
          </w:p>
        </w:tc>
        <w:tc>
          <w:tcPr>
            <w:tcW w:w="1074" w:type="dxa"/>
            <w:vMerge w:val="restart"/>
            <w:tcBorders>
              <w:top w:val="nil"/>
              <w:left w:val="single" w:color="auto" w:sz="4" w:space="0"/>
              <w:bottom w:val="single" w:color="auto" w:sz="4" w:space="0"/>
              <w:right w:val="single" w:color="auto" w:sz="4" w:space="0"/>
            </w:tcBorders>
            <w:shd w:val="clear" w:color="auto" w:fill="auto"/>
            <w:noWrap/>
            <w:vAlign w:val="center"/>
          </w:tcPr>
          <w:p w14:paraId="1052313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人均城镇工矿用地</w:t>
            </w:r>
          </w:p>
        </w:tc>
      </w:tr>
      <w:tr w14:paraId="7304C1B6">
        <w:tblPrEx>
          <w:tblCellMar>
            <w:top w:w="0" w:type="dxa"/>
            <w:left w:w="108" w:type="dxa"/>
            <w:bottom w:w="0" w:type="dxa"/>
            <w:right w:w="108" w:type="dxa"/>
          </w:tblCellMar>
        </w:tblPrEx>
        <w:trPr>
          <w:trHeight w:val="340" w:hRule="atLeast"/>
          <w:jc w:val="center"/>
        </w:trPr>
        <w:tc>
          <w:tcPr>
            <w:tcW w:w="1026" w:type="dxa"/>
            <w:vMerge w:val="continue"/>
            <w:tcBorders>
              <w:top w:val="nil"/>
              <w:left w:val="single" w:color="auto" w:sz="4" w:space="0"/>
              <w:bottom w:val="single" w:color="auto" w:sz="4" w:space="0"/>
              <w:right w:val="single" w:color="auto" w:sz="4" w:space="0"/>
            </w:tcBorders>
            <w:vAlign w:val="center"/>
          </w:tcPr>
          <w:p w14:paraId="285AA08B">
            <w:pPr>
              <w:widowControl/>
              <w:jc w:val="center"/>
              <w:rPr>
                <w:rFonts w:ascii="宋体" w:hAnsi="宋体" w:cs="宋体"/>
                <w:color w:val="000000"/>
                <w:kern w:val="0"/>
                <w:sz w:val="18"/>
                <w:szCs w:val="18"/>
              </w:rPr>
            </w:pPr>
          </w:p>
        </w:tc>
        <w:tc>
          <w:tcPr>
            <w:tcW w:w="1116" w:type="dxa"/>
            <w:vMerge w:val="continue"/>
            <w:tcBorders>
              <w:top w:val="nil"/>
              <w:left w:val="single" w:color="auto" w:sz="4" w:space="0"/>
              <w:bottom w:val="single" w:color="auto" w:sz="4" w:space="0"/>
              <w:right w:val="single" w:color="auto" w:sz="4" w:space="0"/>
            </w:tcBorders>
            <w:vAlign w:val="center"/>
          </w:tcPr>
          <w:p w14:paraId="4A46F4B6">
            <w:pPr>
              <w:widowControl/>
              <w:jc w:val="center"/>
              <w:rPr>
                <w:rFonts w:ascii="宋体" w:hAnsi="宋体" w:cs="宋体"/>
                <w:color w:val="000000"/>
                <w:kern w:val="0"/>
                <w:sz w:val="18"/>
                <w:szCs w:val="18"/>
              </w:rPr>
            </w:pPr>
          </w:p>
        </w:tc>
        <w:tc>
          <w:tcPr>
            <w:tcW w:w="936" w:type="dxa"/>
            <w:vMerge w:val="continue"/>
            <w:tcBorders>
              <w:top w:val="nil"/>
              <w:left w:val="single" w:color="auto" w:sz="4" w:space="0"/>
              <w:bottom w:val="single" w:color="auto" w:sz="4" w:space="0"/>
              <w:right w:val="single" w:color="auto" w:sz="4" w:space="0"/>
            </w:tcBorders>
            <w:vAlign w:val="center"/>
          </w:tcPr>
          <w:p w14:paraId="66BCE84C">
            <w:pPr>
              <w:widowControl/>
              <w:jc w:val="center"/>
              <w:rPr>
                <w:rFonts w:ascii="宋体" w:hAnsi="宋体" w:cs="宋体"/>
                <w:color w:val="000000"/>
                <w:kern w:val="0"/>
                <w:sz w:val="18"/>
                <w:szCs w:val="18"/>
              </w:rPr>
            </w:pPr>
          </w:p>
        </w:tc>
        <w:tc>
          <w:tcPr>
            <w:tcW w:w="981" w:type="dxa"/>
            <w:vMerge w:val="continue"/>
            <w:tcBorders>
              <w:top w:val="nil"/>
              <w:left w:val="single" w:color="auto" w:sz="4" w:space="0"/>
              <w:bottom w:val="single" w:color="auto" w:sz="4" w:space="0"/>
              <w:right w:val="single" w:color="auto" w:sz="4" w:space="0"/>
            </w:tcBorders>
            <w:vAlign w:val="center"/>
          </w:tcPr>
          <w:p w14:paraId="686B0594">
            <w:pPr>
              <w:widowControl/>
              <w:jc w:val="center"/>
              <w:rPr>
                <w:rFonts w:ascii="宋体" w:hAnsi="宋体" w:cs="宋体"/>
                <w:color w:val="000000"/>
                <w:kern w:val="0"/>
                <w:sz w:val="18"/>
                <w:szCs w:val="18"/>
              </w:rPr>
            </w:pPr>
          </w:p>
        </w:tc>
        <w:tc>
          <w:tcPr>
            <w:tcW w:w="1394" w:type="dxa"/>
            <w:vMerge w:val="continue"/>
            <w:tcBorders>
              <w:top w:val="nil"/>
              <w:left w:val="single" w:color="auto" w:sz="4" w:space="0"/>
              <w:bottom w:val="single" w:color="auto" w:sz="4" w:space="0"/>
              <w:right w:val="single" w:color="auto" w:sz="4" w:space="0"/>
            </w:tcBorders>
            <w:vAlign w:val="center"/>
          </w:tcPr>
          <w:p w14:paraId="032BAB78">
            <w:pPr>
              <w:widowControl/>
              <w:jc w:val="center"/>
              <w:rPr>
                <w:rFonts w:ascii="宋体" w:hAnsi="宋体" w:cs="宋体"/>
                <w:color w:val="000000"/>
                <w:kern w:val="0"/>
                <w:sz w:val="18"/>
                <w:szCs w:val="18"/>
              </w:rPr>
            </w:pPr>
          </w:p>
        </w:tc>
        <w:tc>
          <w:tcPr>
            <w:tcW w:w="1300" w:type="dxa"/>
            <w:vMerge w:val="continue"/>
            <w:tcBorders>
              <w:top w:val="nil"/>
              <w:left w:val="single" w:color="auto" w:sz="4" w:space="0"/>
              <w:bottom w:val="single" w:color="auto" w:sz="4" w:space="0"/>
              <w:right w:val="single" w:color="auto" w:sz="4" w:space="0"/>
            </w:tcBorders>
            <w:vAlign w:val="center"/>
          </w:tcPr>
          <w:p w14:paraId="75383987">
            <w:pPr>
              <w:widowControl/>
              <w:jc w:val="center"/>
              <w:rPr>
                <w:rFonts w:ascii="宋体" w:hAnsi="宋体" w:cs="宋体"/>
                <w:color w:val="000000"/>
                <w:kern w:val="0"/>
                <w:sz w:val="18"/>
                <w:szCs w:val="18"/>
              </w:rPr>
            </w:pPr>
          </w:p>
        </w:tc>
        <w:tc>
          <w:tcPr>
            <w:tcW w:w="940" w:type="dxa"/>
            <w:vMerge w:val="continue"/>
            <w:tcBorders>
              <w:top w:val="nil"/>
              <w:left w:val="single" w:color="auto" w:sz="4" w:space="0"/>
              <w:bottom w:val="single" w:color="auto" w:sz="4" w:space="0"/>
              <w:right w:val="single" w:color="auto" w:sz="4" w:space="0"/>
            </w:tcBorders>
            <w:vAlign w:val="center"/>
          </w:tcPr>
          <w:p w14:paraId="5C099C86">
            <w:pPr>
              <w:widowControl/>
              <w:jc w:val="center"/>
              <w:rPr>
                <w:rFonts w:ascii="宋体" w:hAnsi="宋体" w:cs="宋体"/>
                <w:color w:val="000000"/>
                <w:kern w:val="0"/>
                <w:sz w:val="18"/>
                <w:szCs w:val="18"/>
              </w:rPr>
            </w:pPr>
          </w:p>
        </w:tc>
        <w:tc>
          <w:tcPr>
            <w:tcW w:w="992" w:type="dxa"/>
            <w:tcBorders>
              <w:top w:val="nil"/>
              <w:left w:val="nil"/>
              <w:bottom w:val="single" w:color="auto" w:sz="4" w:space="0"/>
              <w:right w:val="single" w:color="auto" w:sz="4" w:space="0"/>
            </w:tcBorders>
            <w:shd w:val="clear" w:color="auto" w:fill="auto"/>
            <w:noWrap/>
            <w:vAlign w:val="center"/>
          </w:tcPr>
          <w:p w14:paraId="79C9CD57">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义务量</w:t>
            </w:r>
          </w:p>
        </w:tc>
        <w:tc>
          <w:tcPr>
            <w:tcW w:w="939" w:type="dxa"/>
            <w:tcBorders>
              <w:top w:val="nil"/>
              <w:left w:val="nil"/>
              <w:bottom w:val="single" w:color="auto" w:sz="4" w:space="0"/>
              <w:right w:val="single" w:color="auto" w:sz="4" w:space="0"/>
            </w:tcBorders>
            <w:shd w:val="clear" w:color="auto" w:fill="auto"/>
            <w:vAlign w:val="center"/>
          </w:tcPr>
          <w:p w14:paraId="5DC35CB5">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任务量</w:t>
            </w:r>
          </w:p>
        </w:tc>
        <w:tc>
          <w:tcPr>
            <w:tcW w:w="1074" w:type="dxa"/>
            <w:vMerge w:val="continue"/>
            <w:tcBorders>
              <w:top w:val="nil"/>
              <w:left w:val="single" w:color="auto" w:sz="4" w:space="0"/>
              <w:bottom w:val="single" w:color="auto" w:sz="4" w:space="0"/>
              <w:right w:val="single" w:color="auto" w:sz="4" w:space="0"/>
            </w:tcBorders>
            <w:vAlign w:val="center"/>
          </w:tcPr>
          <w:p w14:paraId="505DEA7E">
            <w:pPr>
              <w:widowControl/>
              <w:jc w:val="center"/>
              <w:rPr>
                <w:rFonts w:ascii="宋体" w:hAnsi="宋体" w:cs="宋体"/>
                <w:color w:val="000000"/>
                <w:kern w:val="0"/>
                <w:sz w:val="18"/>
                <w:szCs w:val="18"/>
              </w:rPr>
            </w:pPr>
          </w:p>
        </w:tc>
      </w:tr>
      <w:tr w14:paraId="2961E389">
        <w:tblPrEx>
          <w:tblCellMar>
            <w:top w:w="0" w:type="dxa"/>
            <w:left w:w="108" w:type="dxa"/>
            <w:bottom w:w="0" w:type="dxa"/>
            <w:right w:w="108" w:type="dxa"/>
          </w:tblCellMar>
        </w:tblPrEx>
        <w:trPr>
          <w:trHeight w:val="340" w:hRule="atLeast"/>
          <w:jc w:val="center"/>
        </w:trPr>
        <w:tc>
          <w:tcPr>
            <w:tcW w:w="1026" w:type="dxa"/>
            <w:tcBorders>
              <w:top w:val="nil"/>
              <w:left w:val="single" w:color="auto" w:sz="4" w:space="0"/>
              <w:bottom w:val="single" w:color="auto" w:sz="4" w:space="0"/>
              <w:right w:val="single" w:color="auto" w:sz="4" w:space="0"/>
            </w:tcBorders>
            <w:shd w:val="clear" w:color="auto" w:fill="auto"/>
            <w:noWrap/>
            <w:vAlign w:val="center"/>
          </w:tcPr>
          <w:p w14:paraId="41124B1B">
            <w:pPr>
              <w:widowControl/>
              <w:jc w:val="center"/>
              <w:rPr>
                <w:rFonts w:ascii="宋体" w:hAnsi="宋体" w:cs="宋体"/>
                <w:color w:val="000000"/>
                <w:kern w:val="0"/>
                <w:sz w:val="18"/>
                <w:szCs w:val="18"/>
              </w:rPr>
            </w:pPr>
            <w:r>
              <w:rPr>
                <w:rFonts w:hint="eastAsia" w:ascii="宋体" w:hAnsi="宋体" w:cs="宋体"/>
                <w:color w:val="000000"/>
                <w:kern w:val="0"/>
                <w:sz w:val="18"/>
                <w:szCs w:val="18"/>
              </w:rPr>
              <w:t>1647.13</w:t>
            </w:r>
          </w:p>
        </w:tc>
        <w:tc>
          <w:tcPr>
            <w:tcW w:w="1116" w:type="dxa"/>
            <w:tcBorders>
              <w:top w:val="nil"/>
              <w:left w:val="nil"/>
              <w:bottom w:val="single" w:color="auto" w:sz="4" w:space="0"/>
              <w:right w:val="single" w:color="auto" w:sz="4" w:space="0"/>
            </w:tcBorders>
            <w:shd w:val="clear" w:color="auto" w:fill="auto"/>
            <w:noWrap/>
            <w:vAlign w:val="center"/>
          </w:tcPr>
          <w:p w14:paraId="3A06C755">
            <w:pPr>
              <w:widowControl/>
              <w:jc w:val="center"/>
              <w:rPr>
                <w:rFonts w:ascii="宋体" w:hAnsi="宋体" w:cs="宋体"/>
                <w:color w:val="000000"/>
                <w:kern w:val="0"/>
                <w:sz w:val="18"/>
                <w:szCs w:val="18"/>
              </w:rPr>
            </w:pPr>
            <w:r>
              <w:rPr>
                <w:rFonts w:hint="eastAsia" w:ascii="宋体" w:hAnsi="宋体" w:cs="宋体"/>
                <w:color w:val="000000"/>
                <w:kern w:val="0"/>
                <w:sz w:val="18"/>
                <w:szCs w:val="18"/>
              </w:rPr>
              <w:t>63057.64</w:t>
            </w:r>
          </w:p>
        </w:tc>
        <w:tc>
          <w:tcPr>
            <w:tcW w:w="936" w:type="dxa"/>
            <w:tcBorders>
              <w:top w:val="nil"/>
              <w:left w:val="nil"/>
              <w:bottom w:val="single" w:color="auto" w:sz="4" w:space="0"/>
              <w:right w:val="single" w:color="auto" w:sz="4" w:space="0"/>
            </w:tcBorders>
            <w:shd w:val="clear" w:color="auto" w:fill="auto"/>
            <w:vAlign w:val="center"/>
          </w:tcPr>
          <w:p w14:paraId="7E81612C">
            <w:pPr>
              <w:widowControl/>
              <w:jc w:val="center"/>
              <w:rPr>
                <w:rFonts w:ascii="宋体" w:hAnsi="宋体" w:cs="宋体"/>
                <w:color w:val="000000"/>
                <w:kern w:val="0"/>
                <w:sz w:val="18"/>
                <w:szCs w:val="18"/>
              </w:rPr>
            </w:pPr>
            <w:r>
              <w:rPr>
                <w:rFonts w:hint="eastAsia" w:ascii="宋体" w:hAnsi="宋体" w:cs="宋体"/>
                <w:color w:val="000000"/>
                <w:kern w:val="0"/>
                <w:sz w:val="18"/>
                <w:szCs w:val="18"/>
              </w:rPr>
              <w:t>89.27</w:t>
            </w:r>
          </w:p>
        </w:tc>
        <w:tc>
          <w:tcPr>
            <w:tcW w:w="981" w:type="dxa"/>
            <w:tcBorders>
              <w:top w:val="nil"/>
              <w:left w:val="nil"/>
              <w:bottom w:val="single" w:color="auto" w:sz="4" w:space="0"/>
              <w:right w:val="single" w:color="auto" w:sz="4" w:space="0"/>
            </w:tcBorders>
            <w:shd w:val="clear" w:color="auto" w:fill="auto"/>
            <w:noWrap/>
            <w:vAlign w:val="center"/>
          </w:tcPr>
          <w:p w14:paraId="5B93C106">
            <w:pPr>
              <w:widowControl/>
              <w:jc w:val="center"/>
              <w:rPr>
                <w:rFonts w:ascii="宋体" w:hAnsi="宋体" w:cs="宋体"/>
                <w:color w:val="000000"/>
                <w:kern w:val="0"/>
                <w:sz w:val="18"/>
                <w:szCs w:val="18"/>
              </w:rPr>
            </w:pPr>
            <w:r>
              <w:rPr>
                <w:rFonts w:hint="eastAsia" w:ascii="宋体" w:hAnsi="宋体" w:cs="宋体"/>
                <w:color w:val="000000"/>
                <w:kern w:val="0"/>
                <w:sz w:val="18"/>
                <w:szCs w:val="18"/>
              </w:rPr>
              <w:t>1967.68</w:t>
            </w:r>
          </w:p>
        </w:tc>
        <w:tc>
          <w:tcPr>
            <w:tcW w:w="1394" w:type="dxa"/>
            <w:tcBorders>
              <w:top w:val="nil"/>
              <w:left w:val="nil"/>
              <w:bottom w:val="single" w:color="auto" w:sz="4" w:space="0"/>
              <w:right w:val="single" w:color="auto" w:sz="4" w:space="0"/>
            </w:tcBorders>
            <w:shd w:val="clear" w:color="auto" w:fill="auto"/>
            <w:vAlign w:val="center"/>
          </w:tcPr>
          <w:p w14:paraId="6F565272">
            <w:pPr>
              <w:widowControl/>
              <w:jc w:val="center"/>
              <w:rPr>
                <w:rFonts w:ascii="宋体" w:hAnsi="宋体" w:cs="宋体"/>
                <w:color w:val="000000"/>
                <w:kern w:val="0"/>
                <w:sz w:val="18"/>
                <w:szCs w:val="18"/>
              </w:rPr>
            </w:pPr>
            <w:r>
              <w:rPr>
                <w:rFonts w:hint="eastAsia" w:ascii="宋体" w:hAnsi="宋体" w:cs="宋体"/>
                <w:color w:val="000000"/>
                <w:kern w:val="0"/>
                <w:sz w:val="18"/>
                <w:szCs w:val="18"/>
              </w:rPr>
              <w:t>787.47</w:t>
            </w:r>
          </w:p>
        </w:tc>
        <w:tc>
          <w:tcPr>
            <w:tcW w:w="1300" w:type="dxa"/>
            <w:tcBorders>
              <w:top w:val="nil"/>
              <w:left w:val="nil"/>
              <w:bottom w:val="single" w:color="auto" w:sz="4" w:space="0"/>
              <w:right w:val="single" w:color="auto" w:sz="4" w:space="0"/>
            </w:tcBorders>
            <w:shd w:val="clear" w:color="auto" w:fill="auto"/>
            <w:noWrap/>
            <w:vAlign w:val="center"/>
          </w:tcPr>
          <w:p w14:paraId="2384CAE8">
            <w:pPr>
              <w:widowControl/>
              <w:jc w:val="center"/>
              <w:rPr>
                <w:rFonts w:ascii="宋体" w:hAnsi="宋体" w:cs="宋体"/>
                <w:color w:val="000000"/>
                <w:kern w:val="0"/>
                <w:sz w:val="18"/>
                <w:szCs w:val="18"/>
              </w:rPr>
            </w:pPr>
            <w:r>
              <w:rPr>
                <w:rFonts w:hint="eastAsia" w:ascii="宋体" w:hAnsi="宋体" w:cs="宋体"/>
                <w:color w:val="000000"/>
                <w:kern w:val="0"/>
                <w:sz w:val="18"/>
                <w:szCs w:val="18"/>
              </w:rPr>
              <w:t>322.71</w:t>
            </w:r>
          </w:p>
        </w:tc>
        <w:tc>
          <w:tcPr>
            <w:tcW w:w="940" w:type="dxa"/>
            <w:tcBorders>
              <w:top w:val="nil"/>
              <w:left w:val="nil"/>
              <w:bottom w:val="single" w:color="auto" w:sz="4" w:space="0"/>
              <w:right w:val="single" w:color="auto" w:sz="4" w:space="0"/>
            </w:tcBorders>
            <w:shd w:val="clear" w:color="auto" w:fill="auto"/>
            <w:vAlign w:val="center"/>
          </w:tcPr>
          <w:p w14:paraId="46FD1C4A">
            <w:pPr>
              <w:widowControl/>
              <w:jc w:val="center"/>
              <w:rPr>
                <w:rFonts w:ascii="宋体" w:hAnsi="宋体" w:cs="宋体"/>
                <w:color w:val="000000"/>
                <w:kern w:val="0"/>
                <w:sz w:val="18"/>
                <w:szCs w:val="18"/>
              </w:rPr>
            </w:pPr>
            <w:r>
              <w:rPr>
                <w:rFonts w:hint="eastAsia" w:ascii="宋体" w:hAnsi="宋体" w:cs="宋体"/>
                <w:color w:val="000000"/>
                <w:kern w:val="0"/>
                <w:sz w:val="18"/>
                <w:szCs w:val="18"/>
              </w:rPr>
              <w:t>203.32</w:t>
            </w:r>
          </w:p>
        </w:tc>
        <w:tc>
          <w:tcPr>
            <w:tcW w:w="992" w:type="dxa"/>
            <w:tcBorders>
              <w:top w:val="nil"/>
              <w:left w:val="nil"/>
              <w:bottom w:val="single" w:color="auto" w:sz="4" w:space="0"/>
              <w:right w:val="single" w:color="auto" w:sz="4" w:space="0"/>
            </w:tcBorders>
            <w:shd w:val="clear" w:color="auto" w:fill="auto"/>
            <w:noWrap/>
            <w:vAlign w:val="center"/>
          </w:tcPr>
          <w:p w14:paraId="03F6565B">
            <w:pPr>
              <w:widowControl/>
              <w:jc w:val="center"/>
              <w:rPr>
                <w:rFonts w:ascii="宋体" w:hAnsi="宋体" w:cs="宋体"/>
                <w:color w:val="000000"/>
                <w:kern w:val="0"/>
                <w:sz w:val="18"/>
                <w:szCs w:val="18"/>
              </w:rPr>
            </w:pPr>
            <w:r>
              <w:rPr>
                <w:rFonts w:hint="eastAsia" w:ascii="宋体" w:hAnsi="宋体" w:cs="宋体"/>
                <w:color w:val="000000"/>
                <w:kern w:val="0"/>
                <w:sz w:val="18"/>
                <w:szCs w:val="18"/>
              </w:rPr>
              <w:t>203.32</w:t>
            </w:r>
          </w:p>
        </w:tc>
        <w:tc>
          <w:tcPr>
            <w:tcW w:w="939" w:type="dxa"/>
            <w:tcBorders>
              <w:top w:val="nil"/>
              <w:left w:val="nil"/>
              <w:bottom w:val="single" w:color="auto" w:sz="4" w:space="0"/>
              <w:right w:val="single" w:color="auto" w:sz="4" w:space="0"/>
            </w:tcBorders>
            <w:shd w:val="clear" w:color="auto" w:fill="auto"/>
            <w:vAlign w:val="center"/>
          </w:tcPr>
          <w:p w14:paraId="05FD126E">
            <w:pPr>
              <w:widowControl/>
              <w:jc w:val="center"/>
              <w:rPr>
                <w:rFonts w:ascii="宋体" w:hAnsi="宋体" w:cs="宋体"/>
                <w:color w:val="000000"/>
                <w:kern w:val="0"/>
                <w:sz w:val="18"/>
                <w:szCs w:val="18"/>
              </w:rPr>
            </w:pPr>
            <w:r>
              <w:rPr>
                <w:rFonts w:hint="eastAsia" w:ascii="宋体" w:hAnsi="宋体" w:cs="宋体"/>
                <w:color w:val="000000"/>
                <w:kern w:val="0"/>
                <w:sz w:val="18"/>
                <w:szCs w:val="18"/>
              </w:rPr>
              <w:t>159.51</w:t>
            </w:r>
          </w:p>
        </w:tc>
        <w:tc>
          <w:tcPr>
            <w:tcW w:w="1074" w:type="dxa"/>
            <w:tcBorders>
              <w:top w:val="nil"/>
              <w:left w:val="nil"/>
              <w:bottom w:val="single" w:color="auto" w:sz="4" w:space="0"/>
              <w:right w:val="single" w:color="auto" w:sz="4" w:space="0"/>
            </w:tcBorders>
            <w:shd w:val="clear" w:color="auto" w:fill="auto"/>
            <w:noWrap/>
            <w:vAlign w:val="center"/>
          </w:tcPr>
          <w:p w14:paraId="4E183F88">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r>
    </w:tbl>
    <w:p w14:paraId="3276DD90">
      <w:pPr>
        <w:pStyle w:val="3"/>
        <w:jc w:val="center"/>
        <w:rPr>
          <w:b w:val="0"/>
          <w:color w:val="000000"/>
          <w:sz w:val="28"/>
          <w:szCs w:val="28"/>
        </w:rPr>
      </w:pPr>
      <w:bookmarkStart w:id="118" w:name="_Toc491074906"/>
      <w:r>
        <w:rPr>
          <w:rFonts w:hint="eastAsia"/>
          <w:b w:val="0"/>
          <w:color w:val="000000"/>
          <w:sz w:val="28"/>
          <w:szCs w:val="28"/>
        </w:rPr>
        <w:t>第五节  调整后各乡（镇）主要控制指标</w:t>
      </w:r>
      <w:bookmarkEnd w:id="118"/>
    </w:p>
    <w:p w14:paraId="6E3F764C">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为合理引导和控制东川区各乡（镇）土地利用，在分析县域内各乡（镇）的自然、经济社会条件、土地资源现状和利用潜力的基础上，明确乡镇土地利用的方向及有关政策，通过上下反馈和综合平衡，在不突破昆明市下达我县土地利用总体规划控制指标的前提下，本着综合协调，统筹兼顾的原则，拟订各乡（镇）的土地利用总体规划控制指标。</w:t>
      </w:r>
    </w:p>
    <w:p w14:paraId="786E3AEE">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根据各土地利用功能分区的调控方向和差别化的区域土地利用管制规则，综合经济社会发展水平、发展趋势、土地利用现状和土地后备资源情况等因素，将东川区耕地保有量、基本农田面积、建设用地总规模、城乡建设用地规模、新增建设用地规模、新增建设用地占用耕地面积等各项土地利用规划控制指标分解至各乡镇。</w:t>
      </w:r>
    </w:p>
    <w:p w14:paraId="02155544">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33472E3C">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10ACE498">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7103DB92">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247CF0BA">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46DC20C5">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2DF687B5">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20F39441">
      <w:pPr>
        <w:jc w:val="center"/>
        <w:outlineLvl w:val="4"/>
        <w:rPr>
          <w:rFonts w:ascii="宋体" w:hAnsi="宋体"/>
          <w:b/>
          <w:sz w:val="24"/>
        </w:rPr>
      </w:pPr>
      <w:r>
        <w:rPr>
          <w:rFonts w:hint="eastAsia" w:ascii="宋体" w:hAnsi="宋体"/>
          <w:b/>
          <w:sz w:val="24"/>
        </w:rPr>
        <w:t>表5-11 东川区分解至各乡镇主要控制指标表</w:t>
      </w:r>
    </w:p>
    <w:p w14:paraId="73B091CB">
      <w:pPr>
        <w:spacing w:line="360" w:lineRule="auto"/>
        <w:ind w:firstLine="360" w:firstLineChars="200"/>
        <w:jc w:val="right"/>
        <w:rPr>
          <w:rFonts w:ascii="宋体" w:hAnsi="宋体"/>
          <w:color w:val="000000"/>
          <w:sz w:val="18"/>
          <w:szCs w:val="18"/>
        </w:rPr>
      </w:pPr>
      <w:r>
        <w:rPr>
          <w:rFonts w:hint="eastAsia" w:ascii="宋体" w:hAnsi="宋体"/>
          <w:color w:val="000000"/>
          <w:sz w:val="18"/>
          <w:szCs w:val="18"/>
        </w:rPr>
        <w:t>单位：公顷</w:t>
      </w:r>
    </w:p>
    <w:tbl>
      <w:tblPr>
        <w:tblStyle w:val="27"/>
        <w:tblW w:w="9664" w:type="dxa"/>
        <w:tblInd w:w="95" w:type="dxa"/>
        <w:tblLayout w:type="autofit"/>
        <w:tblCellMar>
          <w:top w:w="0" w:type="dxa"/>
          <w:left w:w="108" w:type="dxa"/>
          <w:bottom w:w="0" w:type="dxa"/>
          <w:right w:w="108" w:type="dxa"/>
        </w:tblCellMar>
      </w:tblPr>
      <w:tblGrid>
        <w:gridCol w:w="1116"/>
        <w:gridCol w:w="1300"/>
        <w:gridCol w:w="1196"/>
        <w:gridCol w:w="1220"/>
        <w:gridCol w:w="1220"/>
        <w:gridCol w:w="1220"/>
        <w:gridCol w:w="1196"/>
        <w:gridCol w:w="1196"/>
      </w:tblGrid>
      <w:tr w14:paraId="064AC227">
        <w:tblPrEx>
          <w:tblCellMar>
            <w:top w:w="0" w:type="dxa"/>
            <w:left w:w="108" w:type="dxa"/>
            <w:bottom w:w="0" w:type="dxa"/>
            <w:right w:w="108" w:type="dxa"/>
          </w:tblCellMar>
        </w:tblPrEx>
        <w:trPr>
          <w:trHeight w:val="648" w:hRule="atLeast"/>
        </w:trPr>
        <w:tc>
          <w:tcPr>
            <w:tcW w:w="11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BAA31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行政区</w:t>
            </w:r>
          </w:p>
        </w:tc>
        <w:tc>
          <w:tcPr>
            <w:tcW w:w="1300" w:type="dxa"/>
            <w:tcBorders>
              <w:top w:val="single" w:color="auto" w:sz="4" w:space="0"/>
              <w:left w:val="nil"/>
              <w:bottom w:val="single" w:color="auto" w:sz="4" w:space="0"/>
              <w:right w:val="single" w:color="auto" w:sz="4" w:space="0"/>
            </w:tcBorders>
            <w:shd w:val="clear" w:color="auto" w:fill="auto"/>
            <w:vAlign w:val="center"/>
          </w:tcPr>
          <w:p w14:paraId="29AD459C">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耕地保有量</w:t>
            </w:r>
          </w:p>
        </w:tc>
        <w:tc>
          <w:tcPr>
            <w:tcW w:w="1196" w:type="dxa"/>
            <w:tcBorders>
              <w:top w:val="single" w:color="auto" w:sz="4" w:space="0"/>
              <w:left w:val="nil"/>
              <w:bottom w:val="single" w:color="auto" w:sz="4" w:space="0"/>
              <w:right w:val="single" w:color="auto" w:sz="4" w:space="0"/>
            </w:tcBorders>
            <w:shd w:val="clear" w:color="auto" w:fill="auto"/>
            <w:vAlign w:val="center"/>
          </w:tcPr>
          <w:p w14:paraId="4B29DF8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基本农田保护面积</w:t>
            </w:r>
          </w:p>
        </w:tc>
        <w:tc>
          <w:tcPr>
            <w:tcW w:w="1220" w:type="dxa"/>
            <w:tcBorders>
              <w:top w:val="single" w:color="auto" w:sz="4" w:space="0"/>
              <w:left w:val="nil"/>
              <w:bottom w:val="single" w:color="auto" w:sz="4" w:space="0"/>
              <w:right w:val="single" w:color="auto" w:sz="4" w:space="0"/>
            </w:tcBorders>
            <w:shd w:val="clear" w:color="auto" w:fill="auto"/>
            <w:vAlign w:val="center"/>
          </w:tcPr>
          <w:p w14:paraId="4D4DA73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建设用地总规模</w:t>
            </w:r>
          </w:p>
        </w:tc>
        <w:tc>
          <w:tcPr>
            <w:tcW w:w="1220" w:type="dxa"/>
            <w:tcBorders>
              <w:top w:val="single" w:color="auto" w:sz="4" w:space="0"/>
              <w:left w:val="nil"/>
              <w:bottom w:val="single" w:color="auto" w:sz="4" w:space="0"/>
              <w:right w:val="single" w:color="auto" w:sz="4" w:space="0"/>
            </w:tcBorders>
            <w:shd w:val="clear" w:color="auto" w:fill="auto"/>
            <w:vAlign w:val="center"/>
          </w:tcPr>
          <w:p w14:paraId="73AAFDA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城乡建设用地规模</w:t>
            </w:r>
          </w:p>
        </w:tc>
        <w:tc>
          <w:tcPr>
            <w:tcW w:w="1220" w:type="dxa"/>
            <w:tcBorders>
              <w:top w:val="single" w:color="auto" w:sz="4" w:space="0"/>
              <w:left w:val="nil"/>
              <w:bottom w:val="single" w:color="auto" w:sz="4" w:space="0"/>
              <w:right w:val="single" w:color="auto" w:sz="4" w:space="0"/>
            </w:tcBorders>
            <w:shd w:val="clear" w:color="auto" w:fill="auto"/>
            <w:vAlign w:val="center"/>
          </w:tcPr>
          <w:p w14:paraId="08408F2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新增建设用地规模</w:t>
            </w:r>
          </w:p>
        </w:tc>
        <w:tc>
          <w:tcPr>
            <w:tcW w:w="1196" w:type="dxa"/>
            <w:tcBorders>
              <w:top w:val="single" w:color="auto" w:sz="4" w:space="0"/>
              <w:left w:val="nil"/>
              <w:bottom w:val="single" w:color="auto" w:sz="4" w:space="0"/>
              <w:right w:val="single" w:color="auto" w:sz="4" w:space="0"/>
            </w:tcBorders>
            <w:shd w:val="clear" w:color="auto" w:fill="auto"/>
            <w:vAlign w:val="center"/>
          </w:tcPr>
          <w:p w14:paraId="002B6C7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新增建设占用耕地规模</w:t>
            </w:r>
          </w:p>
        </w:tc>
        <w:tc>
          <w:tcPr>
            <w:tcW w:w="1196" w:type="dxa"/>
            <w:tcBorders>
              <w:top w:val="single" w:color="auto" w:sz="4" w:space="0"/>
              <w:left w:val="nil"/>
              <w:bottom w:val="single" w:color="auto" w:sz="4" w:space="0"/>
              <w:right w:val="single" w:color="auto" w:sz="4" w:space="0"/>
            </w:tcBorders>
            <w:shd w:val="clear" w:color="auto" w:fill="auto"/>
            <w:vAlign w:val="center"/>
          </w:tcPr>
          <w:p w14:paraId="6FE83344">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土地整治补充耕地规模</w:t>
            </w:r>
          </w:p>
        </w:tc>
      </w:tr>
      <w:tr w14:paraId="767E51FE">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26039FB6">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300" w:type="dxa"/>
            <w:tcBorders>
              <w:top w:val="nil"/>
              <w:left w:val="nil"/>
              <w:bottom w:val="single" w:color="auto" w:sz="4" w:space="0"/>
              <w:right w:val="single" w:color="auto" w:sz="4" w:space="0"/>
            </w:tcBorders>
            <w:shd w:val="clear" w:color="auto" w:fill="auto"/>
            <w:noWrap/>
            <w:vAlign w:val="center"/>
          </w:tcPr>
          <w:p w14:paraId="694665A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5443.28 </w:t>
            </w:r>
          </w:p>
        </w:tc>
        <w:tc>
          <w:tcPr>
            <w:tcW w:w="1196" w:type="dxa"/>
            <w:tcBorders>
              <w:top w:val="nil"/>
              <w:left w:val="nil"/>
              <w:bottom w:val="single" w:color="auto" w:sz="4" w:space="0"/>
              <w:right w:val="single" w:color="auto" w:sz="4" w:space="0"/>
            </w:tcBorders>
            <w:shd w:val="clear" w:color="auto" w:fill="auto"/>
            <w:noWrap/>
            <w:vAlign w:val="center"/>
          </w:tcPr>
          <w:p w14:paraId="162ED507">
            <w:pPr>
              <w:widowControl/>
              <w:jc w:val="center"/>
              <w:rPr>
                <w:rFonts w:ascii="宋体" w:hAnsi="宋体" w:cs="宋体"/>
                <w:color w:val="000000"/>
                <w:kern w:val="0"/>
                <w:sz w:val="18"/>
                <w:szCs w:val="18"/>
              </w:rPr>
            </w:pPr>
            <w:r>
              <w:rPr>
                <w:rFonts w:hint="eastAsia" w:ascii="宋体" w:hAnsi="宋体" w:cs="宋体"/>
                <w:color w:val="000000"/>
                <w:kern w:val="0"/>
                <w:sz w:val="18"/>
                <w:szCs w:val="18"/>
              </w:rPr>
              <w:t>4733</w:t>
            </w:r>
          </w:p>
        </w:tc>
        <w:tc>
          <w:tcPr>
            <w:tcW w:w="1220" w:type="dxa"/>
            <w:tcBorders>
              <w:top w:val="nil"/>
              <w:left w:val="nil"/>
              <w:bottom w:val="single" w:color="auto" w:sz="4" w:space="0"/>
              <w:right w:val="single" w:color="auto" w:sz="4" w:space="0"/>
            </w:tcBorders>
            <w:shd w:val="clear" w:color="auto" w:fill="auto"/>
            <w:vAlign w:val="center"/>
          </w:tcPr>
          <w:p w14:paraId="45D9AD7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643.46 </w:t>
            </w:r>
          </w:p>
        </w:tc>
        <w:tc>
          <w:tcPr>
            <w:tcW w:w="1220" w:type="dxa"/>
            <w:tcBorders>
              <w:top w:val="nil"/>
              <w:left w:val="nil"/>
              <w:bottom w:val="single" w:color="auto" w:sz="4" w:space="0"/>
              <w:right w:val="single" w:color="auto" w:sz="4" w:space="0"/>
            </w:tcBorders>
            <w:shd w:val="clear" w:color="auto" w:fill="auto"/>
            <w:vAlign w:val="center"/>
          </w:tcPr>
          <w:p w14:paraId="27781A3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497.12 </w:t>
            </w:r>
          </w:p>
        </w:tc>
        <w:tc>
          <w:tcPr>
            <w:tcW w:w="1220" w:type="dxa"/>
            <w:tcBorders>
              <w:top w:val="nil"/>
              <w:left w:val="nil"/>
              <w:bottom w:val="single" w:color="auto" w:sz="4" w:space="0"/>
              <w:right w:val="single" w:color="auto" w:sz="4" w:space="0"/>
            </w:tcBorders>
            <w:shd w:val="clear" w:color="auto" w:fill="auto"/>
            <w:vAlign w:val="center"/>
          </w:tcPr>
          <w:p w14:paraId="73FB608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18.84 </w:t>
            </w:r>
          </w:p>
        </w:tc>
        <w:tc>
          <w:tcPr>
            <w:tcW w:w="1196" w:type="dxa"/>
            <w:tcBorders>
              <w:top w:val="nil"/>
              <w:left w:val="nil"/>
              <w:bottom w:val="single" w:color="auto" w:sz="4" w:space="0"/>
              <w:right w:val="single" w:color="auto" w:sz="4" w:space="0"/>
            </w:tcBorders>
            <w:shd w:val="clear" w:color="auto" w:fill="auto"/>
            <w:noWrap/>
            <w:vAlign w:val="center"/>
          </w:tcPr>
          <w:p w14:paraId="3BE5A98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18.04 </w:t>
            </w:r>
          </w:p>
        </w:tc>
        <w:tc>
          <w:tcPr>
            <w:tcW w:w="1196" w:type="dxa"/>
            <w:tcBorders>
              <w:top w:val="nil"/>
              <w:left w:val="nil"/>
              <w:bottom w:val="single" w:color="auto" w:sz="4" w:space="0"/>
              <w:right w:val="single" w:color="auto" w:sz="4" w:space="0"/>
            </w:tcBorders>
            <w:shd w:val="clear" w:color="auto" w:fill="auto"/>
            <w:noWrap/>
            <w:vAlign w:val="center"/>
          </w:tcPr>
          <w:p w14:paraId="6F2B5A4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14.53 </w:t>
            </w:r>
          </w:p>
        </w:tc>
      </w:tr>
      <w:tr w14:paraId="793F2E2E">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06CC15A3">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300" w:type="dxa"/>
            <w:tcBorders>
              <w:top w:val="nil"/>
              <w:left w:val="nil"/>
              <w:bottom w:val="single" w:color="auto" w:sz="4" w:space="0"/>
              <w:right w:val="single" w:color="auto" w:sz="4" w:space="0"/>
            </w:tcBorders>
            <w:shd w:val="clear" w:color="auto" w:fill="auto"/>
            <w:noWrap/>
            <w:vAlign w:val="center"/>
          </w:tcPr>
          <w:p w14:paraId="13B5EBC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6594.60 </w:t>
            </w:r>
          </w:p>
        </w:tc>
        <w:tc>
          <w:tcPr>
            <w:tcW w:w="1196" w:type="dxa"/>
            <w:tcBorders>
              <w:top w:val="nil"/>
              <w:left w:val="nil"/>
              <w:bottom w:val="single" w:color="auto" w:sz="4" w:space="0"/>
              <w:right w:val="single" w:color="auto" w:sz="4" w:space="0"/>
            </w:tcBorders>
            <w:shd w:val="clear" w:color="auto" w:fill="auto"/>
            <w:noWrap/>
            <w:vAlign w:val="center"/>
          </w:tcPr>
          <w:p w14:paraId="0A6B14E0">
            <w:pPr>
              <w:widowControl/>
              <w:jc w:val="center"/>
              <w:rPr>
                <w:rFonts w:ascii="宋体" w:hAnsi="宋体" w:cs="宋体"/>
                <w:color w:val="000000"/>
                <w:kern w:val="0"/>
                <w:sz w:val="18"/>
                <w:szCs w:val="18"/>
              </w:rPr>
            </w:pPr>
            <w:r>
              <w:rPr>
                <w:rFonts w:hint="eastAsia" w:ascii="宋体" w:hAnsi="宋体" w:cs="宋体"/>
                <w:color w:val="000000"/>
                <w:kern w:val="0"/>
                <w:sz w:val="18"/>
                <w:szCs w:val="18"/>
              </w:rPr>
              <w:t>4473</w:t>
            </w:r>
          </w:p>
        </w:tc>
        <w:tc>
          <w:tcPr>
            <w:tcW w:w="1220" w:type="dxa"/>
            <w:tcBorders>
              <w:top w:val="nil"/>
              <w:left w:val="nil"/>
              <w:bottom w:val="single" w:color="auto" w:sz="4" w:space="0"/>
              <w:right w:val="single" w:color="auto" w:sz="4" w:space="0"/>
            </w:tcBorders>
            <w:shd w:val="clear" w:color="auto" w:fill="auto"/>
            <w:vAlign w:val="center"/>
          </w:tcPr>
          <w:p w14:paraId="25DB4A0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2528.88 </w:t>
            </w:r>
          </w:p>
        </w:tc>
        <w:tc>
          <w:tcPr>
            <w:tcW w:w="1220" w:type="dxa"/>
            <w:tcBorders>
              <w:top w:val="nil"/>
              <w:left w:val="nil"/>
              <w:bottom w:val="single" w:color="auto" w:sz="4" w:space="0"/>
              <w:right w:val="single" w:color="auto" w:sz="4" w:space="0"/>
            </w:tcBorders>
            <w:shd w:val="clear" w:color="auto" w:fill="auto"/>
            <w:vAlign w:val="center"/>
          </w:tcPr>
          <w:p w14:paraId="3C158D9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2318.87 </w:t>
            </w:r>
          </w:p>
        </w:tc>
        <w:tc>
          <w:tcPr>
            <w:tcW w:w="1220" w:type="dxa"/>
            <w:tcBorders>
              <w:top w:val="nil"/>
              <w:left w:val="nil"/>
              <w:bottom w:val="single" w:color="auto" w:sz="4" w:space="0"/>
              <w:right w:val="single" w:color="auto" w:sz="4" w:space="0"/>
            </w:tcBorders>
            <w:shd w:val="clear" w:color="auto" w:fill="auto"/>
            <w:vAlign w:val="center"/>
          </w:tcPr>
          <w:p w14:paraId="49D32EE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148.71 </w:t>
            </w:r>
          </w:p>
        </w:tc>
        <w:tc>
          <w:tcPr>
            <w:tcW w:w="1196" w:type="dxa"/>
            <w:tcBorders>
              <w:top w:val="nil"/>
              <w:left w:val="nil"/>
              <w:bottom w:val="single" w:color="auto" w:sz="4" w:space="0"/>
              <w:right w:val="single" w:color="auto" w:sz="4" w:space="0"/>
            </w:tcBorders>
            <w:shd w:val="clear" w:color="auto" w:fill="auto"/>
            <w:noWrap/>
            <w:vAlign w:val="center"/>
          </w:tcPr>
          <w:p w14:paraId="2FC3EEB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80.50 </w:t>
            </w:r>
          </w:p>
        </w:tc>
        <w:tc>
          <w:tcPr>
            <w:tcW w:w="1196" w:type="dxa"/>
            <w:tcBorders>
              <w:top w:val="nil"/>
              <w:left w:val="nil"/>
              <w:bottom w:val="single" w:color="auto" w:sz="4" w:space="0"/>
              <w:right w:val="single" w:color="auto" w:sz="4" w:space="0"/>
            </w:tcBorders>
            <w:shd w:val="clear" w:color="auto" w:fill="auto"/>
            <w:noWrap/>
            <w:vAlign w:val="center"/>
          </w:tcPr>
          <w:p w14:paraId="6B2B57D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55.68 </w:t>
            </w:r>
          </w:p>
        </w:tc>
      </w:tr>
      <w:tr w14:paraId="629A0808">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1F11EE5F">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300" w:type="dxa"/>
            <w:tcBorders>
              <w:top w:val="nil"/>
              <w:left w:val="nil"/>
              <w:bottom w:val="single" w:color="auto" w:sz="4" w:space="0"/>
              <w:right w:val="single" w:color="auto" w:sz="4" w:space="0"/>
            </w:tcBorders>
            <w:shd w:val="clear" w:color="auto" w:fill="auto"/>
            <w:noWrap/>
            <w:vAlign w:val="center"/>
          </w:tcPr>
          <w:p w14:paraId="1CDB7D0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3389.53 </w:t>
            </w:r>
          </w:p>
        </w:tc>
        <w:tc>
          <w:tcPr>
            <w:tcW w:w="1196" w:type="dxa"/>
            <w:tcBorders>
              <w:top w:val="nil"/>
              <w:left w:val="nil"/>
              <w:bottom w:val="single" w:color="auto" w:sz="4" w:space="0"/>
              <w:right w:val="single" w:color="auto" w:sz="4" w:space="0"/>
            </w:tcBorders>
            <w:shd w:val="clear" w:color="auto" w:fill="auto"/>
            <w:noWrap/>
            <w:vAlign w:val="center"/>
          </w:tcPr>
          <w:p w14:paraId="45FABD45">
            <w:pPr>
              <w:widowControl/>
              <w:jc w:val="center"/>
              <w:rPr>
                <w:rFonts w:ascii="宋体" w:hAnsi="宋体" w:cs="宋体"/>
                <w:color w:val="000000"/>
                <w:kern w:val="0"/>
                <w:sz w:val="18"/>
                <w:szCs w:val="18"/>
              </w:rPr>
            </w:pPr>
            <w:r>
              <w:rPr>
                <w:rFonts w:hint="eastAsia" w:ascii="宋体" w:hAnsi="宋体" w:cs="宋体"/>
                <w:color w:val="000000"/>
                <w:kern w:val="0"/>
                <w:sz w:val="18"/>
                <w:szCs w:val="18"/>
              </w:rPr>
              <w:t>2873</w:t>
            </w:r>
          </w:p>
        </w:tc>
        <w:tc>
          <w:tcPr>
            <w:tcW w:w="1220" w:type="dxa"/>
            <w:tcBorders>
              <w:top w:val="nil"/>
              <w:left w:val="nil"/>
              <w:bottom w:val="single" w:color="auto" w:sz="4" w:space="0"/>
              <w:right w:val="single" w:color="auto" w:sz="4" w:space="0"/>
            </w:tcBorders>
            <w:shd w:val="clear" w:color="auto" w:fill="auto"/>
            <w:vAlign w:val="center"/>
          </w:tcPr>
          <w:p w14:paraId="1B00500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553.21 </w:t>
            </w:r>
          </w:p>
        </w:tc>
        <w:tc>
          <w:tcPr>
            <w:tcW w:w="1220" w:type="dxa"/>
            <w:tcBorders>
              <w:top w:val="nil"/>
              <w:left w:val="nil"/>
              <w:bottom w:val="single" w:color="auto" w:sz="4" w:space="0"/>
              <w:right w:val="single" w:color="auto" w:sz="4" w:space="0"/>
            </w:tcBorders>
            <w:shd w:val="clear" w:color="auto" w:fill="auto"/>
            <w:vAlign w:val="center"/>
          </w:tcPr>
          <w:p w14:paraId="03B667F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417.72 </w:t>
            </w:r>
          </w:p>
        </w:tc>
        <w:tc>
          <w:tcPr>
            <w:tcW w:w="1220" w:type="dxa"/>
            <w:tcBorders>
              <w:top w:val="nil"/>
              <w:left w:val="nil"/>
              <w:bottom w:val="single" w:color="auto" w:sz="4" w:space="0"/>
              <w:right w:val="single" w:color="auto" w:sz="4" w:space="0"/>
            </w:tcBorders>
            <w:shd w:val="clear" w:color="auto" w:fill="auto"/>
            <w:vAlign w:val="center"/>
          </w:tcPr>
          <w:p w14:paraId="0645677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13.98 </w:t>
            </w:r>
          </w:p>
        </w:tc>
        <w:tc>
          <w:tcPr>
            <w:tcW w:w="1196" w:type="dxa"/>
            <w:tcBorders>
              <w:top w:val="nil"/>
              <w:left w:val="nil"/>
              <w:bottom w:val="single" w:color="auto" w:sz="4" w:space="0"/>
              <w:right w:val="single" w:color="auto" w:sz="4" w:space="0"/>
            </w:tcBorders>
            <w:shd w:val="clear" w:color="auto" w:fill="auto"/>
            <w:noWrap/>
            <w:vAlign w:val="center"/>
          </w:tcPr>
          <w:p w14:paraId="0C1328D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10.32 </w:t>
            </w:r>
          </w:p>
        </w:tc>
        <w:tc>
          <w:tcPr>
            <w:tcW w:w="1196" w:type="dxa"/>
            <w:tcBorders>
              <w:top w:val="nil"/>
              <w:left w:val="nil"/>
              <w:bottom w:val="single" w:color="auto" w:sz="4" w:space="0"/>
              <w:right w:val="single" w:color="auto" w:sz="4" w:space="0"/>
            </w:tcBorders>
            <w:shd w:val="clear" w:color="auto" w:fill="auto"/>
            <w:noWrap/>
            <w:vAlign w:val="center"/>
          </w:tcPr>
          <w:p w14:paraId="68028FBA">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r>
      <w:tr w14:paraId="434668BA">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793CC605">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300" w:type="dxa"/>
            <w:tcBorders>
              <w:top w:val="nil"/>
              <w:left w:val="nil"/>
              <w:bottom w:val="single" w:color="auto" w:sz="4" w:space="0"/>
              <w:right w:val="single" w:color="auto" w:sz="4" w:space="0"/>
            </w:tcBorders>
            <w:shd w:val="clear" w:color="auto" w:fill="auto"/>
            <w:noWrap/>
            <w:vAlign w:val="center"/>
          </w:tcPr>
          <w:p w14:paraId="42EB7F0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5502.31 </w:t>
            </w:r>
          </w:p>
        </w:tc>
        <w:tc>
          <w:tcPr>
            <w:tcW w:w="1196" w:type="dxa"/>
            <w:tcBorders>
              <w:top w:val="nil"/>
              <w:left w:val="nil"/>
              <w:bottom w:val="single" w:color="auto" w:sz="4" w:space="0"/>
              <w:right w:val="single" w:color="auto" w:sz="4" w:space="0"/>
            </w:tcBorders>
            <w:shd w:val="clear" w:color="auto" w:fill="auto"/>
            <w:noWrap/>
            <w:vAlign w:val="center"/>
          </w:tcPr>
          <w:p w14:paraId="71756772">
            <w:pPr>
              <w:widowControl/>
              <w:jc w:val="center"/>
              <w:rPr>
                <w:rFonts w:ascii="宋体" w:hAnsi="宋体" w:cs="宋体"/>
                <w:color w:val="000000"/>
                <w:kern w:val="0"/>
                <w:sz w:val="18"/>
                <w:szCs w:val="18"/>
              </w:rPr>
            </w:pPr>
            <w:r>
              <w:rPr>
                <w:rFonts w:hint="eastAsia" w:ascii="宋体" w:hAnsi="宋体" w:cs="宋体"/>
                <w:color w:val="000000"/>
                <w:kern w:val="0"/>
                <w:sz w:val="18"/>
                <w:szCs w:val="18"/>
              </w:rPr>
              <w:t>4727</w:t>
            </w:r>
          </w:p>
        </w:tc>
        <w:tc>
          <w:tcPr>
            <w:tcW w:w="1220" w:type="dxa"/>
            <w:tcBorders>
              <w:top w:val="nil"/>
              <w:left w:val="nil"/>
              <w:bottom w:val="single" w:color="auto" w:sz="4" w:space="0"/>
              <w:right w:val="single" w:color="auto" w:sz="4" w:space="0"/>
            </w:tcBorders>
            <w:shd w:val="clear" w:color="auto" w:fill="auto"/>
            <w:vAlign w:val="center"/>
          </w:tcPr>
          <w:p w14:paraId="59D4046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480.64 </w:t>
            </w:r>
          </w:p>
        </w:tc>
        <w:tc>
          <w:tcPr>
            <w:tcW w:w="1220" w:type="dxa"/>
            <w:tcBorders>
              <w:top w:val="nil"/>
              <w:left w:val="nil"/>
              <w:bottom w:val="single" w:color="auto" w:sz="4" w:space="0"/>
              <w:right w:val="single" w:color="auto" w:sz="4" w:space="0"/>
            </w:tcBorders>
            <w:shd w:val="clear" w:color="auto" w:fill="auto"/>
            <w:vAlign w:val="center"/>
          </w:tcPr>
          <w:p w14:paraId="3E2C422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412.89 </w:t>
            </w:r>
          </w:p>
        </w:tc>
        <w:tc>
          <w:tcPr>
            <w:tcW w:w="1220" w:type="dxa"/>
            <w:tcBorders>
              <w:top w:val="nil"/>
              <w:left w:val="nil"/>
              <w:bottom w:val="single" w:color="auto" w:sz="4" w:space="0"/>
              <w:right w:val="single" w:color="auto" w:sz="4" w:space="0"/>
            </w:tcBorders>
            <w:shd w:val="clear" w:color="auto" w:fill="auto"/>
            <w:vAlign w:val="center"/>
          </w:tcPr>
          <w:p w14:paraId="2E573ED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77.32 </w:t>
            </w:r>
          </w:p>
        </w:tc>
        <w:tc>
          <w:tcPr>
            <w:tcW w:w="1196" w:type="dxa"/>
            <w:tcBorders>
              <w:top w:val="nil"/>
              <w:left w:val="nil"/>
              <w:bottom w:val="single" w:color="auto" w:sz="4" w:space="0"/>
              <w:right w:val="single" w:color="auto" w:sz="4" w:space="0"/>
            </w:tcBorders>
            <w:shd w:val="clear" w:color="auto" w:fill="auto"/>
            <w:noWrap/>
            <w:vAlign w:val="center"/>
          </w:tcPr>
          <w:p w14:paraId="68D0EC4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50.19 </w:t>
            </w:r>
          </w:p>
        </w:tc>
        <w:tc>
          <w:tcPr>
            <w:tcW w:w="1196" w:type="dxa"/>
            <w:tcBorders>
              <w:top w:val="nil"/>
              <w:left w:val="nil"/>
              <w:bottom w:val="single" w:color="auto" w:sz="4" w:space="0"/>
              <w:right w:val="single" w:color="auto" w:sz="4" w:space="0"/>
            </w:tcBorders>
            <w:shd w:val="clear" w:color="auto" w:fill="auto"/>
            <w:noWrap/>
            <w:vAlign w:val="center"/>
          </w:tcPr>
          <w:p w14:paraId="4E4E806F">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r>
      <w:tr w14:paraId="4A0A4C7C">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07CCEBE2">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300" w:type="dxa"/>
            <w:tcBorders>
              <w:top w:val="nil"/>
              <w:left w:val="nil"/>
              <w:bottom w:val="single" w:color="auto" w:sz="4" w:space="0"/>
              <w:right w:val="single" w:color="auto" w:sz="4" w:space="0"/>
            </w:tcBorders>
            <w:shd w:val="clear" w:color="auto" w:fill="auto"/>
            <w:noWrap/>
            <w:vAlign w:val="center"/>
          </w:tcPr>
          <w:p w14:paraId="1BE679F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3354.71 </w:t>
            </w:r>
          </w:p>
        </w:tc>
        <w:tc>
          <w:tcPr>
            <w:tcW w:w="1196" w:type="dxa"/>
            <w:tcBorders>
              <w:top w:val="nil"/>
              <w:left w:val="nil"/>
              <w:bottom w:val="single" w:color="auto" w:sz="4" w:space="0"/>
              <w:right w:val="single" w:color="auto" w:sz="4" w:space="0"/>
            </w:tcBorders>
            <w:shd w:val="clear" w:color="auto" w:fill="auto"/>
            <w:noWrap/>
            <w:vAlign w:val="center"/>
          </w:tcPr>
          <w:p w14:paraId="020357C5">
            <w:pPr>
              <w:widowControl/>
              <w:jc w:val="center"/>
              <w:rPr>
                <w:rFonts w:ascii="宋体" w:hAnsi="宋体" w:cs="宋体"/>
                <w:color w:val="000000"/>
                <w:kern w:val="0"/>
                <w:sz w:val="18"/>
                <w:szCs w:val="18"/>
              </w:rPr>
            </w:pPr>
            <w:r>
              <w:rPr>
                <w:rFonts w:hint="eastAsia" w:ascii="宋体" w:hAnsi="宋体" w:cs="宋体"/>
                <w:color w:val="000000"/>
                <w:kern w:val="0"/>
                <w:sz w:val="18"/>
                <w:szCs w:val="18"/>
              </w:rPr>
              <w:t>2647</w:t>
            </w:r>
          </w:p>
        </w:tc>
        <w:tc>
          <w:tcPr>
            <w:tcW w:w="1220" w:type="dxa"/>
            <w:tcBorders>
              <w:top w:val="nil"/>
              <w:left w:val="nil"/>
              <w:bottom w:val="single" w:color="auto" w:sz="4" w:space="0"/>
              <w:right w:val="single" w:color="auto" w:sz="4" w:space="0"/>
            </w:tcBorders>
            <w:shd w:val="clear" w:color="auto" w:fill="auto"/>
            <w:vAlign w:val="center"/>
          </w:tcPr>
          <w:p w14:paraId="035D852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952.05 </w:t>
            </w:r>
          </w:p>
        </w:tc>
        <w:tc>
          <w:tcPr>
            <w:tcW w:w="1220" w:type="dxa"/>
            <w:tcBorders>
              <w:top w:val="nil"/>
              <w:left w:val="nil"/>
              <w:bottom w:val="single" w:color="auto" w:sz="4" w:space="0"/>
              <w:right w:val="single" w:color="auto" w:sz="4" w:space="0"/>
            </w:tcBorders>
            <w:shd w:val="clear" w:color="auto" w:fill="auto"/>
            <w:vAlign w:val="center"/>
          </w:tcPr>
          <w:p w14:paraId="286119A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854.88 </w:t>
            </w:r>
          </w:p>
        </w:tc>
        <w:tc>
          <w:tcPr>
            <w:tcW w:w="1220" w:type="dxa"/>
            <w:tcBorders>
              <w:top w:val="nil"/>
              <w:left w:val="nil"/>
              <w:bottom w:val="single" w:color="auto" w:sz="4" w:space="0"/>
              <w:right w:val="single" w:color="auto" w:sz="4" w:space="0"/>
            </w:tcBorders>
            <w:shd w:val="clear" w:color="auto" w:fill="auto"/>
            <w:vAlign w:val="center"/>
          </w:tcPr>
          <w:p w14:paraId="375C81C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15.76 </w:t>
            </w:r>
          </w:p>
        </w:tc>
        <w:tc>
          <w:tcPr>
            <w:tcW w:w="1196" w:type="dxa"/>
            <w:tcBorders>
              <w:top w:val="nil"/>
              <w:left w:val="nil"/>
              <w:bottom w:val="single" w:color="auto" w:sz="4" w:space="0"/>
              <w:right w:val="single" w:color="auto" w:sz="4" w:space="0"/>
            </w:tcBorders>
            <w:shd w:val="clear" w:color="auto" w:fill="auto"/>
            <w:noWrap/>
            <w:vAlign w:val="center"/>
          </w:tcPr>
          <w:p w14:paraId="5875E78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5.88 </w:t>
            </w:r>
          </w:p>
        </w:tc>
        <w:tc>
          <w:tcPr>
            <w:tcW w:w="1196" w:type="dxa"/>
            <w:tcBorders>
              <w:top w:val="nil"/>
              <w:left w:val="nil"/>
              <w:bottom w:val="single" w:color="auto" w:sz="4" w:space="0"/>
              <w:right w:val="single" w:color="auto" w:sz="4" w:space="0"/>
            </w:tcBorders>
            <w:shd w:val="clear" w:color="auto" w:fill="auto"/>
            <w:noWrap/>
            <w:vAlign w:val="center"/>
          </w:tcPr>
          <w:p w14:paraId="74ED67F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29.65 </w:t>
            </w:r>
          </w:p>
        </w:tc>
      </w:tr>
      <w:tr w14:paraId="68658A54">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6F11E6E2">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300" w:type="dxa"/>
            <w:tcBorders>
              <w:top w:val="nil"/>
              <w:left w:val="nil"/>
              <w:bottom w:val="single" w:color="auto" w:sz="4" w:space="0"/>
              <w:right w:val="single" w:color="auto" w:sz="4" w:space="0"/>
            </w:tcBorders>
            <w:shd w:val="clear" w:color="auto" w:fill="auto"/>
            <w:noWrap/>
            <w:vAlign w:val="center"/>
          </w:tcPr>
          <w:p w14:paraId="04392A8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3502.39 </w:t>
            </w:r>
          </w:p>
        </w:tc>
        <w:tc>
          <w:tcPr>
            <w:tcW w:w="1196" w:type="dxa"/>
            <w:tcBorders>
              <w:top w:val="nil"/>
              <w:left w:val="nil"/>
              <w:bottom w:val="single" w:color="auto" w:sz="4" w:space="0"/>
              <w:right w:val="single" w:color="auto" w:sz="4" w:space="0"/>
            </w:tcBorders>
            <w:shd w:val="clear" w:color="auto" w:fill="auto"/>
            <w:noWrap/>
            <w:vAlign w:val="center"/>
          </w:tcPr>
          <w:p w14:paraId="562B9E46">
            <w:pPr>
              <w:widowControl/>
              <w:jc w:val="center"/>
              <w:rPr>
                <w:rFonts w:ascii="宋体" w:hAnsi="宋体" w:cs="宋体"/>
                <w:color w:val="000000"/>
                <w:kern w:val="0"/>
                <w:sz w:val="18"/>
                <w:szCs w:val="18"/>
              </w:rPr>
            </w:pPr>
            <w:r>
              <w:rPr>
                <w:rFonts w:hint="eastAsia" w:ascii="宋体" w:hAnsi="宋体" w:cs="宋体"/>
                <w:color w:val="000000"/>
                <w:kern w:val="0"/>
                <w:sz w:val="18"/>
                <w:szCs w:val="18"/>
              </w:rPr>
              <w:t>2493</w:t>
            </w:r>
          </w:p>
        </w:tc>
        <w:tc>
          <w:tcPr>
            <w:tcW w:w="1220" w:type="dxa"/>
            <w:tcBorders>
              <w:top w:val="nil"/>
              <w:left w:val="nil"/>
              <w:bottom w:val="single" w:color="auto" w:sz="4" w:space="0"/>
              <w:right w:val="single" w:color="auto" w:sz="4" w:space="0"/>
            </w:tcBorders>
            <w:shd w:val="clear" w:color="auto" w:fill="auto"/>
            <w:vAlign w:val="center"/>
          </w:tcPr>
          <w:p w14:paraId="57E1270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561.45 </w:t>
            </w:r>
          </w:p>
        </w:tc>
        <w:tc>
          <w:tcPr>
            <w:tcW w:w="1220" w:type="dxa"/>
            <w:tcBorders>
              <w:top w:val="nil"/>
              <w:left w:val="nil"/>
              <w:bottom w:val="single" w:color="auto" w:sz="4" w:space="0"/>
              <w:right w:val="single" w:color="auto" w:sz="4" w:space="0"/>
            </w:tcBorders>
            <w:shd w:val="clear" w:color="auto" w:fill="auto"/>
            <w:vAlign w:val="center"/>
          </w:tcPr>
          <w:p w14:paraId="0AA6EB9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479.66 </w:t>
            </w:r>
          </w:p>
        </w:tc>
        <w:tc>
          <w:tcPr>
            <w:tcW w:w="1220" w:type="dxa"/>
            <w:tcBorders>
              <w:top w:val="nil"/>
              <w:left w:val="nil"/>
              <w:bottom w:val="single" w:color="auto" w:sz="4" w:space="0"/>
              <w:right w:val="single" w:color="auto" w:sz="4" w:space="0"/>
            </w:tcBorders>
            <w:shd w:val="clear" w:color="auto" w:fill="auto"/>
            <w:vAlign w:val="center"/>
          </w:tcPr>
          <w:p w14:paraId="53D9509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18.41 </w:t>
            </w:r>
          </w:p>
        </w:tc>
        <w:tc>
          <w:tcPr>
            <w:tcW w:w="1196" w:type="dxa"/>
            <w:tcBorders>
              <w:top w:val="nil"/>
              <w:left w:val="nil"/>
              <w:bottom w:val="single" w:color="auto" w:sz="4" w:space="0"/>
              <w:right w:val="single" w:color="auto" w:sz="4" w:space="0"/>
            </w:tcBorders>
            <w:shd w:val="clear" w:color="auto" w:fill="auto"/>
            <w:noWrap/>
            <w:vAlign w:val="center"/>
          </w:tcPr>
          <w:p w14:paraId="3A6F527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15.93 </w:t>
            </w:r>
          </w:p>
        </w:tc>
        <w:tc>
          <w:tcPr>
            <w:tcW w:w="1196" w:type="dxa"/>
            <w:tcBorders>
              <w:top w:val="nil"/>
              <w:left w:val="nil"/>
              <w:bottom w:val="single" w:color="auto" w:sz="4" w:space="0"/>
              <w:right w:val="single" w:color="auto" w:sz="4" w:space="0"/>
            </w:tcBorders>
            <w:shd w:val="clear" w:color="auto" w:fill="auto"/>
            <w:noWrap/>
            <w:vAlign w:val="center"/>
          </w:tcPr>
          <w:p w14:paraId="0C7659D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59.65 </w:t>
            </w:r>
          </w:p>
        </w:tc>
      </w:tr>
      <w:tr w14:paraId="66785617">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25D6C03B">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300" w:type="dxa"/>
            <w:tcBorders>
              <w:top w:val="nil"/>
              <w:left w:val="nil"/>
              <w:bottom w:val="single" w:color="auto" w:sz="4" w:space="0"/>
              <w:right w:val="single" w:color="auto" w:sz="4" w:space="0"/>
            </w:tcBorders>
            <w:shd w:val="clear" w:color="auto" w:fill="auto"/>
            <w:noWrap/>
            <w:vAlign w:val="center"/>
          </w:tcPr>
          <w:p w14:paraId="7BA22E2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727.04 </w:t>
            </w:r>
          </w:p>
        </w:tc>
        <w:tc>
          <w:tcPr>
            <w:tcW w:w="1196" w:type="dxa"/>
            <w:tcBorders>
              <w:top w:val="nil"/>
              <w:left w:val="nil"/>
              <w:bottom w:val="single" w:color="auto" w:sz="4" w:space="0"/>
              <w:right w:val="single" w:color="auto" w:sz="4" w:space="0"/>
            </w:tcBorders>
            <w:shd w:val="clear" w:color="auto" w:fill="auto"/>
            <w:noWrap/>
            <w:vAlign w:val="center"/>
          </w:tcPr>
          <w:p w14:paraId="25C6F9B4">
            <w:pPr>
              <w:widowControl/>
              <w:jc w:val="center"/>
              <w:rPr>
                <w:rFonts w:ascii="宋体" w:hAnsi="宋体" w:cs="宋体"/>
                <w:color w:val="000000"/>
                <w:kern w:val="0"/>
                <w:sz w:val="18"/>
                <w:szCs w:val="18"/>
              </w:rPr>
            </w:pPr>
            <w:r>
              <w:rPr>
                <w:rFonts w:hint="eastAsia" w:ascii="宋体" w:hAnsi="宋体" w:cs="宋体"/>
                <w:color w:val="000000"/>
                <w:kern w:val="0"/>
                <w:sz w:val="18"/>
                <w:szCs w:val="18"/>
              </w:rPr>
              <w:t>526</w:t>
            </w:r>
          </w:p>
        </w:tc>
        <w:tc>
          <w:tcPr>
            <w:tcW w:w="1220" w:type="dxa"/>
            <w:tcBorders>
              <w:top w:val="nil"/>
              <w:left w:val="nil"/>
              <w:bottom w:val="single" w:color="auto" w:sz="4" w:space="0"/>
              <w:right w:val="single" w:color="auto" w:sz="4" w:space="0"/>
            </w:tcBorders>
            <w:shd w:val="clear" w:color="auto" w:fill="auto"/>
            <w:vAlign w:val="center"/>
          </w:tcPr>
          <w:p w14:paraId="4AF985E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284.30 </w:t>
            </w:r>
          </w:p>
        </w:tc>
        <w:tc>
          <w:tcPr>
            <w:tcW w:w="1220" w:type="dxa"/>
            <w:tcBorders>
              <w:top w:val="nil"/>
              <w:left w:val="nil"/>
              <w:bottom w:val="single" w:color="auto" w:sz="4" w:space="0"/>
              <w:right w:val="single" w:color="auto" w:sz="4" w:space="0"/>
            </w:tcBorders>
            <w:shd w:val="clear" w:color="auto" w:fill="auto"/>
            <w:vAlign w:val="center"/>
          </w:tcPr>
          <w:p w14:paraId="08D5A9F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251.82 </w:t>
            </w:r>
          </w:p>
        </w:tc>
        <w:tc>
          <w:tcPr>
            <w:tcW w:w="1220" w:type="dxa"/>
            <w:tcBorders>
              <w:top w:val="nil"/>
              <w:left w:val="nil"/>
              <w:bottom w:val="single" w:color="auto" w:sz="4" w:space="0"/>
              <w:right w:val="single" w:color="auto" w:sz="4" w:space="0"/>
            </w:tcBorders>
            <w:shd w:val="clear" w:color="auto" w:fill="auto"/>
            <w:vAlign w:val="center"/>
          </w:tcPr>
          <w:p w14:paraId="05D8F0A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23.26 </w:t>
            </w:r>
          </w:p>
        </w:tc>
        <w:tc>
          <w:tcPr>
            <w:tcW w:w="1196" w:type="dxa"/>
            <w:tcBorders>
              <w:top w:val="nil"/>
              <w:left w:val="nil"/>
              <w:bottom w:val="single" w:color="auto" w:sz="4" w:space="0"/>
              <w:right w:val="single" w:color="auto" w:sz="4" w:space="0"/>
            </w:tcBorders>
            <w:shd w:val="clear" w:color="auto" w:fill="auto"/>
            <w:noWrap/>
            <w:vAlign w:val="center"/>
          </w:tcPr>
          <w:p w14:paraId="3E77C84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6.64 </w:t>
            </w:r>
          </w:p>
        </w:tc>
        <w:tc>
          <w:tcPr>
            <w:tcW w:w="1196" w:type="dxa"/>
            <w:tcBorders>
              <w:top w:val="nil"/>
              <w:left w:val="nil"/>
              <w:bottom w:val="single" w:color="auto" w:sz="4" w:space="0"/>
              <w:right w:val="single" w:color="auto" w:sz="4" w:space="0"/>
            </w:tcBorders>
            <w:shd w:val="clear" w:color="auto" w:fill="auto"/>
            <w:noWrap/>
            <w:vAlign w:val="center"/>
          </w:tcPr>
          <w:p w14:paraId="76C6AFD7">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r>
      <w:tr w14:paraId="2506F6F1">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16904616">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300" w:type="dxa"/>
            <w:tcBorders>
              <w:top w:val="nil"/>
              <w:left w:val="nil"/>
              <w:bottom w:val="single" w:color="auto" w:sz="4" w:space="0"/>
              <w:right w:val="single" w:color="auto" w:sz="4" w:space="0"/>
            </w:tcBorders>
            <w:shd w:val="clear" w:color="auto" w:fill="auto"/>
            <w:noWrap/>
            <w:vAlign w:val="center"/>
          </w:tcPr>
          <w:p w14:paraId="769C0EA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983.14 </w:t>
            </w:r>
          </w:p>
        </w:tc>
        <w:tc>
          <w:tcPr>
            <w:tcW w:w="1196" w:type="dxa"/>
            <w:tcBorders>
              <w:top w:val="nil"/>
              <w:left w:val="nil"/>
              <w:bottom w:val="single" w:color="auto" w:sz="4" w:space="0"/>
              <w:right w:val="single" w:color="auto" w:sz="4" w:space="0"/>
            </w:tcBorders>
            <w:shd w:val="clear" w:color="auto" w:fill="auto"/>
            <w:noWrap/>
            <w:vAlign w:val="center"/>
          </w:tcPr>
          <w:p w14:paraId="438A6E43">
            <w:pPr>
              <w:widowControl/>
              <w:jc w:val="center"/>
              <w:rPr>
                <w:rFonts w:ascii="宋体" w:hAnsi="宋体" w:cs="宋体"/>
                <w:color w:val="000000"/>
                <w:kern w:val="0"/>
                <w:sz w:val="18"/>
                <w:szCs w:val="18"/>
              </w:rPr>
            </w:pPr>
            <w:r>
              <w:rPr>
                <w:rFonts w:hint="eastAsia" w:ascii="宋体" w:hAnsi="宋体" w:cs="宋体"/>
                <w:color w:val="000000"/>
                <w:kern w:val="0"/>
                <w:sz w:val="18"/>
                <w:szCs w:val="18"/>
              </w:rPr>
              <w:t>593</w:t>
            </w:r>
          </w:p>
        </w:tc>
        <w:tc>
          <w:tcPr>
            <w:tcW w:w="1220" w:type="dxa"/>
            <w:tcBorders>
              <w:top w:val="nil"/>
              <w:left w:val="nil"/>
              <w:bottom w:val="single" w:color="auto" w:sz="4" w:space="0"/>
              <w:right w:val="single" w:color="auto" w:sz="4" w:space="0"/>
            </w:tcBorders>
            <w:shd w:val="clear" w:color="auto" w:fill="auto"/>
            <w:vAlign w:val="center"/>
          </w:tcPr>
          <w:p w14:paraId="364E86F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136.35 </w:t>
            </w:r>
          </w:p>
        </w:tc>
        <w:tc>
          <w:tcPr>
            <w:tcW w:w="1220" w:type="dxa"/>
            <w:tcBorders>
              <w:top w:val="nil"/>
              <w:left w:val="nil"/>
              <w:bottom w:val="single" w:color="auto" w:sz="4" w:space="0"/>
              <w:right w:val="single" w:color="auto" w:sz="4" w:space="0"/>
            </w:tcBorders>
            <w:shd w:val="clear" w:color="auto" w:fill="auto"/>
            <w:vAlign w:val="center"/>
          </w:tcPr>
          <w:p w14:paraId="6F06DE1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119.97 </w:t>
            </w:r>
          </w:p>
        </w:tc>
        <w:tc>
          <w:tcPr>
            <w:tcW w:w="1220" w:type="dxa"/>
            <w:tcBorders>
              <w:top w:val="nil"/>
              <w:left w:val="nil"/>
              <w:bottom w:val="single" w:color="auto" w:sz="4" w:space="0"/>
              <w:right w:val="single" w:color="auto" w:sz="4" w:space="0"/>
            </w:tcBorders>
            <w:shd w:val="clear" w:color="auto" w:fill="auto"/>
            <w:vAlign w:val="center"/>
          </w:tcPr>
          <w:p w14:paraId="19C7871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7.75 </w:t>
            </w:r>
          </w:p>
        </w:tc>
        <w:tc>
          <w:tcPr>
            <w:tcW w:w="1196" w:type="dxa"/>
            <w:tcBorders>
              <w:top w:val="nil"/>
              <w:left w:val="nil"/>
              <w:bottom w:val="single" w:color="auto" w:sz="4" w:space="0"/>
              <w:right w:val="single" w:color="auto" w:sz="4" w:space="0"/>
            </w:tcBorders>
            <w:shd w:val="clear" w:color="auto" w:fill="auto"/>
            <w:noWrap/>
            <w:vAlign w:val="center"/>
          </w:tcPr>
          <w:p w14:paraId="198996B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2.82 </w:t>
            </w:r>
          </w:p>
        </w:tc>
        <w:tc>
          <w:tcPr>
            <w:tcW w:w="1196" w:type="dxa"/>
            <w:tcBorders>
              <w:top w:val="nil"/>
              <w:left w:val="nil"/>
              <w:bottom w:val="single" w:color="auto" w:sz="4" w:space="0"/>
              <w:right w:val="single" w:color="auto" w:sz="4" w:space="0"/>
            </w:tcBorders>
            <w:shd w:val="clear" w:color="auto" w:fill="auto"/>
            <w:noWrap/>
            <w:vAlign w:val="center"/>
          </w:tcPr>
          <w:p w14:paraId="17711FA8">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r>
      <w:tr w14:paraId="0D8C2173">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12644CA3">
            <w:pPr>
              <w:widowControl/>
              <w:jc w:val="center"/>
              <w:rPr>
                <w:rFonts w:ascii="宋体" w:hAnsi="宋体" w:cs="宋体"/>
                <w:color w:val="000000"/>
                <w:kern w:val="0"/>
                <w:sz w:val="18"/>
                <w:szCs w:val="18"/>
              </w:rPr>
            </w:pPr>
            <w:r>
              <w:rPr>
                <w:rFonts w:hint="eastAsia" w:ascii="宋体" w:hAnsi="宋体" w:cs="宋体"/>
                <w:color w:val="000000"/>
                <w:kern w:val="0"/>
                <w:sz w:val="18"/>
                <w:szCs w:val="18"/>
              </w:rPr>
              <w:t>预留</w:t>
            </w:r>
          </w:p>
        </w:tc>
        <w:tc>
          <w:tcPr>
            <w:tcW w:w="1300" w:type="dxa"/>
            <w:tcBorders>
              <w:top w:val="nil"/>
              <w:left w:val="nil"/>
              <w:bottom w:val="single" w:color="auto" w:sz="4" w:space="0"/>
              <w:right w:val="single" w:color="auto" w:sz="4" w:space="0"/>
            </w:tcBorders>
            <w:shd w:val="clear" w:color="auto" w:fill="auto"/>
            <w:noWrap/>
            <w:vAlign w:val="center"/>
          </w:tcPr>
          <w:p w14:paraId="05071D5B">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96" w:type="dxa"/>
            <w:tcBorders>
              <w:top w:val="nil"/>
              <w:left w:val="nil"/>
              <w:bottom w:val="single" w:color="auto" w:sz="4" w:space="0"/>
              <w:right w:val="single" w:color="auto" w:sz="4" w:space="0"/>
            </w:tcBorders>
            <w:shd w:val="clear" w:color="auto" w:fill="auto"/>
            <w:noWrap/>
            <w:vAlign w:val="center"/>
          </w:tcPr>
          <w:p w14:paraId="75593D0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20" w:type="dxa"/>
            <w:tcBorders>
              <w:top w:val="nil"/>
              <w:left w:val="nil"/>
              <w:bottom w:val="single" w:color="auto" w:sz="4" w:space="0"/>
              <w:right w:val="single" w:color="auto" w:sz="4" w:space="0"/>
            </w:tcBorders>
            <w:shd w:val="clear" w:color="auto" w:fill="auto"/>
            <w:vAlign w:val="center"/>
          </w:tcPr>
          <w:p w14:paraId="6087D0A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15.65 </w:t>
            </w:r>
          </w:p>
        </w:tc>
        <w:tc>
          <w:tcPr>
            <w:tcW w:w="1220" w:type="dxa"/>
            <w:tcBorders>
              <w:top w:val="nil"/>
              <w:left w:val="nil"/>
              <w:bottom w:val="single" w:color="auto" w:sz="4" w:space="0"/>
              <w:right w:val="single" w:color="auto" w:sz="4" w:space="0"/>
            </w:tcBorders>
            <w:shd w:val="clear" w:color="auto" w:fill="auto"/>
            <w:noWrap/>
            <w:vAlign w:val="center"/>
          </w:tcPr>
          <w:p w14:paraId="0D526956">
            <w:pPr>
              <w:widowControl/>
              <w:jc w:val="center"/>
              <w:rPr>
                <w:rFonts w:ascii="宋体" w:hAnsi="宋体" w:cs="宋体"/>
                <w:color w:val="000000"/>
                <w:kern w:val="0"/>
                <w:sz w:val="18"/>
                <w:szCs w:val="18"/>
              </w:rPr>
            </w:pPr>
            <w:r>
              <w:rPr>
                <w:rFonts w:hint="eastAsia" w:ascii="宋体" w:hAnsi="宋体" w:cs="宋体"/>
                <w:color w:val="000000"/>
                <w:kern w:val="0"/>
                <w:sz w:val="18"/>
                <w:szCs w:val="18"/>
              </w:rPr>
              <w:t>15.65</w:t>
            </w:r>
          </w:p>
        </w:tc>
        <w:tc>
          <w:tcPr>
            <w:tcW w:w="1220" w:type="dxa"/>
            <w:tcBorders>
              <w:top w:val="nil"/>
              <w:left w:val="nil"/>
              <w:bottom w:val="single" w:color="auto" w:sz="4" w:space="0"/>
              <w:right w:val="single" w:color="auto" w:sz="4" w:space="0"/>
            </w:tcBorders>
            <w:shd w:val="clear" w:color="auto" w:fill="auto"/>
            <w:noWrap/>
            <w:vAlign w:val="center"/>
          </w:tcPr>
          <w:p w14:paraId="7D0F2853">
            <w:pPr>
              <w:widowControl/>
              <w:jc w:val="center"/>
              <w:rPr>
                <w:rFonts w:ascii="宋体" w:hAnsi="宋体" w:cs="宋体"/>
                <w:color w:val="000000"/>
                <w:kern w:val="0"/>
                <w:sz w:val="18"/>
                <w:szCs w:val="18"/>
              </w:rPr>
            </w:pPr>
            <w:r>
              <w:rPr>
                <w:rFonts w:hint="eastAsia" w:ascii="宋体" w:hAnsi="宋体" w:cs="宋体"/>
                <w:color w:val="000000"/>
                <w:kern w:val="0"/>
                <w:sz w:val="18"/>
                <w:szCs w:val="18"/>
              </w:rPr>
              <w:t>15.65</w:t>
            </w:r>
          </w:p>
        </w:tc>
        <w:tc>
          <w:tcPr>
            <w:tcW w:w="1196" w:type="dxa"/>
            <w:tcBorders>
              <w:top w:val="nil"/>
              <w:left w:val="nil"/>
              <w:bottom w:val="single" w:color="auto" w:sz="4" w:space="0"/>
              <w:right w:val="single" w:color="auto" w:sz="4" w:space="0"/>
            </w:tcBorders>
            <w:shd w:val="clear" w:color="auto" w:fill="auto"/>
            <w:noWrap/>
            <w:vAlign w:val="center"/>
          </w:tcPr>
          <w:p w14:paraId="217D0103">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96" w:type="dxa"/>
            <w:tcBorders>
              <w:top w:val="nil"/>
              <w:left w:val="nil"/>
              <w:bottom w:val="single" w:color="auto" w:sz="4" w:space="0"/>
              <w:right w:val="single" w:color="auto" w:sz="4" w:space="0"/>
            </w:tcBorders>
            <w:shd w:val="clear" w:color="auto" w:fill="auto"/>
            <w:noWrap/>
            <w:vAlign w:val="center"/>
          </w:tcPr>
          <w:p w14:paraId="5CDC2C9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58B1D4DC">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64D169F3">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300" w:type="dxa"/>
            <w:tcBorders>
              <w:top w:val="nil"/>
              <w:left w:val="nil"/>
              <w:bottom w:val="single" w:color="auto" w:sz="4" w:space="0"/>
              <w:right w:val="single" w:color="auto" w:sz="4" w:space="0"/>
            </w:tcBorders>
            <w:shd w:val="clear" w:color="auto" w:fill="auto"/>
            <w:noWrap/>
            <w:vAlign w:val="center"/>
          </w:tcPr>
          <w:p w14:paraId="1AE296CD">
            <w:pPr>
              <w:widowControl/>
              <w:jc w:val="center"/>
              <w:rPr>
                <w:rFonts w:ascii="宋体" w:hAnsi="宋体" w:cs="宋体"/>
                <w:color w:val="000000"/>
                <w:kern w:val="0"/>
                <w:sz w:val="18"/>
                <w:szCs w:val="18"/>
              </w:rPr>
            </w:pPr>
            <w:r>
              <w:rPr>
                <w:rFonts w:hint="eastAsia" w:ascii="宋体" w:hAnsi="宋体" w:cs="宋体"/>
                <w:color w:val="000000"/>
                <w:kern w:val="0"/>
                <w:sz w:val="18"/>
                <w:szCs w:val="18"/>
              </w:rPr>
              <w:t>29497</w:t>
            </w:r>
          </w:p>
        </w:tc>
        <w:tc>
          <w:tcPr>
            <w:tcW w:w="1196" w:type="dxa"/>
            <w:tcBorders>
              <w:top w:val="nil"/>
              <w:left w:val="nil"/>
              <w:bottom w:val="single" w:color="auto" w:sz="4" w:space="0"/>
              <w:right w:val="single" w:color="auto" w:sz="4" w:space="0"/>
            </w:tcBorders>
            <w:shd w:val="clear" w:color="auto" w:fill="auto"/>
            <w:noWrap/>
            <w:vAlign w:val="center"/>
          </w:tcPr>
          <w:p w14:paraId="10421FC8">
            <w:pPr>
              <w:widowControl/>
              <w:jc w:val="center"/>
              <w:rPr>
                <w:rFonts w:ascii="宋体" w:hAnsi="宋体" w:cs="宋体"/>
                <w:color w:val="000000"/>
                <w:kern w:val="0"/>
                <w:sz w:val="18"/>
                <w:szCs w:val="18"/>
              </w:rPr>
            </w:pPr>
            <w:r>
              <w:rPr>
                <w:rFonts w:hint="eastAsia" w:ascii="宋体" w:hAnsi="宋体" w:cs="宋体"/>
                <w:color w:val="000000"/>
                <w:kern w:val="0"/>
                <w:sz w:val="18"/>
                <w:szCs w:val="18"/>
              </w:rPr>
              <w:t>23066</w:t>
            </w:r>
          </w:p>
        </w:tc>
        <w:tc>
          <w:tcPr>
            <w:tcW w:w="1220" w:type="dxa"/>
            <w:tcBorders>
              <w:top w:val="nil"/>
              <w:left w:val="nil"/>
              <w:bottom w:val="single" w:color="auto" w:sz="4" w:space="0"/>
              <w:right w:val="single" w:color="auto" w:sz="4" w:space="0"/>
            </w:tcBorders>
            <w:shd w:val="clear" w:color="auto" w:fill="auto"/>
            <w:vAlign w:val="center"/>
          </w:tcPr>
          <w:p w14:paraId="4E45E26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6156.00 </w:t>
            </w:r>
          </w:p>
        </w:tc>
        <w:tc>
          <w:tcPr>
            <w:tcW w:w="1220" w:type="dxa"/>
            <w:tcBorders>
              <w:top w:val="nil"/>
              <w:left w:val="nil"/>
              <w:bottom w:val="single" w:color="auto" w:sz="4" w:space="0"/>
              <w:right w:val="single" w:color="auto" w:sz="4" w:space="0"/>
            </w:tcBorders>
            <w:shd w:val="clear" w:color="auto" w:fill="auto"/>
            <w:vAlign w:val="center"/>
          </w:tcPr>
          <w:p w14:paraId="3523C2FD">
            <w:pPr>
              <w:widowControl/>
              <w:jc w:val="center"/>
              <w:rPr>
                <w:rFonts w:ascii="宋体" w:hAnsi="宋体" w:cs="宋体"/>
                <w:color w:val="000000"/>
                <w:kern w:val="0"/>
                <w:sz w:val="18"/>
                <w:szCs w:val="18"/>
              </w:rPr>
            </w:pPr>
            <w:r>
              <w:rPr>
                <w:rFonts w:hint="eastAsia" w:ascii="宋体" w:hAnsi="宋体" w:cs="宋体"/>
                <w:color w:val="000000"/>
                <w:kern w:val="0"/>
                <w:sz w:val="18"/>
                <w:szCs w:val="18"/>
              </w:rPr>
              <w:t>5368.57</w:t>
            </w:r>
          </w:p>
        </w:tc>
        <w:tc>
          <w:tcPr>
            <w:tcW w:w="1220" w:type="dxa"/>
            <w:tcBorders>
              <w:top w:val="nil"/>
              <w:left w:val="nil"/>
              <w:bottom w:val="single" w:color="auto" w:sz="4" w:space="0"/>
              <w:right w:val="single" w:color="auto" w:sz="4" w:space="0"/>
            </w:tcBorders>
            <w:shd w:val="clear" w:color="auto" w:fill="auto"/>
            <w:noWrap/>
            <w:vAlign w:val="center"/>
          </w:tcPr>
          <w:p w14:paraId="16E963EC">
            <w:pPr>
              <w:widowControl/>
              <w:jc w:val="center"/>
              <w:rPr>
                <w:rFonts w:ascii="宋体" w:hAnsi="宋体" w:cs="宋体"/>
                <w:color w:val="000000"/>
                <w:kern w:val="0"/>
                <w:sz w:val="18"/>
                <w:szCs w:val="18"/>
              </w:rPr>
            </w:pPr>
            <w:r>
              <w:rPr>
                <w:rFonts w:hint="eastAsia" w:ascii="宋体" w:hAnsi="宋体" w:cs="宋体"/>
                <w:color w:val="000000"/>
                <w:kern w:val="0"/>
                <w:sz w:val="18"/>
                <w:szCs w:val="18"/>
              </w:rPr>
              <w:t>339.69</w:t>
            </w:r>
          </w:p>
        </w:tc>
        <w:tc>
          <w:tcPr>
            <w:tcW w:w="1196" w:type="dxa"/>
            <w:tcBorders>
              <w:top w:val="nil"/>
              <w:left w:val="nil"/>
              <w:bottom w:val="single" w:color="auto" w:sz="4" w:space="0"/>
              <w:right w:val="single" w:color="auto" w:sz="4" w:space="0"/>
            </w:tcBorders>
            <w:shd w:val="clear" w:color="auto" w:fill="auto"/>
            <w:noWrap/>
            <w:vAlign w:val="center"/>
          </w:tcPr>
          <w:p w14:paraId="1FF69E6E">
            <w:pPr>
              <w:widowControl/>
              <w:jc w:val="center"/>
              <w:rPr>
                <w:rFonts w:ascii="宋体" w:hAnsi="宋体" w:cs="宋体"/>
                <w:color w:val="000000"/>
                <w:kern w:val="0"/>
                <w:sz w:val="18"/>
                <w:szCs w:val="18"/>
              </w:rPr>
            </w:pPr>
            <w:r>
              <w:rPr>
                <w:rFonts w:hint="eastAsia" w:ascii="宋体" w:hAnsi="宋体" w:cs="宋体"/>
                <w:color w:val="000000"/>
                <w:kern w:val="0"/>
                <w:sz w:val="18"/>
                <w:szCs w:val="18"/>
              </w:rPr>
              <w:t>203.32</w:t>
            </w:r>
          </w:p>
        </w:tc>
        <w:tc>
          <w:tcPr>
            <w:tcW w:w="1196" w:type="dxa"/>
            <w:tcBorders>
              <w:top w:val="nil"/>
              <w:left w:val="nil"/>
              <w:bottom w:val="single" w:color="auto" w:sz="4" w:space="0"/>
              <w:right w:val="single" w:color="auto" w:sz="4" w:space="0"/>
            </w:tcBorders>
            <w:shd w:val="clear" w:color="auto" w:fill="auto"/>
            <w:noWrap/>
            <w:vAlign w:val="center"/>
          </w:tcPr>
          <w:p w14:paraId="12BABFC5">
            <w:pPr>
              <w:widowControl/>
              <w:jc w:val="center"/>
              <w:rPr>
                <w:rFonts w:ascii="宋体" w:hAnsi="宋体" w:cs="宋体"/>
                <w:color w:val="000000"/>
                <w:kern w:val="0"/>
                <w:sz w:val="18"/>
                <w:szCs w:val="18"/>
              </w:rPr>
            </w:pPr>
            <w:r>
              <w:rPr>
                <w:rFonts w:hint="eastAsia" w:ascii="宋体" w:hAnsi="宋体" w:cs="宋体"/>
                <w:color w:val="000000"/>
                <w:kern w:val="0"/>
                <w:sz w:val="18"/>
                <w:szCs w:val="18"/>
              </w:rPr>
              <w:t>159.51</w:t>
            </w:r>
          </w:p>
        </w:tc>
      </w:tr>
    </w:tbl>
    <w:p w14:paraId="725164D4">
      <w:pPr>
        <w:spacing w:line="360" w:lineRule="auto"/>
        <w:ind w:firstLine="360" w:firstLineChars="200"/>
        <w:jc w:val="right"/>
        <w:rPr>
          <w:rFonts w:ascii="宋体" w:hAnsi="宋体"/>
          <w:color w:val="000000"/>
          <w:sz w:val="18"/>
          <w:szCs w:val="18"/>
        </w:rPr>
      </w:pPr>
    </w:p>
    <w:p w14:paraId="386B9DC6">
      <w:pPr>
        <w:spacing w:line="360" w:lineRule="auto"/>
        <w:ind w:firstLine="360" w:firstLineChars="200"/>
        <w:jc w:val="right"/>
        <w:rPr>
          <w:rFonts w:ascii="宋体" w:hAnsi="宋体"/>
          <w:color w:val="000000"/>
          <w:sz w:val="18"/>
          <w:szCs w:val="18"/>
        </w:rPr>
      </w:pPr>
    </w:p>
    <w:p w14:paraId="64B8E4A1">
      <w:pPr>
        <w:spacing w:line="360" w:lineRule="auto"/>
        <w:ind w:firstLine="360" w:firstLineChars="200"/>
        <w:jc w:val="right"/>
        <w:rPr>
          <w:rFonts w:ascii="宋体" w:hAnsi="宋体"/>
          <w:color w:val="000000"/>
          <w:sz w:val="18"/>
          <w:szCs w:val="18"/>
        </w:rPr>
      </w:pPr>
    </w:p>
    <w:p w14:paraId="47BCC43A">
      <w:pPr>
        <w:spacing w:line="360" w:lineRule="auto"/>
        <w:ind w:firstLine="360" w:firstLineChars="200"/>
        <w:jc w:val="right"/>
        <w:rPr>
          <w:rFonts w:ascii="宋体" w:hAnsi="宋体"/>
          <w:color w:val="000000"/>
          <w:sz w:val="18"/>
          <w:szCs w:val="18"/>
        </w:rPr>
      </w:pPr>
    </w:p>
    <w:p w14:paraId="4E9BE0E3">
      <w:pPr>
        <w:spacing w:line="360" w:lineRule="auto"/>
        <w:ind w:firstLine="360" w:firstLineChars="200"/>
        <w:jc w:val="right"/>
        <w:rPr>
          <w:rFonts w:ascii="宋体" w:hAnsi="宋体"/>
          <w:color w:val="000000"/>
          <w:sz w:val="18"/>
          <w:szCs w:val="18"/>
        </w:rPr>
      </w:pPr>
    </w:p>
    <w:p w14:paraId="10E7AE26">
      <w:pPr>
        <w:spacing w:line="360" w:lineRule="auto"/>
        <w:ind w:firstLine="360" w:firstLineChars="200"/>
        <w:jc w:val="right"/>
        <w:rPr>
          <w:rFonts w:ascii="宋体" w:hAnsi="宋体"/>
          <w:color w:val="000000"/>
          <w:sz w:val="18"/>
          <w:szCs w:val="18"/>
        </w:rPr>
      </w:pPr>
    </w:p>
    <w:p w14:paraId="450986EE">
      <w:pPr>
        <w:spacing w:line="360" w:lineRule="auto"/>
        <w:ind w:firstLine="360" w:firstLineChars="200"/>
        <w:jc w:val="right"/>
        <w:rPr>
          <w:rFonts w:ascii="宋体" w:hAnsi="宋体"/>
          <w:color w:val="000000"/>
          <w:sz w:val="18"/>
          <w:szCs w:val="18"/>
        </w:rPr>
      </w:pPr>
    </w:p>
    <w:p w14:paraId="43B5BB97">
      <w:pPr>
        <w:spacing w:line="360" w:lineRule="auto"/>
        <w:ind w:firstLine="360" w:firstLineChars="200"/>
        <w:jc w:val="right"/>
        <w:rPr>
          <w:rFonts w:ascii="宋体" w:hAnsi="宋体"/>
          <w:color w:val="000000"/>
          <w:sz w:val="18"/>
          <w:szCs w:val="18"/>
        </w:rPr>
      </w:pPr>
    </w:p>
    <w:p w14:paraId="1B92E316">
      <w:pPr>
        <w:spacing w:line="360" w:lineRule="auto"/>
        <w:ind w:firstLine="360" w:firstLineChars="200"/>
        <w:jc w:val="right"/>
        <w:rPr>
          <w:rFonts w:ascii="宋体" w:hAnsi="宋体"/>
          <w:color w:val="000000"/>
          <w:sz w:val="18"/>
          <w:szCs w:val="18"/>
        </w:rPr>
      </w:pPr>
    </w:p>
    <w:p w14:paraId="1A8BD42E">
      <w:pPr>
        <w:spacing w:line="360" w:lineRule="auto"/>
        <w:ind w:firstLine="360" w:firstLineChars="200"/>
        <w:jc w:val="right"/>
        <w:rPr>
          <w:rFonts w:ascii="宋体" w:hAnsi="宋体"/>
          <w:color w:val="000000"/>
          <w:sz w:val="18"/>
          <w:szCs w:val="18"/>
        </w:rPr>
      </w:pPr>
    </w:p>
    <w:p w14:paraId="1FD14BDD">
      <w:pPr>
        <w:spacing w:line="360" w:lineRule="auto"/>
        <w:ind w:firstLine="360" w:firstLineChars="200"/>
        <w:jc w:val="right"/>
        <w:rPr>
          <w:rFonts w:ascii="宋体" w:hAnsi="宋体"/>
          <w:color w:val="000000"/>
          <w:sz w:val="18"/>
          <w:szCs w:val="18"/>
        </w:rPr>
      </w:pPr>
    </w:p>
    <w:p w14:paraId="50F09B93">
      <w:pPr>
        <w:spacing w:line="360" w:lineRule="auto"/>
        <w:ind w:firstLine="360" w:firstLineChars="200"/>
        <w:jc w:val="right"/>
        <w:rPr>
          <w:rFonts w:ascii="宋体" w:hAnsi="宋体"/>
          <w:color w:val="000000"/>
          <w:sz w:val="18"/>
          <w:szCs w:val="18"/>
        </w:rPr>
      </w:pPr>
    </w:p>
    <w:p w14:paraId="2C808459">
      <w:pPr>
        <w:spacing w:line="360" w:lineRule="auto"/>
        <w:ind w:firstLine="360" w:firstLineChars="200"/>
        <w:jc w:val="right"/>
        <w:rPr>
          <w:rFonts w:ascii="宋体" w:hAnsi="宋体"/>
          <w:color w:val="000000"/>
          <w:sz w:val="18"/>
          <w:szCs w:val="18"/>
        </w:rPr>
      </w:pPr>
    </w:p>
    <w:p w14:paraId="4E793C6C">
      <w:pPr>
        <w:spacing w:line="360" w:lineRule="auto"/>
        <w:ind w:firstLine="360" w:firstLineChars="200"/>
        <w:jc w:val="right"/>
        <w:rPr>
          <w:rFonts w:ascii="宋体" w:hAnsi="宋体"/>
          <w:color w:val="000000"/>
          <w:sz w:val="18"/>
          <w:szCs w:val="18"/>
        </w:rPr>
      </w:pPr>
    </w:p>
    <w:p w14:paraId="6D97FC94">
      <w:pPr>
        <w:spacing w:line="360" w:lineRule="auto"/>
        <w:ind w:firstLine="360" w:firstLineChars="200"/>
        <w:jc w:val="right"/>
        <w:rPr>
          <w:rFonts w:ascii="宋体" w:hAnsi="宋体"/>
          <w:color w:val="000000"/>
          <w:sz w:val="18"/>
          <w:szCs w:val="18"/>
        </w:rPr>
      </w:pPr>
    </w:p>
    <w:p w14:paraId="181B1BE4">
      <w:pPr>
        <w:pStyle w:val="2"/>
        <w:spacing w:line="360" w:lineRule="auto"/>
        <w:jc w:val="center"/>
        <w:rPr>
          <w:rFonts w:ascii="黑体" w:eastAsia="黑体"/>
          <w:b w:val="0"/>
          <w:color w:val="000000"/>
          <w:sz w:val="32"/>
          <w:szCs w:val="32"/>
        </w:rPr>
      </w:pPr>
      <w:bookmarkStart w:id="119" w:name="_Toc491074907"/>
      <w:r>
        <w:rPr>
          <w:rFonts w:hint="eastAsia" w:ascii="黑体" w:eastAsia="黑体"/>
          <w:b w:val="0"/>
          <w:color w:val="000000"/>
          <w:sz w:val="32"/>
          <w:szCs w:val="32"/>
        </w:rPr>
        <w:t>第六章  土地利用结构和空间布局优化</w:t>
      </w:r>
      <w:bookmarkEnd w:id="87"/>
      <w:bookmarkEnd w:id="119"/>
    </w:p>
    <w:p w14:paraId="1ECE9978">
      <w:pPr>
        <w:pStyle w:val="3"/>
        <w:jc w:val="center"/>
        <w:rPr>
          <w:b w:val="0"/>
          <w:color w:val="000000"/>
          <w:sz w:val="28"/>
          <w:szCs w:val="28"/>
        </w:rPr>
      </w:pPr>
      <w:bookmarkStart w:id="120" w:name="_Toc491074908"/>
      <w:r>
        <w:rPr>
          <w:rFonts w:hint="eastAsia"/>
          <w:b w:val="0"/>
          <w:color w:val="000000"/>
          <w:sz w:val="28"/>
          <w:szCs w:val="28"/>
        </w:rPr>
        <w:t>第一节  耕地和基本农田</w:t>
      </w:r>
      <w:bookmarkEnd w:id="120"/>
    </w:p>
    <w:p w14:paraId="776EA209">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按照维护全区粮食安全、经济安全、生态安全和社会稳定的要求，严格保护农用地特别是耕地，以严格保护耕地为前提，统筹安排农业用地。落实最严格的耕地保护制度，严格控制非农建设占用耕地特别是基本农田。划定基本农田保护区，实现从单纯的数量保护向数量、质量和生态全面管护的转变。大力推进土地整理，加大土地开发和复垦力度，确保补充耕地质量。统筹安排各类农用地规模，合理调整农用地结构和布局，努力提高农用地综合生产能力和利用效益，促进现代农业发展。</w:t>
      </w:r>
    </w:p>
    <w:p w14:paraId="7704007B">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一、耕地</w:t>
      </w:r>
    </w:p>
    <w:p w14:paraId="27889B83">
      <w:pPr>
        <w:pStyle w:val="4"/>
        <w:spacing w:before="0" w:after="0" w:line="360" w:lineRule="auto"/>
        <w:ind w:firstLine="140" w:firstLineChars="50"/>
        <w:rPr>
          <w:rFonts w:ascii="Arial" w:hAnsi="Arial" w:eastAsia="黑体"/>
          <w:b w:val="0"/>
          <w:color w:val="000000"/>
          <w:sz w:val="28"/>
          <w:szCs w:val="28"/>
        </w:rPr>
      </w:pPr>
      <w:r>
        <w:rPr>
          <w:rFonts w:hint="eastAsia" w:ascii="Arial" w:hAnsi="Arial" w:eastAsia="黑体"/>
          <w:b w:val="0"/>
          <w:color w:val="000000"/>
          <w:sz w:val="28"/>
          <w:szCs w:val="28"/>
        </w:rPr>
        <w:t>（一）确保落实耕地保有量指标</w:t>
      </w:r>
    </w:p>
    <w:p w14:paraId="468F3031">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本次调整完善，昆明市下达东川区的耕地保有量29497公顷，较调整前减少了703公顷。</w:t>
      </w:r>
    </w:p>
    <w:p w14:paraId="4ABEDF92">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调整完善后，东川区耕地面积由调整前的32617.95公顷调整为30443.78公顷（不包含预留建设用地占用的13公顷耕地），耕地面积减少了2174.17公顷。水田面积由</w:t>
      </w:r>
      <w:r>
        <w:rPr>
          <w:rFonts w:ascii="仿宋_GB2312" w:hAnsi="宋体" w:eastAsia="仿宋_GB2312"/>
          <w:kern w:val="0"/>
          <w:sz w:val="28"/>
          <w:szCs w:val="28"/>
        </w:rPr>
        <w:t>3326.03</w:t>
      </w:r>
      <w:r>
        <w:rPr>
          <w:rFonts w:hint="eastAsia" w:ascii="仿宋_GB2312" w:hAnsi="宋体" w:eastAsia="仿宋_GB2312"/>
          <w:kern w:val="0"/>
          <w:sz w:val="28"/>
          <w:szCs w:val="28"/>
        </w:rPr>
        <w:t>公顷调整为3170.38公顷，减少了155.65公顷，占耕地总面积的比例增加了0.21%；水浇地面积由59.29公顷调整为58.74公顷，减少了0.55公顷，占耕地总面积的比例增加了0.01%；旱地面积由</w:t>
      </w:r>
      <w:r>
        <w:rPr>
          <w:rFonts w:ascii="仿宋_GB2312" w:hAnsi="宋体" w:eastAsia="仿宋_GB2312"/>
          <w:kern w:val="0"/>
          <w:sz w:val="28"/>
          <w:szCs w:val="28"/>
        </w:rPr>
        <w:t>29232.63</w:t>
      </w:r>
      <w:r>
        <w:rPr>
          <w:rFonts w:hint="eastAsia" w:ascii="仿宋_GB2312" w:hAnsi="宋体" w:eastAsia="仿宋_GB2312"/>
          <w:kern w:val="0"/>
          <w:sz w:val="28"/>
          <w:szCs w:val="28"/>
        </w:rPr>
        <w:t>公顷调整为27214.66公顷，减少了2017.97公顷，占耕地总面积的比例减少了0.23%；调整完善后，东川区耕地保有量满足上级下达的任务。</w:t>
      </w:r>
    </w:p>
    <w:p w14:paraId="522D72F8">
      <w:pPr>
        <w:snapToGrid w:val="0"/>
        <w:spacing w:line="360" w:lineRule="auto"/>
        <w:ind w:firstLine="560" w:firstLineChars="200"/>
        <w:rPr>
          <w:rFonts w:ascii="仿宋_GB2312" w:hAnsi="宋体" w:eastAsia="仿宋_GB2312"/>
          <w:kern w:val="0"/>
          <w:sz w:val="28"/>
          <w:szCs w:val="28"/>
        </w:rPr>
      </w:pPr>
    </w:p>
    <w:p w14:paraId="7599D09D">
      <w:pPr>
        <w:snapToGrid w:val="0"/>
        <w:spacing w:line="360" w:lineRule="auto"/>
        <w:ind w:firstLine="560" w:firstLineChars="200"/>
        <w:rPr>
          <w:rFonts w:ascii="仿宋_GB2312" w:hAnsi="宋体" w:eastAsia="仿宋_GB2312"/>
          <w:kern w:val="0"/>
          <w:sz w:val="28"/>
          <w:szCs w:val="28"/>
        </w:rPr>
      </w:pPr>
    </w:p>
    <w:p w14:paraId="5D6EC083">
      <w:pPr>
        <w:snapToGrid w:val="0"/>
        <w:spacing w:line="360" w:lineRule="auto"/>
        <w:ind w:firstLine="560" w:firstLineChars="200"/>
        <w:rPr>
          <w:rFonts w:ascii="仿宋_GB2312" w:hAnsi="宋体" w:eastAsia="仿宋_GB2312"/>
          <w:kern w:val="0"/>
          <w:sz w:val="28"/>
          <w:szCs w:val="28"/>
        </w:rPr>
      </w:pPr>
    </w:p>
    <w:p w14:paraId="1F5F8311">
      <w:pPr>
        <w:snapToGrid w:val="0"/>
        <w:spacing w:line="360" w:lineRule="auto"/>
        <w:ind w:firstLine="560" w:firstLineChars="200"/>
        <w:rPr>
          <w:rFonts w:ascii="仿宋_GB2312" w:hAnsi="宋体" w:eastAsia="仿宋_GB2312"/>
          <w:kern w:val="0"/>
          <w:sz w:val="28"/>
          <w:szCs w:val="28"/>
        </w:rPr>
      </w:pPr>
    </w:p>
    <w:p w14:paraId="6B417A14">
      <w:pPr>
        <w:jc w:val="center"/>
        <w:outlineLvl w:val="4"/>
        <w:rPr>
          <w:rFonts w:ascii="宋体" w:hAnsi="宋体"/>
          <w:b/>
          <w:sz w:val="24"/>
        </w:rPr>
      </w:pPr>
      <w:r>
        <w:rPr>
          <w:rFonts w:hint="eastAsia" w:ascii="宋体" w:hAnsi="宋体"/>
          <w:b/>
          <w:sz w:val="24"/>
        </w:rPr>
        <w:t>表</w:t>
      </w:r>
      <w:r>
        <w:rPr>
          <w:rFonts w:ascii="宋体" w:hAnsi="宋体"/>
          <w:b/>
          <w:sz w:val="24"/>
        </w:rPr>
        <w:t xml:space="preserve">6-1 </w:t>
      </w:r>
      <w:r>
        <w:rPr>
          <w:rFonts w:hint="eastAsia" w:ascii="宋体" w:hAnsi="宋体"/>
          <w:b/>
          <w:sz w:val="24"/>
        </w:rPr>
        <w:t>东川区耕地地类调整情况对比表</w:t>
      </w:r>
    </w:p>
    <w:p w14:paraId="27AA2C66">
      <w:pPr>
        <w:widowControl/>
        <w:jc w:val="right"/>
        <w:rPr>
          <w:rFonts w:ascii="仿宋_GB2312" w:hAnsi="宋体" w:eastAsia="仿宋_GB2312"/>
          <w:kern w:val="0"/>
          <w:sz w:val="28"/>
          <w:szCs w:val="28"/>
        </w:rPr>
      </w:pPr>
      <w:r>
        <w:rPr>
          <w:rFonts w:hint="eastAsia" w:ascii="宋体" w:hAnsi="宋体" w:cs="宋体"/>
          <w:color w:val="000000"/>
          <w:kern w:val="0"/>
          <w:sz w:val="18"/>
          <w:szCs w:val="18"/>
        </w:rPr>
        <w:t>单位：公顷、</w:t>
      </w:r>
      <w:r>
        <w:rPr>
          <w:rFonts w:ascii="宋体" w:hAnsi="宋体" w:cs="宋体"/>
          <w:color w:val="000000"/>
          <w:kern w:val="0"/>
          <w:sz w:val="18"/>
          <w:szCs w:val="18"/>
        </w:rPr>
        <w:t>%</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1116"/>
        <w:gridCol w:w="1255"/>
        <w:gridCol w:w="1420"/>
        <w:gridCol w:w="1255"/>
        <w:gridCol w:w="1185"/>
        <w:gridCol w:w="936"/>
      </w:tblGrid>
      <w:tr w14:paraId="410FF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462" w:type="dxa"/>
            <w:vMerge w:val="restart"/>
            <w:vAlign w:val="center"/>
          </w:tcPr>
          <w:p w14:paraId="51D9664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地类名称</w:t>
            </w:r>
          </w:p>
        </w:tc>
        <w:tc>
          <w:tcPr>
            <w:tcW w:w="2371" w:type="dxa"/>
            <w:gridSpan w:val="2"/>
            <w:vAlign w:val="center"/>
          </w:tcPr>
          <w:p w14:paraId="3CAB7B9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调整前（</w:t>
            </w:r>
            <w:r>
              <w:rPr>
                <w:rFonts w:ascii="宋体" w:hAnsi="宋体" w:cs="宋体"/>
                <w:b/>
                <w:color w:val="000000"/>
                <w:kern w:val="0"/>
                <w:sz w:val="18"/>
                <w:szCs w:val="18"/>
              </w:rPr>
              <w:t>2020</w:t>
            </w:r>
            <w:r>
              <w:rPr>
                <w:rFonts w:hint="eastAsia" w:ascii="宋体" w:hAnsi="宋体" w:cs="宋体"/>
                <w:b/>
                <w:color w:val="000000"/>
                <w:kern w:val="0"/>
                <w:sz w:val="18"/>
                <w:szCs w:val="18"/>
              </w:rPr>
              <w:t>年）</w:t>
            </w:r>
          </w:p>
        </w:tc>
        <w:tc>
          <w:tcPr>
            <w:tcW w:w="2675" w:type="dxa"/>
            <w:gridSpan w:val="2"/>
            <w:vAlign w:val="center"/>
          </w:tcPr>
          <w:p w14:paraId="4768AC2B">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调整后（</w:t>
            </w:r>
            <w:r>
              <w:rPr>
                <w:rFonts w:ascii="宋体" w:hAnsi="宋体" w:cs="宋体"/>
                <w:b/>
                <w:color w:val="000000"/>
                <w:kern w:val="0"/>
                <w:sz w:val="18"/>
                <w:szCs w:val="18"/>
              </w:rPr>
              <w:t>2020</w:t>
            </w:r>
            <w:r>
              <w:rPr>
                <w:rFonts w:hint="eastAsia" w:ascii="宋体" w:hAnsi="宋体" w:cs="宋体"/>
                <w:b/>
                <w:color w:val="000000"/>
                <w:kern w:val="0"/>
                <w:sz w:val="18"/>
                <w:szCs w:val="18"/>
              </w:rPr>
              <w:t>年）</w:t>
            </w:r>
          </w:p>
        </w:tc>
        <w:tc>
          <w:tcPr>
            <w:tcW w:w="2121" w:type="dxa"/>
            <w:gridSpan w:val="2"/>
            <w:vAlign w:val="center"/>
          </w:tcPr>
          <w:p w14:paraId="7354752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变化量</w:t>
            </w:r>
          </w:p>
        </w:tc>
      </w:tr>
      <w:tr w14:paraId="7E82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462" w:type="dxa"/>
            <w:vMerge w:val="continue"/>
            <w:vAlign w:val="center"/>
          </w:tcPr>
          <w:p w14:paraId="0B43D9CE">
            <w:pPr>
              <w:widowControl/>
              <w:jc w:val="center"/>
              <w:rPr>
                <w:rFonts w:ascii="宋体" w:hAnsi="宋体" w:cs="宋体"/>
                <w:b/>
                <w:color w:val="000000"/>
                <w:kern w:val="0"/>
                <w:sz w:val="18"/>
                <w:szCs w:val="18"/>
              </w:rPr>
            </w:pPr>
          </w:p>
        </w:tc>
        <w:tc>
          <w:tcPr>
            <w:tcW w:w="1116" w:type="dxa"/>
            <w:vAlign w:val="center"/>
          </w:tcPr>
          <w:p w14:paraId="32BFFB3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w:t>
            </w:r>
          </w:p>
        </w:tc>
        <w:tc>
          <w:tcPr>
            <w:tcW w:w="1255" w:type="dxa"/>
            <w:vAlign w:val="center"/>
          </w:tcPr>
          <w:p w14:paraId="5451694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c>
          <w:tcPr>
            <w:tcW w:w="1420" w:type="dxa"/>
            <w:vAlign w:val="center"/>
          </w:tcPr>
          <w:p w14:paraId="3868A7C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w:t>
            </w:r>
          </w:p>
        </w:tc>
        <w:tc>
          <w:tcPr>
            <w:tcW w:w="1255" w:type="dxa"/>
            <w:vAlign w:val="center"/>
          </w:tcPr>
          <w:p w14:paraId="3DC5EF55">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c>
          <w:tcPr>
            <w:tcW w:w="1185" w:type="dxa"/>
            <w:vAlign w:val="center"/>
          </w:tcPr>
          <w:p w14:paraId="035F01B7">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w:t>
            </w:r>
          </w:p>
        </w:tc>
        <w:tc>
          <w:tcPr>
            <w:tcW w:w="936" w:type="dxa"/>
            <w:vAlign w:val="center"/>
          </w:tcPr>
          <w:p w14:paraId="6250EE5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r>
      <w:tr w14:paraId="1168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462" w:type="dxa"/>
            <w:vAlign w:val="center"/>
          </w:tcPr>
          <w:p w14:paraId="2EFB76CA">
            <w:pPr>
              <w:jc w:val="center"/>
              <w:rPr>
                <w:rFonts w:ascii="宋体" w:hAnsi="宋体" w:cs="宋体"/>
                <w:color w:val="000000"/>
                <w:sz w:val="18"/>
                <w:szCs w:val="18"/>
              </w:rPr>
            </w:pPr>
            <w:r>
              <w:rPr>
                <w:rFonts w:hint="eastAsia"/>
                <w:color w:val="000000"/>
                <w:sz w:val="18"/>
                <w:szCs w:val="18"/>
              </w:rPr>
              <w:t xml:space="preserve">水田 </w:t>
            </w:r>
          </w:p>
        </w:tc>
        <w:tc>
          <w:tcPr>
            <w:tcW w:w="1116" w:type="dxa"/>
            <w:vAlign w:val="center"/>
          </w:tcPr>
          <w:p w14:paraId="3CB4C3F6">
            <w:pPr>
              <w:jc w:val="center"/>
              <w:rPr>
                <w:rFonts w:ascii="宋体" w:hAnsi="宋体" w:cs="宋体"/>
                <w:color w:val="000000"/>
                <w:kern w:val="0"/>
                <w:sz w:val="18"/>
                <w:szCs w:val="18"/>
              </w:rPr>
            </w:pPr>
            <w:r>
              <w:rPr>
                <w:rFonts w:hint="eastAsia" w:ascii="宋体" w:hAnsi="宋体" w:cs="宋体"/>
                <w:color w:val="000000"/>
                <w:kern w:val="0"/>
                <w:sz w:val="18"/>
                <w:szCs w:val="18"/>
              </w:rPr>
              <w:t>3326.03</w:t>
            </w:r>
          </w:p>
        </w:tc>
        <w:tc>
          <w:tcPr>
            <w:tcW w:w="1255" w:type="dxa"/>
            <w:vAlign w:val="center"/>
          </w:tcPr>
          <w:p w14:paraId="4B051F90">
            <w:pPr>
              <w:jc w:val="center"/>
              <w:rPr>
                <w:rFonts w:ascii="宋体" w:hAnsi="宋体" w:cs="宋体"/>
                <w:color w:val="000000"/>
                <w:kern w:val="0"/>
                <w:sz w:val="18"/>
                <w:szCs w:val="18"/>
              </w:rPr>
            </w:pPr>
            <w:r>
              <w:rPr>
                <w:rFonts w:hint="eastAsia" w:ascii="宋体" w:hAnsi="宋体" w:cs="宋体"/>
                <w:color w:val="000000"/>
                <w:kern w:val="0"/>
                <w:sz w:val="18"/>
                <w:szCs w:val="18"/>
              </w:rPr>
              <w:t>10.20%</w:t>
            </w:r>
          </w:p>
        </w:tc>
        <w:tc>
          <w:tcPr>
            <w:tcW w:w="1420" w:type="dxa"/>
            <w:vAlign w:val="center"/>
          </w:tcPr>
          <w:p w14:paraId="24DA6C00">
            <w:pPr>
              <w:jc w:val="center"/>
              <w:rPr>
                <w:rFonts w:ascii="宋体" w:hAnsi="宋体" w:cs="宋体"/>
                <w:color w:val="000000"/>
                <w:kern w:val="0"/>
                <w:sz w:val="18"/>
                <w:szCs w:val="18"/>
              </w:rPr>
            </w:pPr>
            <w:r>
              <w:rPr>
                <w:rFonts w:hint="eastAsia" w:ascii="宋体" w:hAnsi="宋体" w:cs="宋体"/>
                <w:color w:val="000000"/>
                <w:kern w:val="0"/>
                <w:sz w:val="18"/>
                <w:szCs w:val="18"/>
              </w:rPr>
              <w:t xml:space="preserve">3170.38 </w:t>
            </w:r>
          </w:p>
        </w:tc>
        <w:tc>
          <w:tcPr>
            <w:tcW w:w="1255" w:type="dxa"/>
            <w:vAlign w:val="center"/>
          </w:tcPr>
          <w:p w14:paraId="5CE8964A">
            <w:pPr>
              <w:jc w:val="center"/>
              <w:rPr>
                <w:rFonts w:ascii="宋体" w:hAnsi="宋体" w:cs="宋体"/>
                <w:color w:val="000000"/>
                <w:kern w:val="0"/>
                <w:sz w:val="18"/>
                <w:szCs w:val="18"/>
              </w:rPr>
            </w:pPr>
            <w:r>
              <w:rPr>
                <w:rFonts w:hint="eastAsia" w:ascii="宋体" w:hAnsi="宋体" w:cs="宋体"/>
                <w:color w:val="000000"/>
                <w:kern w:val="0"/>
                <w:sz w:val="18"/>
                <w:szCs w:val="18"/>
              </w:rPr>
              <w:t>10.41%</w:t>
            </w:r>
          </w:p>
        </w:tc>
        <w:tc>
          <w:tcPr>
            <w:tcW w:w="1185" w:type="dxa"/>
            <w:vAlign w:val="center"/>
          </w:tcPr>
          <w:p w14:paraId="1965B6B1">
            <w:pPr>
              <w:jc w:val="center"/>
              <w:rPr>
                <w:rFonts w:ascii="宋体" w:hAnsi="宋体" w:cs="宋体"/>
                <w:color w:val="000000"/>
                <w:kern w:val="0"/>
                <w:sz w:val="18"/>
                <w:szCs w:val="18"/>
              </w:rPr>
            </w:pPr>
            <w:r>
              <w:rPr>
                <w:rFonts w:hint="eastAsia" w:ascii="宋体" w:hAnsi="宋体" w:cs="宋体"/>
                <w:color w:val="000000"/>
                <w:kern w:val="0"/>
                <w:sz w:val="18"/>
                <w:szCs w:val="18"/>
              </w:rPr>
              <w:t xml:space="preserve">-155.65 </w:t>
            </w:r>
          </w:p>
        </w:tc>
        <w:tc>
          <w:tcPr>
            <w:tcW w:w="936" w:type="dxa"/>
            <w:vAlign w:val="center"/>
          </w:tcPr>
          <w:p w14:paraId="28B806B3">
            <w:pPr>
              <w:jc w:val="center"/>
              <w:rPr>
                <w:rFonts w:ascii="宋体" w:hAnsi="宋体" w:cs="宋体"/>
                <w:color w:val="000000"/>
                <w:kern w:val="0"/>
                <w:sz w:val="18"/>
                <w:szCs w:val="18"/>
              </w:rPr>
            </w:pPr>
            <w:r>
              <w:rPr>
                <w:rFonts w:hint="eastAsia" w:ascii="宋体" w:hAnsi="宋体" w:cs="宋体"/>
                <w:color w:val="000000"/>
                <w:kern w:val="0"/>
                <w:sz w:val="18"/>
                <w:szCs w:val="18"/>
              </w:rPr>
              <w:t>0.21%</w:t>
            </w:r>
          </w:p>
        </w:tc>
      </w:tr>
      <w:tr w14:paraId="7DF3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462" w:type="dxa"/>
            <w:vAlign w:val="center"/>
          </w:tcPr>
          <w:p w14:paraId="5B953375">
            <w:pPr>
              <w:jc w:val="center"/>
              <w:rPr>
                <w:rFonts w:ascii="宋体" w:hAnsi="宋体" w:cs="宋体"/>
                <w:color w:val="000000"/>
                <w:sz w:val="18"/>
                <w:szCs w:val="18"/>
              </w:rPr>
            </w:pPr>
            <w:r>
              <w:rPr>
                <w:rFonts w:hint="eastAsia"/>
                <w:color w:val="000000"/>
                <w:sz w:val="18"/>
                <w:szCs w:val="18"/>
              </w:rPr>
              <w:t xml:space="preserve">水浇地 </w:t>
            </w:r>
          </w:p>
        </w:tc>
        <w:tc>
          <w:tcPr>
            <w:tcW w:w="1116" w:type="dxa"/>
            <w:vAlign w:val="center"/>
          </w:tcPr>
          <w:p w14:paraId="5A7C104E">
            <w:pPr>
              <w:jc w:val="center"/>
              <w:rPr>
                <w:rFonts w:ascii="宋体" w:hAnsi="宋体" w:cs="宋体"/>
                <w:color w:val="000000"/>
                <w:kern w:val="0"/>
                <w:sz w:val="18"/>
                <w:szCs w:val="18"/>
              </w:rPr>
            </w:pPr>
            <w:r>
              <w:rPr>
                <w:rFonts w:hint="eastAsia" w:ascii="宋体" w:hAnsi="宋体" w:cs="宋体"/>
                <w:color w:val="000000"/>
                <w:kern w:val="0"/>
                <w:sz w:val="18"/>
                <w:szCs w:val="18"/>
              </w:rPr>
              <w:t>59.29</w:t>
            </w:r>
          </w:p>
        </w:tc>
        <w:tc>
          <w:tcPr>
            <w:tcW w:w="1255" w:type="dxa"/>
            <w:vAlign w:val="center"/>
          </w:tcPr>
          <w:p w14:paraId="6741468C">
            <w:pPr>
              <w:jc w:val="center"/>
              <w:rPr>
                <w:rFonts w:ascii="宋体" w:hAnsi="宋体" w:cs="宋体"/>
                <w:color w:val="000000"/>
                <w:kern w:val="0"/>
                <w:sz w:val="18"/>
                <w:szCs w:val="18"/>
              </w:rPr>
            </w:pPr>
            <w:r>
              <w:rPr>
                <w:rFonts w:hint="eastAsia" w:ascii="宋体" w:hAnsi="宋体" w:cs="宋体"/>
                <w:color w:val="000000"/>
                <w:kern w:val="0"/>
                <w:sz w:val="18"/>
                <w:szCs w:val="18"/>
              </w:rPr>
              <w:t>0.18%</w:t>
            </w:r>
          </w:p>
        </w:tc>
        <w:tc>
          <w:tcPr>
            <w:tcW w:w="1420" w:type="dxa"/>
            <w:vAlign w:val="center"/>
          </w:tcPr>
          <w:p w14:paraId="294078D8">
            <w:pPr>
              <w:jc w:val="center"/>
              <w:rPr>
                <w:rFonts w:ascii="宋体" w:hAnsi="宋体" w:cs="宋体"/>
                <w:color w:val="000000"/>
                <w:kern w:val="0"/>
                <w:sz w:val="18"/>
                <w:szCs w:val="18"/>
              </w:rPr>
            </w:pPr>
            <w:r>
              <w:rPr>
                <w:rFonts w:hint="eastAsia" w:ascii="宋体" w:hAnsi="宋体" w:cs="宋体"/>
                <w:color w:val="000000"/>
                <w:kern w:val="0"/>
                <w:sz w:val="18"/>
                <w:szCs w:val="18"/>
              </w:rPr>
              <w:t xml:space="preserve">58.74 </w:t>
            </w:r>
          </w:p>
        </w:tc>
        <w:tc>
          <w:tcPr>
            <w:tcW w:w="1255" w:type="dxa"/>
            <w:vAlign w:val="center"/>
          </w:tcPr>
          <w:p w14:paraId="1985BACC">
            <w:pPr>
              <w:jc w:val="center"/>
              <w:rPr>
                <w:rFonts w:ascii="宋体" w:hAnsi="宋体" w:cs="宋体"/>
                <w:color w:val="000000"/>
                <w:kern w:val="0"/>
                <w:sz w:val="18"/>
                <w:szCs w:val="18"/>
              </w:rPr>
            </w:pPr>
            <w:r>
              <w:rPr>
                <w:rFonts w:hint="eastAsia" w:ascii="宋体" w:hAnsi="宋体" w:cs="宋体"/>
                <w:color w:val="000000"/>
                <w:kern w:val="0"/>
                <w:sz w:val="18"/>
                <w:szCs w:val="18"/>
              </w:rPr>
              <w:t>0.19%</w:t>
            </w:r>
          </w:p>
        </w:tc>
        <w:tc>
          <w:tcPr>
            <w:tcW w:w="1185" w:type="dxa"/>
            <w:vAlign w:val="center"/>
          </w:tcPr>
          <w:p w14:paraId="56C8FA9C">
            <w:pPr>
              <w:jc w:val="center"/>
              <w:rPr>
                <w:rFonts w:ascii="宋体" w:hAnsi="宋体" w:cs="宋体"/>
                <w:color w:val="000000"/>
                <w:kern w:val="0"/>
                <w:sz w:val="18"/>
                <w:szCs w:val="18"/>
              </w:rPr>
            </w:pPr>
            <w:r>
              <w:rPr>
                <w:rFonts w:hint="eastAsia" w:ascii="宋体" w:hAnsi="宋体" w:cs="宋体"/>
                <w:color w:val="000000"/>
                <w:kern w:val="0"/>
                <w:sz w:val="18"/>
                <w:szCs w:val="18"/>
              </w:rPr>
              <w:t xml:space="preserve">-0.55 </w:t>
            </w:r>
          </w:p>
        </w:tc>
        <w:tc>
          <w:tcPr>
            <w:tcW w:w="936" w:type="dxa"/>
            <w:vAlign w:val="center"/>
          </w:tcPr>
          <w:p w14:paraId="7415C0E2">
            <w:pPr>
              <w:jc w:val="center"/>
              <w:rPr>
                <w:rFonts w:ascii="宋体" w:hAnsi="宋体" w:cs="宋体"/>
                <w:color w:val="000000"/>
                <w:kern w:val="0"/>
                <w:sz w:val="18"/>
                <w:szCs w:val="18"/>
              </w:rPr>
            </w:pPr>
            <w:r>
              <w:rPr>
                <w:rFonts w:hint="eastAsia" w:ascii="宋体" w:hAnsi="宋体" w:cs="宋体"/>
                <w:color w:val="000000"/>
                <w:kern w:val="0"/>
                <w:sz w:val="18"/>
                <w:szCs w:val="18"/>
              </w:rPr>
              <w:t>0.01%</w:t>
            </w:r>
          </w:p>
        </w:tc>
      </w:tr>
      <w:tr w14:paraId="37C6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462" w:type="dxa"/>
            <w:vAlign w:val="center"/>
          </w:tcPr>
          <w:p w14:paraId="5398259A">
            <w:pPr>
              <w:jc w:val="center"/>
              <w:rPr>
                <w:rFonts w:ascii="宋体" w:hAnsi="宋体" w:cs="宋体"/>
                <w:color w:val="000000"/>
                <w:sz w:val="18"/>
                <w:szCs w:val="18"/>
              </w:rPr>
            </w:pPr>
            <w:r>
              <w:rPr>
                <w:rFonts w:hint="eastAsia"/>
                <w:color w:val="000000"/>
                <w:sz w:val="18"/>
                <w:szCs w:val="18"/>
              </w:rPr>
              <w:t xml:space="preserve">旱地 </w:t>
            </w:r>
          </w:p>
        </w:tc>
        <w:tc>
          <w:tcPr>
            <w:tcW w:w="1116" w:type="dxa"/>
            <w:vAlign w:val="center"/>
          </w:tcPr>
          <w:p w14:paraId="4DE88A32">
            <w:pPr>
              <w:jc w:val="center"/>
              <w:rPr>
                <w:rFonts w:ascii="宋体" w:hAnsi="宋体" w:cs="宋体"/>
                <w:color w:val="000000"/>
                <w:kern w:val="0"/>
                <w:sz w:val="18"/>
                <w:szCs w:val="18"/>
              </w:rPr>
            </w:pPr>
            <w:r>
              <w:rPr>
                <w:rFonts w:hint="eastAsia" w:ascii="宋体" w:hAnsi="宋体" w:cs="宋体"/>
                <w:color w:val="000000"/>
                <w:kern w:val="0"/>
                <w:sz w:val="18"/>
                <w:szCs w:val="18"/>
              </w:rPr>
              <w:t>29232.63</w:t>
            </w:r>
          </w:p>
        </w:tc>
        <w:tc>
          <w:tcPr>
            <w:tcW w:w="1255" w:type="dxa"/>
            <w:vAlign w:val="center"/>
          </w:tcPr>
          <w:p w14:paraId="7A020B50">
            <w:pPr>
              <w:jc w:val="center"/>
              <w:rPr>
                <w:rFonts w:ascii="宋体" w:hAnsi="宋体" w:cs="宋体"/>
                <w:color w:val="000000"/>
                <w:kern w:val="0"/>
                <w:sz w:val="18"/>
                <w:szCs w:val="18"/>
              </w:rPr>
            </w:pPr>
            <w:r>
              <w:rPr>
                <w:rFonts w:hint="eastAsia" w:ascii="宋体" w:hAnsi="宋体" w:cs="宋体"/>
                <w:color w:val="000000"/>
                <w:kern w:val="0"/>
                <w:sz w:val="18"/>
                <w:szCs w:val="18"/>
              </w:rPr>
              <w:t>89.62%</w:t>
            </w:r>
          </w:p>
        </w:tc>
        <w:tc>
          <w:tcPr>
            <w:tcW w:w="1420" w:type="dxa"/>
            <w:vAlign w:val="center"/>
          </w:tcPr>
          <w:p w14:paraId="1D48603B">
            <w:pPr>
              <w:jc w:val="center"/>
              <w:rPr>
                <w:rFonts w:ascii="宋体" w:hAnsi="宋体" w:cs="宋体"/>
                <w:color w:val="000000"/>
                <w:kern w:val="0"/>
                <w:sz w:val="18"/>
                <w:szCs w:val="18"/>
              </w:rPr>
            </w:pPr>
            <w:r>
              <w:rPr>
                <w:rFonts w:hint="eastAsia" w:ascii="宋体" w:hAnsi="宋体" w:cs="宋体"/>
                <w:color w:val="000000"/>
                <w:kern w:val="0"/>
                <w:sz w:val="18"/>
                <w:szCs w:val="18"/>
              </w:rPr>
              <w:t xml:space="preserve">27214.66 </w:t>
            </w:r>
          </w:p>
        </w:tc>
        <w:tc>
          <w:tcPr>
            <w:tcW w:w="1255" w:type="dxa"/>
            <w:vAlign w:val="center"/>
          </w:tcPr>
          <w:p w14:paraId="282530C2">
            <w:pPr>
              <w:jc w:val="center"/>
              <w:rPr>
                <w:rFonts w:ascii="宋体" w:hAnsi="宋体" w:cs="宋体"/>
                <w:color w:val="000000"/>
                <w:kern w:val="0"/>
                <w:sz w:val="18"/>
                <w:szCs w:val="18"/>
              </w:rPr>
            </w:pPr>
            <w:r>
              <w:rPr>
                <w:rFonts w:hint="eastAsia" w:ascii="宋体" w:hAnsi="宋体" w:cs="宋体"/>
                <w:color w:val="000000"/>
                <w:kern w:val="0"/>
                <w:sz w:val="18"/>
                <w:szCs w:val="18"/>
              </w:rPr>
              <w:t>89.39%</w:t>
            </w:r>
          </w:p>
        </w:tc>
        <w:tc>
          <w:tcPr>
            <w:tcW w:w="1185" w:type="dxa"/>
            <w:vAlign w:val="center"/>
          </w:tcPr>
          <w:p w14:paraId="2131E292">
            <w:pPr>
              <w:jc w:val="center"/>
              <w:rPr>
                <w:rFonts w:ascii="宋体" w:hAnsi="宋体" w:cs="宋体"/>
                <w:color w:val="000000"/>
                <w:kern w:val="0"/>
                <w:sz w:val="18"/>
                <w:szCs w:val="18"/>
              </w:rPr>
            </w:pPr>
            <w:r>
              <w:rPr>
                <w:rFonts w:hint="eastAsia" w:ascii="宋体" w:hAnsi="宋体" w:cs="宋体"/>
                <w:color w:val="000000"/>
                <w:kern w:val="0"/>
                <w:sz w:val="18"/>
                <w:szCs w:val="18"/>
              </w:rPr>
              <w:t xml:space="preserve">-2017.97 </w:t>
            </w:r>
          </w:p>
        </w:tc>
        <w:tc>
          <w:tcPr>
            <w:tcW w:w="936" w:type="dxa"/>
            <w:vAlign w:val="center"/>
          </w:tcPr>
          <w:p w14:paraId="1A244111">
            <w:pPr>
              <w:jc w:val="center"/>
              <w:rPr>
                <w:rFonts w:ascii="宋体" w:hAnsi="宋体" w:cs="宋体"/>
                <w:color w:val="000000"/>
                <w:kern w:val="0"/>
                <w:sz w:val="18"/>
                <w:szCs w:val="18"/>
              </w:rPr>
            </w:pPr>
            <w:r>
              <w:rPr>
                <w:rFonts w:hint="eastAsia" w:ascii="宋体" w:hAnsi="宋体" w:cs="宋体"/>
                <w:color w:val="000000"/>
                <w:kern w:val="0"/>
                <w:sz w:val="18"/>
                <w:szCs w:val="18"/>
              </w:rPr>
              <w:t>-0.23%</w:t>
            </w:r>
          </w:p>
        </w:tc>
      </w:tr>
      <w:tr w14:paraId="5AFC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462" w:type="dxa"/>
            <w:vAlign w:val="center"/>
          </w:tcPr>
          <w:p w14:paraId="5DA72B87">
            <w:pPr>
              <w:jc w:val="center"/>
              <w:rPr>
                <w:rFonts w:ascii="宋体" w:hAnsi="宋体" w:cs="宋体"/>
                <w:color w:val="000000"/>
                <w:sz w:val="18"/>
                <w:szCs w:val="18"/>
              </w:rPr>
            </w:pPr>
            <w:r>
              <w:rPr>
                <w:rFonts w:hint="eastAsia"/>
                <w:color w:val="000000"/>
                <w:sz w:val="18"/>
                <w:szCs w:val="18"/>
              </w:rPr>
              <w:t xml:space="preserve">合计 </w:t>
            </w:r>
          </w:p>
        </w:tc>
        <w:tc>
          <w:tcPr>
            <w:tcW w:w="1116" w:type="dxa"/>
            <w:vAlign w:val="center"/>
          </w:tcPr>
          <w:p w14:paraId="3D74F0F3">
            <w:pPr>
              <w:jc w:val="center"/>
              <w:rPr>
                <w:rFonts w:ascii="宋体" w:hAnsi="宋体" w:cs="宋体"/>
                <w:color w:val="000000"/>
                <w:kern w:val="0"/>
                <w:sz w:val="18"/>
                <w:szCs w:val="18"/>
              </w:rPr>
            </w:pPr>
            <w:r>
              <w:rPr>
                <w:rFonts w:hint="eastAsia" w:ascii="宋体" w:hAnsi="宋体" w:cs="宋体"/>
                <w:color w:val="000000"/>
                <w:kern w:val="0"/>
                <w:sz w:val="18"/>
                <w:szCs w:val="18"/>
              </w:rPr>
              <w:t>32617.95</w:t>
            </w:r>
          </w:p>
        </w:tc>
        <w:tc>
          <w:tcPr>
            <w:tcW w:w="1255" w:type="dxa"/>
            <w:vAlign w:val="center"/>
          </w:tcPr>
          <w:p w14:paraId="0D82349D">
            <w:pPr>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420" w:type="dxa"/>
            <w:vAlign w:val="center"/>
          </w:tcPr>
          <w:p w14:paraId="59F8E1C6">
            <w:pPr>
              <w:jc w:val="center"/>
              <w:rPr>
                <w:rFonts w:ascii="宋体" w:hAnsi="宋体" w:cs="宋体"/>
                <w:color w:val="000000"/>
                <w:kern w:val="0"/>
                <w:sz w:val="18"/>
                <w:szCs w:val="18"/>
              </w:rPr>
            </w:pPr>
            <w:r>
              <w:rPr>
                <w:rFonts w:hint="eastAsia" w:ascii="宋体" w:hAnsi="宋体" w:cs="宋体"/>
                <w:color w:val="000000"/>
                <w:kern w:val="0"/>
                <w:sz w:val="18"/>
                <w:szCs w:val="18"/>
              </w:rPr>
              <w:t>30443.78</w:t>
            </w:r>
          </w:p>
        </w:tc>
        <w:tc>
          <w:tcPr>
            <w:tcW w:w="1255" w:type="dxa"/>
            <w:vAlign w:val="center"/>
          </w:tcPr>
          <w:p w14:paraId="1FABC3CE">
            <w:pPr>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185" w:type="dxa"/>
            <w:vAlign w:val="center"/>
          </w:tcPr>
          <w:p w14:paraId="10B4764A">
            <w:pPr>
              <w:jc w:val="center"/>
              <w:rPr>
                <w:rFonts w:ascii="宋体" w:hAnsi="宋体" w:cs="宋体"/>
                <w:color w:val="000000"/>
                <w:kern w:val="0"/>
                <w:sz w:val="18"/>
                <w:szCs w:val="18"/>
              </w:rPr>
            </w:pPr>
            <w:r>
              <w:rPr>
                <w:rFonts w:hint="eastAsia" w:ascii="宋体" w:hAnsi="宋体" w:cs="宋体"/>
                <w:color w:val="000000"/>
                <w:kern w:val="0"/>
                <w:sz w:val="18"/>
                <w:szCs w:val="18"/>
              </w:rPr>
              <w:t xml:space="preserve">-2174.17 </w:t>
            </w:r>
          </w:p>
        </w:tc>
        <w:tc>
          <w:tcPr>
            <w:tcW w:w="936" w:type="dxa"/>
            <w:vAlign w:val="center"/>
          </w:tcPr>
          <w:p w14:paraId="2100A0BB">
            <w:pPr>
              <w:jc w:val="center"/>
              <w:rPr>
                <w:rFonts w:ascii="宋体" w:hAnsi="宋体" w:cs="宋体"/>
                <w:color w:val="000000"/>
                <w:kern w:val="0"/>
                <w:sz w:val="18"/>
                <w:szCs w:val="18"/>
              </w:rPr>
            </w:pPr>
            <w:r>
              <w:rPr>
                <w:rFonts w:hint="eastAsia" w:ascii="宋体" w:hAnsi="宋体" w:cs="宋体"/>
                <w:color w:val="000000"/>
                <w:kern w:val="0"/>
                <w:sz w:val="18"/>
                <w:szCs w:val="18"/>
              </w:rPr>
              <w:t>0.00%</w:t>
            </w:r>
          </w:p>
        </w:tc>
      </w:tr>
    </w:tbl>
    <w:p w14:paraId="33D733F8">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耕地布局进一步优化。结合现状耕地分布情况，规划调整后，东川区八个乡镇的耕地保护压力减少。既能够保障城市建设发展占用耕地的合理需求，又能确保至2020年全区的耕地保有量顺利实现，更加符合区域发展实际。</w:t>
      </w:r>
    </w:p>
    <w:p w14:paraId="5451406C">
      <w:pPr>
        <w:pStyle w:val="4"/>
        <w:spacing w:before="0" w:after="0" w:line="360" w:lineRule="auto"/>
        <w:ind w:firstLine="140" w:firstLineChars="50"/>
        <w:rPr>
          <w:rFonts w:ascii="Arial" w:hAnsi="Arial" w:eastAsia="黑体"/>
          <w:b w:val="0"/>
          <w:color w:val="000000"/>
          <w:sz w:val="28"/>
          <w:szCs w:val="28"/>
        </w:rPr>
      </w:pPr>
      <w:r>
        <w:rPr>
          <w:rFonts w:hint="eastAsia" w:ascii="Arial" w:hAnsi="Arial" w:eastAsia="黑体"/>
          <w:b w:val="0"/>
          <w:color w:val="000000"/>
          <w:sz w:val="28"/>
          <w:szCs w:val="28"/>
        </w:rPr>
        <w:t>（二）严格控制耕地流失</w:t>
      </w:r>
    </w:p>
    <w:p w14:paraId="71FE7A6E">
      <w:pPr>
        <w:snapToGrid w:val="0"/>
        <w:spacing w:line="360" w:lineRule="auto"/>
        <w:ind w:firstLine="562" w:firstLineChars="200"/>
        <w:rPr>
          <w:rFonts w:ascii="仿宋_GB2312" w:hAnsi="宋体" w:eastAsia="仿宋_GB2312"/>
          <w:kern w:val="0"/>
          <w:sz w:val="28"/>
          <w:szCs w:val="28"/>
        </w:rPr>
      </w:pPr>
      <w:r>
        <w:rPr>
          <w:rFonts w:hint="eastAsia" w:ascii="仿宋_GB2312" w:hAnsi="宋体" w:eastAsia="仿宋_GB2312"/>
          <w:b/>
          <w:kern w:val="0"/>
          <w:sz w:val="28"/>
          <w:szCs w:val="28"/>
        </w:rPr>
        <w:t>1、控制非农建设占用耕地。</w:t>
      </w:r>
      <w:r>
        <w:rPr>
          <w:rFonts w:hint="eastAsia" w:ascii="仿宋_GB2312" w:hAnsi="宋体" w:eastAsia="仿宋_GB2312"/>
          <w:kern w:val="0"/>
          <w:sz w:val="28"/>
          <w:szCs w:val="28"/>
        </w:rPr>
        <w:t>东川区从严控制非农建设占用耕地，按照不占或少占耕地的原则，强化对各类建设占用耕地的控制和引导。加强建设项目选址和用地的评价与论证，建设项目用地必须把减少涯地占用作为评选方案的重要因素，非农业建设可以利用荒地的，不得占用耕地，可以利用劣地，不得占用好地，尽量不占或少占耕地，确需占用耕地的应尽量占用质量等级较低的耕地，并严格按照相关要求补充落实相应数量和质量的耕地。</w:t>
      </w:r>
    </w:p>
    <w:p w14:paraId="33961C86">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昆明市下达东川区新增建设用地占用耕地指标为203.32公顷，调整完善后，全区新增建设用地拟占用耕地170.93公顷（包含预留的13公顷建设用地占用耕地），较好的控制在了上级下达指标内。</w:t>
      </w:r>
    </w:p>
    <w:p w14:paraId="57D99F80">
      <w:pPr>
        <w:snapToGrid w:val="0"/>
        <w:spacing w:line="360" w:lineRule="auto"/>
        <w:ind w:firstLine="562" w:firstLineChars="200"/>
        <w:rPr>
          <w:rFonts w:ascii="仿宋_GB2312" w:hAnsi="宋体" w:eastAsia="仿宋_GB2312"/>
          <w:kern w:val="0"/>
          <w:sz w:val="28"/>
          <w:szCs w:val="28"/>
        </w:rPr>
      </w:pPr>
      <w:r>
        <w:rPr>
          <w:rFonts w:hint="eastAsia" w:ascii="仿宋_GB2312" w:hAnsi="宋体" w:eastAsia="仿宋_GB2312"/>
          <w:b/>
          <w:kern w:val="0"/>
          <w:sz w:val="28"/>
          <w:szCs w:val="28"/>
        </w:rPr>
        <w:t>2、严防耕地灾毁。</w:t>
      </w:r>
      <w:r>
        <w:rPr>
          <w:rFonts w:hint="eastAsia" w:ascii="仿宋_GB2312" w:hAnsi="宋体" w:eastAsia="仿宋_GB2312"/>
          <w:kern w:val="0"/>
          <w:sz w:val="28"/>
          <w:szCs w:val="28"/>
        </w:rPr>
        <w:t>加强耕地承包责任制度建设，禁止耕地闲置与荒芜，积极改善农业生产条件，合理使用化肥、农药等，严禁耕地后果用轻养，提高抵抗自然灾害能力，防止耕地灾毁。</w:t>
      </w:r>
    </w:p>
    <w:p w14:paraId="0AF9207F">
      <w:pPr>
        <w:pStyle w:val="4"/>
        <w:spacing w:before="0" w:after="0" w:line="480" w:lineRule="auto"/>
        <w:ind w:firstLine="140" w:firstLineChars="50"/>
        <w:rPr>
          <w:rFonts w:ascii="Arial" w:hAnsi="Arial" w:eastAsia="黑体"/>
          <w:b w:val="0"/>
          <w:color w:val="000000"/>
          <w:sz w:val="28"/>
          <w:szCs w:val="28"/>
        </w:rPr>
      </w:pPr>
      <w:r>
        <w:rPr>
          <w:rFonts w:hint="eastAsia" w:ascii="Arial" w:hAnsi="Arial" w:eastAsia="黑体"/>
          <w:b w:val="0"/>
          <w:color w:val="000000"/>
          <w:sz w:val="28"/>
          <w:szCs w:val="28"/>
        </w:rPr>
        <w:t>（三）提高耕地质量</w:t>
      </w:r>
    </w:p>
    <w:p w14:paraId="3EDD0D33">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加大土地整理力度，要积极申报和组织实施土地整理重大工程。多方筹措资金，积极稳妥地开展土地整理和中低产田改造，一方面增加有效耕地面积、提高耕地质量，同时还能改善农村生活条件和生态环境。</w:t>
      </w:r>
    </w:p>
    <w:p w14:paraId="6385C374">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通过提高质量标准、土壤培肥等措施，努力提高补充耕地生产能力，加强耕地质量等级的评定，鼓励剥离建设占用耕地的耕作层，并在符合水土保持要求前提下，用于高标准基本农田建设。</w:t>
      </w:r>
    </w:p>
    <w:p w14:paraId="1BA83134">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规划到2020年，东川区耕地保有量30443.78公顷，其中：铜都街道6929.79公顷，阿旺镇5616.87公顷，乌龙镇3435.79公顷，红土地镇5527.63公顷，汤丹镇3494.32公顷，拖布卡镇3662.36公顷，因民镇783.28公顷，舍块乡993.74公顷。</w:t>
      </w:r>
    </w:p>
    <w:p w14:paraId="477A373A">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二、基本农田</w:t>
      </w:r>
    </w:p>
    <w:p w14:paraId="20BEA964">
      <w:pPr>
        <w:pStyle w:val="4"/>
        <w:spacing w:before="0" w:after="0" w:line="360" w:lineRule="auto"/>
        <w:ind w:firstLine="140" w:firstLineChars="50"/>
        <w:rPr>
          <w:rFonts w:ascii="Arial" w:hAnsi="Arial" w:eastAsia="黑体"/>
          <w:b w:val="0"/>
          <w:color w:val="000000"/>
          <w:sz w:val="28"/>
          <w:szCs w:val="28"/>
        </w:rPr>
      </w:pPr>
      <w:r>
        <w:rPr>
          <w:rFonts w:hint="eastAsia" w:ascii="Arial" w:hAnsi="Arial" w:eastAsia="黑体"/>
          <w:b w:val="0"/>
          <w:color w:val="000000"/>
          <w:sz w:val="28"/>
          <w:szCs w:val="28"/>
        </w:rPr>
        <w:t>（一）确保落实基本农田保护指标</w:t>
      </w:r>
    </w:p>
    <w:p w14:paraId="406FE676">
      <w:pPr>
        <w:pStyle w:val="4"/>
        <w:spacing w:before="0" w:after="0" w:line="360" w:lineRule="auto"/>
        <w:ind w:firstLine="551" w:firstLineChars="196"/>
        <w:rPr>
          <w:rFonts w:ascii="仿宋_GB2312" w:hAnsi="宋体" w:eastAsia="仿宋_GB2312"/>
          <w:sz w:val="28"/>
          <w:szCs w:val="28"/>
        </w:rPr>
      </w:pPr>
      <w:r>
        <w:rPr>
          <w:rFonts w:hint="eastAsia" w:ascii="仿宋_GB2312" w:hAnsi="宋体" w:eastAsia="仿宋_GB2312"/>
          <w:sz w:val="28"/>
          <w:szCs w:val="28"/>
        </w:rPr>
        <w:t>1、基本农田保护情况</w:t>
      </w:r>
    </w:p>
    <w:p w14:paraId="4D15638A">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上级下达东川区的基本农田保护指标为23066公顷，按照国土资源部、农业部和省、市的统一部署，在区委、区政府的高度重视下，以新发展理念为引领，以处理好农民与土地关系为主线，以确保国家粮食安全为目标，以提升耕地综合生产能力为重点，以“四个不能”为底线，坚持全面划定永久基本农田并实行特殊保护，坚持先城市周边再全域、先难后易方法路径，坚持齐抓共管工作格局，坚持目标导向和问题导向，建立粮食生产功能区和重要农产品生产保护区，实现耕地数量、质量、生态“三位一体”保护，为促进农业现代化、新型城镇化健康发展和生态文明建设提供坚实资源基础。</w:t>
      </w:r>
    </w:p>
    <w:p w14:paraId="7AF79D5B">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调整完善后，全区永久基本农田保护面积23106.77公顷，满足上级下达指标要求，比调整前（26203.87公顷）减少了3097.1公顷。比</w:t>
      </w:r>
      <w:r>
        <w:rPr>
          <w:rFonts w:ascii="仿宋_GB2312" w:hAnsi="宋体" w:eastAsia="仿宋_GB2312"/>
          <w:kern w:val="0"/>
          <w:sz w:val="28"/>
          <w:szCs w:val="28"/>
        </w:rPr>
        <w:t xml:space="preserve">2014 </w:t>
      </w:r>
      <w:r>
        <w:rPr>
          <w:rFonts w:hint="eastAsia" w:ascii="仿宋_GB2312" w:hAnsi="宋体" w:eastAsia="仿宋_GB2312"/>
          <w:kern w:val="0"/>
          <w:sz w:val="28"/>
          <w:szCs w:val="28"/>
        </w:rPr>
        <w:t>年现状基本农田少</w:t>
      </w:r>
      <w:r>
        <w:rPr>
          <w:rFonts w:ascii="仿宋_GB2312" w:hAnsi="宋体" w:eastAsia="仿宋_GB2312"/>
          <w:kern w:val="0"/>
          <w:sz w:val="28"/>
          <w:szCs w:val="28"/>
        </w:rPr>
        <w:t>3162.38</w:t>
      </w:r>
      <w:r>
        <w:rPr>
          <w:rFonts w:hint="eastAsia" w:ascii="仿宋_GB2312" w:hAnsi="宋体" w:eastAsia="仿宋_GB2312"/>
          <w:kern w:val="0"/>
          <w:sz w:val="28"/>
          <w:szCs w:val="28"/>
        </w:rPr>
        <w:t>公顷。东川区基本农田保护面积显著提高。原规划中，东川区将一部分25度以上的耕地划入基本农田，此次永久基本农田划定工作时，将25度</w:t>
      </w:r>
      <w:r>
        <w:rPr>
          <w:rFonts w:ascii="仿宋_GB2312" w:hAnsi="宋体" w:eastAsia="仿宋_GB2312"/>
          <w:kern w:val="0"/>
          <w:sz w:val="28"/>
          <w:szCs w:val="28"/>
        </w:rPr>
        <w:t>以上的部分劣质</w:t>
      </w:r>
      <w:r>
        <w:rPr>
          <w:rFonts w:hint="eastAsia" w:ascii="仿宋_GB2312" w:hAnsi="宋体" w:eastAsia="仿宋_GB2312"/>
          <w:kern w:val="0"/>
          <w:sz w:val="28"/>
          <w:szCs w:val="28"/>
        </w:rPr>
        <w:t>耕</w:t>
      </w:r>
      <w:r>
        <w:rPr>
          <w:rFonts w:ascii="仿宋_GB2312" w:hAnsi="宋体" w:eastAsia="仿宋_GB2312"/>
          <w:kern w:val="0"/>
          <w:sz w:val="28"/>
          <w:szCs w:val="28"/>
        </w:rPr>
        <w:t>地调出基本农田划定</w:t>
      </w:r>
      <w:r>
        <w:rPr>
          <w:rFonts w:hint="eastAsia" w:ascii="仿宋_GB2312" w:hAnsi="宋体" w:eastAsia="仿宋_GB2312"/>
          <w:kern w:val="0"/>
          <w:sz w:val="28"/>
          <w:szCs w:val="28"/>
        </w:rPr>
        <w:t>范围。</w:t>
      </w:r>
    </w:p>
    <w:p w14:paraId="1F38C835">
      <w:pPr>
        <w:pStyle w:val="4"/>
        <w:spacing w:before="0" w:after="0" w:line="360" w:lineRule="auto"/>
        <w:ind w:firstLine="551" w:firstLineChars="196"/>
        <w:rPr>
          <w:rFonts w:ascii="仿宋_GB2312" w:hAnsi="宋体" w:eastAsia="仿宋_GB2312"/>
          <w:sz w:val="28"/>
          <w:szCs w:val="28"/>
        </w:rPr>
      </w:pPr>
      <w:r>
        <w:rPr>
          <w:rFonts w:ascii="仿宋_GB2312" w:hAnsi="宋体" w:eastAsia="仿宋_GB2312"/>
          <w:sz w:val="28"/>
          <w:szCs w:val="28"/>
        </w:rPr>
        <w:t>2</w:t>
      </w:r>
      <w:r>
        <w:rPr>
          <w:rFonts w:hint="eastAsia" w:ascii="仿宋_GB2312" w:hAnsi="宋体" w:eastAsia="仿宋_GB2312"/>
          <w:sz w:val="28"/>
          <w:szCs w:val="28"/>
        </w:rPr>
        <w:t>、基本农田地类及质量优化</w:t>
      </w:r>
    </w:p>
    <w:p w14:paraId="0068A9C5">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调整完善后，全区永久基本农田比完善规划增加3097.10公顷，其中水田由2181.56公顷调整为2187.76公顷，比完善规划增加了6.20</w:t>
      </w:r>
      <w:r>
        <w:rPr>
          <w:rFonts w:ascii="仿宋_GB2312" w:hAnsi="宋体" w:eastAsia="仿宋_GB2312"/>
          <w:kern w:val="0"/>
          <w:sz w:val="28"/>
          <w:szCs w:val="28"/>
        </w:rPr>
        <w:t xml:space="preserve"> </w:t>
      </w:r>
      <w:r>
        <w:rPr>
          <w:rFonts w:hint="eastAsia" w:ascii="仿宋_GB2312" w:hAnsi="宋体" w:eastAsia="仿宋_GB2312"/>
          <w:kern w:val="0"/>
          <w:sz w:val="28"/>
          <w:szCs w:val="28"/>
        </w:rPr>
        <w:t>公顷；水浇地由55.81</w:t>
      </w:r>
      <w:r>
        <w:rPr>
          <w:rFonts w:ascii="仿宋_GB2312" w:hAnsi="宋体" w:eastAsia="仿宋_GB2312"/>
          <w:kern w:val="0"/>
          <w:sz w:val="28"/>
          <w:szCs w:val="28"/>
        </w:rPr>
        <w:t xml:space="preserve"> </w:t>
      </w:r>
      <w:r>
        <w:rPr>
          <w:rFonts w:hint="eastAsia" w:ascii="仿宋_GB2312" w:hAnsi="宋体" w:eastAsia="仿宋_GB2312"/>
          <w:kern w:val="0"/>
          <w:sz w:val="28"/>
          <w:szCs w:val="28"/>
        </w:rPr>
        <w:t>公顷调整为30.05公顷，比完善规划减少了25.76</w:t>
      </w:r>
      <w:r>
        <w:rPr>
          <w:rFonts w:ascii="仿宋_GB2312" w:hAnsi="宋体" w:eastAsia="仿宋_GB2312"/>
          <w:kern w:val="0"/>
          <w:sz w:val="28"/>
          <w:szCs w:val="28"/>
        </w:rPr>
        <w:t xml:space="preserve"> </w:t>
      </w:r>
      <w:r>
        <w:rPr>
          <w:rFonts w:hint="eastAsia" w:ascii="仿宋_GB2312" w:hAnsi="宋体" w:eastAsia="仿宋_GB2312"/>
          <w:kern w:val="0"/>
          <w:sz w:val="28"/>
          <w:szCs w:val="28"/>
        </w:rPr>
        <w:t>公顷；旱地由23966.50公顷调整为20888.96公顷，比完善规划减少了3077.54公顷；基本农田地类结构得到明显优化。</w:t>
      </w:r>
    </w:p>
    <w:p w14:paraId="502A5DA3">
      <w:pPr>
        <w:jc w:val="center"/>
        <w:outlineLvl w:val="4"/>
        <w:rPr>
          <w:rFonts w:ascii="宋体" w:hAnsi="宋体"/>
          <w:b/>
          <w:sz w:val="24"/>
        </w:rPr>
      </w:pPr>
      <w:r>
        <w:rPr>
          <w:rFonts w:hint="eastAsia" w:ascii="宋体" w:hAnsi="宋体"/>
          <w:b/>
          <w:sz w:val="24"/>
        </w:rPr>
        <w:t>表</w:t>
      </w:r>
      <w:r>
        <w:rPr>
          <w:rFonts w:ascii="宋体" w:hAnsi="宋体"/>
          <w:b/>
          <w:sz w:val="24"/>
        </w:rPr>
        <w:t xml:space="preserve">6-2 </w:t>
      </w:r>
      <w:r>
        <w:rPr>
          <w:rFonts w:hint="eastAsia" w:ascii="宋体" w:hAnsi="宋体"/>
          <w:b/>
          <w:sz w:val="24"/>
        </w:rPr>
        <w:t>东川区基本农田地类调整情况对比表</w:t>
      </w:r>
    </w:p>
    <w:tbl>
      <w:tblPr>
        <w:tblStyle w:val="27"/>
        <w:tblW w:w="8966" w:type="dxa"/>
        <w:jc w:val="center"/>
        <w:tblLayout w:type="autofit"/>
        <w:tblCellMar>
          <w:top w:w="0" w:type="dxa"/>
          <w:left w:w="108" w:type="dxa"/>
          <w:bottom w:w="0" w:type="dxa"/>
          <w:right w:w="108" w:type="dxa"/>
        </w:tblCellMar>
      </w:tblPr>
      <w:tblGrid>
        <w:gridCol w:w="1026"/>
        <w:gridCol w:w="1419"/>
        <w:gridCol w:w="1167"/>
        <w:gridCol w:w="1476"/>
        <w:gridCol w:w="1206"/>
        <w:gridCol w:w="1476"/>
        <w:gridCol w:w="1196"/>
      </w:tblGrid>
      <w:tr w14:paraId="623F65B1">
        <w:tblPrEx>
          <w:tblCellMar>
            <w:top w:w="0" w:type="dxa"/>
            <w:left w:w="108" w:type="dxa"/>
            <w:bottom w:w="0" w:type="dxa"/>
            <w:right w:w="108" w:type="dxa"/>
          </w:tblCellMar>
        </w:tblPrEx>
        <w:trPr>
          <w:trHeight w:val="312" w:hRule="atLeast"/>
          <w:jc w:val="center"/>
        </w:trPr>
        <w:tc>
          <w:tcPr>
            <w:tcW w:w="1026" w:type="dxa"/>
            <w:vMerge w:val="restart"/>
            <w:tcBorders>
              <w:top w:val="single" w:color="auto" w:sz="4" w:space="0"/>
              <w:left w:val="single" w:color="auto" w:sz="4" w:space="0"/>
              <w:bottom w:val="single" w:color="auto" w:sz="4" w:space="0"/>
              <w:right w:val="single" w:color="auto" w:sz="4" w:space="0"/>
            </w:tcBorders>
            <w:shd w:val="clear" w:color="auto" w:fill="auto"/>
          </w:tcPr>
          <w:p w14:paraId="65D67CCA">
            <w:pPr>
              <w:widowControl/>
              <w:jc w:val="center"/>
              <w:rPr>
                <w:rFonts w:ascii="宋体" w:hAnsi="宋体" w:cs="宋体"/>
                <w:b/>
                <w:kern w:val="0"/>
                <w:sz w:val="24"/>
              </w:rPr>
            </w:pPr>
          </w:p>
        </w:tc>
        <w:tc>
          <w:tcPr>
            <w:tcW w:w="2586" w:type="dxa"/>
            <w:gridSpan w:val="2"/>
            <w:tcBorders>
              <w:top w:val="single" w:color="auto" w:sz="4" w:space="0"/>
              <w:left w:val="nil"/>
              <w:bottom w:val="single" w:color="auto" w:sz="4" w:space="0"/>
              <w:right w:val="single" w:color="auto" w:sz="4" w:space="0"/>
            </w:tcBorders>
            <w:shd w:val="clear" w:color="auto" w:fill="auto"/>
            <w:vAlign w:val="center"/>
          </w:tcPr>
          <w:p w14:paraId="46D61F84">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调整前基本农田</w:t>
            </w:r>
          </w:p>
        </w:tc>
        <w:tc>
          <w:tcPr>
            <w:tcW w:w="2682" w:type="dxa"/>
            <w:gridSpan w:val="2"/>
            <w:tcBorders>
              <w:top w:val="single" w:color="auto" w:sz="4" w:space="0"/>
              <w:left w:val="nil"/>
              <w:bottom w:val="single" w:color="auto" w:sz="4" w:space="0"/>
              <w:right w:val="single" w:color="auto" w:sz="4" w:space="0"/>
            </w:tcBorders>
            <w:shd w:val="clear" w:color="auto" w:fill="auto"/>
            <w:vAlign w:val="center"/>
          </w:tcPr>
          <w:p w14:paraId="1566D70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调整后基本农田</w:t>
            </w:r>
          </w:p>
        </w:tc>
        <w:tc>
          <w:tcPr>
            <w:tcW w:w="2672" w:type="dxa"/>
            <w:gridSpan w:val="2"/>
            <w:tcBorders>
              <w:top w:val="single" w:color="auto" w:sz="4" w:space="0"/>
              <w:left w:val="nil"/>
              <w:bottom w:val="single" w:color="auto" w:sz="4" w:space="0"/>
              <w:right w:val="single" w:color="auto" w:sz="4" w:space="0"/>
            </w:tcBorders>
            <w:shd w:val="clear" w:color="auto" w:fill="auto"/>
            <w:vAlign w:val="center"/>
          </w:tcPr>
          <w:p w14:paraId="61DB93D5">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变化量</w:t>
            </w:r>
          </w:p>
        </w:tc>
      </w:tr>
      <w:tr w14:paraId="39C3BF26">
        <w:tblPrEx>
          <w:tblCellMar>
            <w:top w:w="0" w:type="dxa"/>
            <w:left w:w="108" w:type="dxa"/>
            <w:bottom w:w="0" w:type="dxa"/>
            <w:right w:w="108" w:type="dxa"/>
          </w:tblCellMar>
        </w:tblPrEx>
        <w:trPr>
          <w:trHeight w:val="312" w:hRule="atLeast"/>
          <w:jc w:val="center"/>
        </w:trPr>
        <w:tc>
          <w:tcPr>
            <w:tcW w:w="1026" w:type="dxa"/>
            <w:vMerge w:val="continue"/>
            <w:tcBorders>
              <w:top w:val="single" w:color="auto" w:sz="4" w:space="0"/>
              <w:left w:val="single" w:color="auto" w:sz="4" w:space="0"/>
              <w:bottom w:val="single" w:color="auto" w:sz="4" w:space="0"/>
              <w:right w:val="single" w:color="auto" w:sz="4" w:space="0"/>
            </w:tcBorders>
            <w:vAlign w:val="center"/>
          </w:tcPr>
          <w:p w14:paraId="5AC06813">
            <w:pPr>
              <w:widowControl/>
              <w:jc w:val="left"/>
              <w:rPr>
                <w:rFonts w:ascii="宋体" w:hAnsi="宋体" w:cs="宋体"/>
                <w:b/>
                <w:kern w:val="0"/>
                <w:sz w:val="24"/>
              </w:rPr>
            </w:pPr>
          </w:p>
        </w:tc>
        <w:tc>
          <w:tcPr>
            <w:tcW w:w="1419" w:type="dxa"/>
            <w:tcBorders>
              <w:top w:val="nil"/>
              <w:left w:val="nil"/>
              <w:bottom w:val="single" w:color="auto" w:sz="4" w:space="0"/>
              <w:right w:val="single" w:color="auto" w:sz="4" w:space="0"/>
            </w:tcBorders>
            <w:shd w:val="clear" w:color="auto" w:fill="auto"/>
            <w:vAlign w:val="center"/>
          </w:tcPr>
          <w:p w14:paraId="011AF21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面积（公顷）</w:t>
            </w:r>
          </w:p>
        </w:tc>
        <w:tc>
          <w:tcPr>
            <w:tcW w:w="1167" w:type="dxa"/>
            <w:tcBorders>
              <w:top w:val="nil"/>
              <w:left w:val="nil"/>
              <w:bottom w:val="single" w:color="auto" w:sz="4" w:space="0"/>
              <w:right w:val="single" w:color="auto" w:sz="4" w:space="0"/>
            </w:tcBorders>
            <w:shd w:val="clear" w:color="auto" w:fill="auto"/>
            <w:vAlign w:val="center"/>
          </w:tcPr>
          <w:p w14:paraId="1A145D2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r>
              <w:rPr>
                <w:rFonts w:ascii="宋体" w:hAnsi="宋体" w:cs="宋体"/>
                <w:b/>
                <w:color w:val="000000"/>
                <w:kern w:val="0"/>
                <w:sz w:val="18"/>
                <w:szCs w:val="18"/>
              </w:rPr>
              <w:t>%</w:t>
            </w:r>
            <w:r>
              <w:rPr>
                <w:rFonts w:hint="eastAsia" w:ascii="宋体" w:hAnsi="宋体" w:cs="宋体"/>
                <w:b/>
                <w:color w:val="000000"/>
                <w:kern w:val="0"/>
                <w:sz w:val="18"/>
                <w:szCs w:val="18"/>
              </w:rPr>
              <w:t>）</w:t>
            </w:r>
          </w:p>
        </w:tc>
        <w:tc>
          <w:tcPr>
            <w:tcW w:w="1476" w:type="dxa"/>
            <w:tcBorders>
              <w:top w:val="nil"/>
              <w:left w:val="nil"/>
              <w:bottom w:val="single" w:color="auto" w:sz="4" w:space="0"/>
              <w:right w:val="single" w:color="auto" w:sz="4" w:space="0"/>
            </w:tcBorders>
            <w:shd w:val="clear" w:color="auto" w:fill="auto"/>
            <w:vAlign w:val="center"/>
          </w:tcPr>
          <w:p w14:paraId="742CD45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面积（公顷）</w:t>
            </w:r>
          </w:p>
        </w:tc>
        <w:tc>
          <w:tcPr>
            <w:tcW w:w="1206" w:type="dxa"/>
            <w:tcBorders>
              <w:top w:val="nil"/>
              <w:left w:val="nil"/>
              <w:bottom w:val="single" w:color="auto" w:sz="4" w:space="0"/>
              <w:right w:val="single" w:color="auto" w:sz="4" w:space="0"/>
            </w:tcBorders>
            <w:shd w:val="clear" w:color="auto" w:fill="auto"/>
            <w:vAlign w:val="center"/>
          </w:tcPr>
          <w:p w14:paraId="7C28549D">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r>
              <w:rPr>
                <w:rFonts w:ascii="宋体" w:hAnsi="宋体" w:cs="宋体"/>
                <w:b/>
                <w:color w:val="000000"/>
                <w:kern w:val="0"/>
                <w:sz w:val="18"/>
                <w:szCs w:val="18"/>
              </w:rPr>
              <w:t>%</w:t>
            </w:r>
            <w:r>
              <w:rPr>
                <w:rFonts w:hint="eastAsia" w:ascii="宋体" w:hAnsi="宋体" w:cs="宋体"/>
                <w:b/>
                <w:color w:val="000000"/>
                <w:kern w:val="0"/>
                <w:sz w:val="18"/>
                <w:szCs w:val="18"/>
              </w:rPr>
              <w:t>）</w:t>
            </w:r>
          </w:p>
        </w:tc>
        <w:tc>
          <w:tcPr>
            <w:tcW w:w="1476" w:type="dxa"/>
            <w:tcBorders>
              <w:top w:val="nil"/>
              <w:left w:val="nil"/>
              <w:bottom w:val="single" w:color="auto" w:sz="4" w:space="0"/>
              <w:right w:val="single" w:color="auto" w:sz="4" w:space="0"/>
            </w:tcBorders>
            <w:shd w:val="clear" w:color="auto" w:fill="auto"/>
            <w:vAlign w:val="center"/>
          </w:tcPr>
          <w:p w14:paraId="29B9A3F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面积（公顷）</w:t>
            </w:r>
          </w:p>
        </w:tc>
        <w:tc>
          <w:tcPr>
            <w:tcW w:w="1196" w:type="dxa"/>
            <w:tcBorders>
              <w:top w:val="nil"/>
              <w:left w:val="nil"/>
              <w:bottom w:val="single" w:color="auto" w:sz="4" w:space="0"/>
              <w:right w:val="single" w:color="auto" w:sz="4" w:space="0"/>
            </w:tcBorders>
            <w:shd w:val="clear" w:color="auto" w:fill="auto"/>
            <w:vAlign w:val="center"/>
          </w:tcPr>
          <w:p w14:paraId="1FB7DB2B">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r>
              <w:rPr>
                <w:rFonts w:ascii="宋体" w:hAnsi="宋体" w:cs="宋体"/>
                <w:b/>
                <w:color w:val="000000"/>
                <w:kern w:val="0"/>
                <w:sz w:val="18"/>
                <w:szCs w:val="18"/>
              </w:rPr>
              <w:t>%</w:t>
            </w:r>
            <w:r>
              <w:rPr>
                <w:rFonts w:hint="eastAsia" w:ascii="宋体" w:hAnsi="宋体" w:cs="宋体"/>
                <w:b/>
                <w:color w:val="000000"/>
                <w:kern w:val="0"/>
                <w:sz w:val="18"/>
                <w:szCs w:val="18"/>
              </w:rPr>
              <w:t>）</w:t>
            </w:r>
          </w:p>
        </w:tc>
      </w:tr>
      <w:tr w14:paraId="5D980C28">
        <w:tblPrEx>
          <w:tblCellMar>
            <w:top w:w="0" w:type="dxa"/>
            <w:left w:w="108" w:type="dxa"/>
            <w:bottom w:w="0" w:type="dxa"/>
            <w:right w:w="108" w:type="dxa"/>
          </w:tblCellMar>
        </w:tblPrEx>
        <w:trPr>
          <w:trHeight w:val="312" w:hRule="atLeast"/>
          <w:jc w:val="center"/>
        </w:trPr>
        <w:tc>
          <w:tcPr>
            <w:tcW w:w="1026" w:type="dxa"/>
            <w:tcBorders>
              <w:top w:val="nil"/>
              <w:left w:val="single" w:color="auto" w:sz="4" w:space="0"/>
              <w:bottom w:val="single" w:color="auto" w:sz="4" w:space="0"/>
              <w:right w:val="single" w:color="auto" w:sz="4" w:space="0"/>
            </w:tcBorders>
            <w:shd w:val="clear" w:color="auto" w:fill="auto"/>
            <w:vAlign w:val="center"/>
          </w:tcPr>
          <w:p w14:paraId="4E04B9E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水田 </w:t>
            </w:r>
          </w:p>
        </w:tc>
        <w:tc>
          <w:tcPr>
            <w:tcW w:w="1419" w:type="dxa"/>
            <w:tcBorders>
              <w:top w:val="nil"/>
              <w:left w:val="nil"/>
              <w:bottom w:val="single" w:color="auto" w:sz="4" w:space="0"/>
              <w:right w:val="single" w:color="auto" w:sz="4" w:space="0"/>
            </w:tcBorders>
            <w:shd w:val="clear" w:color="auto" w:fill="auto"/>
            <w:vAlign w:val="center"/>
          </w:tcPr>
          <w:p w14:paraId="60D98BE1">
            <w:pPr>
              <w:widowControl/>
              <w:jc w:val="center"/>
              <w:rPr>
                <w:rFonts w:ascii="宋体" w:hAnsi="宋体" w:cs="宋体"/>
                <w:color w:val="000000"/>
                <w:kern w:val="0"/>
                <w:sz w:val="18"/>
                <w:szCs w:val="18"/>
              </w:rPr>
            </w:pPr>
            <w:r>
              <w:rPr>
                <w:rFonts w:hint="eastAsia" w:ascii="宋体" w:hAnsi="宋体" w:cs="宋体"/>
                <w:color w:val="000000"/>
                <w:kern w:val="0"/>
                <w:sz w:val="18"/>
                <w:szCs w:val="18"/>
              </w:rPr>
              <w:t>2181.56</w:t>
            </w:r>
          </w:p>
        </w:tc>
        <w:tc>
          <w:tcPr>
            <w:tcW w:w="1167" w:type="dxa"/>
            <w:tcBorders>
              <w:top w:val="nil"/>
              <w:left w:val="nil"/>
              <w:bottom w:val="single" w:color="auto" w:sz="4" w:space="0"/>
              <w:right w:val="single" w:color="auto" w:sz="4" w:space="0"/>
            </w:tcBorders>
            <w:shd w:val="clear" w:color="auto" w:fill="auto"/>
            <w:vAlign w:val="center"/>
          </w:tcPr>
          <w:p w14:paraId="475FB853">
            <w:pPr>
              <w:widowControl/>
              <w:jc w:val="center"/>
              <w:rPr>
                <w:rFonts w:ascii="宋体" w:hAnsi="宋体" w:cs="宋体"/>
                <w:color w:val="000000"/>
                <w:kern w:val="0"/>
                <w:sz w:val="18"/>
                <w:szCs w:val="18"/>
              </w:rPr>
            </w:pPr>
            <w:r>
              <w:rPr>
                <w:rFonts w:hint="eastAsia" w:ascii="宋体" w:hAnsi="宋体" w:cs="宋体"/>
                <w:color w:val="000000"/>
                <w:kern w:val="0"/>
                <w:sz w:val="18"/>
                <w:szCs w:val="18"/>
              </w:rPr>
              <w:t>8.33%</w:t>
            </w:r>
          </w:p>
        </w:tc>
        <w:tc>
          <w:tcPr>
            <w:tcW w:w="1476" w:type="dxa"/>
            <w:tcBorders>
              <w:top w:val="nil"/>
              <w:left w:val="nil"/>
              <w:bottom w:val="single" w:color="auto" w:sz="4" w:space="0"/>
              <w:right w:val="single" w:color="auto" w:sz="4" w:space="0"/>
            </w:tcBorders>
            <w:shd w:val="clear" w:color="auto" w:fill="auto"/>
            <w:vAlign w:val="center"/>
          </w:tcPr>
          <w:p w14:paraId="0C2738ED">
            <w:pPr>
              <w:widowControl/>
              <w:jc w:val="center"/>
              <w:rPr>
                <w:rFonts w:ascii="宋体" w:hAnsi="宋体" w:cs="宋体"/>
                <w:color w:val="000000"/>
                <w:kern w:val="0"/>
                <w:sz w:val="18"/>
                <w:szCs w:val="18"/>
              </w:rPr>
            </w:pPr>
            <w:r>
              <w:rPr>
                <w:rFonts w:hint="eastAsia" w:ascii="宋体" w:hAnsi="宋体" w:cs="宋体"/>
                <w:color w:val="000000"/>
                <w:kern w:val="0"/>
                <w:sz w:val="18"/>
                <w:szCs w:val="18"/>
              </w:rPr>
              <w:t>2187.76</w:t>
            </w:r>
          </w:p>
        </w:tc>
        <w:tc>
          <w:tcPr>
            <w:tcW w:w="1206" w:type="dxa"/>
            <w:tcBorders>
              <w:top w:val="nil"/>
              <w:left w:val="nil"/>
              <w:bottom w:val="single" w:color="auto" w:sz="4" w:space="0"/>
              <w:right w:val="single" w:color="auto" w:sz="4" w:space="0"/>
            </w:tcBorders>
            <w:shd w:val="clear" w:color="auto" w:fill="auto"/>
            <w:vAlign w:val="center"/>
          </w:tcPr>
          <w:p w14:paraId="3F50A02C">
            <w:pPr>
              <w:widowControl/>
              <w:jc w:val="center"/>
              <w:rPr>
                <w:rFonts w:ascii="宋体" w:hAnsi="宋体" w:cs="宋体"/>
                <w:color w:val="000000"/>
                <w:kern w:val="0"/>
                <w:sz w:val="18"/>
                <w:szCs w:val="18"/>
              </w:rPr>
            </w:pPr>
            <w:r>
              <w:rPr>
                <w:rFonts w:hint="eastAsia" w:ascii="宋体" w:hAnsi="宋体" w:cs="宋体"/>
                <w:color w:val="000000"/>
                <w:kern w:val="0"/>
                <w:sz w:val="18"/>
                <w:szCs w:val="18"/>
              </w:rPr>
              <w:t>9.50%</w:t>
            </w:r>
          </w:p>
        </w:tc>
        <w:tc>
          <w:tcPr>
            <w:tcW w:w="1476" w:type="dxa"/>
            <w:tcBorders>
              <w:top w:val="nil"/>
              <w:left w:val="nil"/>
              <w:bottom w:val="single" w:color="auto" w:sz="4" w:space="0"/>
              <w:right w:val="single" w:color="auto" w:sz="4" w:space="0"/>
            </w:tcBorders>
            <w:shd w:val="clear" w:color="auto" w:fill="auto"/>
            <w:vAlign w:val="center"/>
          </w:tcPr>
          <w:p w14:paraId="444FA160">
            <w:pPr>
              <w:widowControl/>
              <w:jc w:val="center"/>
              <w:rPr>
                <w:rFonts w:ascii="宋体" w:hAnsi="宋体" w:cs="宋体"/>
                <w:color w:val="000000"/>
                <w:kern w:val="0"/>
                <w:sz w:val="18"/>
                <w:szCs w:val="18"/>
              </w:rPr>
            </w:pPr>
            <w:r>
              <w:rPr>
                <w:rFonts w:hint="eastAsia" w:ascii="宋体" w:hAnsi="宋体" w:cs="宋体"/>
                <w:color w:val="000000"/>
                <w:kern w:val="0"/>
                <w:sz w:val="18"/>
                <w:szCs w:val="18"/>
              </w:rPr>
              <w:t>6.20</w:t>
            </w:r>
          </w:p>
        </w:tc>
        <w:tc>
          <w:tcPr>
            <w:tcW w:w="1196" w:type="dxa"/>
            <w:tcBorders>
              <w:top w:val="nil"/>
              <w:left w:val="nil"/>
              <w:bottom w:val="single" w:color="auto" w:sz="4" w:space="0"/>
              <w:right w:val="single" w:color="auto" w:sz="4" w:space="0"/>
            </w:tcBorders>
            <w:shd w:val="clear" w:color="auto" w:fill="auto"/>
            <w:vAlign w:val="center"/>
          </w:tcPr>
          <w:p w14:paraId="419976DD">
            <w:pPr>
              <w:widowControl/>
              <w:jc w:val="center"/>
              <w:rPr>
                <w:rFonts w:ascii="宋体" w:hAnsi="宋体" w:cs="宋体"/>
                <w:color w:val="000000"/>
                <w:kern w:val="0"/>
                <w:sz w:val="18"/>
                <w:szCs w:val="18"/>
              </w:rPr>
            </w:pPr>
            <w:r>
              <w:rPr>
                <w:rFonts w:hint="eastAsia" w:ascii="宋体" w:hAnsi="宋体" w:cs="宋体"/>
                <w:color w:val="000000"/>
                <w:kern w:val="0"/>
                <w:sz w:val="18"/>
                <w:szCs w:val="18"/>
              </w:rPr>
              <w:t>1.17%</w:t>
            </w:r>
          </w:p>
        </w:tc>
      </w:tr>
      <w:tr w14:paraId="21562A77">
        <w:tblPrEx>
          <w:tblCellMar>
            <w:top w:w="0" w:type="dxa"/>
            <w:left w:w="108" w:type="dxa"/>
            <w:bottom w:w="0" w:type="dxa"/>
            <w:right w:w="108" w:type="dxa"/>
          </w:tblCellMar>
        </w:tblPrEx>
        <w:trPr>
          <w:trHeight w:val="312" w:hRule="atLeast"/>
          <w:jc w:val="center"/>
        </w:trPr>
        <w:tc>
          <w:tcPr>
            <w:tcW w:w="1026" w:type="dxa"/>
            <w:tcBorders>
              <w:top w:val="nil"/>
              <w:left w:val="single" w:color="auto" w:sz="4" w:space="0"/>
              <w:bottom w:val="single" w:color="auto" w:sz="4" w:space="0"/>
              <w:right w:val="single" w:color="auto" w:sz="4" w:space="0"/>
            </w:tcBorders>
            <w:shd w:val="clear" w:color="auto" w:fill="auto"/>
            <w:vAlign w:val="center"/>
          </w:tcPr>
          <w:p w14:paraId="62B10E8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水浇地 </w:t>
            </w:r>
          </w:p>
        </w:tc>
        <w:tc>
          <w:tcPr>
            <w:tcW w:w="1419" w:type="dxa"/>
            <w:tcBorders>
              <w:top w:val="nil"/>
              <w:left w:val="nil"/>
              <w:bottom w:val="single" w:color="auto" w:sz="4" w:space="0"/>
              <w:right w:val="single" w:color="auto" w:sz="4" w:space="0"/>
            </w:tcBorders>
            <w:shd w:val="clear" w:color="auto" w:fill="auto"/>
            <w:vAlign w:val="center"/>
          </w:tcPr>
          <w:p w14:paraId="31ACC2E1">
            <w:pPr>
              <w:widowControl/>
              <w:jc w:val="center"/>
              <w:rPr>
                <w:rFonts w:ascii="宋体" w:hAnsi="宋体" w:cs="宋体"/>
                <w:color w:val="000000"/>
                <w:kern w:val="0"/>
                <w:sz w:val="18"/>
                <w:szCs w:val="18"/>
              </w:rPr>
            </w:pPr>
            <w:r>
              <w:rPr>
                <w:rFonts w:hint="eastAsia" w:ascii="宋体" w:hAnsi="宋体" w:cs="宋体"/>
                <w:color w:val="000000"/>
                <w:kern w:val="0"/>
                <w:sz w:val="18"/>
                <w:szCs w:val="18"/>
              </w:rPr>
              <w:t>55.81</w:t>
            </w:r>
          </w:p>
        </w:tc>
        <w:tc>
          <w:tcPr>
            <w:tcW w:w="1167" w:type="dxa"/>
            <w:tcBorders>
              <w:top w:val="nil"/>
              <w:left w:val="nil"/>
              <w:bottom w:val="single" w:color="auto" w:sz="4" w:space="0"/>
              <w:right w:val="single" w:color="auto" w:sz="4" w:space="0"/>
            </w:tcBorders>
            <w:shd w:val="clear" w:color="auto" w:fill="auto"/>
            <w:vAlign w:val="center"/>
          </w:tcPr>
          <w:p w14:paraId="5F15C1F3">
            <w:pPr>
              <w:widowControl/>
              <w:jc w:val="center"/>
              <w:rPr>
                <w:rFonts w:ascii="宋体" w:hAnsi="宋体" w:cs="宋体"/>
                <w:color w:val="000000"/>
                <w:kern w:val="0"/>
                <w:sz w:val="18"/>
                <w:szCs w:val="18"/>
              </w:rPr>
            </w:pPr>
            <w:r>
              <w:rPr>
                <w:rFonts w:hint="eastAsia" w:ascii="宋体" w:hAnsi="宋体" w:cs="宋体"/>
                <w:color w:val="000000"/>
                <w:kern w:val="0"/>
                <w:sz w:val="18"/>
                <w:szCs w:val="18"/>
              </w:rPr>
              <w:t>0.21%</w:t>
            </w:r>
          </w:p>
        </w:tc>
        <w:tc>
          <w:tcPr>
            <w:tcW w:w="1476" w:type="dxa"/>
            <w:tcBorders>
              <w:top w:val="nil"/>
              <w:left w:val="nil"/>
              <w:bottom w:val="single" w:color="auto" w:sz="4" w:space="0"/>
              <w:right w:val="single" w:color="auto" w:sz="4" w:space="0"/>
            </w:tcBorders>
            <w:shd w:val="clear" w:color="auto" w:fill="auto"/>
            <w:vAlign w:val="center"/>
          </w:tcPr>
          <w:p w14:paraId="78EEC693">
            <w:pPr>
              <w:widowControl/>
              <w:jc w:val="center"/>
              <w:rPr>
                <w:rFonts w:ascii="宋体" w:hAnsi="宋体" w:cs="宋体"/>
                <w:color w:val="000000"/>
                <w:kern w:val="0"/>
                <w:sz w:val="18"/>
                <w:szCs w:val="18"/>
              </w:rPr>
            </w:pPr>
            <w:r>
              <w:rPr>
                <w:rFonts w:hint="eastAsia" w:ascii="宋体" w:hAnsi="宋体" w:cs="宋体"/>
                <w:color w:val="000000"/>
                <w:kern w:val="0"/>
                <w:sz w:val="18"/>
                <w:szCs w:val="18"/>
              </w:rPr>
              <w:t>30.05</w:t>
            </w:r>
          </w:p>
        </w:tc>
        <w:tc>
          <w:tcPr>
            <w:tcW w:w="1206" w:type="dxa"/>
            <w:tcBorders>
              <w:top w:val="nil"/>
              <w:left w:val="nil"/>
              <w:bottom w:val="single" w:color="auto" w:sz="4" w:space="0"/>
              <w:right w:val="single" w:color="auto" w:sz="4" w:space="0"/>
            </w:tcBorders>
            <w:shd w:val="clear" w:color="auto" w:fill="auto"/>
            <w:vAlign w:val="center"/>
          </w:tcPr>
          <w:p w14:paraId="3098906B">
            <w:pPr>
              <w:widowControl/>
              <w:jc w:val="center"/>
              <w:rPr>
                <w:rFonts w:ascii="宋体" w:hAnsi="宋体" w:cs="宋体"/>
                <w:color w:val="000000"/>
                <w:kern w:val="0"/>
                <w:sz w:val="18"/>
                <w:szCs w:val="18"/>
              </w:rPr>
            </w:pPr>
            <w:r>
              <w:rPr>
                <w:rFonts w:hint="eastAsia" w:ascii="宋体" w:hAnsi="宋体" w:cs="宋体"/>
                <w:color w:val="000000"/>
                <w:kern w:val="0"/>
                <w:sz w:val="18"/>
                <w:szCs w:val="18"/>
              </w:rPr>
              <w:t>0.10%</w:t>
            </w:r>
          </w:p>
        </w:tc>
        <w:tc>
          <w:tcPr>
            <w:tcW w:w="1476" w:type="dxa"/>
            <w:tcBorders>
              <w:top w:val="nil"/>
              <w:left w:val="nil"/>
              <w:bottom w:val="single" w:color="auto" w:sz="4" w:space="0"/>
              <w:right w:val="single" w:color="auto" w:sz="4" w:space="0"/>
            </w:tcBorders>
            <w:shd w:val="clear" w:color="auto" w:fill="auto"/>
            <w:vAlign w:val="center"/>
          </w:tcPr>
          <w:p w14:paraId="678F07C4">
            <w:pPr>
              <w:widowControl/>
              <w:jc w:val="center"/>
              <w:rPr>
                <w:rFonts w:ascii="宋体" w:hAnsi="宋体" w:cs="宋体"/>
                <w:color w:val="000000"/>
                <w:kern w:val="0"/>
                <w:sz w:val="18"/>
                <w:szCs w:val="18"/>
              </w:rPr>
            </w:pPr>
            <w:r>
              <w:rPr>
                <w:rFonts w:hint="eastAsia" w:ascii="宋体" w:hAnsi="宋体" w:cs="宋体"/>
                <w:color w:val="000000"/>
                <w:kern w:val="0"/>
                <w:sz w:val="18"/>
                <w:szCs w:val="18"/>
              </w:rPr>
              <w:t>-25.76</w:t>
            </w:r>
          </w:p>
        </w:tc>
        <w:tc>
          <w:tcPr>
            <w:tcW w:w="1196" w:type="dxa"/>
            <w:tcBorders>
              <w:top w:val="nil"/>
              <w:left w:val="nil"/>
              <w:bottom w:val="single" w:color="auto" w:sz="4" w:space="0"/>
              <w:right w:val="single" w:color="auto" w:sz="4" w:space="0"/>
            </w:tcBorders>
            <w:shd w:val="clear" w:color="auto" w:fill="auto"/>
            <w:vAlign w:val="center"/>
          </w:tcPr>
          <w:p w14:paraId="03F0DD12">
            <w:pPr>
              <w:widowControl/>
              <w:jc w:val="center"/>
              <w:rPr>
                <w:rFonts w:ascii="宋体" w:hAnsi="宋体" w:cs="宋体"/>
                <w:color w:val="000000"/>
                <w:kern w:val="0"/>
                <w:sz w:val="18"/>
                <w:szCs w:val="18"/>
              </w:rPr>
            </w:pPr>
            <w:r>
              <w:rPr>
                <w:rFonts w:hint="eastAsia" w:ascii="宋体" w:hAnsi="宋体" w:cs="宋体"/>
                <w:color w:val="000000"/>
                <w:kern w:val="0"/>
                <w:sz w:val="18"/>
                <w:szCs w:val="18"/>
              </w:rPr>
              <w:t>-0.11%</w:t>
            </w:r>
          </w:p>
        </w:tc>
      </w:tr>
      <w:tr w14:paraId="7A6D7D62">
        <w:tblPrEx>
          <w:tblCellMar>
            <w:top w:w="0" w:type="dxa"/>
            <w:left w:w="108" w:type="dxa"/>
            <w:bottom w:w="0" w:type="dxa"/>
            <w:right w:w="108" w:type="dxa"/>
          </w:tblCellMar>
        </w:tblPrEx>
        <w:trPr>
          <w:trHeight w:val="312" w:hRule="atLeast"/>
          <w:jc w:val="center"/>
        </w:trPr>
        <w:tc>
          <w:tcPr>
            <w:tcW w:w="1026" w:type="dxa"/>
            <w:tcBorders>
              <w:top w:val="nil"/>
              <w:left w:val="single" w:color="auto" w:sz="4" w:space="0"/>
              <w:bottom w:val="single" w:color="auto" w:sz="4" w:space="0"/>
              <w:right w:val="single" w:color="auto" w:sz="4" w:space="0"/>
            </w:tcBorders>
            <w:shd w:val="clear" w:color="auto" w:fill="auto"/>
            <w:vAlign w:val="center"/>
          </w:tcPr>
          <w:p w14:paraId="60ED834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旱地 </w:t>
            </w:r>
          </w:p>
        </w:tc>
        <w:tc>
          <w:tcPr>
            <w:tcW w:w="1419" w:type="dxa"/>
            <w:tcBorders>
              <w:top w:val="nil"/>
              <w:left w:val="nil"/>
              <w:bottom w:val="single" w:color="auto" w:sz="4" w:space="0"/>
              <w:right w:val="single" w:color="auto" w:sz="4" w:space="0"/>
            </w:tcBorders>
            <w:shd w:val="clear" w:color="auto" w:fill="auto"/>
            <w:vAlign w:val="center"/>
          </w:tcPr>
          <w:p w14:paraId="4F25E02B">
            <w:pPr>
              <w:widowControl/>
              <w:jc w:val="center"/>
              <w:rPr>
                <w:rFonts w:ascii="宋体" w:hAnsi="宋体" w:cs="宋体"/>
                <w:color w:val="000000"/>
                <w:kern w:val="0"/>
                <w:sz w:val="18"/>
                <w:szCs w:val="18"/>
              </w:rPr>
            </w:pPr>
            <w:r>
              <w:rPr>
                <w:rFonts w:hint="eastAsia" w:ascii="宋体" w:hAnsi="宋体" w:cs="宋体"/>
                <w:color w:val="000000"/>
                <w:kern w:val="0"/>
                <w:sz w:val="18"/>
                <w:szCs w:val="18"/>
              </w:rPr>
              <w:t>23966.50</w:t>
            </w:r>
          </w:p>
        </w:tc>
        <w:tc>
          <w:tcPr>
            <w:tcW w:w="1167" w:type="dxa"/>
            <w:tcBorders>
              <w:top w:val="nil"/>
              <w:left w:val="nil"/>
              <w:bottom w:val="single" w:color="auto" w:sz="4" w:space="0"/>
              <w:right w:val="single" w:color="auto" w:sz="4" w:space="0"/>
            </w:tcBorders>
            <w:shd w:val="clear" w:color="auto" w:fill="auto"/>
            <w:vAlign w:val="center"/>
          </w:tcPr>
          <w:p w14:paraId="29F62EBB">
            <w:pPr>
              <w:widowControl/>
              <w:jc w:val="center"/>
              <w:rPr>
                <w:rFonts w:ascii="宋体" w:hAnsi="宋体" w:cs="宋体"/>
                <w:color w:val="000000"/>
                <w:kern w:val="0"/>
                <w:sz w:val="18"/>
                <w:szCs w:val="18"/>
              </w:rPr>
            </w:pPr>
            <w:r>
              <w:rPr>
                <w:rFonts w:hint="eastAsia" w:ascii="宋体" w:hAnsi="宋体" w:cs="宋体"/>
                <w:color w:val="000000"/>
                <w:kern w:val="0"/>
                <w:sz w:val="18"/>
                <w:szCs w:val="18"/>
              </w:rPr>
              <w:t>91.46%</w:t>
            </w:r>
          </w:p>
        </w:tc>
        <w:tc>
          <w:tcPr>
            <w:tcW w:w="1476" w:type="dxa"/>
            <w:tcBorders>
              <w:top w:val="nil"/>
              <w:left w:val="nil"/>
              <w:bottom w:val="single" w:color="auto" w:sz="4" w:space="0"/>
              <w:right w:val="single" w:color="auto" w:sz="4" w:space="0"/>
            </w:tcBorders>
            <w:shd w:val="clear" w:color="auto" w:fill="auto"/>
            <w:vAlign w:val="center"/>
          </w:tcPr>
          <w:p w14:paraId="5E168F12">
            <w:pPr>
              <w:widowControl/>
              <w:jc w:val="center"/>
              <w:rPr>
                <w:rFonts w:ascii="宋体" w:hAnsi="宋体" w:cs="宋体"/>
                <w:color w:val="000000"/>
                <w:kern w:val="0"/>
                <w:sz w:val="18"/>
                <w:szCs w:val="18"/>
              </w:rPr>
            </w:pPr>
            <w:r>
              <w:rPr>
                <w:rFonts w:hint="eastAsia" w:ascii="宋体" w:hAnsi="宋体" w:cs="宋体"/>
                <w:color w:val="000000"/>
                <w:kern w:val="0"/>
                <w:sz w:val="18"/>
                <w:szCs w:val="18"/>
              </w:rPr>
              <w:t>20888.96</w:t>
            </w:r>
          </w:p>
        </w:tc>
        <w:tc>
          <w:tcPr>
            <w:tcW w:w="1206" w:type="dxa"/>
            <w:tcBorders>
              <w:top w:val="nil"/>
              <w:left w:val="nil"/>
              <w:bottom w:val="single" w:color="auto" w:sz="4" w:space="0"/>
              <w:right w:val="single" w:color="auto" w:sz="4" w:space="0"/>
            </w:tcBorders>
            <w:shd w:val="clear" w:color="auto" w:fill="auto"/>
            <w:vAlign w:val="center"/>
          </w:tcPr>
          <w:p w14:paraId="28F25BC4">
            <w:pPr>
              <w:widowControl/>
              <w:jc w:val="center"/>
              <w:rPr>
                <w:rFonts w:ascii="宋体" w:hAnsi="宋体" w:cs="宋体"/>
                <w:color w:val="000000"/>
                <w:kern w:val="0"/>
                <w:sz w:val="18"/>
                <w:szCs w:val="18"/>
              </w:rPr>
            </w:pPr>
            <w:r>
              <w:rPr>
                <w:rFonts w:hint="eastAsia" w:ascii="宋体" w:hAnsi="宋体" w:cs="宋体"/>
                <w:color w:val="000000"/>
                <w:kern w:val="0"/>
                <w:sz w:val="18"/>
                <w:szCs w:val="18"/>
              </w:rPr>
              <w:t>90.40%</w:t>
            </w:r>
          </w:p>
        </w:tc>
        <w:tc>
          <w:tcPr>
            <w:tcW w:w="1476" w:type="dxa"/>
            <w:tcBorders>
              <w:top w:val="nil"/>
              <w:left w:val="nil"/>
              <w:bottom w:val="single" w:color="auto" w:sz="4" w:space="0"/>
              <w:right w:val="single" w:color="auto" w:sz="4" w:space="0"/>
            </w:tcBorders>
            <w:shd w:val="clear" w:color="auto" w:fill="auto"/>
            <w:vAlign w:val="center"/>
          </w:tcPr>
          <w:p w14:paraId="3F04B8EE">
            <w:pPr>
              <w:widowControl/>
              <w:jc w:val="center"/>
              <w:rPr>
                <w:rFonts w:ascii="宋体" w:hAnsi="宋体" w:cs="宋体"/>
                <w:color w:val="000000"/>
                <w:kern w:val="0"/>
                <w:sz w:val="18"/>
                <w:szCs w:val="18"/>
              </w:rPr>
            </w:pPr>
            <w:r>
              <w:rPr>
                <w:rFonts w:hint="eastAsia" w:ascii="宋体" w:hAnsi="宋体" w:cs="宋体"/>
                <w:color w:val="000000"/>
                <w:kern w:val="0"/>
                <w:sz w:val="18"/>
                <w:szCs w:val="18"/>
              </w:rPr>
              <w:t>-3077.54</w:t>
            </w:r>
          </w:p>
        </w:tc>
        <w:tc>
          <w:tcPr>
            <w:tcW w:w="1196" w:type="dxa"/>
            <w:tcBorders>
              <w:top w:val="nil"/>
              <w:left w:val="nil"/>
              <w:bottom w:val="single" w:color="auto" w:sz="4" w:space="0"/>
              <w:right w:val="single" w:color="auto" w:sz="4" w:space="0"/>
            </w:tcBorders>
            <w:shd w:val="clear" w:color="auto" w:fill="auto"/>
            <w:vAlign w:val="center"/>
          </w:tcPr>
          <w:p w14:paraId="3ABF2BC8">
            <w:pPr>
              <w:widowControl/>
              <w:jc w:val="center"/>
              <w:rPr>
                <w:rFonts w:ascii="宋体" w:hAnsi="宋体" w:cs="宋体"/>
                <w:color w:val="000000"/>
                <w:kern w:val="0"/>
                <w:sz w:val="18"/>
                <w:szCs w:val="18"/>
              </w:rPr>
            </w:pPr>
            <w:r>
              <w:rPr>
                <w:rFonts w:hint="eastAsia" w:ascii="宋体" w:hAnsi="宋体" w:cs="宋体"/>
                <w:color w:val="000000"/>
                <w:kern w:val="0"/>
                <w:sz w:val="18"/>
                <w:szCs w:val="18"/>
              </w:rPr>
              <w:t>-1.06%</w:t>
            </w:r>
          </w:p>
        </w:tc>
      </w:tr>
      <w:tr w14:paraId="14198045">
        <w:tblPrEx>
          <w:tblCellMar>
            <w:top w:w="0" w:type="dxa"/>
            <w:left w:w="108" w:type="dxa"/>
            <w:bottom w:w="0" w:type="dxa"/>
            <w:right w:w="108" w:type="dxa"/>
          </w:tblCellMar>
        </w:tblPrEx>
        <w:trPr>
          <w:trHeight w:val="312" w:hRule="atLeast"/>
          <w:jc w:val="center"/>
        </w:trPr>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09C24ECE">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1419" w:type="dxa"/>
            <w:tcBorders>
              <w:top w:val="single" w:color="auto" w:sz="4" w:space="0"/>
              <w:left w:val="nil"/>
              <w:bottom w:val="single" w:color="auto" w:sz="4" w:space="0"/>
              <w:right w:val="single" w:color="auto" w:sz="4" w:space="0"/>
            </w:tcBorders>
            <w:shd w:val="clear" w:color="auto" w:fill="auto"/>
            <w:vAlign w:val="center"/>
          </w:tcPr>
          <w:p w14:paraId="0EEAA036">
            <w:pPr>
              <w:widowControl/>
              <w:jc w:val="center"/>
              <w:rPr>
                <w:rFonts w:ascii="宋体" w:hAnsi="宋体" w:cs="宋体"/>
                <w:color w:val="000000"/>
                <w:kern w:val="0"/>
                <w:sz w:val="18"/>
                <w:szCs w:val="18"/>
              </w:rPr>
            </w:pPr>
            <w:r>
              <w:rPr>
                <w:rFonts w:hint="eastAsia" w:ascii="宋体" w:hAnsi="宋体" w:cs="宋体"/>
                <w:color w:val="000000"/>
                <w:kern w:val="0"/>
                <w:sz w:val="18"/>
                <w:szCs w:val="18"/>
              </w:rPr>
              <w:t>26203.87</w:t>
            </w:r>
          </w:p>
        </w:tc>
        <w:tc>
          <w:tcPr>
            <w:tcW w:w="1167" w:type="dxa"/>
            <w:tcBorders>
              <w:top w:val="single" w:color="auto" w:sz="4" w:space="0"/>
              <w:left w:val="nil"/>
              <w:bottom w:val="single" w:color="auto" w:sz="4" w:space="0"/>
              <w:right w:val="single" w:color="auto" w:sz="4" w:space="0"/>
            </w:tcBorders>
            <w:shd w:val="clear" w:color="auto" w:fill="auto"/>
            <w:vAlign w:val="center"/>
          </w:tcPr>
          <w:p w14:paraId="2AED6C9E">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476" w:type="dxa"/>
            <w:tcBorders>
              <w:top w:val="single" w:color="auto" w:sz="4" w:space="0"/>
              <w:left w:val="nil"/>
              <w:bottom w:val="single" w:color="auto" w:sz="4" w:space="0"/>
              <w:right w:val="single" w:color="auto" w:sz="4" w:space="0"/>
            </w:tcBorders>
            <w:shd w:val="clear" w:color="auto" w:fill="auto"/>
            <w:vAlign w:val="center"/>
          </w:tcPr>
          <w:p w14:paraId="3D07CB4C">
            <w:pPr>
              <w:widowControl/>
              <w:jc w:val="center"/>
              <w:rPr>
                <w:rFonts w:ascii="宋体" w:hAnsi="宋体" w:cs="宋体"/>
                <w:color w:val="000000"/>
                <w:kern w:val="0"/>
                <w:sz w:val="18"/>
                <w:szCs w:val="18"/>
              </w:rPr>
            </w:pPr>
            <w:r>
              <w:rPr>
                <w:rFonts w:hint="eastAsia" w:ascii="宋体" w:hAnsi="宋体" w:cs="宋体"/>
                <w:color w:val="000000"/>
                <w:kern w:val="0"/>
                <w:sz w:val="18"/>
                <w:szCs w:val="18"/>
              </w:rPr>
              <w:t>23106.77</w:t>
            </w:r>
          </w:p>
        </w:tc>
        <w:tc>
          <w:tcPr>
            <w:tcW w:w="1206" w:type="dxa"/>
            <w:tcBorders>
              <w:top w:val="single" w:color="auto" w:sz="4" w:space="0"/>
              <w:left w:val="nil"/>
              <w:bottom w:val="single" w:color="auto" w:sz="4" w:space="0"/>
              <w:right w:val="single" w:color="auto" w:sz="4" w:space="0"/>
            </w:tcBorders>
            <w:shd w:val="clear" w:color="auto" w:fill="auto"/>
            <w:vAlign w:val="center"/>
          </w:tcPr>
          <w:p w14:paraId="38126B5F">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476" w:type="dxa"/>
            <w:tcBorders>
              <w:top w:val="single" w:color="auto" w:sz="4" w:space="0"/>
              <w:left w:val="nil"/>
              <w:bottom w:val="single" w:color="auto" w:sz="4" w:space="0"/>
              <w:right w:val="single" w:color="auto" w:sz="4" w:space="0"/>
            </w:tcBorders>
            <w:shd w:val="clear" w:color="auto" w:fill="auto"/>
            <w:vAlign w:val="center"/>
          </w:tcPr>
          <w:p w14:paraId="0CB694AD">
            <w:pPr>
              <w:widowControl/>
              <w:jc w:val="center"/>
              <w:rPr>
                <w:rFonts w:ascii="宋体" w:hAnsi="宋体" w:cs="宋体"/>
                <w:color w:val="000000"/>
                <w:kern w:val="0"/>
                <w:sz w:val="18"/>
                <w:szCs w:val="18"/>
              </w:rPr>
            </w:pPr>
            <w:r>
              <w:rPr>
                <w:rFonts w:hint="eastAsia" w:ascii="宋体" w:hAnsi="宋体" w:cs="宋体"/>
                <w:color w:val="000000"/>
                <w:kern w:val="0"/>
                <w:sz w:val="18"/>
                <w:szCs w:val="18"/>
              </w:rPr>
              <w:t>-3097.10</w:t>
            </w:r>
          </w:p>
        </w:tc>
        <w:tc>
          <w:tcPr>
            <w:tcW w:w="1196" w:type="dxa"/>
            <w:tcBorders>
              <w:top w:val="single" w:color="auto" w:sz="4" w:space="0"/>
              <w:left w:val="nil"/>
              <w:bottom w:val="single" w:color="auto" w:sz="4" w:space="0"/>
              <w:right w:val="single" w:color="auto" w:sz="4" w:space="0"/>
            </w:tcBorders>
            <w:shd w:val="clear" w:color="auto" w:fill="auto"/>
            <w:vAlign w:val="center"/>
          </w:tcPr>
          <w:p w14:paraId="4612E029">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bl>
    <w:p w14:paraId="31AF86D8">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调整完善后，全区永久基本农田中各等别的耕地均有所减少，但是6等至10等的比例均有所提高，11等至13等的比例均相应降低。基本农田质量显著提升。</w:t>
      </w:r>
    </w:p>
    <w:p w14:paraId="43AC0F15">
      <w:pPr>
        <w:jc w:val="center"/>
        <w:outlineLvl w:val="4"/>
        <w:rPr>
          <w:rFonts w:ascii="宋体" w:hAnsi="宋体"/>
          <w:b/>
          <w:sz w:val="24"/>
        </w:rPr>
      </w:pPr>
      <w:r>
        <w:rPr>
          <w:rFonts w:hint="eastAsia" w:ascii="宋体" w:hAnsi="宋体"/>
          <w:b/>
          <w:sz w:val="24"/>
        </w:rPr>
        <w:t>表</w:t>
      </w:r>
      <w:r>
        <w:rPr>
          <w:rFonts w:ascii="宋体" w:hAnsi="宋体"/>
          <w:b/>
          <w:sz w:val="24"/>
        </w:rPr>
        <w:t xml:space="preserve">6-3 </w:t>
      </w:r>
      <w:r>
        <w:rPr>
          <w:rFonts w:hint="eastAsia" w:ascii="宋体" w:hAnsi="宋体"/>
          <w:b/>
          <w:sz w:val="24"/>
        </w:rPr>
        <w:t>东川区基本农田质量等调整情况对比表</w:t>
      </w:r>
    </w:p>
    <w:tbl>
      <w:tblPr>
        <w:tblStyle w:val="27"/>
        <w:tblW w:w="9033" w:type="dxa"/>
        <w:jc w:val="center"/>
        <w:tblLayout w:type="autofit"/>
        <w:tblCellMar>
          <w:top w:w="0" w:type="dxa"/>
          <w:left w:w="108" w:type="dxa"/>
          <w:bottom w:w="0" w:type="dxa"/>
          <w:right w:w="108" w:type="dxa"/>
        </w:tblCellMar>
      </w:tblPr>
      <w:tblGrid>
        <w:gridCol w:w="960"/>
        <w:gridCol w:w="1481"/>
        <w:gridCol w:w="1210"/>
        <w:gridCol w:w="1481"/>
        <w:gridCol w:w="1210"/>
        <w:gridCol w:w="1481"/>
        <w:gridCol w:w="1210"/>
      </w:tblGrid>
      <w:tr w14:paraId="197E4389">
        <w:tblPrEx>
          <w:tblCellMar>
            <w:top w:w="0" w:type="dxa"/>
            <w:left w:w="108" w:type="dxa"/>
            <w:bottom w:w="0" w:type="dxa"/>
            <w:right w:w="108" w:type="dxa"/>
          </w:tblCellMar>
        </w:tblPrEx>
        <w:trPr>
          <w:trHeight w:val="300" w:hRule="atLeast"/>
          <w:jc w:val="center"/>
        </w:trPr>
        <w:tc>
          <w:tcPr>
            <w:tcW w:w="960" w:type="dxa"/>
            <w:vMerge w:val="restart"/>
            <w:tcBorders>
              <w:top w:val="single" w:color="auto" w:sz="8" w:space="0"/>
              <w:left w:val="single" w:color="auto" w:sz="8" w:space="0"/>
              <w:bottom w:val="single" w:color="000000" w:sz="8" w:space="0"/>
              <w:right w:val="single" w:color="auto" w:sz="8" w:space="0"/>
            </w:tcBorders>
            <w:shd w:val="clear" w:color="auto" w:fill="auto"/>
          </w:tcPr>
          <w:p w14:paraId="15A8C1F0">
            <w:pPr>
              <w:widowControl/>
              <w:jc w:val="left"/>
              <w:rPr>
                <w:rFonts w:ascii="Calibri" w:hAnsi="Calibri" w:cs="Calibri"/>
                <w:color w:val="000000"/>
                <w:kern w:val="0"/>
                <w:szCs w:val="21"/>
              </w:rPr>
            </w:pPr>
            <w:r>
              <w:rPr>
                <w:rFonts w:ascii="Calibri" w:hAnsi="Calibri" w:cs="Calibri"/>
                <w:color w:val="000000"/>
                <w:kern w:val="0"/>
                <w:szCs w:val="21"/>
              </w:rPr>
              <w:t>　</w:t>
            </w:r>
          </w:p>
        </w:tc>
        <w:tc>
          <w:tcPr>
            <w:tcW w:w="2691" w:type="dxa"/>
            <w:gridSpan w:val="2"/>
            <w:tcBorders>
              <w:top w:val="single" w:color="auto" w:sz="8" w:space="0"/>
              <w:left w:val="nil"/>
              <w:bottom w:val="single" w:color="auto" w:sz="8" w:space="0"/>
              <w:right w:val="single" w:color="000000" w:sz="8" w:space="0"/>
            </w:tcBorders>
            <w:shd w:val="clear" w:color="auto" w:fill="auto"/>
            <w:vAlign w:val="center"/>
          </w:tcPr>
          <w:p w14:paraId="77D5277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调整前基本农田</w:t>
            </w:r>
          </w:p>
        </w:tc>
        <w:tc>
          <w:tcPr>
            <w:tcW w:w="2691" w:type="dxa"/>
            <w:gridSpan w:val="2"/>
            <w:tcBorders>
              <w:top w:val="single" w:color="auto" w:sz="8" w:space="0"/>
              <w:left w:val="nil"/>
              <w:bottom w:val="single" w:color="auto" w:sz="8" w:space="0"/>
              <w:right w:val="single" w:color="000000" w:sz="8" w:space="0"/>
            </w:tcBorders>
            <w:shd w:val="clear" w:color="auto" w:fill="auto"/>
            <w:vAlign w:val="center"/>
          </w:tcPr>
          <w:p w14:paraId="2832C5B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调整后基本农田</w:t>
            </w:r>
          </w:p>
        </w:tc>
        <w:tc>
          <w:tcPr>
            <w:tcW w:w="2691" w:type="dxa"/>
            <w:gridSpan w:val="2"/>
            <w:tcBorders>
              <w:top w:val="single" w:color="auto" w:sz="8" w:space="0"/>
              <w:left w:val="nil"/>
              <w:bottom w:val="single" w:color="auto" w:sz="8" w:space="0"/>
              <w:right w:val="single" w:color="000000" w:sz="8" w:space="0"/>
            </w:tcBorders>
            <w:shd w:val="clear" w:color="auto" w:fill="auto"/>
            <w:vAlign w:val="center"/>
          </w:tcPr>
          <w:p w14:paraId="216AC4F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变化量</w:t>
            </w:r>
          </w:p>
        </w:tc>
      </w:tr>
      <w:tr w14:paraId="23734DBA">
        <w:tblPrEx>
          <w:tblCellMar>
            <w:top w:w="0" w:type="dxa"/>
            <w:left w:w="108" w:type="dxa"/>
            <w:bottom w:w="0" w:type="dxa"/>
            <w:right w:w="108" w:type="dxa"/>
          </w:tblCellMar>
        </w:tblPrEx>
        <w:trPr>
          <w:trHeight w:val="444" w:hRule="atLeast"/>
          <w:jc w:val="center"/>
        </w:trPr>
        <w:tc>
          <w:tcPr>
            <w:tcW w:w="960" w:type="dxa"/>
            <w:vMerge w:val="continue"/>
            <w:tcBorders>
              <w:top w:val="single" w:color="auto" w:sz="8" w:space="0"/>
              <w:left w:val="single" w:color="auto" w:sz="8" w:space="0"/>
              <w:bottom w:val="single" w:color="000000" w:sz="8" w:space="0"/>
              <w:right w:val="single" w:color="auto" w:sz="8" w:space="0"/>
            </w:tcBorders>
            <w:vAlign w:val="center"/>
          </w:tcPr>
          <w:p w14:paraId="6F9196B8">
            <w:pPr>
              <w:widowControl/>
              <w:jc w:val="left"/>
              <w:rPr>
                <w:rFonts w:ascii="Calibri" w:hAnsi="Calibri" w:cs="Calibri"/>
                <w:color w:val="000000"/>
                <w:kern w:val="0"/>
                <w:szCs w:val="21"/>
              </w:rPr>
            </w:pPr>
          </w:p>
        </w:tc>
        <w:tc>
          <w:tcPr>
            <w:tcW w:w="1481" w:type="dxa"/>
            <w:tcBorders>
              <w:top w:val="nil"/>
              <w:left w:val="nil"/>
              <w:bottom w:val="single" w:color="auto" w:sz="8" w:space="0"/>
              <w:right w:val="single" w:color="auto" w:sz="8" w:space="0"/>
            </w:tcBorders>
            <w:shd w:val="clear" w:color="auto" w:fill="auto"/>
            <w:vAlign w:val="center"/>
          </w:tcPr>
          <w:p w14:paraId="6756CFD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面积（公顷）</w:t>
            </w:r>
          </w:p>
        </w:tc>
        <w:tc>
          <w:tcPr>
            <w:tcW w:w="1210" w:type="dxa"/>
            <w:tcBorders>
              <w:top w:val="nil"/>
              <w:left w:val="nil"/>
              <w:bottom w:val="single" w:color="auto" w:sz="8" w:space="0"/>
              <w:right w:val="single" w:color="auto" w:sz="8" w:space="0"/>
            </w:tcBorders>
            <w:shd w:val="clear" w:color="auto" w:fill="auto"/>
            <w:vAlign w:val="center"/>
          </w:tcPr>
          <w:p w14:paraId="24D91FD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481" w:type="dxa"/>
            <w:tcBorders>
              <w:top w:val="nil"/>
              <w:left w:val="nil"/>
              <w:bottom w:val="single" w:color="auto" w:sz="8" w:space="0"/>
              <w:right w:val="single" w:color="auto" w:sz="8" w:space="0"/>
            </w:tcBorders>
            <w:shd w:val="clear" w:color="auto" w:fill="auto"/>
            <w:vAlign w:val="center"/>
          </w:tcPr>
          <w:p w14:paraId="614CD9DC">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面积（公顷）</w:t>
            </w:r>
          </w:p>
        </w:tc>
        <w:tc>
          <w:tcPr>
            <w:tcW w:w="1210" w:type="dxa"/>
            <w:tcBorders>
              <w:top w:val="nil"/>
              <w:left w:val="nil"/>
              <w:bottom w:val="single" w:color="auto" w:sz="8" w:space="0"/>
              <w:right w:val="single" w:color="auto" w:sz="8" w:space="0"/>
            </w:tcBorders>
            <w:shd w:val="clear" w:color="auto" w:fill="auto"/>
            <w:vAlign w:val="center"/>
          </w:tcPr>
          <w:p w14:paraId="0A61037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481" w:type="dxa"/>
            <w:tcBorders>
              <w:top w:val="nil"/>
              <w:left w:val="nil"/>
              <w:bottom w:val="single" w:color="auto" w:sz="8" w:space="0"/>
              <w:right w:val="single" w:color="auto" w:sz="8" w:space="0"/>
            </w:tcBorders>
            <w:shd w:val="clear" w:color="auto" w:fill="auto"/>
            <w:vAlign w:val="center"/>
          </w:tcPr>
          <w:p w14:paraId="1691714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面积（公顷）</w:t>
            </w:r>
          </w:p>
        </w:tc>
        <w:tc>
          <w:tcPr>
            <w:tcW w:w="1210" w:type="dxa"/>
            <w:tcBorders>
              <w:top w:val="nil"/>
              <w:left w:val="nil"/>
              <w:bottom w:val="single" w:color="auto" w:sz="8" w:space="0"/>
              <w:right w:val="single" w:color="auto" w:sz="8" w:space="0"/>
            </w:tcBorders>
            <w:shd w:val="clear" w:color="auto" w:fill="auto"/>
            <w:vAlign w:val="center"/>
          </w:tcPr>
          <w:p w14:paraId="51D2550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r>
      <w:tr w14:paraId="5AB71AC8">
        <w:tblPrEx>
          <w:tblCellMar>
            <w:top w:w="0" w:type="dxa"/>
            <w:left w:w="108" w:type="dxa"/>
            <w:bottom w:w="0" w:type="dxa"/>
            <w:right w:w="108" w:type="dxa"/>
          </w:tblCellMar>
        </w:tblPrEx>
        <w:trPr>
          <w:trHeight w:val="300" w:hRule="atLeast"/>
          <w:jc w:val="center"/>
        </w:trPr>
        <w:tc>
          <w:tcPr>
            <w:tcW w:w="960" w:type="dxa"/>
            <w:tcBorders>
              <w:top w:val="nil"/>
              <w:left w:val="single" w:color="auto" w:sz="8" w:space="0"/>
              <w:bottom w:val="single" w:color="auto" w:sz="8" w:space="0"/>
              <w:right w:val="single" w:color="auto" w:sz="8" w:space="0"/>
            </w:tcBorders>
            <w:shd w:val="clear" w:color="auto" w:fill="auto"/>
            <w:vAlign w:val="center"/>
          </w:tcPr>
          <w:p w14:paraId="544F9166">
            <w:pPr>
              <w:widowControl/>
              <w:jc w:val="center"/>
              <w:rPr>
                <w:rFonts w:ascii="宋体" w:hAnsi="宋体" w:cs="宋体"/>
                <w:color w:val="000000"/>
                <w:kern w:val="0"/>
                <w:sz w:val="18"/>
                <w:szCs w:val="18"/>
              </w:rPr>
            </w:pPr>
            <w:r>
              <w:rPr>
                <w:rFonts w:hint="eastAsia" w:ascii="宋体" w:hAnsi="宋体" w:cs="宋体"/>
                <w:color w:val="000000"/>
                <w:kern w:val="0"/>
                <w:sz w:val="18"/>
                <w:szCs w:val="18"/>
              </w:rPr>
              <w:t>6等</w:t>
            </w:r>
          </w:p>
        </w:tc>
        <w:tc>
          <w:tcPr>
            <w:tcW w:w="1481" w:type="dxa"/>
            <w:tcBorders>
              <w:top w:val="nil"/>
              <w:left w:val="nil"/>
              <w:bottom w:val="single" w:color="auto" w:sz="8" w:space="0"/>
              <w:right w:val="single" w:color="auto" w:sz="8" w:space="0"/>
            </w:tcBorders>
            <w:shd w:val="clear" w:color="auto" w:fill="auto"/>
            <w:vAlign w:val="center"/>
          </w:tcPr>
          <w:p w14:paraId="11A53AE2">
            <w:pPr>
              <w:widowControl/>
              <w:jc w:val="center"/>
              <w:rPr>
                <w:rFonts w:ascii="宋体" w:hAnsi="宋体" w:cs="宋体"/>
                <w:color w:val="000000"/>
                <w:kern w:val="0"/>
                <w:sz w:val="18"/>
                <w:szCs w:val="18"/>
              </w:rPr>
            </w:pPr>
            <w:r>
              <w:rPr>
                <w:rFonts w:hint="eastAsia" w:ascii="宋体" w:hAnsi="宋体" w:cs="宋体"/>
                <w:color w:val="000000"/>
                <w:kern w:val="0"/>
                <w:sz w:val="18"/>
                <w:szCs w:val="18"/>
              </w:rPr>
              <w:t>841.66</w:t>
            </w:r>
          </w:p>
        </w:tc>
        <w:tc>
          <w:tcPr>
            <w:tcW w:w="1210" w:type="dxa"/>
            <w:tcBorders>
              <w:top w:val="nil"/>
              <w:left w:val="nil"/>
              <w:bottom w:val="single" w:color="auto" w:sz="8" w:space="0"/>
              <w:right w:val="single" w:color="auto" w:sz="8" w:space="0"/>
            </w:tcBorders>
            <w:shd w:val="clear" w:color="auto" w:fill="auto"/>
            <w:vAlign w:val="center"/>
          </w:tcPr>
          <w:p w14:paraId="40D5D944">
            <w:pPr>
              <w:widowControl/>
              <w:jc w:val="center"/>
              <w:rPr>
                <w:rFonts w:ascii="宋体" w:hAnsi="宋体" w:cs="宋体"/>
                <w:color w:val="000000"/>
                <w:kern w:val="0"/>
                <w:sz w:val="18"/>
                <w:szCs w:val="18"/>
              </w:rPr>
            </w:pPr>
            <w:r>
              <w:rPr>
                <w:rFonts w:hint="eastAsia" w:ascii="宋体" w:hAnsi="宋体" w:cs="宋体"/>
                <w:color w:val="000000"/>
                <w:kern w:val="0"/>
                <w:sz w:val="18"/>
                <w:szCs w:val="18"/>
              </w:rPr>
              <w:t>3.21%</w:t>
            </w:r>
          </w:p>
        </w:tc>
        <w:tc>
          <w:tcPr>
            <w:tcW w:w="1481" w:type="dxa"/>
            <w:tcBorders>
              <w:top w:val="nil"/>
              <w:left w:val="nil"/>
              <w:bottom w:val="single" w:color="auto" w:sz="8" w:space="0"/>
              <w:right w:val="single" w:color="auto" w:sz="8" w:space="0"/>
            </w:tcBorders>
            <w:shd w:val="clear" w:color="auto" w:fill="auto"/>
            <w:vAlign w:val="center"/>
          </w:tcPr>
          <w:p w14:paraId="001B4702">
            <w:pPr>
              <w:widowControl/>
              <w:jc w:val="center"/>
              <w:rPr>
                <w:rFonts w:ascii="宋体" w:hAnsi="宋体" w:cs="宋体"/>
                <w:color w:val="000000"/>
                <w:kern w:val="0"/>
                <w:sz w:val="18"/>
                <w:szCs w:val="18"/>
              </w:rPr>
            </w:pPr>
            <w:r>
              <w:rPr>
                <w:rFonts w:hint="eastAsia" w:ascii="宋体" w:hAnsi="宋体" w:cs="宋体"/>
                <w:color w:val="000000"/>
                <w:kern w:val="0"/>
                <w:sz w:val="18"/>
                <w:szCs w:val="18"/>
              </w:rPr>
              <w:t>814.63</w:t>
            </w:r>
          </w:p>
        </w:tc>
        <w:tc>
          <w:tcPr>
            <w:tcW w:w="1210" w:type="dxa"/>
            <w:tcBorders>
              <w:top w:val="nil"/>
              <w:left w:val="nil"/>
              <w:bottom w:val="single" w:color="auto" w:sz="8" w:space="0"/>
              <w:right w:val="single" w:color="auto" w:sz="8" w:space="0"/>
            </w:tcBorders>
            <w:shd w:val="clear" w:color="auto" w:fill="auto"/>
            <w:vAlign w:val="center"/>
          </w:tcPr>
          <w:p w14:paraId="01014E9D">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1481" w:type="dxa"/>
            <w:tcBorders>
              <w:top w:val="nil"/>
              <w:left w:val="nil"/>
              <w:bottom w:val="single" w:color="auto" w:sz="8" w:space="0"/>
              <w:right w:val="single" w:color="auto" w:sz="8" w:space="0"/>
            </w:tcBorders>
            <w:shd w:val="clear" w:color="auto" w:fill="auto"/>
            <w:vAlign w:val="center"/>
          </w:tcPr>
          <w:p w14:paraId="652DEB73">
            <w:pPr>
              <w:widowControl/>
              <w:jc w:val="center"/>
              <w:rPr>
                <w:rFonts w:ascii="宋体" w:hAnsi="宋体" w:cs="宋体"/>
                <w:color w:val="000000"/>
                <w:kern w:val="0"/>
                <w:sz w:val="18"/>
                <w:szCs w:val="18"/>
              </w:rPr>
            </w:pPr>
            <w:r>
              <w:rPr>
                <w:rFonts w:hint="eastAsia" w:ascii="宋体" w:hAnsi="宋体" w:cs="宋体"/>
                <w:color w:val="000000"/>
                <w:kern w:val="0"/>
                <w:sz w:val="18"/>
                <w:szCs w:val="18"/>
              </w:rPr>
              <w:t>-27.03</w:t>
            </w:r>
          </w:p>
        </w:tc>
        <w:tc>
          <w:tcPr>
            <w:tcW w:w="1210" w:type="dxa"/>
            <w:tcBorders>
              <w:top w:val="nil"/>
              <w:left w:val="nil"/>
              <w:bottom w:val="single" w:color="auto" w:sz="8" w:space="0"/>
              <w:right w:val="single" w:color="auto" w:sz="8" w:space="0"/>
            </w:tcBorders>
            <w:shd w:val="clear" w:color="auto" w:fill="auto"/>
            <w:vAlign w:val="center"/>
          </w:tcPr>
          <w:p w14:paraId="43480308">
            <w:pPr>
              <w:widowControl/>
              <w:jc w:val="center"/>
              <w:rPr>
                <w:rFonts w:ascii="宋体" w:hAnsi="宋体" w:cs="宋体"/>
                <w:color w:val="000000"/>
                <w:kern w:val="0"/>
                <w:sz w:val="18"/>
                <w:szCs w:val="18"/>
              </w:rPr>
            </w:pPr>
            <w:r>
              <w:rPr>
                <w:rFonts w:hint="eastAsia" w:ascii="宋体" w:hAnsi="宋体" w:cs="宋体"/>
                <w:color w:val="000000"/>
                <w:kern w:val="0"/>
                <w:sz w:val="18"/>
                <w:szCs w:val="18"/>
              </w:rPr>
              <w:t>0.29%</w:t>
            </w:r>
          </w:p>
        </w:tc>
      </w:tr>
      <w:tr w14:paraId="4AB2ADC4">
        <w:tblPrEx>
          <w:tblCellMar>
            <w:top w:w="0" w:type="dxa"/>
            <w:left w:w="108" w:type="dxa"/>
            <w:bottom w:w="0" w:type="dxa"/>
            <w:right w:w="108" w:type="dxa"/>
          </w:tblCellMar>
        </w:tblPrEx>
        <w:trPr>
          <w:trHeight w:val="300" w:hRule="atLeast"/>
          <w:jc w:val="center"/>
        </w:trPr>
        <w:tc>
          <w:tcPr>
            <w:tcW w:w="960" w:type="dxa"/>
            <w:tcBorders>
              <w:top w:val="nil"/>
              <w:left w:val="single" w:color="auto" w:sz="8" w:space="0"/>
              <w:bottom w:val="single" w:color="auto" w:sz="8" w:space="0"/>
              <w:right w:val="single" w:color="auto" w:sz="8" w:space="0"/>
            </w:tcBorders>
            <w:shd w:val="clear" w:color="auto" w:fill="auto"/>
          </w:tcPr>
          <w:p w14:paraId="67758C2E">
            <w:pPr>
              <w:widowControl/>
              <w:jc w:val="center"/>
              <w:rPr>
                <w:rFonts w:ascii="宋体" w:hAnsi="宋体" w:cs="宋体"/>
                <w:color w:val="000000"/>
                <w:kern w:val="0"/>
                <w:sz w:val="18"/>
                <w:szCs w:val="18"/>
              </w:rPr>
            </w:pPr>
            <w:r>
              <w:rPr>
                <w:rFonts w:hint="eastAsia" w:ascii="宋体" w:hAnsi="宋体" w:cs="宋体"/>
                <w:color w:val="000000"/>
                <w:kern w:val="0"/>
                <w:sz w:val="18"/>
                <w:szCs w:val="18"/>
              </w:rPr>
              <w:t>7等</w:t>
            </w:r>
          </w:p>
        </w:tc>
        <w:tc>
          <w:tcPr>
            <w:tcW w:w="1481" w:type="dxa"/>
            <w:tcBorders>
              <w:top w:val="nil"/>
              <w:left w:val="nil"/>
              <w:bottom w:val="single" w:color="auto" w:sz="8" w:space="0"/>
              <w:right w:val="single" w:color="auto" w:sz="8" w:space="0"/>
            </w:tcBorders>
            <w:shd w:val="clear" w:color="auto" w:fill="auto"/>
            <w:vAlign w:val="center"/>
          </w:tcPr>
          <w:p w14:paraId="3BFF0150">
            <w:pPr>
              <w:widowControl/>
              <w:jc w:val="center"/>
              <w:rPr>
                <w:rFonts w:ascii="宋体" w:hAnsi="宋体" w:cs="宋体"/>
                <w:color w:val="000000"/>
                <w:kern w:val="0"/>
                <w:sz w:val="18"/>
                <w:szCs w:val="18"/>
              </w:rPr>
            </w:pPr>
            <w:r>
              <w:rPr>
                <w:rFonts w:hint="eastAsia" w:ascii="宋体" w:hAnsi="宋体" w:cs="宋体"/>
                <w:color w:val="000000"/>
                <w:kern w:val="0"/>
                <w:sz w:val="18"/>
                <w:szCs w:val="18"/>
              </w:rPr>
              <w:t>1390.66</w:t>
            </w:r>
          </w:p>
        </w:tc>
        <w:tc>
          <w:tcPr>
            <w:tcW w:w="1210" w:type="dxa"/>
            <w:tcBorders>
              <w:top w:val="nil"/>
              <w:left w:val="nil"/>
              <w:bottom w:val="single" w:color="auto" w:sz="8" w:space="0"/>
              <w:right w:val="single" w:color="auto" w:sz="8" w:space="0"/>
            </w:tcBorders>
            <w:shd w:val="clear" w:color="auto" w:fill="auto"/>
            <w:vAlign w:val="center"/>
          </w:tcPr>
          <w:p w14:paraId="4CB48F4F">
            <w:pPr>
              <w:widowControl/>
              <w:jc w:val="center"/>
              <w:rPr>
                <w:rFonts w:ascii="宋体" w:hAnsi="宋体" w:cs="宋体"/>
                <w:color w:val="000000"/>
                <w:kern w:val="0"/>
                <w:sz w:val="18"/>
                <w:szCs w:val="18"/>
              </w:rPr>
            </w:pPr>
            <w:r>
              <w:rPr>
                <w:rFonts w:hint="eastAsia" w:ascii="宋体" w:hAnsi="宋体" w:cs="宋体"/>
                <w:color w:val="000000"/>
                <w:kern w:val="0"/>
                <w:sz w:val="18"/>
                <w:szCs w:val="18"/>
              </w:rPr>
              <w:t>5.31%</w:t>
            </w:r>
          </w:p>
        </w:tc>
        <w:tc>
          <w:tcPr>
            <w:tcW w:w="1481" w:type="dxa"/>
            <w:tcBorders>
              <w:top w:val="nil"/>
              <w:left w:val="nil"/>
              <w:bottom w:val="single" w:color="auto" w:sz="8" w:space="0"/>
              <w:right w:val="single" w:color="auto" w:sz="8" w:space="0"/>
            </w:tcBorders>
            <w:shd w:val="clear" w:color="auto" w:fill="auto"/>
            <w:vAlign w:val="center"/>
          </w:tcPr>
          <w:p w14:paraId="53C6C6D3">
            <w:pPr>
              <w:widowControl/>
              <w:jc w:val="center"/>
              <w:rPr>
                <w:rFonts w:ascii="宋体" w:hAnsi="宋体" w:cs="宋体"/>
                <w:color w:val="000000"/>
                <w:kern w:val="0"/>
                <w:sz w:val="18"/>
                <w:szCs w:val="18"/>
              </w:rPr>
            </w:pPr>
            <w:r>
              <w:rPr>
                <w:rFonts w:hint="eastAsia" w:ascii="宋体" w:hAnsi="宋体" w:cs="宋体"/>
                <w:color w:val="000000"/>
                <w:kern w:val="0"/>
                <w:sz w:val="18"/>
                <w:szCs w:val="18"/>
              </w:rPr>
              <w:t>1359.95</w:t>
            </w:r>
          </w:p>
        </w:tc>
        <w:tc>
          <w:tcPr>
            <w:tcW w:w="1210" w:type="dxa"/>
            <w:tcBorders>
              <w:top w:val="nil"/>
              <w:left w:val="nil"/>
              <w:bottom w:val="single" w:color="auto" w:sz="8" w:space="0"/>
              <w:right w:val="single" w:color="auto" w:sz="8" w:space="0"/>
            </w:tcBorders>
            <w:shd w:val="clear" w:color="auto" w:fill="auto"/>
            <w:vAlign w:val="center"/>
          </w:tcPr>
          <w:p w14:paraId="48676BE7">
            <w:pPr>
              <w:widowControl/>
              <w:jc w:val="center"/>
              <w:rPr>
                <w:rFonts w:ascii="宋体" w:hAnsi="宋体" w:cs="宋体"/>
                <w:color w:val="000000"/>
                <w:kern w:val="0"/>
                <w:sz w:val="18"/>
                <w:szCs w:val="18"/>
              </w:rPr>
            </w:pPr>
            <w:r>
              <w:rPr>
                <w:rFonts w:hint="eastAsia" w:ascii="宋体" w:hAnsi="宋体" w:cs="宋体"/>
                <w:color w:val="000000"/>
                <w:kern w:val="0"/>
                <w:sz w:val="18"/>
                <w:szCs w:val="18"/>
              </w:rPr>
              <w:t>5.90%</w:t>
            </w:r>
          </w:p>
        </w:tc>
        <w:tc>
          <w:tcPr>
            <w:tcW w:w="1481" w:type="dxa"/>
            <w:tcBorders>
              <w:top w:val="nil"/>
              <w:left w:val="nil"/>
              <w:bottom w:val="single" w:color="auto" w:sz="8" w:space="0"/>
              <w:right w:val="single" w:color="auto" w:sz="8" w:space="0"/>
            </w:tcBorders>
            <w:shd w:val="clear" w:color="auto" w:fill="auto"/>
            <w:vAlign w:val="center"/>
          </w:tcPr>
          <w:p w14:paraId="752601DC">
            <w:pPr>
              <w:widowControl/>
              <w:jc w:val="center"/>
              <w:rPr>
                <w:rFonts w:ascii="宋体" w:hAnsi="宋体" w:cs="宋体"/>
                <w:color w:val="000000"/>
                <w:kern w:val="0"/>
                <w:sz w:val="18"/>
                <w:szCs w:val="18"/>
              </w:rPr>
            </w:pPr>
            <w:r>
              <w:rPr>
                <w:rFonts w:hint="eastAsia" w:ascii="宋体" w:hAnsi="宋体" w:cs="宋体"/>
                <w:color w:val="000000"/>
                <w:kern w:val="0"/>
                <w:sz w:val="18"/>
                <w:szCs w:val="18"/>
              </w:rPr>
              <w:t>-30.71</w:t>
            </w:r>
          </w:p>
        </w:tc>
        <w:tc>
          <w:tcPr>
            <w:tcW w:w="1210" w:type="dxa"/>
            <w:tcBorders>
              <w:top w:val="nil"/>
              <w:left w:val="nil"/>
              <w:bottom w:val="single" w:color="auto" w:sz="8" w:space="0"/>
              <w:right w:val="single" w:color="auto" w:sz="8" w:space="0"/>
            </w:tcBorders>
            <w:shd w:val="clear" w:color="auto" w:fill="auto"/>
            <w:vAlign w:val="center"/>
          </w:tcPr>
          <w:p w14:paraId="58D73267">
            <w:pPr>
              <w:widowControl/>
              <w:jc w:val="center"/>
              <w:rPr>
                <w:rFonts w:ascii="宋体" w:hAnsi="宋体" w:cs="宋体"/>
                <w:color w:val="000000"/>
                <w:kern w:val="0"/>
                <w:sz w:val="18"/>
                <w:szCs w:val="18"/>
              </w:rPr>
            </w:pPr>
            <w:r>
              <w:rPr>
                <w:rFonts w:hint="eastAsia" w:ascii="宋体" w:hAnsi="宋体" w:cs="宋体"/>
                <w:color w:val="000000"/>
                <w:kern w:val="0"/>
                <w:sz w:val="18"/>
                <w:szCs w:val="18"/>
              </w:rPr>
              <w:t>0.59%</w:t>
            </w:r>
          </w:p>
        </w:tc>
      </w:tr>
      <w:tr w14:paraId="4C7D3F25">
        <w:tblPrEx>
          <w:tblCellMar>
            <w:top w:w="0" w:type="dxa"/>
            <w:left w:w="108" w:type="dxa"/>
            <w:bottom w:w="0" w:type="dxa"/>
            <w:right w:w="108" w:type="dxa"/>
          </w:tblCellMar>
        </w:tblPrEx>
        <w:trPr>
          <w:trHeight w:val="300" w:hRule="atLeast"/>
          <w:jc w:val="center"/>
        </w:trPr>
        <w:tc>
          <w:tcPr>
            <w:tcW w:w="960" w:type="dxa"/>
            <w:tcBorders>
              <w:top w:val="nil"/>
              <w:left w:val="single" w:color="auto" w:sz="8" w:space="0"/>
              <w:bottom w:val="single" w:color="auto" w:sz="8" w:space="0"/>
              <w:right w:val="single" w:color="auto" w:sz="8" w:space="0"/>
            </w:tcBorders>
            <w:shd w:val="clear" w:color="auto" w:fill="auto"/>
          </w:tcPr>
          <w:p w14:paraId="1CCC2D86">
            <w:pPr>
              <w:widowControl/>
              <w:jc w:val="center"/>
              <w:rPr>
                <w:rFonts w:ascii="宋体" w:hAnsi="宋体" w:cs="宋体"/>
                <w:color w:val="000000"/>
                <w:kern w:val="0"/>
                <w:sz w:val="18"/>
                <w:szCs w:val="18"/>
              </w:rPr>
            </w:pPr>
            <w:r>
              <w:rPr>
                <w:rFonts w:hint="eastAsia" w:ascii="宋体" w:hAnsi="宋体" w:cs="宋体"/>
                <w:color w:val="000000"/>
                <w:kern w:val="0"/>
                <w:sz w:val="18"/>
                <w:szCs w:val="18"/>
              </w:rPr>
              <w:t>8等</w:t>
            </w:r>
          </w:p>
        </w:tc>
        <w:tc>
          <w:tcPr>
            <w:tcW w:w="1481" w:type="dxa"/>
            <w:tcBorders>
              <w:top w:val="nil"/>
              <w:left w:val="nil"/>
              <w:bottom w:val="single" w:color="auto" w:sz="8" w:space="0"/>
              <w:right w:val="single" w:color="auto" w:sz="8" w:space="0"/>
            </w:tcBorders>
            <w:shd w:val="clear" w:color="auto" w:fill="auto"/>
            <w:vAlign w:val="center"/>
          </w:tcPr>
          <w:p w14:paraId="2086BE5A">
            <w:pPr>
              <w:widowControl/>
              <w:jc w:val="center"/>
              <w:rPr>
                <w:rFonts w:ascii="宋体" w:hAnsi="宋体" w:cs="宋体"/>
                <w:color w:val="000000"/>
                <w:kern w:val="0"/>
                <w:sz w:val="18"/>
                <w:szCs w:val="18"/>
              </w:rPr>
            </w:pPr>
            <w:r>
              <w:rPr>
                <w:rFonts w:hint="eastAsia" w:ascii="宋体" w:hAnsi="宋体" w:cs="宋体"/>
                <w:color w:val="000000"/>
                <w:kern w:val="0"/>
                <w:sz w:val="18"/>
                <w:szCs w:val="18"/>
              </w:rPr>
              <w:t>6336.68</w:t>
            </w:r>
          </w:p>
        </w:tc>
        <w:tc>
          <w:tcPr>
            <w:tcW w:w="1210" w:type="dxa"/>
            <w:tcBorders>
              <w:top w:val="nil"/>
              <w:left w:val="nil"/>
              <w:bottom w:val="single" w:color="auto" w:sz="8" w:space="0"/>
              <w:right w:val="single" w:color="auto" w:sz="8" w:space="0"/>
            </w:tcBorders>
            <w:shd w:val="clear" w:color="auto" w:fill="auto"/>
            <w:vAlign w:val="center"/>
          </w:tcPr>
          <w:p w14:paraId="4045A3DF">
            <w:pPr>
              <w:widowControl/>
              <w:jc w:val="center"/>
              <w:rPr>
                <w:rFonts w:ascii="宋体" w:hAnsi="宋体" w:cs="宋体"/>
                <w:color w:val="000000"/>
                <w:kern w:val="0"/>
                <w:sz w:val="18"/>
                <w:szCs w:val="18"/>
              </w:rPr>
            </w:pPr>
            <w:r>
              <w:rPr>
                <w:rFonts w:hint="eastAsia" w:ascii="宋体" w:hAnsi="宋体" w:cs="宋体"/>
                <w:color w:val="000000"/>
                <w:kern w:val="0"/>
                <w:sz w:val="18"/>
                <w:szCs w:val="18"/>
              </w:rPr>
              <w:t>24.18%</w:t>
            </w:r>
          </w:p>
        </w:tc>
        <w:tc>
          <w:tcPr>
            <w:tcW w:w="1481" w:type="dxa"/>
            <w:tcBorders>
              <w:top w:val="nil"/>
              <w:left w:val="nil"/>
              <w:bottom w:val="single" w:color="auto" w:sz="8" w:space="0"/>
              <w:right w:val="single" w:color="auto" w:sz="8" w:space="0"/>
            </w:tcBorders>
            <w:shd w:val="clear" w:color="auto" w:fill="auto"/>
            <w:vAlign w:val="center"/>
          </w:tcPr>
          <w:p w14:paraId="199FB6F0">
            <w:pPr>
              <w:widowControl/>
              <w:jc w:val="center"/>
              <w:rPr>
                <w:rFonts w:ascii="宋体" w:hAnsi="宋体" w:cs="宋体"/>
                <w:color w:val="000000"/>
                <w:kern w:val="0"/>
                <w:sz w:val="18"/>
                <w:szCs w:val="18"/>
              </w:rPr>
            </w:pPr>
            <w:r>
              <w:rPr>
                <w:rFonts w:hint="eastAsia" w:ascii="宋体" w:hAnsi="宋体" w:cs="宋体"/>
                <w:color w:val="000000"/>
                <w:kern w:val="0"/>
                <w:sz w:val="18"/>
                <w:szCs w:val="18"/>
              </w:rPr>
              <w:t>5791.59</w:t>
            </w:r>
          </w:p>
        </w:tc>
        <w:tc>
          <w:tcPr>
            <w:tcW w:w="1210" w:type="dxa"/>
            <w:tcBorders>
              <w:top w:val="nil"/>
              <w:left w:val="nil"/>
              <w:bottom w:val="single" w:color="auto" w:sz="8" w:space="0"/>
              <w:right w:val="single" w:color="auto" w:sz="8" w:space="0"/>
            </w:tcBorders>
            <w:shd w:val="clear" w:color="auto" w:fill="auto"/>
            <w:vAlign w:val="center"/>
          </w:tcPr>
          <w:p w14:paraId="191A9FCC">
            <w:pPr>
              <w:widowControl/>
              <w:jc w:val="center"/>
              <w:rPr>
                <w:rFonts w:ascii="宋体" w:hAnsi="宋体" w:cs="宋体"/>
                <w:color w:val="000000"/>
                <w:kern w:val="0"/>
                <w:sz w:val="18"/>
                <w:szCs w:val="18"/>
              </w:rPr>
            </w:pPr>
            <w:r>
              <w:rPr>
                <w:rFonts w:hint="eastAsia" w:ascii="宋体" w:hAnsi="宋体" w:cs="宋体"/>
                <w:color w:val="000000"/>
                <w:kern w:val="0"/>
                <w:sz w:val="18"/>
                <w:szCs w:val="18"/>
              </w:rPr>
              <w:t>25.10%</w:t>
            </w:r>
          </w:p>
        </w:tc>
        <w:tc>
          <w:tcPr>
            <w:tcW w:w="1481" w:type="dxa"/>
            <w:tcBorders>
              <w:top w:val="nil"/>
              <w:left w:val="nil"/>
              <w:bottom w:val="single" w:color="auto" w:sz="8" w:space="0"/>
              <w:right w:val="single" w:color="auto" w:sz="8" w:space="0"/>
            </w:tcBorders>
            <w:shd w:val="clear" w:color="auto" w:fill="auto"/>
            <w:vAlign w:val="center"/>
          </w:tcPr>
          <w:p w14:paraId="0F534902">
            <w:pPr>
              <w:widowControl/>
              <w:jc w:val="center"/>
              <w:rPr>
                <w:rFonts w:ascii="宋体" w:hAnsi="宋体" w:cs="宋体"/>
                <w:color w:val="000000"/>
                <w:kern w:val="0"/>
                <w:sz w:val="18"/>
                <w:szCs w:val="18"/>
              </w:rPr>
            </w:pPr>
            <w:r>
              <w:rPr>
                <w:rFonts w:hint="eastAsia" w:ascii="宋体" w:hAnsi="宋体" w:cs="宋体"/>
                <w:color w:val="000000"/>
                <w:kern w:val="0"/>
                <w:sz w:val="18"/>
                <w:szCs w:val="18"/>
              </w:rPr>
              <w:t>-545.09</w:t>
            </w:r>
          </w:p>
        </w:tc>
        <w:tc>
          <w:tcPr>
            <w:tcW w:w="1210" w:type="dxa"/>
            <w:tcBorders>
              <w:top w:val="nil"/>
              <w:left w:val="nil"/>
              <w:bottom w:val="single" w:color="auto" w:sz="8" w:space="0"/>
              <w:right w:val="single" w:color="auto" w:sz="8" w:space="0"/>
            </w:tcBorders>
            <w:shd w:val="clear" w:color="auto" w:fill="auto"/>
            <w:vAlign w:val="center"/>
          </w:tcPr>
          <w:p w14:paraId="2246F876">
            <w:pPr>
              <w:widowControl/>
              <w:jc w:val="center"/>
              <w:rPr>
                <w:rFonts w:ascii="宋体" w:hAnsi="宋体" w:cs="宋体"/>
                <w:color w:val="000000"/>
                <w:kern w:val="0"/>
                <w:sz w:val="18"/>
                <w:szCs w:val="18"/>
              </w:rPr>
            </w:pPr>
            <w:r>
              <w:rPr>
                <w:rFonts w:hint="eastAsia" w:ascii="宋体" w:hAnsi="宋体" w:cs="宋体"/>
                <w:color w:val="000000"/>
                <w:kern w:val="0"/>
                <w:sz w:val="18"/>
                <w:szCs w:val="18"/>
              </w:rPr>
              <w:t>0.92%</w:t>
            </w:r>
          </w:p>
        </w:tc>
      </w:tr>
      <w:tr w14:paraId="65525D96">
        <w:tblPrEx>
          <w:tblCellMar>
            <w:top w:w="0" w:type="dxa"/>
            <w:left w:w="108" w:type="dxa"/>
            <w:bottom w:w="0" w:type="dxa"/>
            <w:right w:w="108" w:type="dxa"/>
          </w:tblCellMar>
        </w:tblPrEx>
        <w:trPr>
          <w:trHeight w:val="300" w:hRule="atLeast"/>
          <w:jc w:val="center"/>
        </w:trPr>
        <w:tc>
          <w:tcPr>
            <w:tcW w:w="960" w:type="dxa"/>
            <w:tcBorders>
              <w:top w:val="nil"/>
              <w:left w:val="single" w:color="auto" w:sz="8" w:space="0"/>
              <w:bottom w:val="single" w:color="auto" w:sz="8" w:space="0"/>
              <w:right w:val="single" w:color="auto" w:sz="8" w:space="0"/>
            </w:tcBorders>
            <w:shd w:val="clear" w:color="auto" w:fill="auto"/>
          </w:tcPr>
          <w:p w14:paraId="16C25DEC">
            <w:pPr>
              <w:widowControl/>
              <w:jc w:val="center"/>
              <w:rPr>
                <w:rFonts w:ascii="宋体" w:hAnsi="宋体" w:cs="宋体"/>
                <w:color w:val="000000"/>
                <w:kern w:val="0"/>
                <w:sz w:val="18"/>
                <w:szCs w:val="18"/>
              </w:rPr>
            </w:pPr>
            <w:r>
              <w:rPr>
                <w:rFonts w:hint="eastAsia" w:ascii="宋体" w:hAnsi="宋体" w:cs="宋体"/>
                <w:color w:val="000000"/>
                <w:kern w:val="0"/>
                <w:sz w:val="18"/>
                <w:szCs w:val="18"/>
              </w:rPr>
              <w:t>9等</w:t>
            </w:r>
          </w:p>
        </w:tc>
        <w:tc>
          <w:tcPr>
            <w:tcW w:w="1481" w:type="dxa"/>
            <w:tcBorders>
              <w:top w:val="nil"/>
              <w:left w:val="nil"/>
              <w:bottom w:val="single" w:color="auto" w:sz="8" w:space="0"/>
              <w:right w:val="single" w:color="auto" w:sz="8" w:space="0"/>
            </w:tcBorders>
            <w:shd w:val="clear" w:color="auto" w:fill="auto"/>
            <w:vAlign w:val="center"/>
          </w:tcPr>
          <w:p w14:paraId="7DDF35E4">
            <w:pPr>
              <w:widowControl/>
              <w:jc w:val="center"/>
              <w:rPr>
                <w:rFonts w:ascii="宋体" w:hAnsi="宋体" w:cs="宋体"/>
                <w:color w:val="000000"/>
                <w:kern w:val="0"/>
                <w:sz w:val="18"/>
                <w:szCs w:val="18"/>
              </w:rPr>
            </w:pPr>
            <w:r>
              <w:rPr>
                <w:rFonts w:hint="eastAsia" w:ascii="宋体" w:hAnsi="宋体" w:cs="宋体"/>
                <w:color w:val="000000"/>
                <w:kern w:val="0"/>
                <w:sz w:val="18"/>
                <w:szCs w:val="18"/>
              </w:rPr>
              <w:t>3093.35</w:t>
            </w:r>
          </w:p>
        </w:tc>
        <w:tc>
          <w:tcPr>
            <w:tcW w:w="1210" w:type="dxa"/>
            <w:tcBorders>
              <w:top w:val="nil"/>
              <w:left w:val="nil"/>
              <w:bottom w:val="single" w:color="auto" w:sz="8" w:space="0"/>
              <w:right w:val="single" w:color="auto" w:sz="8" w:space="0"/>
            </w:tcBorders>
            <w:shd w:val="clear" w:color="auto" w:fill="auto"/>
            <w:vAlign w:val="center"/>
          </w:tcPr>
          <w:p w14:paraId="61639FC3">
            <w:pPr>
              <w:widowControl/>
              <w:jc w:val="center"/>
              <w:rPr>
                <w:rFonts w:ascii="宋体" w:hAnsi="宋体" w:cs="宋体"/>
                <w:color w:val="000000"/>
                <w:kern w:val="0"/>
                <w:sz w:val="18"/>
                <w:szCs w:val="18"/>
              </w:rPr>
            </w:pPr>
            <w:r>
              <w:rPr>
                <w:rFonts w:hint="eastAsia" w:ascii="宋体" w:hAnsi="宋体" w:cs="宋体"/>
                <w:color w:val="000000"/>
                <w:kern w:val="0"/>
                <w:sz w:val="18"/>
                <w:szCs w:val="18"/>
              </w:rPr>
              <w:t>11.80%</w:t>
            </w:r>
          </w:p>
        </w:tc>
        <w:tc>
          <w:tcPr>
            <w:tcW w:w="1481" w:type="dxa"/>
            <w:tcBorders>
              <w:top w:val="nil"/>
              <w:left w:val="nil"/>
              <w:bottom w:val="single" w:color="auto" w:sz="8" w:space="0"/>
              <w:right w:val="single" w:color="auto" w:sz="8" w:space="0"/>
            </w:tcBorders>
            <w:shd w:val="clear" w:color="auto" w:fill="auto"/>
            <w:vAlign w:val="center"/>
          </w:tcPr>
          <w:p w14:paraId="04159D38">
            <w:pPr>
              <w:widowControl/>
              <w:jc w:val="center"/>
              <w:rPr>
                <w:rFonts w:ascii="宋体" w:hAnsi="宋体" w:cs="宋体"/>
                <w:color w:val="000000"/>
                <w:kern w:val="0"/>
                <w:sz w:val="18"/>
                <w:szCs w:val="18"/>
              </w:rPr>
            </w:pPr>
            <w:r>
              <w:rPr>
                <w:rFonts w:hint="eastAsia" w:ascii="宋体" w:hAnsi="宋体" w:cs="宋体"/>
                <w:color w:val="000000"/>
                <w:kern w:val="0"/>
                <w:sz w:val="18"/>
                <w:szCs w:val="18"/>
              </w:rPr>
              <w:t>2800.15</w:t>
            </w:r>
          </w:p>
        </w:tc>
        <w:tc>
          <w:tcPr>
            <w:tcW w:w="1210" w:type="dxa"/>
            <w:tcBorders>
              <w:top w:val="nil"/>
              <w:left w:val="nil"/>
              <w:bottom w:val="single" w:color="auto" w:sz="8" w:space="0"/>
              <w:right w:val="single" w:color="auto" w:sz="8" w:space="0"/>
            </w:tcBorders>
            <w:shd w:val="clear" w:color="auto" w:fill="auto"/>
            <w:vAlign w:val="center"/>
          </w:tcPr>
          <w:p w14:paraId="7CAD7EE2">
            <w:pPr>
              <w:widowControl/>
              <w:jc w:val="center"/>
              <w:rPr>
                <w:rFonts w:ascii="宋体" w:hAnsi="宋体" w:cs="宋体"/>
                <w:color w:val="000000"/>
                <w:kern w:val="0"/>
                <w:sz w:val="18"/>
                <w:szCs w:val="18"/>
              </w:rPr>
            </w:pPr>
            <w:r>
              <w:rPr>
                <w:rFonts w:hint="eastAsia" w:ascii="宋体" w:hAnsi="宋体" w:cs="宋体"/>
                <w:color w:val="000000"/>
                <w:kern w:val="0"/>
                <w:sz w:val="18"/>
                <w:szCs w:val="18"/>
              </w:rPr>
              <w:t>12.10%</w:t>
            </w:r>
          </w:p>
        </w:tc>
        <w:tc>
          <w:tcPr>
            <w:tcW w:w="1481" w:type="dxa"/>
            <w:tcBorders>
              <w:top w:val="nil"/>
              <w:left w:val="nil"/>
              <w:bottom w:val="single" w:color="auto" w:sz="8" w:space="0"/>
              <w:right w:val="single" w:color="auto" w:sz="8" w:space="0"/>
            </w:tcBorders>
            <w:shd w:val="clear" w:color="auto" w:fill="auto"/>
            <w:vAlign w:val="center"/>
          </w:tcPr>
          <w:p w14:paraId="3CE8B970">
            <w:pPr>
              <w:widowControl/>
              <w:jc w:val="center"/>
              <w:rPr>
                <w:rFonts w:ascii="宋体" w:hAnsi="宋体" w:cs="宋体"/>
                <w:color w:val="000000"/>
                <w:kern w:val="0"/>
                <w:sz w:val="18"/>
                <w:szCs w:val="18"/>
              </w:rPr>
            </w:pPr>
            <w:r>
              <w:rPr>
                <w:rFonts w:hint="eastAsia" w:ascii="宋体" w:hAnsi="宋体" w:cs="宋体"/>
                <w:color w:val="000000"/>
                <w:kern w:val="0"/>
                <w:sz w:val="18"/>
                <w:szCs w:val="18"/>
              </w:rPr>
              <w:t>-293.2</w:t>
            </w:r>
          </w:p>
        </w:tc>
        <w:tc>
          <w:tcPr>
            <w:tcW w:w="1210" w:type="dxa"/>
            <w:tcBorders>
              <w:top w:val="nil"/>
              <w:left w:val="nil"/>
              <w:bottom w:val="single" w:color="auto" w:sz="8" w:space="0"/>
              <w:right w:val="single" w:color="auto" w:sz="8" w:space="0"/>
            </w:tcBorders>
            <w:shd w:val="clear" w:color="auto" w:fill="auto"/>
            <w:vAlign w:val="center"/>
          </w:tcPr>
          <w:p w14:paraId="6A313266">
            <w:pPr>
              <w:widowControl/>
              <w:jc w:val="center"/>
              <w:rPr>
                <w:rFonts w:ascii="宋体" w:hAnsi="宋体" w:cs="宋体"/>
                <w:color w:val="000000"/>
                <w:kern w:val="0"/>
                <w:sz w:val="18"/>
                <w:szCs w:val="18"/>
              </w:rPr>
            </w:pPr>
            <w:r>
              <w:rPr>
                <w:rFonts w:hint="eastAsia" w:ascii="宋体" w:hAnsi="宋体" w:cs="宋体"/>
                <w:color w:val="000000"/>
                <w:kern w:val="0"/>
                <w:sz w:val="18"/>
                <w:szCs w:val="18"/>
              </w:rPr>
              <w:t>0.30%</w:t>
            </w:r>
          </w:p>
        </w:tc>
      </w:tr>
      <w:tr w14:paraId="11A708D1">
        <w:tblPrEx>
          <w:tblCellMar>
            <w:top w:w="0" w:type="dxa"/>
            <w:left w:w="108" w:type="dxa"/>
            <w:bottom w:w="0" w:type="dxa"/>
            <w:right w:w="108" w:type="dxa"/>
          </w:tblCellMar>
        </w:tblPrEx>
        <w:trPr>
          <w:trHeight w:val="300" w:hRule="atLeast"/>
          <w:jc w:val="center"/>
        </w:trPr>
        <w:tc>
          <w:tcPr>
            <w:tcW w:w="960" w:type="dxa"/>
            <w:tcBorders>
              <w:top w:val="nil"/>
              <w:left w:val="single" w:color="auto" w:sz="8" w:space="0"/>
              <w:bottom w:val="single" w:color="auto" w:sz="8" w:space="0"/>
              <w:right w:val="single" w:color="auto" w:sz="8" w:space="0"/>
            </w:tcBorders>
            <w:shd w:val="clear" w:color="auto" w:fill="auto"/>
          </w:tcPr>
          <w:p w14:paraId="3D62E918">
            <w:pPr>
              <w:widowControl/>
              <w:jc w:val="center"/>
              <w:rPr>
                <w:rFonts w:ascii="宋体" w:hAnsi="宋体" w:cs="宋体"/>
                <w:color w:val="000000"/>
                <w:kern w:val="0"/>
                <w:sz w:val="18"/>
                <w:szCs w:val="18"/>
              </w:rPr>
            </w:pPr>
            <w:r>
              <w:rPr>
                <w:rFonts w:hint="eastAsia" w:ascii="宋体" w:hAnsi="宋体" w:cs="宋体"/>
                <w:color w:val="000000"/>
                <w:kern w:val="0"/>
                <w:sz w:val="18"/>
                <w:szCs w:val="18"/>
              </w:rPr>
              <w:t>10等</w:t>
            </w:r>
          </w:p>
        </w:tc>
        <w:tc>
          <w:tcPr>
            <w:tcW w:w="1481" w:type="dxa"/>
            <w:tcBorders>
              <w:top w:val="nil"/>
              <w:left w:val="nil"/>
              <w:bottom w:val="single" w:color="auto" w:sz="8" w:space="0"/>
              <w:right w:val="single" w:color="auto" w:sz="8" w:space="0"/>
            </w:tcBorders>
            <w:shd w:val="clear" w:color="auto" w:fill="auto"/>
            <w:vAlign w:val="center"/>
          </w:tcPr>
          <w:p w14:paraId="2541CE36">
            <w:pPr>
              <w:widowControl/>
              <w:jc w:val="center"/>
              <w:rPr>
                <w:rFonts w:ascii="宋体" w:hAnsi="宋体" w:cs="宋体"/>
                <w:color w:val="000000"/>
                <w:kern w:val="0"/>
                <w:sz w:val="18"/>
                <w:szCs w:val="18"/>
              </w:rPr>
            </w:pPr>
            <w:r>
              <w:rPr>
                <w:rFonts w:hint="eastAsia" w:ascii="宋体" w:hAnsi="宋体" w:cs="宋体"/>
                <w:color w:val="000000"/>
                <w:kern w:val="0"/>
                <w:sz w:val="18"/>
                <w:szCs w:val="18"/>
              </w:rPr>
              <w:t>4079.36</w:t>
            </w:r>
          </w:p>
        </w:tc>
        <w:tc>
          <w:tcPr>
            <w:tcW w:w="1210" w:type="dxa"/>
            <w:tcBorders>
              <w:top w:val="nil"/>
              <w:left w:val="nil"/>
              <w:bottom w:val="single" w:color="auto" w:sz="8" w:space="0"/>
              <w:right w:val="single" w:color="auto" w:sz="8" w:space="0"/>
            </w:tcBorders>
            <w:shd w:val="clear" w:color="auto" w:fill="auto"/>
            <w:vAlign w:val="center"/>
          </w:tcPr>
          <w:p w14:paraId="5E467E05">
            <w:pPr>
              <w:widowControl/>
              <w:jc w:val="center"/>
              <w:rPr>
                <w:rFonts w:ascii="宋体" w:hAnsi="宋体" w:cs="宋体"/>
                <w:color w:val="000000"/>
                <w:kern w:val="0"/>
                <w:sz w:val="18"/>
                <w:szCs w:val="18"/>
              </w:rPr>
            </w:pPr>
            <w:r>
              <w:rPr>
                <w:rFonts w:hint="eastAsia" w:ascii="宋体" w:hAnsi="宋体" w:cs="宋体"/>
                <w:color w:val="000000"/>
                <w:kern w:val="0"/>
                <w:sz w:val="18"/>
                <w:szCs w:val="18"/>
              </w:rPr>
              <w:t>15.57%</w:t>
            </w:r>
          </w:p>
        </w:tc>
        <w:tc>
          <w:tcPr>
            <w:tcW w:w="1481" w:type="dxa"/>
            <w:tcBorders>
              <w:top w:val="nil"/>
              <w:left w:val="nil"/>
              <w:bottom w:val="single" w:color="auto" w:sz="8" w:space="0"/>
              <w:right w:val="single" w:color="auto" w:sz="8" w:space="0"/>
            </w:tcBorders>
            <w:shd w:val="clear" w:color="auto" w:fill="auto"/>
            <w:vAlign w:val="center"/>
          </w:tcPr>
          <w:p w14:paraId="39C93915">
            <w:pPr>
              <w:widowControl/>
              <w:jc w:val="center"/>
              <w:rPr>
                <w:rFonts w:ascii="宋体" w:hAnsi="宋体" w:cs="宋体"/>
                <w:color w:val="000000"/>
                <w:kern w:val="0"/>
                <w:sz w:val="18"/>
                <w:szCs w:val="18"/>
              </w:rPr>
            </w:pPr>
            <w:r>
              <w:rPr>
                <w:rFonts w:hint="eastAsia" w:ascii="宋体" w:hAnsi="宋体" w:cs="宋体"/>
                <w:color w:val="000000"/>
                <w:kern w:val="0"/>
                <w:sz w:val="18"/>
                <w:szCs w:val="18"/>
              </w:rPr>
              <w:t>3620.15</w:t>
            </w:r>
          </w:p>
        </w:tc>
        <w:tc>
          <w:tcPr>
            <w:tcW w:w="1210" w:type="dxa"/>
            <w:tcBorders>
              <w:top w:val="nil"/>
              <w:left w:val="nil"/>
              <w:bottom w:val="single" w:color="auto" w:sz="8" w:space="0"/>
              <w:right w:val="single" w:color="auto" w:sz="8" w:space="0"/>
            </w:tcBorders>
            <w:shd w:val="clear" w:color="auto" w:fill="auto"/>
            <w:vAlign w:val="center"/>
          </w:tcPr>
          <w:p w14:paraId="52765230">
            <w:pPr>
              <w:widowControl/>
              <w:jc w:val="center"/>
              <w:rPr>
                <w:rFonts w:ascii="宋体" w:hAnsi="宋体" w:cs="宋体"/>
                <w:color w:val="000000"/>
                <w:kern w:val="0"/>
                <w:sz w:val="18"/>
                <w:szCs w:val="18"/>
              </w:rPr>
            </w:pPr>
            <w:r>
              <w:rPr>
                <w:rFonts w:hint="eastAsia" w:ascii="宋体" w:hAnsi="宋体" w:cs="宋体"/>
                <w:color w:val="000000"/>
                <w:kern w:val="0"/>
                <w:sz w:val="18"/>
                <w:szCs w:val="18"/>
              </w:rPr>
              <w:t>15.70%</w:t>
            </w:r>
          </w:p>
        </w:tc>
        <w:tc>
          <w:tcPr>
            <w:tcW w:w="1481" w:type="dxa"/>
            <w:tcBorders>
              <w:top w:val="nil"/>
              <w:left w:val="nil"/>
              <w:bottom w:val="single" w:color="auto" w:sz="8" w:space="0"/>
              <w:right w:val="single" w:color="auto" w:sz="8" w:space="0"/>
            </w:tcBorders>
            <w:shd w:val="clear" w:color="auto" w:fill="auto"/>
            <w:vAlign w:val="center"/>
          </w:tcPr>
          <w:p w14:paraId="67D0BDC2">
            <w:pPr>
              <w:widowControl/>
              <w:jc w:val="center"/>
              <w:rPr>
                <w:rFonts w:ascii="宋体" w:hAnsi="宋体" w:cs="宋体"/>
                <w:color w:val="000000"/>
                <w:kern w:val="0"/>
                <w:sz w:val="18"/>
                <w:szCs w:val="18"/>
              </w:rPr>
            </w:pPr>
            <w:r>
              <w:rPr>
                <w:rFonts w:hint="eastAsia" w:ascii="宋体" w:hAnsi="宋体" w:cs="宋体"/>
                <w:color w:val="000000"/>
                <w:kern w:val="0"/>
                <w:sz w:val="18"/>
                <w:szCs w:val="18"/>
              </w:rPr>
              <w:t>-459.21</w:t>
            </w:r>
          </w:p>
        </w:tc>
        <w:tc>
          <w:tcPr>
            <w:tcW w:w="1210" w:type="dxa"/>
            <w:tcBorders>
              <w:top w:val="nil"/>
              <w:left w:val="nil"/>
              <w:bottom w:val="single" w:color="auto" w:sz="8" w:space="0"/>
              <w:right w:val="single" w:color="auto" w:sz="8" w:space="0"/>
            </w:tcBorders>
            <w:shd w:val="clear" w:color="auto" w:fill="auto"/>
            <w:vAlign w:val="center"/>
          </w:tcPr>
          <w:p w14:paraId="50ACE7D5">
            <w:pPr>
              <w:widowControl/>
              <w:jc w:val="center"/>
              <w:rPr>
                <w:rFonts w:ascii="宋体" w:hAnsi="宋体" w:cs="宋体"/>
                <w:color w:val="000000"/>
                <w:kern w:val="0"/>
                <w:sz w:val="18"/>
                <w:szCs w:val="18"/>
              </w:rPr>
            </w:pPr>
            <w:r>
              <w:rPr>
                <w:rFonts w:hint="eastAsia" w:ascii="宋体" w:hAnsi="宋体" w:cs="宋体"/>
                <w:color w:val="000000"/>
                <w:kern w:val="0"/>
                <w:sz w:val="18"/>
                <w:szCs w:val="18"/>
              </w:rPr>
              <w:t>0.13%</w:t>
            </w:r>
          </w:p>
        </w:tc>
      </w:tr>
      <w:tr w14:paraId="4FA0BFAF">
        <w:tblPrEx>
          <w:tblCellMar>
            <w:top w:w="0" w:type="dxa"/>
            <w:left w:w="108" w:type="dxa"/>
            <w:bottom w:w="0" w:type="dxa"/>
            <w:right w:w="108" w:type="dxa"/>
          </w:tblCellMar>
        </w:tblPrEx>
        <w:trPr>
          <w:trHeight w:val="300" w:hRule="atLeast"/>
          <w:jc w:val="center"/>
        </w:trPr>
        <w:tc>
          <w:tcPr>
            <w:tcW w:w="960" w:type="dxa"/>
            <w:tcBorders>
              <w:top w:val="nil"/>
              <w:left w:val="single" w:color="auto" w:sz="8" w:space="0"/>
              <w:bottom w:val="single" w:color="auto" w:sz="8" w:space="0"/>
              <w:right w:val="single" w:color="auto" w:sz="8" w:space="0"/>
            </w:tcBorders>
            <w:shd w:val="clear" w:color="auto" w:fill="auto"/>
          </w:tcPr>
          <w:p w14:paraId="28F16FD2">
            <w:pPr>
              <w:widowControl/>
              <w:jc w:val="center"/>
              <w:rPr>
                <w:rFonts w:ascii="宋体" w:hAnsi="宋体" w:cs="宋体"/>
                <w:color w:val="000000"/>
                <w:kern w:val="0"/>
                <w:sz w:val="18"/>
                <w:szCs w:val="18"/>
              </w:rPr>
            </w:pPr>
            <w:r>
              <w:rPr>
                <w:rFonts w:hint="eastAsia" w:ascii="宋体" w:hAnsi="宋体" w:cs="宋体"/>
                <w:color w:val="000000"/>
                <w:kern w:val="0"/>
                <w:sz w:val="18"/>
                <w:szCs w:val="18"/>
              </w:rPr>
              <w:t>11等</w:t>
            </w:r>
          </w:p>
        </w:tc>
        <w:tc>
          <w:tcPr>
            <w:tcW w:w="1481" w:type="dxa"/>
            <w:tcBorders>
              <w:top w:val="nil"/>
              <w:left w:val="nil"/>
              <w:bottom w:val="single" w:color="auto" w:sz="8" w:space="0"/>
              <w:right w:val="single" w:color="auto" w:sz="8" w:space="0"/>
            </w:tcBorders>
            <w:shd w:val="clear" w:color="auto" w:fill="auto"/>
            <w:vAlign w:val="center"/>
          </w:tcPr>
          <w:p w14:paraId="48334CC8">
            <w:pPr>
              <w:widowControl/>
              <w:jc w:val="center"/>
              <w:rPr>
                <w:rFonts w:ascii="宋体" w:hAnsi="宋体" w:cs="宋体"/>
                <w:color w:val="000000"/>
                <w:kern w:val="0"/>
                <w:sz w:val="18"/>
                <w:szCs w:val="18"/>
              </w:rPr>
            </w:pPr>
            <w:r>
              <w:rPr>
                <w:rFonts w:hint="eastAsia" w:ascii="宋体" w:hAnsi="宋体" w:cs="宋体"/>
                <w:color w:val="000000"/>
                <w:kern w:val="0"/>
                <w:sz w:val="18"/>
                <w:szCs w:val="18"/>
              </w:rPr>
              <w:t>5825.44</w:t>
            </w:r>
          </w:p>
        </w:tc>
        <w:tc>
          <w:tcPr>
            <w:tcW w:w="1210" w:type="dxa"/>
            <w:tcBorders>
              <w:top w:val="nil"/>
              <w:left w:val="nil"/>
              <w:bottom w:val="single" w:color="auto" w:sz="8" w:space="0"/>
              <w:right w:val="single" w:color="auto" w:sz="8" w:space="0"/>
            </w:tcBorders>
            <w:shd w:val="clear" w:color="auto" w:fill="auto"/>
            <w:vAlign w:val="center"/>
          </w:tcPr>
          <w:p w14:paraId="5722F7AD">
            <w:pPr>
              <w:widowControl/>
              <w:jc w:val="center"/>
              <w:rPr>
                <w:rFonts w:ascii="宋体" w:hAnsi="宋体" w:cs="宋体"/>
                <w:color w:val="000000"/>
                <w:kern w:val="0"/>
                <w:sz w:val="18"/>
                <w:szCs w:val="18"/>
              </w:rPr>
            </w:pPr>
            <w:r>
              <w:rPr>
                <w:rFonts w:hint="eastAsia" w:ascii="宋体" w:hAnsi="宋体" w:cs="宋体"/>
                <w:color w:val="000000"/>
                <w:kern w:val="0"/>
                <w:sz w:val="18"/>
                <w:szCs w:val="18"/>
              </w:rPr>
              <w:t>22.23%</w:t>
            </w:r>
          </w:p>
        </w:tc>
        <w:tc>
          <w:tcPr>
            <w:tcW w:w="1481" w:type="dxa"/>
            <w:tcBorders>
              <w:top w:val="nil"/>
              <w:left w:val="nil"/>
              <w:bottom w:val="single" w:color="auto" w:sz="8" w:space="0"/>
              <w:right w:val="single" w:color="auto" w:sz="8" w:space="0"/>
            </w:tcBorders>
            <w:shd w:val="clear" w:color="auto" w:fill="auto"/>
            <w:vAlign w:val="center"/>
          </w:tcPr>
          <w:p w14:paraId="1D7ABED4">
            <w:pPr>
              <w:widowControl/>
              <w:jc w:val="center"/>
              <w:rPr>
                <w:rFonts w:ascii="宋体" w:hAnsi="宋体" w:cs="宋体"/>
                <w:color w:val="000000"/>
                <w:kern w:val="0"/>
                <w:sz w:val="18"/>
                <w:szCs w:val="18"/>
              </w:rPr>
            </w:pPr>
            <w:r>
              <w:rPr>
                <w:rFonts w:hint="eastAsia" w:ascii="宋体" w:hAnsi="宋体" w:cs="宋体"/>
                <w:color w:val="000000"/>
                <w:kern w:val="0"/>
                <w:sz w:val="18"/>
                <w:szCs w:val="18"/>
              </w:rPr>
              <w:t>5107.86</w:t>
            </w:r>
          </w:p>
        </w:tc>
        <w:tc>
          <w:tcPr>
            <w:tcW w:w="1210" w:type="dxa"/>
            <w:tcBorders>
              <w:top w:val="nil"/>
              <w:left w:val="nil"/>
              <w:bottom w:val="single" w:color="auto" w:sz="8" w:space="0"/>
              <w:right w:val="single" w:color="auto" w:sz="8" w:space="0"/>
            </w:tcBorders>
            <w:shd w:val="clear" w:color="auto" w:fill="auto"/>
            <w:vAlign w:val="center"/>
          </w:tcPr>
          <w:p w14:paraId="118812F9">
            <w:pPr>
              <w:widowControl/>
              <w:jc w:val="center"/>
              <w:rPr>
                <w:rFonts w:ascii="宋体" w:hAnsi="宋体" w:cs="宋体"/>
                <w:color w:val="000000"/>
                <w:kern w:val="0"/>
                <w:sz w:val="18"/>
                <w:szCs w:val="18"/>
              </w:rPr>
            </w:pPr>
            <w:r>
              <w:rPr>
                <w:rFonts w:hint="eastAsia" w:ascii="宋体" w:hAnsi="宋体" w:cs="宋体"/>
                <w:color w:val="000000"/>
                <w:kern w:val="0"/>
                <w:sz w:val="18"/>
                <w:szCs w:val="18"/>
              </w:rPr>
              <w:t>22.10%</w:t>
            </w:r>
          </w:p>
        </w:tc>
        <w:tc>
          <w:tcPr>
            <w:tcW w:w="1481" w:type="dxa"/>
            <w:tcBorders>
              <w:top w:val="nil"/>
              <w:left w:val="nil"/>
              <w:bottom w:val="single" w:color="auto" w:sz="8" w:space="0"/>
              <w:right w:val="single" w:color="auto" w:sz="8" w:space="0"/>
            </w:tcBorders>
            <w:shd w:val="clear" w:color="auto" w:fill="auto"/>
            <w:vAlign w:val="center"/>
          </w:tcPr>
          <w:p w14:paraId="0202E765">
            <w:pPr>
              <w:widowControl/>
              <w:jc w:val="center"/>
              <w:rPr>
                <w:rFonts w:ascii="宋体" w:hAnsi="宋体" w:cs="宋体"/>
                <w:color w:val="000000"/>
                <w:kern w:val="0"/>
                <w:sz w:val="18"/>
                <w:szCs w:val="18"/>
              </w:rPr>
            </w:pPr>
            <w:r>
              <w:rPr>
                <w:rFonts w:hint="eastAsia" w:ascii="宋体" w:hAnsi="宋体" w:cs="宋体"/>
                <w:color w:val="000000"/>
                <w:kern w:val="0"/>
                <w:sz w:val="18"/>
                <w:szCs w:val="18"/>
              </w:rPr>
              <w:t>-717.58</w:t>
            </w:r>
          </w:p>
        </w:tc>
        <w:tc>
          <w:tcPr>
            <w:tcW w:w="1210" w:type="dxa"/>
            <w:tcBorders>
              <w:top w:val="nil"/>
              <w:left w:val="nil"/>
              <w:bottom w:val="single" w:color="auto" w:sz="8" w:space="0"/>
              <w:right w:val="single" w:color="auto" w:sz="8" w:space="0"/>
            </w:tcBorders>
            <w:shd w:val="clear" w:color="auto" w:fill="auto"/>
            <w:vAlign w:val="center"/>
          </w:tcPr>
          <w:p w14:paraId="0DB6737F">
            <w:pPr>
              <w:widowControl/>
              <w:jc w:val="center"/>
              <w:rPr>
                <w:rFonts w:ascii="宋体" w:hAnsi="宋体" w:cs="宋体"/>
                <w:color w:val="000000"/>
                <w:kern w:val="0"/>
                <w:sz w:val="18"/>
                <w:szCs w:val="18"/>
              </w:rPr>
            </w:pPr>
            <w:r>
              <w:rPr>
                <w:rFonts w:hint="eastAsia" w:ascii="宋体" w:hAnsi="宋体" w:cs="宋体"/>
                <w:color w:val="000000"/>
                <w:kern w:val="0"/>
                <w:sz w:val="18"/>
                <w:szCs w:val="18"/>
              </w:rPr>
              <w:t>-0.13%</w:t>
            </w:r>
          </w:p>
        </w:tc>
      </w:tr>
      <w:tr w14:paraId="67EB4CFA">
        <w:tblPrEx>
          <w:tblCellMar>
            <w:top w:w="0" w:type="dxa"/>
            <w:left w:w="108" w:type="dxa"/>
            <w:bottom w:w="0" w:type="dxa"/>
            <w:right w:w="108" w:type="dxa"/>
          </w:tblCellMar>
        </w:tblPrEx>
        <w:trPr>
          <w:trHeight w:val="300" w:hRule="atLeast"/>
          <w:jc w:val="center"/>
        </w:trPr>
        <w:tc>
          <w:tcPr>
            <w:tcW w:w="960" w:type="dxa"/>
            <w:tcBorders>
              <w:top w:val="nil"/>
              <w:left w:val="single" w:color="auto" w:sz="8" w:space="0"/>
              <w:bottom w:val="single" w:color="auto" w:sz="8" w:space="0"/>
              <w:right w:val="single" w:color="auto" w:sz="8" w:space="0"/>
            </w:tcBorders>
            <w:shd w:val="clear" w:color="auto" w:fill="auto"/>
          </w:tcPr>
          <w:p w14:paraId="1FDB4AD3">
            <w:pPr>
              <w:widowControl/>
              <w:jc w:val="center"/>
              <w:rPr>
                <w:rFonts w:ascii="宋体" w:hAnsi="宋体" w:cs="宋体"/>
                <w:color w:val="000000"/>
                <w:kern w:val="0"/>
                <w:sz w:val="18"/>
                <w:szCs w:val="18"/>
              </w:rPr>
            </w:pPr>
            <w:r>
              <w:rPr>
                <w:rFonts w:hint="eastAsia" w:ascii="宋体" w:hAnsi="宋体" w:cs="宋体"/>
                <w:color w:val="000000"/>
                <w:kern w:val="0"/>
                <w:sz w:val="18"/>
                <w:szCs w:val="18"/>
              </w:rPr>
              <w:t>12等</w:t>
            </w:r>
          </w:p>
        </w:tc>
        <w:tc>
          <w:tcPr>
            <w:tcW w:w="1481" w:type="dxa"/>
            <w:tcBorders>
              <w:top w:val="nil"/>
              <w:left w:val="nil"/>
              <w:bottom w:val="single" w:color="auto" w:sz="8" w:space="0"/>
              <w:right w:val="single" w:color="auto" w:sz="8" w:space="0"/>
            </w:tcBorders>
            <w:shd w:val="clear" w:color="auto" w:fill="auto"/>
            <w:vAlign w:val="center"/>
          </w:tcPr>
          <w:p w14:paraId="3A10EE74">
            <w:pPr>
              <w:widowControl/>
              <w:jc w:val="center"/>
              <w:rPr>
                <w:rFonts w:ascii="宋体" w:hAnsi="宋体" w:cs="宋体"/>
                <w:color w:val="000000"/>
                <w:kern w:val="0"/>
                <w:sz w:val="18"/>
                <w:szCs w:val="18"/>
              </w:rPr>
            </w:pPr>
            <w:r>
              <w:rPr>
                <w:rFonts w:hint="eastAsia" w:ascii="宋体" w:hAnsi="宋体" w:cs="宋体"/>
                <w:color w:val="000000"/>
                <w:kern w:val="0"/>
                <w:sz w:val="18"/>
                <w:szCs w:val="18"/>
              </w:rPr>
              <w:t>1828.2</w:t>
            </w:r>
          </w:p>
        </w:tc>
        <w:tc>
          <w:tcPr>
            <w:tcW w:w="1210" w:type="dxa"/>
            <w:tcBorders>
              <w:top w:val="nil"/>
              <w:left w:val="nil"/>
              <w:bottom w:val="single" w:color="auto" w:sz="8" w:space="0"/>
              <w:right w:val="single" w:color="auto" w:sz="8" w:space="0"/>
            </w:tcBorders>
            <w:shd w:val="clear" w:color="auto" w:fill="auto"/>
            <w:vAlign w:val="center"/>
          </w:tcPr>
          <w:p w14:paraId="56CE140A">
            <w:pPr>
              <w:widowControl/>
              <w:jc w:val="center"/>
              <w:rPr>
                <w:rFonts w:ascii="宋体" w:hAnsi="宋体" w:cs="宋体"/>
                <w:color w:val="000000"/>
                <w:kern w:val="0"/>
                <w:sz w:val="18"/>
                <w:szCs w:val="18"/>
              </w:rPr>
            </w:pPr>
            <w:r>
              <w:rPr>
                <w:rFonts w:hint="eastAsia" w:ascii="宋体" w:hAnsi="宋体" w:cs="宋体"/>
                <w:color w:val="000000"/>
                <w:kern w:val="0"/>
                <w:sz w:val="18"/>
                <w:szCs w:val="18"/>
              </w:rPr>
              <w:t>6.98%</w:t>
            </w:r>
          </w:p>
        </w:tc>
        <w:tc>
          <w:tcPr>
            <w:tcW w:w="1481" w:type="dxa"/>
            <w:tcBorders>
              <w:top w:val="nil"/>
              <w:left w:val="nil"/>
              <w:bottom w:val="single" w:color="auto" w:sz="8" w:space="0"/>
              <w:right w:val="single" w:color="auto" w:sz="8" w:space="0"/>
            </w:tcBorders>
            <w:shd w:val="clear" w:color="auto" w:fill="auto"/>
            <w:vAlign w:val="center"/>
          </w:tcPr>
          <w:p w14:paraId="7B643BAD">
            <w:pPr>
              <w:widowControl/>
              <w:jc w:val="center"/>
              <w:rPr>
                <w:rFonts w:ascii="宋体" w:hAnsi="宋体" w:cs="宋体"/>
                <w:color w:val="000000"/>
                <w:kern w:val="0"/>
                <w:sz w:val="18"/>
                <w:szCs w:val="18"/>
              </w:rPr>
            </w:pPr>
            <w:r>
              <w:rPr>
                <w:rFonts w:hint="eastAsia" w:ascii="宋体" w:hAnsi="宋体" w:cs="宋体"/>
                <w:color w:val="000000"/>
                <w:kern w:val="0"/>
                <w:sz w:val="18"/>
                <w:szCs w:val="18"/>
              </w:rPr>
              <w:t>1537.73</w:t>
            </w:r>
          </w:p>
        </w:tc>
        <w:tc>
          <w:tcPr>
            <w:tcW w:w="1210" w:type="dxa"/>
            <w:tcBorders>
              <w:top w:val="nil"/>
              <w:left w:val="nil"/>
              <w:bottom w:val="single" w:color="auto" w:sz="8" w:space="0"/>
              <w:right w:val="single" w:color="auto" w:sz="8" w:space="0"/>
            </w:tcBorders>
            <w:shd w:val="clear" w:color="auto" w:fill="auto"/>
            <w:vAlign w:val="center"/>
          </w:tcPr>
          <w:p w14:paraId="6FC25025">
            <w:pPr>
              <w:widowControl/>
              <w:jc w:val="center"/>
              <w:rPr>
                <w:rFonts w:ascii="宋体" w:hAnsi="宋体" w:cs="宋体"/>
                <w:color w:val="000000"/>
                <w:kern w:val="0"/>
                <w:sz w:val="18"/>
                <w:szCs w:val="18"/>
              </w:rPr>
            </w:pPr>
            <w:r>
              <w:rPr>
                <w:rFonts w:hint="eastAsia" w:ascii="宋体" w:hAnsi="宋体" w:cs="宋体"/>
                <w:color w:val="000000"/>
                <w:kern w:val="0"/>
                <w:sz w:val="18"/>
                <w:szCs w:val="18"/>
              </w:rPr>
              <w:t>6.70%</w:t>
            </w:r>
          </w:p>
        </w:tc>
        <w:tc>
          <w:tcPr>
            <w:tcW w:w="1481" w:type="dxa"/>
            <w:tcBorders>
              <w:top w:val="nil"/>
              <w:left w:val="nil"/>
              <w:bottom w:val="single" w:color="auto" w:sz="8" w:space="0"/>
              <w:right w:val="single" w:color="auto" w:sz="8" w:space="0"/>
            </w:tcBorders>
            <w:shd w:val="clear" w:color="auto" w:fill="auto"/>
            <w:vAlign w:val="center"/>
          </w:tcPr>
          <w:p w14:paraId="4600ECDD">
            <w:pPr>
              <w:widowControl/>
              <w:jc w:val="center"/>
              <w:rPr>
                <w:rFonts w:ascii="宋体" w:hAnsi="宋体" w:cs="宋体"/>
                <w:color w:val="000000"/>
                <w:kern w:val="0"/>
                <w:sz w:val="18"/>
                <w:szCs w:val="18"/>
              </w:rPr>
            </w:pPr>
            <w:r>
              <w:rPr>
                <w:rFonts w:hint="eastAsia" w:ascii="宋体" w:hAnsi="宋体" w:cs="宋体"/>
                <w:color w:val="000000"/>
                <w:kern w:val="0"/>
                <w:sz w:val="18"/>
                <w:szCs w:val="18"/>
              </w:rPr>
              <w:t>-290.47</w:t>
            </w:r>
          </w:p>
        </w:tc>
        <w:tc>
          <w:tcPr>
            <w:tcW w:w="1210" w:type="dxa"/>
            <w:tcBorders>
              <w:top w:val="nil"/>
              <w:left w:val="nil"/>
              <w:bottom w:val="single" w:color="auto" w:sz="8" w:space="0"/>
              <w:right w:val="single" w:color="auto" w:sz="8" w:space="0"/>
            </w:tcBorders>
            <w:shd w:val="clear" w:color="auto" w:fill="auto"/>
            <w:vAlign w:val="center"/>
          </w:tcPr>
          <w:p w14:paraId="043C2E6A">
            <w:pPr>
              <w:widowControl/>
              <w:jc w:val="center"/>
              <w:rPr>
                <w:rFonts w:ascii="宋体" w:hAnsi="宋体" w:cs="宋体"/>
                <w:color w:val="000000"/>
                <w:kern w:val="0"/>
                <w:sz w:val="18"/>
                <w:szCs w:val="18"/>
              </w:rPr>
            </w:pPr>
            <w:r>
              <w:rPr>
                <w:rFonts w:hint="eastAsia" w:ascii="宋体" w:hAnsi="宋体" w:cs="宋体"/>
                <w:color w:val="000000"/>
                <w:kern w:val="0"/>
                <w:sz w:val="18"/>
                <w:szCs w:val="18"/>
              </w:rPr>
              <w:t>-0.28%</w:t>
            </w:r>
          </w:p>
        </w:tc>
      </w:tr>
      <w:tr w14:paraId="223C8C57">
        <w:tblPrEx>
          <w:tblCellMar>
            <w:top w:w="0" w:type="dxa"/>
            <w:left w:w="108" w:type="dxa"/>
            <w:bottom w:w="0" w:type="dxa"/>
            <w:right w:w="108" w:type="dxa"/>
          </w:tblCellMar>
        </w:tblPrEx>
        <w:trPr>
          <w:trHeight w:val="300" w:hRule="atLeast"/>
          <w:jc w:val="center"/>
        </w:trPr>
        <w:tc>
          <w:tcPr>
            <w:tcW w:w="960" w:type="dxa"/>
            <w:tcBorders>
              <w:top w:val="nil"/>
              <w:left w:val="single" w:color="auto" w:sz="8" w:space="0"/>
              <w:bottom w:val="single" w:color="auto" w:sz="8" w:space="0"/>
              <w:right w:val="single" w:color="auto" w:sz="8" w:space="0"/>
            </w:tcBorders>
            <w:shd w:val="clear" w:color="auto" w:fill="auto"/>
          </w:tcPr>
          <w:p w14:paraId="12D4BE3B">
            <w:pPr>
              <w:widowControl/>
              <w:jc w:val="center"/>
              <w:rPr>
                <w:rFonts w:ascii="宋体" w:hAnsi="宋体" w:cs="宋体"/>
                <w:color w:val="000000"/>
                <w:kern w:val="0"/>
                <w:sz w:val="18"/>
                <w:szCs w:val="18"/>
              </w:rPr>
            </w:pPr>
            <w:r>
              <w:rPr>
                <w:rFonts w:hint="eastAsia" w:ascii="宋体" w:hAnsi="宋体" w:cs="宋体"/>
                <w:color w:val="000000"/>
                <w:kern w:val="0"/>
                <w:sz w:val="18"/>
                <w:szCs w:val="18"/>
              </w:rPr>
              <w:t>13等</w:t>
            </w:r>
          </w:p>
        </w:tc>
        <w:tc>
          <w:tcPr>
            <w:tcW w:w="1481" w:type="dxa"/>
            <w:tcBorders>
              <w:top w:val="nil"/>
              <w:left w:val="nil"/>
              <w:bottom w:val="single" w:color="auto" w:sz="8" w:space="0"/>
              <w:right w:val="single" w:color="auto" w:sz="8" w:space="0"/>
            </w:tcBorders>
            <w:shd w:val="clear" w:color="auto" w:fill="auto"/>
            <w:vAlign w:val="center"/>
          </w:tcPr>
          <w:p w14:paraId="6C282E04">
            <w:pPr>
              <w:widowControl/>
              <w:jc w:val="center"/>
              <w:rPr>
                <w:rFonts w:ascii="宋体" w:hAnsi="宋体" w:cs="宋体"/>
                <w:color w:val="000000"/>
                <w:kern w:val="0"/>
                <w:sz w:val="18"/>
                <w:szCs w:val="18"/>
              </w:rPr>
            </w:pPr>
            <w:r>
              <w:rPr>
                <w:rFonts w:hint="eastAsia" w:ascii="宋体" w:hAnsi="宋体" w:cs="宋体"/>
                <w:color w:val="000000"/>
                <w:kern w:val="0"/>
                <w:sz w:val="18"/>
                <w:szCs w:val="18"/>
              </w:rPr>
              <w:t>2808.53</w:t>
            </w:r>
          </w:p>
        </w:tc>
        <w:tc>
          <w:tcPr>
            <w:tcW w:w="1210" w:type="dxa"/>
            <w:tcBorders>
              <w:top w:val="nil"/>
              <w:left w:val="nil"/>
              <w:bottom w:val="single" w:color="auto" w:sz="8" w:space="0"/>
              <w:right w:val="single" w:color="auto" w:sz="8" w:space="0"/>
            </w:tcBorders>
            <w:shd w:val="clear" w:color="auto" w:fill="auto"/>
            <w:vAlign w:val="center"/>
          </w:tcPr>
          <w:p w14:paraId="4521C227">
            <w:pPr>
              <w:widowControl/>
              <w:jc w:val="center"/>
              <w:rPr>
                <w:rFonts w:ascii="宋体" w:hAnsi="宋体" w:cs="宋体"/>
                <w:color w:val="000000"/>
                <w:kern w:val="0"/>
                <w:sz w:val="18"/>
                <w:szCs w:val="18"/>
              </w:rPr>
            </w:pPr>
            <w:r>
              <w:rPr>
                <w:rFonts w:hint="eastAsia" w:ascii="宋体" w:hAnsi="宋体" w:cs="宋体"/>
                <w:color w:val="000000"/>
                <w:kern w:val="0"/>
                <w:sz w:val="18"/>
                <w:szCs w:val="18"/>
              </w:rPr>
              <w:t>10.72%</w:t>
            </w:r>
          </w:p>
        </w:tc>
        <w:tc>
          <w:tcPr>
            <w:tcW w:w="1481" w:type="dxa"/>
            <w:tcBorders>
              <w:top w:val="nil"/>
              <w:left w:val="nil"/>
              <w:bottom w:val="single" w:color="auto" w:sz="8" w:space="0"/>
              <w:right w:val="single" w:color="auto" w:sz="8" w:space="0"/>
            </w:tcBorders>
            <w:shd w:val="clear" w:color="auto" w:fill="auto"/>
            <w:vAlign w:val="center"/>
          </w:tcPr>
          <w:p w14:paraId="5F81430E">
            <w:pPr>
              <w:widowControl/>
              <w:jc w:val="center"/>
              <w:rPr>
                <w:rFonts w:ascii="宋体" w:hAnsi="宋体" w:cs="宋体"/>
                <w:color w:val="000000"/>
                <w:kern w:val="0"/>
                <w:sz w:val="18"/>
                <w:szCs w:val="18"/>
              </w:rPr>
            </w:pPr>
            <w:r>
              <w:rPr>
                <w:rFonts w:hint="eastAsia" w:ascii="宋体" w:hAnsi="宋体" w:cs="宋体"/>
                <w:color w:val="000000"/>
                <w:kern w:val="0"/>
                <w:sz w:val="18"/>
                <w:szCs w:val="18"/>
              </w:rPr>
              <w:t>2074.72</w:t>
            </w:r>
          </w:p>
        </w:tc>
        <w:tc>
          <w:tcPr>
            <w:tcW w:w="1210" w:type="dxa"/>
            <w:tcBorders>
              <w:top w:val="nil"/>
              <w:left w:val="nil"/>
              <w:bottom w:val="single" w:color="auto" w:sz="8" w:space="0"/>
              <w:right w:val="single" w:color="auto" w:sz="8" w:space="0"/>
            </w:tcBorders>
            <w:shd w:val="clear" w:color="auto" w:fill="auto"/>
            <w:vAlign w:val="center"/>
          </w:tcPr>
          <w:p w14:paraId="75AA8125">
            <w:pPr>
              <w:widowControl/>
              <w:jc w:val="center"/>
              <w:rPr>
                <w:rFonts w:ascii="宋体" w:hAnsi="宋体" w:cs="宋体"/>
                <w:color w:val="000000"/>
                <w:kern w:val="0"/>
                <w:sz w:val="18"/>
                <w:szCs w:val="18"/>
              </w:rPr>
            </w:pPr>
            <w:r>
              <w:rPr>
                <w:rFonts w:hint="eastAsia" w:ascii="宋体" w:hAnsi="宋体" w:cs="宋体"/>
                <w:color w:val="000000"/>
                <w:kern w:val="0"/>
                <w:sz w:val="18"/>
                <w:szCs w:val="18"/>
              </w:rPr>
              <w:t>9.00%</w:t>
            </w:r>
          </w:p>
        </w:tc>
        <w:tc>
          <w:tcPr>
            <w:tcW w:w="1481" w:type="dxa"/>
            <w:tcBorders>
              <w:top w:val="nil"/>
              <w:left w:val="nil"/>
              <w:bottom w:val="single" w:color="auto" w:sz="8" w:space="0"/>
              <w:right w:val="single" w:color="auto" w:sz="8" w:space="0"/>
            </w:tcBorders>
            <w:shd w:val="clear" w:color="auto" w:fill="auto"/>
            <w:vAlign w:val="center"/>
          </w:tcPr>
          <w:p w14:paraId="351D9AD3">
            <w:pPr>
              <w:widowControl/>
              <w:jc w:val="center"/>
              <w:rPr>
                <w:rFonts w:ascii="宋体" w:hAnsi="宋体" w:cs="宋体"/>
                <w:color w:val="000000"/>
                <w:kern w:val="0"/>
                <w:sz w:val="18"/>
                <w:szCs w:val="18"/>
              </w:rPr>
            </w:pPr>
            <w:r>
              <w:rPr>
                <w:rFonts w:hint="eastAsia" w:ascii="宋体" w:hAnsi="宋体" w:cs="宋体"/>
                <w:color w:val="000000"/>
                <w:kern w:val="0"/>
                <w:sz w:val="18"/>
                <w:szCs w:val="18"/>
              </w:rPr>
              <w:t>-733.81</w:t>
            </w:r>
          </w:p>
        </w:tc>
        <w:tc>
          <w:tcPr>
            <w:tcW w:w="1210" w:type="dxa"/>
            <w:tcBorders>
              <w:top w:val="nil"/>
              <w:left w:val="nil"/>
              <w:bottom w:val="single" w:color="auto" w:sz="8" w:space="0"/>
              <w:right w:val="single" w:color="auto" w:sz="8" w:space="0"/>
            </w:tcBorders>
            <w:shd w:val="clear" w:color="auto" w:fill="auto"/>
            <w:vAlign w:val="center"/>
          </w:tcPr>
          <w:p w14:paraId="78082F52">
            <w:pPr>
              <w:widowControl/>
              <w:jc w:val="center"/>
              <w:rPr>
                <w:rFonts w:ascii="宋体" w:hAnsi="宋体" w:cs="宋体"/>
                <w:color w:val="000000"/>
                <w:kern w:val="0"/>
                <w:sz w:val="18"/>
                <w:szCs w:val="18"/>
              </w:rPr>
            </w:pPr>
            <w:r>
              <w:rPr>
                <w:rFonts w:hint="eastAsia" w:ascii="宋体" w:hAnsi="宋体" w:cs="宋体"/>
                <w:color w:val="000000"/>
                <w:kern w:val="0"/>
                <w:sz w:val="18"/>
                <w:szCs w:val="18"/>
              </w:rPr>
              <w:t>-1.72%</w:t>
            </w:r>
          </w:p>
        </w:tc>
      </w:tr>
      <w:tr w14:paraId="5B3CE8E9">
        <w:tblPrEx>
          <w:tblCellMar>
            <w:top w:w="0" w:type="dxa"/>
            <w:left w:w="108" w:type="dxa"/>
            <w:bottom w:w="0" w:type="dxa"/>
            <w:right w:w="108" w:type="dxa"/>
          </w:tblCellMar>
        </w:tblPrEx>
        <w:trPr>
          <w:trHeight w:val="300" w:hRule="atLeast"/>
          <w:jc w:val="center"/>
        </w:trPr>
        <w:tc>
          <w:tcPr>
            <w:tcW w:w="960" w:type="dxa"/>
            <w:tcBorders>
              <w:top w:val="nil"/>
              <w:left w:val="single" w:color="auto" w:sz="8" w:space="0"/>
              <w:bottom w:val="single" w:color="auto" w:sz="8" w:space="0"/>
              <w:right w:val="single" w:color="auto" w:sz="8" w:space="0"/>
            </w:tcBorders>
            <w:shd w:val="clear" w:color="auto" w:fill="auto"/>
          </w:tcPr>
          <w:p w14:paraId="73B7FF3C">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1481" w:type="dxa"/>
            <w:tcBorders>
              <w:top w:val="nil"/>
              <w:left w:val="nil"/>
              <w:bottom w:val="single" w:color="auto" w:sz="8" w:space="0"/>
              <w:right w:val="single" w:color="auto" w:sz="8" w:space="0"/>
            </w:tcBorders>
            <w:shd w:val="clear" w:color="auto" w:fill="auto"/>
            <w:vAlign w:val="center"/>
          </w:tcPr>
          <w:p w14:paraId="7EF8B330">
            <w:pPr>
              <w:widowControl/>
              <w:jc w:val="center"/>
              <w:rPr>
                <w:rFonts w:ascii="宋体" w:hAnsi="宋体" w:cs="宋体"/>
                <w:color w:val="000000"/>
                <w:kern w:val="0"/>
                <w:sz w:val="18"/>
                <w:szCs w:val="18"/>
              </w:rPr>
            </w:pPr>
            <w:r>
              <w:rPr>
                <w:rFonts w:hint="eastAsia" w:ascii="宋体" w:hAnsi="宋体" w:cs="宋体"/>
                <w:color w:val="000000"/>
                <w:kern w:val="0"/>
                <w:sz w:val="18"/>
                <w:szCs w:val="18"/>
              </w:rPr>
              <w:t>26203.87</w:t>
            </w:r>
          </w:p>
        </w:tc>
        <w:tc>
          <w:tcPr>
            <w:tcW w:w="1210" w:type="dxa"/>
            <w:tcBorders>
              <w:top w:val="nil"/>
              <w:left w:val="nil"/>
              <w:bottom w:val="single" w:color="auto" w:sz="8" w:space="0"/>
              <w:right w:val="single" w:color="auto" w:sz="8" w:space="0"/>
            </w:tcBorders>
            <w:shd w:val="clear" w:color="auto" w:fill="auto"/>
            <w:vAlign w:val="center"/>
          </w:tcPr>
          <w:p w14:paraId="35B3782F">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481" w:type="dxa"/>
            <w:tcBorders>
              <w:top w:val="nil"/>
              <w:left w:val="nil"/>
              <w:bottom w:val="single" w:color="auto" w:sz="8" w:space="0"/>
              <w:right w:val="single" w:color="auto" w:sz="8" w:space="0"/>
            </w:tcBorders>
            <w:shd w:val="clear" w:color="auto" w:fill="auto"/>
            <w:vAlign w:val="center"/>
          </w:tcPr>
          <w:p w14:paraId="46CE0FD9">
            <w:pPr>
              <w:widowControl/>
              <w:jc w:val="center"/>
              <w:rPr>
                <w:rFonts w:ascii="宋体" w:hAnsi="宋体" w:cs="宋体"/>
                <w:color w:val="000000"/>
                <w:kern w:val="0"/>
                <w:sz w:val="18"/>
                <w:szCs w:val="18"/>
              </w:rPr>
            </w:pPr>
            <w:r>
              <w:rPr>
                <w:rFonts w:hint="eastAsia" w:ascii="宋体" w:hAnsi="宋体" w:cs="宋体"/>
                <w:color w:val="000000"/>
                <w:kern w:val="0"/>
                <w:sz w:val="18"/>
                <w:szCs w:val="18"/>
              </w:rPr>
              <w:t>23106.77</w:t>
            </w:r>
          </w:p>
        </w:tc>
        <w:tc>
          <w:tcPr>
            <w:tcW w:w="1210" w:type="dxa"/>
            <w:tcBorders>
              <w:top w:val="nil"/>
              <w:left w:val="nil"/>
              <w:bottom w:val="single" w:color="auto" w:sz="8" w:space="0"/>
              <w:right w:val="single" w:color="auto" w:sz="8" w:space="0"/>
            </w:tcBorders>
            <w:shd w:val="clear" w:color="auto" w:fill="auto"/>
            <w:vAlign w:val="center"/>
          </w:tcPr>
          <w:p w14:paraId="75A71200">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481" w:type="dxa"/>
            <w:tcBorders>
              <w:top w:val="nil"/>
              <w:left w:val="nil"/>
              <w:bottom w:val="single" w:color="auto" w:sz="8" w:space="0"/>
              <w:right w:val="single" w:color="auto" w:sz="8" w:space="0"/>
            </w:tcBorders>
            <w:shd w:val="clear" w:color="auto" w:fill="auto"/>
            <w:vAlign w:val="center"/>
          </w:tcPr>
          <w:p w14:paraId="29A6E28B">
            <w:pPr>
              <w:widowControl/>
              <w:jc w:val="center"/>
              <w:rPr>
                <w:rFonts w:ascii="宋体" w:hAnsi="宋体" w:cs="宋体"/>
                <w:color w:val="000000"/>
                <w:kern w:val="0"/>
                <w:sz w:val="18"/>
                <w:szCs w:val="18"/>
              </w:rPr>
            </w:pPr>
            <w:r>
              <w:rPr>
                <w:rFonts w:hint="eastAsia" w:ascii="宋体" w:hAnsi="宋体" w:cs="宋体"/>
                <w:color w:val="000000"/>
                <w:kern w:val="0"/>
                <w:sz w:val="18"/>
                <w:szCs w:val="18"/>
              </w:rPr>
              <w:t>-3097.1</w:t>
            </w:r>
          </w:p>
        </w:tc>
        <w:tc>
          <w:tcPr>
            <w:tcW w:w="1210" w:type="dxa"/>
            <w:tcBorders>
              <w:top w:val="nil"/>
              <w:left w:val="nil"/>
              <w:bottom w:val="single" w:color="auto" w:sz="8" w:space="0"/>
              <w:right w:val="single" w:color="auto" w:sz="8" w:space="0"/>
            </w:tcBorders>
            <w:shd w:val="clear" w:color="auto" w:fill="auto"/>
            <w:vAlign w:val="center"/>
          </w:tcPr>
          <w:p w14:paraId="1EC11266">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bl>
    <w:p w14:paraId="1AB5316A">
      <w:pPr>
        <w:pStyle w:val="4"/>
        <w:spacing w:before="0" w:after="0" w:line="360" w:lineRule="auto"/>
        <w:ind w:firstLine="551" w:firstLineChars="196"/>
        <w:rPr>
          <w:rFonts w:ascii="仿宋_GB2312" w:hAnsi="宋体" w:eastAsia="仿宋_GB2312"/>
          <w:sz w:val="28"/>
          <w:szCs w:val="28"/>
          <w:highlight w:val="yellow"/>
        </w:rPr>
      </w:pPr>
      <w:r>
        <w:rPr>
          <w:rFonts w:ascii="仿宋_GB2312" w:hAnsi="宋体" w:eastAsia="仿宋_GB2312"/>
          <w:sz w:val="28"/>
          <w:szCs w:val="28"/>
        </w:rPr>
        <w:t>3</w:t>
      </w:r>
      <w:r>
        <w:rPr>
          <w:rFonts w:hint="eastAsia" w:ascii="仿宋_GB2312" w:hAnsi="宋体" w:eastAsia="仿宋_GB2312"/>
          <w:sz w:val="28"/>
          <w:szCs w:val="28"/>
        </w:rPr>
        <w:t>、基本农田布局优化</w:t>
      </w:r>
    </w:p>
    <w:p w14:paraId="1DD786DA">
      <w:pPr>
        <w:snapToGrid w:val="0"/>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本次调整完善遵循耕地保护优先、数量质量并重、坝区基本农田不得减少的原则，按照布局基本稳定、数量不减少、质量有提高的要求和城镇由大到小、空间由近及远、由坝区到山区、耕地质量等别和地力等级由高到低的顺序，划定基本农田。将东川区因实施重大产业发展、“十三五”重点项目无法避让以及现状质量较差等不适宜划为基本农田的部分调出，同时将城镇周边、交通沿线、坝区范围内未被划入基本农田的优质耕地划入基本农田实行特殊保护。</w:t>
      </w:r>
    </w:p>
    <w:p w14:paraId="0174DA4D">
      <w:pPr>
        <w:snapToGrid w:val="0"/>
        <w:spacing w:line="360" w:lineRule="auto"/>
        <w:ind w:firstLine="560" w:firstLineChars="200"/>
        <w:rPr>
          <w:rFonts w:ascii="仿宋_GB2312" w:eastAsia="仿宋_GB2312"/>
          <w:sz w:val="28"/>
          <w:szCs w:val="28"/>
        </w:rPr>
      </w:pPr>
      <w:r>
        <w:rPr>
          <w:rFonts w:hint="eastAsia" w:ascii="仿宋_GB2312" w:hAnsi="宋体" w:eastAsia="仿宋_GB2312"/>
          <w:kern w:val="0"/>
          <w:sz w:val="28"/>
          <w:szCs w:val="28"/>
        </w:rPr>
        <w:t>调整完善前，东川区城镇周边永久基本农田保护面积为117.35</w:t>
      </w:r>
      <w:r>
        <w:rPr>
          <w:rFonts w:ascii="仿宋_GB2312" w:hAnsi="宋体" w:eastAsia="仿宋_GB2312"/>
          <w:kern w:val="0"/>
          <w:sz w:val="28"/>
          <w:szCs w:val="28"/>
        </w:rPr>
        <w:t xml:space="preserve"> </w:t>
      </w:r>
      <w:r>
        <w:rPr>
          <w:rFonts w:hint="eastAsia" w:ascii="仿宋_GB2312" w:hAnsi="宋体" w:eastAsia="仿宋_GB2312"/>
          <w:kern w:val="0"/>
          <w:sz w:val="28"/>
          <w:szCs w:val="28"/>
        </w:rPr>
        <w:t>公顷，调整完善后，城镇周边永久基本农田调整为242.75</w:t>
      </w:r>
      <w:r>
        <w:rPr>
          <w:rFonts w:ascii="仿宋_GB2312" w:hAnsi="宋体" w:eastAsia="仿宋_GB2312"/>
          <w:kern w:val="0"/>
          <w:sz w:val="28"/>
          <w:szCs w:val="28"/>
        </w:rPr>
        <w:t xml:space="preserve"> </w:t>
      </w:r>
      <w:r>
        <w:rPr>
          <w:rFonts w:hint="eastAsia" w:ascii="仿宋_GB2312" w:hAnsi="宋体" w:eastAsia="仿宋_GB2312"/>
          <w:kern w:val="0"/>
          <w:sz w:val="28"/>
          <w:szCs w:val="28"/>
        </w:rPr>
        <w:t>公顷，比调整前增加125.40公顷；调整完善后，东川区全域永久基本农田比调整完善前有基本农田前减少了3097.10公顷，铜都街道、汤丹镇等城镇周边、交通沿线地势为平缓的耕地以及拖布卡镇内部分坝区耕地被划为基本农田，进行永久保护。</w:t>
      </w:r>
    </w:p>
    <w:p w14:paraId="7BCC17C1">
      <w:pPr>
        <w:jc w:val="center"/>
        <w:outlineLvl w:val="4"/>
        <w:rPr>
          <w:rFonts w:ascii="宋体" w:hAnsi="宋体"/>
          <w:b/>
          <w:sz w:val="24"/>
        </w:rPr>
      </w:pPr>
      <w:r>
        <w:rPr>
          <w:rFonts w:hint="eastAsia" w:ascii="宋体" w:hAnsi="宋体"/>
          <w:b/>
          <w:sz w:val="24"/>
        </w:rPr>
        <w:t>表</w:t>
      </w:r>
      <w:r>
        <w:rPr>
          <w:rFonts w:ascii="宋体" w:hAnsi="宋体"/>
          <w:b/>
          <w:sz w:val="24"/>
        </w:rPr>
        <w:t>6-</w:t>
      </w:r>
      <w:r>
        <w:rPr>
          <w:rFonts w:hint="eastAsia" w:ascii="宋体" w:hAnsi="宋体"/>
          <w:b/>
          <w:sz w:val="24"/>
        </w:rPr>
        <w:t xml:space="preserve">4 </w:t>
      </w:r>
      <w:r>
        <w:rPr>
          <w:rFonts w:ascii="宋体" w:hAnsi="宋体"/>
          <w:b/>
          <w:sz w:val="24"/>
        </w:rPr>
        <w:t xml:space="preserve"> </w:t>
      </w:r>
      <w:r>
        <w:rPr>
          <w:rFonts w:hint="eastAsia" w:ascii="宋体" w:hAnsi="宋体"/>
          <w:b/>
          <w:sz w:val="24"/>
        </w:rPr>
        <w:t>东川区基本农田调整情况对比表</w:t>
      </w:r>
    </w:p>
    <w:p w14:paraId="13C50195">
      <w:pPr>
        <w:spacing w:line="360" w:lineRule="auto"/>
        <w:ind w:right="360" w:firstLine="360" w:firstLineChars="200"/>
        <w:jc w:val="center"/>
        <w:rPr>
          <w:rFonts w:ascii="宋体" w:hAnsi="宋体"/>
          <w:color w:val="000000"/>
          <w:sz w:val="18"/>
          <w:szCs w:val="18"/>
        </w:rPr>
      </w:pPr>
      <w:r>
        <w:rPr>
          <w:rFonts w:hint="eastAsia" w:ascii="宋体" w:hAnsi="宋体"/>
          <w:color w:val="000000"/>
          <w:sz w:val="18"/>
          <w:szCs w:val="18"/>
        </w:rPr>
        <w:t xml:space="preserve">                                                                            单位：公顷</w:t>
      </w:r>
    </w:p>
    <w:tbl>
      <w:tblPr>
        <w:tblStyle w:val="27"/>
        <w:tblW w:w="8424" w:type="dxa"/>
        <w:jc w:val="center"/>
        <w:tblLayout w:type="autofit"/>
        <w:tblCellMar>
          <w:top w:w="0" w:type="dxa"/>
          <w:left w:w="108" w:type="dxa"/>
          <w:bottom w:w="0" w:type="dxa"/>
          <w:right w:w="108" w:type="dxa"/>
        </w:tblCellMar>
      </w:tblPr>
      <w:tblGrid>
        <w:gridCol w:w="1317"/>
        <w:gridCol w:w="1399"/>
        <w:gridCol w:w="1120"/>
        <w:gridCol w:w="1167"/>
        <w:gridCol w:w="1134"/>
        <w:gridCol w:w="1092"/>
        <w:gridCol w:w="1195"/>
      </w:tblGrid>
      <w:tr w14:paraId="03703B5E">
        <w:tblPrEx>
          <w:tblCellMar>
            <w:top w:w="0" w:type="dxa"/>
            <w:left w:w="108" w:type="dxa"/>
            <w:bottom w:w="0" w:type="dxa"/>
            <w:right w:w="108" w:type="dxa"/>
          </w:tblCellMar>
        </w:tblPrEx>
        <w:trPr>
          <w:trHeight w:val="288" w:hRule="atLeast"/>
          <w:jc w:val="center"/>
        </w:trPr>
        <w:tc>
          <w:tcPr>
            <w:tcW w:w="1317"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4E84B0C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行政辖区</w:t>
            </w:r>
          </w:p>
        </w:tc>
        <w:tc>
          <w:tcPr>
            <w:tcW w:w="2519" w:type="dxa"/>
            <w:gridSpan w:val="2"/>
            <w:tcBorders>
              <w:top w:val="single" w:color="auto" w:sz="4" w:space="0"/>
              <w:left w:val="nil"/>
              <w:bottom w:val="single" w:color="auto" w:sz="4" w:space="0"/>
              <w:right w:val="single" w:color="auto" w:sz="4" w:space="0"/>
            </w:tcBorders>
            <w:shd w:val="clear" w:color="auto" w:fill="auto"/>
            <w:noWrap/>
            <w:vAlign w:val="center"/>
          </w:tcPr>
          <w:p w14:paraId="0D65EEE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调整前</w:t>
            </w:r>
          </w:p>
        </w:tc>
        <w:tc>
          <w:tcPr>
            <w:tcW w:w="2301" w:type="dxa"/>
            <w:gridSpan w:val="2"/>
            <w:tcBorders>
              <w:top w:val="single" w:color="auto" w:sz="4" w:space="0"/>
              <w:left w:val="nil"/>
              <w:bottom w:val="single" w:color="auto" w:sz="4" w:space="0"/>
              <w:right w:val="single" w:color="auto" w:sz="4" w:space="0"/>
            </w:tcBorders>
            <w:shd w:val="clear" w:color="auto" w:fill="auto"/>
            <w:noWrap/>
            <w:vAlign w:val="center"/>
          </w:tcPr>
          <w:p w14:paraId="025FAF0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调整后</w:t>
            </w:r>
          </w:p>
        </w:tc>
        <w:tc>
          <w:tcPr>
            <w:tcW w:w="2287" w:type="dxa"/>
            <w:gridSpan w:val="2"/>
            <w:tcBorders>
              <w:top w:val="single" w:color="auto" w:sz="4" w:space="0"/>
              <w:left w:val="nil"/>
              <w:bottom w:val="single" w:color="auto" w:sz="4" w:space="0"/>
              <w:right w:val="single" w:color="auto" w:sz="4" w:space="0"/>
            </w:tcBorders>
            <w:shd w:val="clear" w:color="auto" w:fill="auto"/>
            <w:noWrap/>
            <w:vAlign w:val="center"/>
          </w:tcPr>
          <w:p w14:paraId="5453C3A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调整情况</w:t>
            </w:r>
          </w:p>
        </w:tc>
      </w:tr>
      <w:tr w14:paraId="595FEFB7">
        <w:tblPrEx>
          <w:tblCellMar>
            <w:top w:w="0" w:type="dxa"/>
            <w:left w:w="108" w:type="dxa"/>
            <w:bottom w:w="0" w:type="dxa"/>
            <w:right w:w="108" w:type="dxa"/>
          </w:tblCellMar>
        </w:tblPrEx>
        <w:trPr>
          <w:trHeight w:val="288" w:hRule="atLeast"/>
          <w:jc w:val="center"/>
        </w:trPr>
        <w:tc>
          <w:tcPr>
            <w:tcW w:w="1317" w:type="dxa"/>
            <w:vMerge w:val="continue"/>
            <w:tcBorders>
              <w:top w:val="single" w:color="auto" w:sz="4" w:space="0"/>
              <w:left w:val="single" w:color="auto" w:sz="4" w:space="0"/>
              <w:bottom w:val="single" w:color="000000" w:sz="4" w:space="0"/>
              <w:right w:val="single" w:color="auto" w:sz="4" w:space="0"/>
            </w:tcBorders>
            <w:vAlign w:val="center"/>
          </w:tcPr>
          <w:p w14:paraId="0A9AD643">
            <w:pPr>
              <w:widowControl/>
              <w:jc w:val="center"/>
              <w:rPr>
                <w:rFonts w:ascii="宋体" w:hAnsi="宋体" w:cs="宋体"/>
                <w:b/>
                <w:color w:val="000000"/>
                <w:kern w:val="0"/>
                <w:sz w:val="18"/>
                <w:szCs w:val="18"/>
              </w:rPr>
            </w:pPr>
          </w:p>
        </w:tc>
        <w:tc>
          <w:tcPr>
            <w:tcW w:w="1399" w:type="dxa"/>
            <w:tcBorders>
              <w:top w:val="nil"/>
              <w:left w:val="nil"/>
              <w:bottom w:val="single" w:color="auto" w:sz="4" w:space="0"/>
              <w:right w:val="single" w:color="auto" w:sz="4" w:space="0"/>
            </w:tcBorders>
            <w:shd w:val="clear" w:color="auto" w:fill="auto"/>
            <w:noWrap/>
            <w:vAlign w:val="center"/>
          </w:tcPr>
          <w:p w14:paraId="1EFC4092">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w:t>
            </w:r>
          </w:p>
        </w:tc>
        <w:tc>
          <w:tcPr>
            <w:tcW w:w="1120" w:type="dxa"/>
            <w:tcBorders>
              <w:top w:val="nil"/>
              <w:left w:val="nil"/>
              <w:bottom w:val="single" w:color="auto" w:sz="4" w:space="0"/>
              <w:right w:val="single" w:color="auto" w:sz="4" w:space="0"/>
            </w:tcBorders>
            <w:shd w:val="clear" w:color="auto" w:fill="auto"/>
            <w:noWrap/>
            <w:vAlign w:val="center"/>
          </w:tcPr>
          <w:p w14:paraId="1044CC6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c>
          <w:tcPr>
            <w:tcW w:w="1167" w:type="dxa"/>
            <w:tcBorders>
              <w:top w:val="nil"/>
              <w:left w:val="nil"/>
              <w:bottom w:val="single" w:color="auto" w:sz="4" w:space="0"/>
              <w:right w:val="single" w:color="auto" w:sz="4" w:space="0"/>
            </w:tcBorders>
            <w:shd w:val="clear" w:color="auto" w:fill="auto"/>
            <w:noWrap/>
            <w:vAlign w:val="center"/>
          </w:tcPr>
          <w:p w14:paraId="6825A0A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w:t>
            </w:r>
          </w:p>
        </w:tc>
        <w:tc>
          <w:tcPr>
            <w:tcW w:w="1134" w:type="dxa"/>
            <w:tcBorders>
              <w:top w:val="nil"/>
              <w:left w:val="nil"/>
              <w:bottom w:val="single" w:color="auto" w:sz="4" w:space="0"/>
              <w:right w:val="single" w:color="auto" w:sz="4" w:space="0"/>
            </w:tcBorders>
            <w:shd w:val="clear" w:color="auto" w:fill="auto"/>
            <w:noWrap/>
            <w:vAlign w:val="center"/>
          </w:tcPr>
          <w:p w14:paraId="4F537C4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c>
          <w:tcPr>
            <w:tcW w:w="1092" w:type="dxa"/>
            <w:tcBorders>
              <w:top w:val="nil"/>
              <w:left w:val="nil"/>
              <w:bottom w:val="single" w:color="auto" w:sz="4" w:space="0"/>
              <w:right w:val="single" w:color="auto" w:sz="4" w:space="0"/>
            </w:tcBorders>
            <w:shd w:val="clear" w:color="auto" w:fill="auto"/>
            <w:noWrap/>
            <w:vAlign w:val="center"/>
          </w:tcPr>
          <w:p w14:paraId="16DBC6C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面积</w:t>
            </w:r>
          </w:p>
        </w:tc>
        <w:tc>
          <w:tcPr>
            <w:tcW w:w="1195" w:type="dxa"/>
            <w:tcBorders>
              <w:top w:val="nil"/>
              <w:left w:val="nil"/>
              <w:bottom w:val="single" w:color="auto" w:sz="4" w:space="0"/>
              <w:right w:val="single" w:color="auto" w:sz="4" w:space="0"/>
            </w:tcBorders>
            <w:shd w:val="clear" w:color="auto" w:fill="auto"/>
            <w:noWrap/>
            <w:vAlign w:val="center"/>
          </w:tcPr>
          <w:p w14:paraId="4D505D63">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比例</w:t>
            </w:r>
          </w:p>
        </w:tc>
      </w:tr>
      <w:tr w14:paraId="6794F66B">
        <w:tblPrEx>
          <w:tblCellMar>
            <w:top w:w="0" w:type="dxa"/>
            <w:left w:w="108" w:type="dxa"/>
            <w:bottom w:w="0" w:type="dxa"/>
            <w:right w:w="108" w:type="dxa"/>
          </w:tblCellMar>
        </w:tblPrEx>
        <w:trPr>
          <w:trHeight w:val="288" w:hRule="atLeast"/>
          <w:jc w:val="center"/>
        </w:trPr>
        <w:tc>
          <w:tcPr>
            <w:tcW w:w="1317" w:type="dxa"/>
            <w:tcBorders>
              <w:top w:val="nil"/>
              <w:left w:val="single" w:color="auto" w:sz="4" w:space="0"/>
              <w:bottom w:val="single" w:color="auto" w:sz="4" w:space="0"/>
              <w:right w:val="single" w:color="auto" w:sz="4" w:space="0"/>
            </w:tcBorders>
            <w:shd w:val="clear" w:color="auto" w:fill="auto"/>
            <w:noWrap/>
            <w:vAlign w:val="center"/>
          </w:tcPr>
          <w:p w14:paraId="43846630">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399" w:type="dxa"/>
            <w:tcBorders>
              <w:top w:val="nil"/>
              <w:left w:val="nil"/>
              <w:bottom w:val="single" w:color="auto" w:sz="4" w:space="0"/>
              <w:right w:val="single" w:color="auto" w:sz="4" w:space="0"/>
            </w:tcBorders>
            <w:shd w:val="clear" w:color="auto" w:fill="auto"/>
            <w:noWrap/>
            <w:vAlign w:val="center"/>
          </w:tcPr>
          <w:p w14:paraId="0EFA3F19">
            <w:pPr>
              <w:widowControl/>
              <w:jc w:val="center"/>
              <w:rPr>
                <w:rFonts w:ascii="宋体" w:hAnsi="宋体" w:cs="宋体"/>
                <w:color w:val="000000"/>
                <w:kern w:val="0"/>
                <w:sz w:val="18"/>
                <w:szCs w:val="18"/>
              </w:rPr>
            </w:pPr>
            <w:r>
              <w:rPr>
                <w:rFonts w:hint="eastAsia" w:ascii="宋体" w:hAnsi="宋体" w:cs="宋体"/>
                <w:color w:val="000000"/>
                <w:kern w:val="0"/>
                <w:sz w:val="18"/>
                <w:szCs w:val="18"/>
              </w:rPr>
              <w:t>5207.89</w:t>
            </w:r>
          </w:p>
        </w:tc>
        <w:tc>
          <w:tcPr>
            <w:tcW w:w="1120" w:type="dxa"/>
            <w:tcBorders>
              <w:top w:val="nil"/>
              <w:left w:val="nil"/>
              <w:bottom w:val="single" w:color="auto" w:sz="4" w:space="0"/>
              <w:right w:val="single" w:color="auto" w:sz="4" w:space="0"/>
            </w:tcBorders>
            <w:shd w:val="clear" w:color="auto" w:fill="auto"/>
            <w:noWrap/>
            <w:vAlign w:val="center"/>
          </w:tcPr>
          <w:p w14:paraId="374BDB53">
            <w:pPr>
              <w:widowControl/>
              <w:jc w:val="center"/>
              <w:rPr>
                <w:rFonts w:ascii="宋体" w:hAnsi="宋体" w:cs="宋体"/>
                <w:color w:val="000000"/>
                <w:kern w:val="0"/>
                <w:sz w:val="18"/>
                <w:szCs w:val="18"/>
              </w:rPr>
            </w:pPr>
            <w:r>
              <w:rPr>
                <w:rFonts w:hint="eastAsia" w:ascii="宋体" w:hAnsi="宋体" w:cs="宋体"/>
                <w:color w:val="000000"/>
                <w:kern w:val="0"/>
                <w:sz w:val="18"/>
                <w:szCs w:val="18"/>
              </w:rPr>
              <w:t>19.87%</w:t>
            </w:r>
          </w:p>
        </w:tc>
        <w:tc>
          <w:tcPr>
            <w:tcW w:w="1167" w:type="dxa"/>
            <w:tcBorders>
              <w:top w:val="nil"/>
              <w:left w:val="nil"/>
              <w:bottom w:val="single" w:color="auto" w:sz="4" w:space="0"/>
              <w:right w:val="single" w:color="auto" w:sz="4" w:space="0"/>
            </w:tcBorders>
            <w:shd w:val="clear" w:color="auto" w:fill="auto"/>
            <w:noWrap/>
            <w:vAlign w:val="center"/>
          </w:tcPr>
          <w:p w14:paraId="43C7E57C">
            <w:pPr>
              <w:widowControl/>
              <w:jc w:val="center"/>
              <w:rPr>
                <w:rFonts w:ascii="宋体" w:hAnsi="宋体" w:cs="宋体"/>
                <w:color w:val="000000"/>
                <w:kern w:val="0"/>
                <w:sz w:val="18"/>
                <w:szCs w:val="18"/>
              </w:rPr>
            </w:pPr>
            <w:r>
              <w:rPr>
                <w:rFonts w:hint="eastAsia" w:ascii="宋体" w:hAnsi="宋体" w:cs="宋体"/>
                <w:color w:val="000000"/>
                <w:kern w:val="0"/>
                <w:sz w:val="18"/>
                <w:szCs w:val="18"/>
              </w:rPr>
              <w:t>4737.63</w:t>
            </w:r>
          </w:p>
        </w:tc>
        <w:tc>
          <w:tcPr>
            <w:tcW w:w="1134" w:type="dxa"/>
            <w:tcBorders>
              <w:top w:val="nil"/>
              <w:left w:val="nil"/>
              <w:bottom w:val="single" w:color="auto" w:sz="4" w:space="0"/>
              <w:right w:val="single" w:color="auto" w:sz="4" w:space="0"/>
            </w:tcBorders>
            <w:shd w:val="clear" w:color="auto" w:fill="auto"/>
            <w:noWrap/>
            <w:vAlign w:val="center"/>
          </w:tcPr>
          <w:p w14:paraId="704625B6">
            <w:pPr>
              <w:widowControl/>
              <w:jc w:val="center"/>
              <w:rPr>
                <w:rFonts w:ascii="宋体" w:hAnsi="宋体" w:cs="宋体"/>
                <w:color w:val="000000"/>
                <w:kern w:val="0"/>
                <w:sz w:val="18"/>
                <w:szCs w:val="18"/>
              </w:rPr>
            </w:pPr>
            <w:r>
              <w:rPr>
                <w:rFonts w:hint="eastAsia" w:ascii="宋体" w:hAnsi="宋体" w:cs="宋体"/>
                <w:color w:val="000000"/>
                <w:kern w:val="0"/>
                <w:sz w:val="18"/>
                <w:szCs w:val="18"/>
              </w:rPr>
              <w:t>20.50%</w:t>
            </w:r>
          </w:p>
        </w:tc>
        <w:tc>
          <w:tcPr>
            <w:tcW w:w="1092" w:type="dxa"/>
            <w:tcBorders>
              <w:top w:val="nil"/>
              <w:left w:val="nil"/>
              <w:bottom w:val="single" w:color="auto" w:sz="4" w:space="0"/>
              <w:right w:val="single" w:color="auto" w:sz="4" w:space="0"/>
            </w:tcBorders>
            <w:shd w:val="clear" w:color="auto" w:fill="auto"/>
            <w:noWrap/>
            <w:vAlign w:val="center"/>
          </w:tcPr>
          <w:p w14:paraId="22B51682">
            <w:pPr>
              <w:widowControl/>
              <w:jc w:val="center"/>
              <w:rPr>
                <w:rFonts w:ascii="宋体" w:hAnsi="宋体" w:cs="宋体"/>
                <w:color w:val="000000"/>
                <w:kern w:val="0"/>
                <w:sz w:val="18"/>
                <w:szCs w:val="18"/>
              </w:rPr>
            </w:pPr>
            <w:r>
              <w:rPr>
                <w:rFonts w:hint="eastAsia" w:ascii="宋体" w:hAnsi="宋体" w:cs="宋体"/>
                <w:color w:val="000000"/>
                <w:kern w:val="0"/>
                <w:sz w:val="18"/>
                <w:szCs w:val="18"/>
              </w:rPr>
              <w:t>-470.26</w:t>
            </w:r>
          </w:p>
        </w:tc>
        <w:tc>
          <w:tcPr>
            <w:tcW w:w="1195" w:type="dxa"/>
            <w:tcBorders>
              <w:top w:val="nil"/>
              <w:left w:val="nil"/>
              <w:bottom w:val="single" w:color="auto" w:sz="4" w:space="0"/>
              <w:right w:val="single" w:color="auto" w:sz="4" w:space="0"/>
            </w:tcBorders>
            <w:shd w:val="clear" w:color="auto" w:fill="auto"/>
            <w:noWrap/>
            <w:vAlign w:val="center"/>
          </w:tcPr>
          <w:p w14:paraId="345A2E23">
            <w:pPr>
              <w:widowControl/>
              <w:jc w:val="center"/>
              <w:rPr>
                <w:rFonts w:ascii="宋体" w:hAnsi="宋体" w:cs="宋体"/>
                <w:color w:val="000000"/>
                <w:kern w:val="0"/>
                <w:sz w:val="18"/>
                <w:szCs w:val="18"/>
              </w:rPr>
            </w:pPr>
            <w:r>
              <w:rPr>
                <w:rFonts w:hint="eastAsia" w:ascii="宋体" w:hAnsi="宋体" w:cs="宋体"/>
                <w:color w:val="000000"/>
                <w:kern w:val="0"/>
                <w:sz w:val="18"/>
                <w:szCs w:val="18"/>
              </w:rPr>
              <w:t>0.63%</w:t>
            </w:r>
          </w:p>
        </w:tc>
      </w:tr>
      <w:tr w14:paraId="7D234190">
        <w:tblPrEx>
          <w:tblCellMar>
            <w:top w:w="0" w:type="dxa"/>
            <w:left w:w="108" w:type="dxa"/>
            <w:bottom w:w="0" w:type="dxa"/>
            <w:right w:w="108" w:type="dxa"/>
          </w:tblCellMar>
        </w:tblPrEx>
        <w:trPr>
          <w:trHeight w:val="288" w:hRule="atLeast"/>
          <w:jc w:val="center"/>
        </w:trPr>
        <w:tc>
          <w:tcPr>
            <w:tcW w:w="1317" w:type="dxa"/>
            <w:tcBorders>
              <w:top w:val="nil"/>
              <w:left w:val="single" w:color="auto" w:sz="4" w:space="0"/>
              <w:bottom w:val="single" w:color="auto" w:sz="4" w:space="0"/>
              <w:right w:val="single" w:color="auto" w:sz="4" w:space="0"/>
            </w:tcBorders>
            <w:shd w:val="clear" w:color="auto" w:fill="auto"/>
            <w:noWrap/>
            <w:vAlign w:val="center"/>
          </w:tcPr>
          <w:p w14:paraId="1314EC10">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399" w:type="dxa"/>
            <w:tcBorders>
              <w:top w:val="nil"/>
              <w:left w:val="nil"/>
              <w:bottom w:val="single" w:color="auto" w:sz="4" w:space="0"/>
              <w:right w:val="single" w:color="auto" w:sz="4" w:space="0"/>
            </w:tcBorders>
            <w:shd w:val="clear" w:color="auto" w:fill="auto"/>
            <w:noWrap/>
            <w:vAlign w:val="center"/>
          </w:tcPr>
          <w:p w14:paraId="282A1E73">
            <w:pPr>
              <w:widowControl/>
              <w:jc w:val="center"/>
              <w:rPr>
                <w:rFonts w:ascii="宋体" w:hAnsi="宋体" w:cs="宋体"/>
                <w:color w:val="000000"/>
                <w:kern w:val="0"/>
                <w:sz w:val="18"/>
                <w:szCs w:val="18"/>
              </w:rPr>
            </w:pPr>
            <w:r>
              <w:rPr>
                <w:rFonts w:hint="eastAsia" w:ascii="宋体" w:hAnsi="宋体" w:cs="宋体"/>
                <w:color w:val="000000"/>
                <w:kern w:val="0"/>
                <w:sz w:val="18"/>
                <w:szCs w:val="18"/>
              </w:rPr>
              <w:t>5254.34</w:t>
            </w:r>
          </w:p>
        </w:tc>
        <w:tc>
          <w:tcPr>
            <w:tcW w:w="1120" w:type="dxa"/>
            <w:tcBorders>
              <w:top w:val="nil"/>
              <w:left w:val="nil"/>
              <w:bottom w:val="single" w:color="auto" w:sz="4" w:space="0"/>
              <w:right w:val="single" w:color="auto" w:sz="4" w:space="0"/>
            </w:tcBorders>
            <w:shd w:val="clear" w:color="auto" w:fill="auto"/>
            <w:noWrap/>
            <w:vAlign w:val="center"/>
          </w:tcPr>
          <w:p w14:paraId="2A5580FE">
            <w:pPr>
              <w:widowControl/>
              <w:jc w:val="center"/>
              <w:rPr>
                <w:rFonts w:ascii="宋体" w:hAnsi="宋体" w:cs="宋体"/>
                <w:color w:val="000000"/>
                <w:kern w:val="0"/>
                <w:sz w:val="18"/>
                <w:szCs w:val="18"/>
              </w:rPr>
            </w:pPr>
            <w:r>
              <w:rPr>
                <w:rFonts w:hint="eastAsia" w:ascii="宋体" w:hAnsi="宋体" w:cs="宋体"/>
                <w:color w:val="000000"/>
                <w:kern w:val="0"/>
                <w:sz w:val="18"/>
                <w:szCs w:val="18"/>
              </w:rPr>
              <w:t>20.05%</w:t>
            </w:r>
          </w:p>
        </w:tc>
        <w:tc>
          <w:tcPr>
            <w:tcW w:w="1167" w:type="dxa"/>
            <w:tcBorders>
              <w:top w:val="nil"/>
              <w:left w:val="nil"/>
              <w:bottom w:val="single" w:color="auto" w:sz="4" w:space="0"/>
              <w:right w:val="single" w:color="auto" w:sz="4" w:space="0"/>
            </w:tcBorders>
            <w:shd w:val="clear" w:color="auto" w:fill="auto"/>
            <w:noWrap/>
            <w:vAlign w:val="center"/>
          </w:tcPr>
          <w:p w14:paraId="69DCB09A">
            <w:pPr>
              <w:widowControl/>
              <w:jc w:val="center"/>
              <w:rPr>
                <w:rFonts w:ascii="宋体" w:hAnsi="宋体" w:cs="宋体"/>
                <w:color w:val="000000"/>
                <w:kern w:val="0"/>
                <w:sz w:val="18"/>
                <w:szCs w:val="18"/>
              </w:rPr>
            </w:pPr>
            <w:r>
              <w:rPr>
                <w:rFonts w:hint="eastAsia" w:ascii="宋体" w:hAnsi="宋体" w:cs="宋体"/>
                <w:color w:val="000000"/>
                <w:kern w:val="0"/>
                <w:sz w:val="18"/>
                <w:szCs w:val="18"/>
              </w:rPr>
              <w:t>4485.71</w:t>
            </w:r>
          </w:p>
        </w:tc>
        <w:tc>
          <w:tcPr>
            <w:tcW w:w="1134" w:type="dxa"/>
            <w:tcBorders>
              <w:top w:val="nil"/>
              <w:left w:val="nil"/>
              <w:bottom w:val="single" w:color="auto" w:sz="4" w:space="0"/>
              <w:right w:val="single" w:color="auto" w:sz="4" w:space="0"/>
            </w:tcBorders>
            <w:shd w:val="clear" w:color="auto" w:fill="auto"/>
            <w:noWrap/>
            <w:vAlign w:val="center"/>
          </w:tcPr>
          <w:p w14:paraId="54995E70">
            <w:pPr>
              <w:widowControl/>
              <w:jc w:val="center"/>
              <w:rPr>
                <w:rFonts w:ascii="宋体" w:hAnsi="宋体" w:cs="宋体"/>
                <w:color w:val="000000"/>
                <w:kern w:val="0"/>
                <w:sz w:val="18"/>
                <w:szCs w:val="18"/>
              </w:rPr>
            </w:pPr>
            <w:r>
              <w:rPr>
                <w:rFonts w:hint="eastAsia" w:ascii="宋体" w:hAnsi="宋体" w:cs="宋体"/>
                <w:color w:val="000000"/>
                <w:kern w:val="0"/>
                <w:sz w:val="18"/>
                <w:szCs w:val="18"/>
              </w:rPr>
              <w:t>19.41%</w:t>
            </w:r>
          </w:p>
        </w:tc>
        <w:tc>
          <w:tcPr>
            <w:tcW w:w="1092" w:type="dxa"/>
            <w:tcBorders>
              <w:top w:val="nil"/>
              <w:left w:val="nil"/>
              <w:bottom w:val="single" w:color="auto" w:sz="4" w:space="0"/>
              <w:right w:val="single" w:color="auto" w:sz="4" w:space="0"/>
            </w:tcBorders>
            <w:shd w:val="clear" w:color="auto" w:fill="auto"/>
            <w:noWrap/>
            <w:vAlign w:val="center"/>
          </w:tcPr>
          <w:p w14:paraId="75510A51">
            <w:pPr>
              <w:widowControl/>
              <w:jc w:val="center"/>
              <w:rPr>
                <w:rFonts w:ascii="宋体" w:hAnsi="宋体" w:cs="宋体"/>
                <w:color w:val="000000"/>
                <w:kern w:val="0"/>
                <w:sz w:val="18"/>
                <w:szCs w:val="18"/>
              </w:rPr>
            </w:pPr>
            <w:r>
              <w:rPr>
                <w:rFonts w:hint="eastAsia" w:ascii="宋体" w:hAnsi="宋体" w:cs="宋体"/>
                <w:color w:val="000000"/>
                <w:kern w:val="0"/>
                <w:sz w:val="18"/>
                <w:szCs w:val="18"/>
              </w:rPr>
              <w:t>-768.63</w:t>
            </w:r>
          </w:p>
        </w:tc>
        <w:tc>
          <w:tcPr>
            <w:tcW w:w="1195" w:type="dxa"/>
            <w:tcBorders>
              <w:top w:val="nil"/>
              <w:left w:val="nil"/>
              <w:bottom w:val="single" w:color="auto" w:sz="4" w:space="0"/>
              <w:right w:val="single" w:color="auto" w:sz="4" w:space="0"/>
            </w:tcBorders>
            <w:shd w:val="clear" w:color="auto" w:fill="auto"/>
            <w:noWrap/>
            <w:vAlign w:val="center"/>
          </w:tcPr>
          <w:p w14:paraId="548D78ED">
            <w:pPr>
              <w:widowControl/>
              <w:jc w:val="center"/>
              <w:rPr>
                <w:rFonts w:ascii="宋体" w:hAnsi="宋体" w:cs="宋体"/>
                <w:color w:val="000000"/>
                <w:kern w:val="0"/>
                <w:sz w:val="18"/>
                <w:szCs w:val="18"/>
              </w:rPr>
            </w:pPr>
            <w:r>
              <w:rPr>
                <w:rFonts w:hint="eastAsia" w:ascii="宋体" w:hAnsi="宋体" w:cs="宋体"/>
                <w:color w:val="000000"/>
                <w:kern w:val="0"/>
                <w:sz w:val="18"/>
                <w:szCs w:val="18"/>
              </w:rPr>
              <w:t>-0.64%</w:t>
            </w:r>
          </w:p>
        </w:tc>
      </w:tr>
      <w:tr w14:paraId="457C3069">
        <w:tblPrEx>
          <w:tblCellMar>
            <w:top w:w="0" w:type="dxa"/>
            <w:left w:w="108" w:type="dxa"/>
            <w:bottom w:w="0" w:type="dxa"/>
            <w:right w:w="108" w:type="dxa"/>
          </w:tblCellMar>
        </w:tblPrEx>
        <w:trPr>
          <w:trHeight w:val="288" w:hRule="atLeast"/>
          <w:jc w:val="center"/>
        </w:trPr>
        <w:tc>
          <w:tcPr>
            <w:tcW w:w="1317" w:type="dxa"/>
            <w:tcBorders>
              <w:top w:val="nil"/>
              <w:left w:val="single" w:color="auto" w:sz="4" w:space="0"/>
              <w:bottom w:val="single" w:color="auto" w:sz="4" w:space="0"/>
              <w:right w:val="single" w:color="auto" w:sz="4" w:space="0"/>
            </w:tcBorders>
            <w:shd w:val="clear" w:color="auto" w:fill="auto"/>
            <w:noWrap/>
            <w:vAlign w:val="center"/>
          </w:tcPr>
          <w:p w14:paraId="4CAC2F81">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399" w:type="dxa"/>
            <w:tcBorders>
              <w:top w:val="nil"/>
              <w:left w:val="nil"/>
              <w:bottom w:val="single" w:color="auto" w:sz="4" w:space="0"/>
              <w:right w:val="single" w:color="auto" w:sz="4" w:space="0"/>
            </w:tcBorders>
            <w:shd w:val="clear" w:color="auto" w:fill="auto"/>
            <w:noWrap/>
            <w:vAlign w:val="center"/>
          </w:tcPr>
          <w:p w14:paraId="243001DB">
            <w:pPr>
              <w:widowControl/>
              <w:jc w:val="center"/>
              <w:rPr>
                <w:rFonts w:ascii="宋体" w:hAnsi="宋体" w:cs="宋体"/>
                <w:color w:val="000000"/>
                <w:kern w:val="0"/>
                <w:sz w:val="18"/>
                <w:szCs w:val="18"/>
              </w:rPr>
            </w:pPr>
            <w:r>
              <w:rPr>
                <w:rFonts w:hint="eastAsia" w:ascii="宋体" w:hAnsi="宋体" w:cs="宋体"/>
                <w:color w:val="000000"/>
                <w:kern w:val="0"/>
                <w:sz w:val="18"/>
                <w:szCs w:val="18"/>
              </w:rPr>
              <w:t>2914.51</w:t>
            </w:r>
          </w:p>
        </w:tc>
        <w:tc>
          <w:tcPr>
            <w:tcW w:w="1120" w:type="dxa"/>
            <w:tcBorders>
              <w:top w:val="nil"/>
              <w:left w:val="nil"/>
              <w:bottom w:val="single" w:color="auto" w:sz="4" w:space="0"/>
              <w:right w:val="single" w:color="auto" w:sz="4" w:space="0"/>
            </w:tcBorders>
            <w:shd w:val="clear" w:color="auto" w:fill="auto"/>
            <w:noWrap/>
            <w:vAlign w:val="center"/>
          </w:tcPr>
          <w:p w14:paraId="7690A586">
            <w:pPr>
              <w:widowControl/>
              <w:jc w:val="center"/>
              <w:rPr>
                <w:rFonts w:ascii="宋体" w:hAnsi="宋体" w:cs="宋体"/>
                <w:color w:val="000000"/>
                <w:kern w:val="0"/>
                <w:sz w:val="18"/>
                <w:szCs w:val="18"/>
              </w:rPr>
            </w:pPr>
            <w:r>
              <w:rPr>
                <w:rFonts w:hint="eastAsia" w:ascii="宋体" w:hAnsi="宋体" w:cs="宋体"/>
                <w:color w:val="000000"/>
                <w:kern w:val="0"/>
                <w:sz w:val="18"/>
                <w:szCs w:val="18"/>
              </w:rPr>
              <w:t>11.12%</w:t>
            </w:r>
          </w:p>
        </w:tc>
        <w:tc>
          <w:tcPr>
            <w:tcW w:w="1167" w:type="dxa"/>
            <w:tcBorders>
              <w:top w:val="nil"/>
              <w:left w:val="nil"/>
              <w:bottom w:val="single" w:color="auto" w:sz="4" w:space="0"/>
              <w:right w:val="single" w:color="auto" w:sz="4" w:space="0"/>
            </w:tcBorders>
            <w:shd w:val="clear" w:color="auto" w:fill="auto"/>
            <w:noWrap/>
            <w:vAlign w:val="center"/>
          </w:tcPr>
          <w:p w14:paraId="44468143">
            <w:pPr>
              <w:widowControl/>
              <w:jc w:val="center"/>
              <w:rPr>
                <w:rFonts w:ascii="宋体" w:hAnsi="宋体" w:cs="宋体"/>
                <w:color w:val="000000"/>
                <w:kern w:val="0"/>
                <w:sz w:val="18"/>
                <w:szCs w:val="18"/>
              </w:rPr>
            </w:pPr>
            <w:r>
              <w:rPr>
                <w:rFonts w:hint="eastAsia" w:ascii="宋体" w:hAnsi="宋体" w:cs="宋体"/>
                <w:color w:val="000000"/>
                <w:kern w:val="0"/>
                <w:sz w:val="18"/>
                <w:szCs w:val="18"/>
              </w:rPr>
              <w:t>2878.93</w:t>
            </w:r>
          </w:p>
        </w:tc>
        <w:tc>
          <w:tcPr>
            <w:tcW w:w="1134" w:type="dxa"/>
            <w:tcBorders>
              <w:top w:val="nil"/>
              <w:left w:val="nil"/>
              <w:bottom w:val="single" w:color="auto" w:sz="4" w:space="0"/>
              <w:right w:val="single" w:color="auto" w:sz="4" w:space="0"/>
            </w:tcBorders>
            <w:shd w:val="clear" w:color="auto" w:fill="auto"/>
            <w:noWrap/>
            <w:vAlign w:val="center"/>
          </w:tcPr>
          <w:p w14:paraId="2A866F37">
            <w:pPr>
              <w:widowControl/>
              <w:jc w:val="center"/>
              <w:rPr>
                <w:rFonts w:ascii="宋体" w:hAnsi="宋体" w:cs="宋体"/>
                <w:color w:val="000000"/>
                <w:kern w:val="0"/>
                <w:sz w:val="18"/>
                <w:szCs w:val="18"/>
              </w:rPr>
            </w:pPr>
            <w:r>
              <w:rPr>
                <w:rFonts w:hint="eastAsia" w:ascii="宋体" w:hAnsi="宋体" w:cs="宋体"/>
                <w:color w:val="000000"/>
                <w:kern w:val="0"/>
                <w:sz w:val="18"/>
                <w:szCs w:val="18"/>
              </w:rPr>
              <w:t>12.46%</w:t>
            </w:r>
          </w:p>
        </w:tc>
        <w:tc>
          <w:tcPr>
            <w:tcW w:w="1092" w:type="dxa"/>
            <w:tcBorders>
              <w:top w:val="nil"/>
              <w:left w:val="nil"/>
              <w:bottom w:val="single" w:color="auto" w:sz="4" w:space="0"/>
              <w:right w:val="single" w:color="auto" w:sz="4" w:space="0"/>
            </w:tcBorders>
            <w:shd w:val="clear" w:color="auto" w:fill="auto"/>
            <w:noWrap/>
            <w:vAlign w:val="center"/>
          </w:tcPr>
          <w:p w14:paraId="5498AC3A">
            <w:pPr>
              <w:widowControl/>
              <w:jc w:val="center"/>
              <w:rPr>
                <w:rFonts w:ascii="宋体" w:hAnsi="宋体" w:cs="宋体"/>
                <w:color w:val="000000"/>
                <w:kern w:val="0"/>
                <w:sz w:val="18"/>
                <w:szCs w:val="18"/>
              </w:rPr>
            </w:pPr>
            <w:r>
              <w:rPr>
                <w:rFonts w:hint="eastAsia" w:ascii="宋体" w:hAnsi="宋体" w:cs="宋体"/>
                <w:color w:val="000000"/>
                <w:kern w:val="0"/>
                <w:sz w:val="18"/>
                <w:szCs w:val="18"/>
              </w:rPr>
              <w:t>-35.58</w:t>
            </w:r>
          </w:p>
        </w:tc>
        <w:tc>
          <w:tcPr>
            <w:tcW w:w="1195" w:type="dxa"/>
            <w:tcBorders>
              <w:top w:val="nil"/>
              <w:left w:val="nil"/>
              <w:bottom w:val="single" w:color="auto" w:sz="4" w:space="0"/>
              <w:right w:val="single" w:color="auto" w:sz="4" w:space="0"/>
            </w:tcBorders>
            <w:shd w:val="clear" w:color="auto" w:fill="auto"/>
            <w:noWrap/>
            <w:vAlign w:val="center"/>
          </w:tcPr>
          <w:p w14:paraId="1664E138">
            <w:pPr>
              <w:widowControl/>
              <w:jc w:val="center"/>
              <w:rPr>
                <w:rFonts w:ascii="宋体" w:hAnsi="宋体" w:cs="宋体"/>
                <w:color w:val="000000"/>
                <w:kern w:val="0"/>
                <w:sz w:val="18"/>
                <w:szCs w:val="18"/>
              </w:rPr>
            </w:pPr>
            <w:r>
              <w:rPr>
                <w:rFonts w:hint="eastAsia" w:ascii="宋体" w:hAnsi="宋体" w:cs="宋体"/>
                <w:color w:val="000000"/>
                <w:kern w:val="0"/>
                <w:sz w:val="18"/>
                <w:szCs w:val="18"/>
              </w:rPr>
              <w:t>1.34%</w:t>
            </w:r>
          </w:p>
        </w:tc>
      </w:tr>
      <w:tr w14:paraId="44C942BC">
        <w:tblPrEx>
          <w:tblCellMar>
            <w:top w:w="0" w:type="dxa"/>
            <w:left w:w="108" w:type="dxa"/>
            <w:bottom w:w="0" w:type="dxa"/>
            <w:right w:w="108" w:type="dxa"/>
          </w:tblCellMar>
        </w:tblPrEx>
        <w:trPr>
          <w:trHeight w:val="288" w:hRule="atLeast"/>
          <w:jc w:val="center"/>
        </w:trPr>
        <w:tc>
          <w:tcPr>
            <w:tcW w:w="1317" w:type="dxa"/>
            <w:tcBorders>
              <w:top w:val="nil"/>
              <w:left w:val="single" w:color="auto" w:sz="4" w:space="0"/>
              <w:bottom w:val="single" w:color="auto" w:sz="4" w:space="0"/>
              <w:right w:val="single" w:color="auto" w:sz="4" w:space="0"/>
            </w:tcBorders>
            <w:shd w:val="clear" w:color="auto" w:fill="auto"/>
            <w:noWrap/>
            <w:vAlign w:val="center"/>
          </w:tcPr>
          <w:p w14:paraId="39A53530">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399" w:type="dxa"/>
            <w:tcBorders>
              <w:top w:val="nil"/>
              <w:left w:val="nil"/>
              <w:bottom w:val="single" w:color="auto" w:sz="4" w:space="0"/>
              <w:right w:val="single" w:color="auto" w:sz="4" w:space="0"/>
            </w:tcBorders>
            <w:shd w:val="clear" w:color="auto" w:fill="auto"/>
            <w:noWrap/>
            <w:vAlign w:val="center"/>
          </w:tcPr>
          <w:p w14:paraId="79EEC027">
            <w:pPr>
              <w:widowControl/>
              <w:jc w:val="center"/>
              <w:rPr>
                <w:rFonts w:ascii="宋体" w:hAnsi="宋体" w:cs="宋体"/>
                <w:color w:val="000000"/>
                <w:kern w:val="0"/>
                <w:sz w:val="18"/>
                <w:szCs w:val="18"/>
              </w:rPr>
            </w:pPr>
            <w:r>
              <w:rPr>
                <w:rFonts w:hint="eastAsia" w:ascii="宋体" w:hAnsi="宋体" w:cs="宋体"/>
                <w:color w:val="000000"/>
                <w:kern w:val="0"/>
                <w:sz w:val="18"/>
                <w:szCs w:val="18"/>
              </w:rPr>
              <w:t>5138.45</w:t>
            </w:r>
          </w:p>
        </w:tc>
        <w:tc>
          <w:tcPr>
            <w:tcW w:w="1120" w:type="dxa"/>
            <w:tcBorders>
              <w:top w:val="nil"/>
              <w:left w:val="nil"/>
              <w:bottom w:val="single" w:color="auto" w:sz="4" w:space="0"/>
              <w:right w:val="single" w:color="auto" w:sz="4" w:space="0"/>
            </w:tcBorders>
            <w:shd w:val="clear" w:color="auto" w:fill="auto"/>
            <w:noWrap/>
            <w:vAlign w:val="center"/>
          </w:tcPr>
          <w:p w14:paraId="6E84CE3A">
            <w:pPr>
              <w:widowControl/>
              <w:jc w:val="center"/>
              <w:rPr>
                <w:rFonts w:ascii="宋体" w:hAnsi="宋体" w:cs="宋体"/>
                <w:color w:val="000000"/>
                <w:kern w:val="0"/>
                <w:sz w:val="18"/>
                <w:szCs w:val="18"/>
              </w:rPr>
            </w:pPr>
            <w:r>
              <w:rPr>
                <w:rFonts w:hint="eastAsia" w:ascii="宋体" w:hAnsi="宋体" w:cs="宋体"/>
                <w:color w:val="000000"/>
                <w:kern w:val="0"/>
                <w:sz w:val="18"/>
                <w:szCs w:val="18"/>
              </w:rPr>
              <w:t>19.61%</w:t>
            </w:r>
          </w:p>
        </w:tc>
        <w:tc>
          <w:tcPr>
            <w:tcW w:w="1167" w:type="dxa"/>
            <w:tcBorders>
              <w:top w:val="nil"/>
              <w:left w:val="nil"/>
              <w:bottom w:val="single" w:color="auto" w:sz="4" w:space="0"/>
              <w:right w:val="single" w:color="auto" w:sz="4" w:space="0"/>
            </w:tcBorders>
            <w:shd w:val="clear" w:color="auto" w:fill="auto"/>
            <w:noWrap/>
            <w:vAlign w:val="center"/>
          </w:tcPr>
          <w:p w14:paraId="05ADEFC5">
            <w:pPr>
              <w:widowControl/>
              <w:jc w:val="center"/>
              <w:rPr>
                <w:rFonts w:ascii="宋体" w:hAnsi="宋体" w:cs="宋体"/>
                <w:color w:val="000000"/>
                <w:kern w:val="0"/>
                <w:sz w:val="18"/>
                <w:szCs w:val="18"/>
              </w:rPr>
            </w:pPr>
            <w:r>
              <w:rPr>
                <w:rFonts w:hint="eastAsia" w:ascii="宋体" w:hAnsi="宋体" w:cs="宋体"/>
                <w:color w:val="000000"/>
                <w:kern w:val="0"/>
                <w:sz w:val="18"/>
                <w:szCs w:val="18"/>
              </w:rPr>
              <w:t>4730.67</w:t>
            </w:r>
          </w:p>
        </w:tc>
        <w:tc>
          <w:tcPr>
            <w:tcW w:w="1134" w:type="dxa"/>
            <w:tcBorders>
              <w:top w:val="nil"/>
              <w:left w:val="nil"/>
              <w:bottom w:val="single" w:color="auto" w:sz="4" w:space="0"/>
              <w:right w:val="single" w:color="auto" w:sz="4" w:space="0"/>
            </w:tcBorders>
            <w:shd w:val="clear" w:color="auto" w:fill="auto"/>
            <w:noWrap/>
            <w:vAlign w:val="center"/>
          </w:tcPr>
          <w:p w14:paraId="3BE189D7">
            <w:pPr>
              <w:widowControl/>
              <w:jc w:val="center"/>
              <w:rPr>
                <w:rFonts w:ascii="宋体" w:hAnsi="宋体" w:cs="宋体"/>
                <w:color w:val="000000"/>
                <w:kern w:val="0"/>
                <w:sz w:val="18"/>
                <w:szCs w:val="18"/>
              </w:rPr>
            </w:pPr>
            <w:r>
              <w:rPr>
                <w:rFonts w:hint="eastAsia" w:ascii="宋体" w:hAnsi="宋体" w:cs="宋体"/>
                <w:color w:val="000000"/>
                <w:kern w:val="0"/>
                <w:sz w:val="18"/>
                <w:szCs w:val="18"/>
              </w:rPr>
              <w:t>20.47%</w:t>
            </w:r>
          </w:p>
        </w:tc>
        <w:tc>
          <w:tcPr>
            <w:tcW w:w="1092" w:type="dxa"/>
            <w:tcBorders>
              <w:top w:val="nil"/>
              <w:left w:val="nil"/>
              <w:bottom w:val="single" w:color="auto" w:sz="4" w:space="0"/>
              <w:right w:val="single" w:color="auto" w:sz="4" w:space="0"/>
            </w:tcBorders>
            <w:shd w:val="clear" w:color="auto" w:fill="auto"/>
            <w:noWrap/>
            <w:vAlign w:val="center"/>
          </w:tcPr>
          <w:p w14:paraId="31245BD2">
            <w:pPr>
              <w:widowControl/>
              <w:jc w:val="center"/>
              <w:rPr>
                <w:rFonts w:ascii="宋体" w:hAnsi="宋体" w:cs="宋体"/>
                <w:color w:val="000000"/>
                <w:kern w:val="0"/>
                <w:sz w:val="18"/>
                <w:szCs w:val="18"/>
              </w:rPr>
            </w:pPr>
            <w:r>
              <w:rPr>
                <w:rFonts w:hint="eastAsia" w:ascii="宋体" w:hAnsi="宋体" w:cs="宋体"/>
                <w:color w:val="000000"/>
                <w:kern w:val="0"/>
                <w:sz w:val="18"/>
                <w:szCs w:val="18"/>
              </w:rPr>
              <w:t>-407.78</w:t>
            </w:r>
          </w:p>
        </w:tc>
        <w:tc>
          <w:tcPr>
            <w:tcW w:w="1195" w:type="dxa"/>
            <w:tcBorders>
              <w:top w:val="nil"/>
              <w:left w:val="nil"/>
              <w:bottom w:val="single" w:color="auto" w:sz="4" w:space="0"/>
              <w:right w:val="single" w:color="auto" w:sz="4" w:space="0"/>
            </w:tcBorders>
            <w:shd w:val="clear" w:color="auto" w:fill="auto"/>
            <w:noWrap/>
            <w:vAlign w:val="center"/>
          </w:tcPr>
          <w:p w14:paraId="29DF11B1">
            <w:pPr>
              <w:widowControl/>
              <w:jc w:val="center"/>
              <w:rPr>
                <w:rFonts w:ascii="宋体" w:hAnsi="宋体" w:cs="宋体"/>
                <w:color w:val="000000"/>
                <w:kern w:val="0"/>
                <w:sz w:val="18"/>
                <w:szCs w:val="18"/>
              </w:rPr>
            </w:pPr>
            <w:r>
              <w:rPr>
                <w:rFonts w:hint="eastAsia" w:ascii="宋体" w:hAnsi="宋体" w:cs="宋体"/>
                <w:color w:val="000000"/>
                <w:kern w:val="0"/>
                <w:sz w:val="18"/>
                <w:szCs w:val="18"/>
              </w:rPr>
              <w:t>0.86%</w:t>
            </w:r>
          </w:p>
        </w:tc>
      </w:tr>
      <w:tr w14:paraId="1DA866D4">
        <w:tblPrEx>
          <w:tblCellMar>
            <w:top w:w="0" w:type="dxa"/>
            <w:left w:w="108" w:type="dxa"/>
            <w:bottom w:w="0" w:type="dxa"/>
            <w:right w:w="108" w:type="dxa"/>
          </w:tblCellMar>
        </w:tblPrEx>
        <w:trPr>
          <w:trHeight w:val="288" w:hRule="atLeast"/>
          <w:jc w:val="center"/>
        </w:trPr>
        <w:tc>
          <w:tcPr>
            <w:tcW w:w="1317" w:type="dxa"/>
            <w:tcBorders>
              <w:top w:val="nil"/>
              <w:left w:val="single" w:color="auto" w:sz="4" w:space="0"/>
              <w:bottom w:val="single" w:color="auto" w:sz="4" w:space="0"/>
              <w:right w:val="single" w:color="auto" w:sz="4" w:space="0"/>
            </w:tcBorders>
            <w:shd w:val="clear" w:color="auto" w:fill="auto"/>
            <w:noWrap/>
            <w:vAlign w:val="center"/>
          </w:tcPr>
          <w:p w14:paraId="0CF25620">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399" w:type="dxa"/>
            <w:tcBorders>
              <w:top w:val="nil"/>
              <w:left w:val="nil"/>
              <w:bottom w:val="single" w:color="auto" w:sz="4" w:space="0"/>
              <w:right w:val="single" w:color="auto" w:sz="4" w:space="0"/>
            </w:tcBorders>
            <w:shd w:val="clear" w:color="auto" w:fill="auto"/>
            <w:noWrap/>
            <w:vAlign w:val="center"/>
          </w:tcPr>
          <w:p w14:paraId="717BE3D8">
            <w:pPr>
              <w:widowControl/>
              <w:jc w:val="center"/>
              <w:rPr>
                <w:rFonts w:ascii="宋体" w:hAnsi="宋体" w:cs="宋体"/>
                <w:color w:val="000000"/>
                <w:kern w:val="0"/>
                <w:sz w:val="18"/>
                <w:szCs w:val="18"/>
              </w:rPr>
            </w:pPr>
            <w:r>
              <w:rPr>
                <w:rFonts w:hint="eastAsia" w:ascii="宋体" w:hAnsi="宋体" w:cs="宋体"/>
                <w:color w:val="000000"/>
                <w:kern w:val="0"/>
                <w:sz w:val="18"/>
                <w:szCs w:val="18"/>
              </w:rPr>
              <w:t>3377.76</w:t>
            </w:r>
          </w:p>
        </w:tc>
        <w:tc>
          <w:tcPr>
            <w:tcW w:w="1120" w:type="dxa"/>
            <w:tcBorders>
              <w:top w:val="nil"/>
              <w:left w:val="nil"/>
              <w:bottom w:val="single" w:color="auto" w:sz="4" w:space="0"/>
              <w:right w:val="single" w:color="auto" w:sz="4" w:space="0"/>
            </w:tcBorders>
            <w:shd w:val="clear" w:color="auto" w:fill="auto"/>
            <w:noWrap/>
            <w:vAlign w:val="center"/>
          </w:tcPr>
          <w:p w14:paraId="1BB6A347">
            <w:pPr>
              <w:widowControl/>
              <w:jc w:val="center"/>
              <w:rPr>
                <w:rFonts w:ascii="宋体" w:hAnsi="宋体" w:cs="宋体"/>
                <w:color w:val="000000"/>
                <w:kern w:val="0"/>
                <w:sz w:val="18"/>
                <w:szCs w:val="18"/>
              </w:rPr>
            </w:pPr>
            <w:r>
              <w:rPr>
                <w:rFonts w:hint="eastAsia" w:ascii="宋体" w:hAnsi="宋体" w:cs="宋体"/>
                <w:color w:val="000000"/>
                <w:kern w:val="0"/>
                <w:sz w:val="18"/>
                <w:szCs w:val="18"/>
              </w:rPr>
              <w:t>12.89%</w:t>
            </w:r>
          </w:p>
        </w:tc>
        <w:tc>
          <w:tcPr>
            <w:tcW w:w="1167" w:type="dxa"/>
            <w:tcBorders>
              <w:top w:val="nil"/>
              <w:left w:val="nil"/>
              <w:bottom w:val="single" w:color="auto" w:sz="4" w:space="0"/>
              <w:right w:val="single" w:color="auto" w:sz="4" w:space="0"/>
            </w:tcBorders>
            <w:shd w:val="clear" w:color="auto" w:fill="auto"/>
            <w:noWrap/>
            <w:vAlign w:val="center"/>
          </w:tcPr>
          <w:p w14:paraId="1768C536">
            <w:pPr>
              <w:widowControl/>
              <w:jc w:val="center"/>
              <w:rPr>
                <w:rFonts w:ascii="宋体" w:hAnsi="宋体" w:cs="宋体"/>
                <w:color w:val="000000"/>
                <w:kern w:val="0"/>
                <w:sz w:val="18"/>
                <w:szCs w:val="18"/>
              </w:rPr>
            </w:pPr>
            <w:r>
              <w:rPr>
                <w:rFonts w:hint="eastAsia" w:ascii="宋体" w:hAnsi="宋体" w:cs="宋体"/>
                <w:color w:val="000000"/>
                <w:kern w:val="0"/>
                <w:sz w:val="18"/>
                <w:szCs w:val="18"/>
              </w:rPr>
              <w:t>2652.92</w:t>
            </w:r>
          </w:p>
        </w:tc>
        <w:tc>
          <w:tcPr>
            <w:tcW w:w="1134" w:type="dxa"/>
            <w:tcBorders>
              <w:top w:val="nil"/>
              <w:left w:val="nil"/>
              <w:bottom w:val="single" w:color="auto" w:sz="4" w:space="0"/>
              <w:right w:val="single" w:color="auto" w:sz="4" w:space="0"/>
            </w:tcBorders>
            <w:shd w:val="clear" w:color="auto" w:fill="auto"/>
            <w:noWrap/>
            <w:vAlign w:val="center"/>
          </w:tcPr>
          <w:p w14:paraId="5EF565A1">
            <w:pPr>
              <w:widowControl/>
              <w:jc w:val="center"/>
              <w:rPr>
                <w:rFonts w:ascii="宋体" w:hAnsi="宋体" w:cs="宋体"/>
                <w:color w:val="000000"/>
                <w:kern w:val="0"/>
                <w:sz w:val="18"/>
                <w:szCs w:val="18"/>
              </w:rPr>
            </w:pPr>
            <w:r>
              <w:rPr>
                <w:rFonts w:hint="eastAsia" w:ascii="宋体" w:hAnsi="宋体" w:cs="宋体"/>
                <w:color w:val="000000"/>
                <w:kern w:val="0"/>
                <w:sz w:val="18"/>
                <w:szCs w:val="18"/>
              </w:rPr>
              <w:t>11.48%</w:t>
            </w:r>
          </w:p>
        </w:tc>
        <w:tc>
          <w:tcPr>
            <w:tcW w:w="1092" w:type="dxa"/>
            <w:tcBorders>
              <w:top w:val="nil"/>
              <w:left w:val="nil"/>
              <w:bottom w:val="single" w:color="auto" w:sz="4" w:space="0"/>
              <w:right w:val="single" w:color="auto" w:sz="4" w:space="0"/>
            </w:tcBorders>
            <w:shd w:val="clear" w:color="auto" w:fill="auto"/>
            <w:noWrap/>
            <w:vAlign w:val="center"/>
          </w:tcPr>
          <w:p w14:paraId="2BACCAEA">
            <w:pPr>
              <w:widowControl/>
              <w:jc w:val="center"/>
              <w:rPr>
                <w:rFonts w:ascii="宋体" w:hAnsi="宋体" w:cs="宋体"/>
                <w:color w:val="000000"/>
                <w:kern w:val="0"/>
                <w:sz w:val="18"/>
                <w:szCs w:val="18"/>
              </w:rPr>
            </w:pPr>
            <w:r>
              <w:rPr>
                <w:rFonts w:hint="eastAsia" w:ascii="宋体" w:hAnsi="宋体" w:cs="宋体"/>
                <w:color w:val="000000"/>
                <w:kern w:val="0"/>
                <w:sz w:val="18"/>
                <w:szCs w:val="18"/>
              </w:rPr>
              <w:t>-724.84</w:t>
            </w:r>
          </w:p>
        </w:tc>
        <w:tc>
          <w:tcPr>
            <w:tcW w:w="1195" w:type="dxa"/>
            <w:tcBorders>
              <w:top w:val="nil"/>
              <w:left w:val="nil"/>
              <w:bottom w:val="single" w:color="auto" w:sz="4" w:space="0"/>
              <w:right w:val="single" w:color="auto" w:sz="4" w:space="0"/>
            </w:tcBorders>
            <w:shd w:val="clear" w:color="auto" w:fill="auto"/>
            <w:noWrap/>
            <w:vAlign w:val="center"/>
          </w:tcPr>
          <w:p w14:paraId="15915439">
            <w:pPr>
              <w:widowControl/>
              <w:jc w:val="center"/>
              <w:rPr>
                <w:rFonts w:ascii="宋体" w:hAnsi="宋体" w:cs="宋体"/>
                <w:color w:val="000000"/>
                <w:kern w:val="0"/>
                <w:sz w:val="18"/>
                <w:szCs w:val="18"/>
              </w:rPr>
            </w:pPr>
            <w:r>
              <w:rPr>
                <w:rFonts w:hint="eastAsia" w:ascii="宋体" w:hAnsi="宋体" w:cs="宋体"/>
                <w:color w:val="000000"/>
                <w:kern w:val="0"/>
                <w:sz w:val="18"/>
                <w:szCs w:val="18"/>
              </w:rPr>
              <w:t>-1.41%</w:t>
            </w:r>
          </w:p>
        </w:tc>
      </w:tr>
      <w:tr w14:paraId="611464A4">
        <w:tblPrEx>
          <w:tblCellMar>
            <w:top w:w="0" w:type="dxa"/>
            <w:left w:w="108" w:type="dxa"/>
            <w:bottom w:w="0" w:type="dxa"/>
            <w:right w:w="108" w:type="dxa"/>
          </w:tblCellMar>
        </w:tblPrEx>
        <w:trPr>
          <w:trHeight w:val="288" w:hRule="atLeast"/>
          <w:jc w:val="center"/>
        </w:trPr>
        <w:tc>
          <w:tcPr>
            <w:tcW w:w="1317" w:type="dxa"/>
            <w:tcBorders>
              <w:top w:val="nil"/>
              <w:left w:val="single" w:color="auto" w:sz="4" w:space="0"/>
              <w:bottom w:val="single" w:color="auto" w:sz="4" w:space="0"/>
              <w:right w:val="single" w:color="auto" w:sz="4" w:space="0"/>
            </w:tcBorders>
            <w:shd w:val="clear" w:color="auto" w:fill="auto"/>
            <w:noWrap/>
            <w:vAlign w:val="center"/>
          </w:tcPr>
          <w:p w14:paraId="47995068">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399" w:type="dxa"/>
            <w:tcBorders>
              <w:top w:val="nil"/>
              <w:left w:val="nil"/>
              <w:bottom w:val="single" w:color="auto" w:sz="4" w:space="0"/>
              <w:right w:val="single" w:color="auto" w:sz="4" w:space="0"/>
            </w:tcBorders>
            <w:shd w:val="clear" w:color="auto" w:fill="auto"/>
            <w:noWrap/>
            <w:vAlign w:val="center"/>
          </w:tcPr>
          <w:p w14:paraId="2DDD67CD">
            <w:pPr>
              <w:widowControl/>
              <w:jc w:val="center"/>
              <w:rPr>
                <w:rFonts w:ascii="宋体" w:hAnsi="宋体" w:cs="宋体"/>
                <w:color w:val="000000"/>
                <w:kern w:val="0"/>
                <w:sz w:val="18"/>
                <w:szCs w:val="18"/>
              </w:rPr>
            </w:pPr>
            <w:r>
              <w:rPr>
                <w:rFonts w:hint="eastAsia" w:ascii="宋体" w:hAnsi="宋体" w:cs="宋体"/>
                <w:color w:val="000000"/>
                <w:kern w:val="0"/>
                <w:sz w:val="18"/>
                <w:szCs w:val="18"/>
              </w:rPr>
              <w:t>2891.34</w:t>
            </w:r>
          </w:p>
        </w:tc>
        <w:tc>
          <w:tcPr>
            <w:tcW w:w="1120" w:type="dxa"/>
            <w:tcBorders>
              <w:top w:val="nil"/>
              <w:left w:val="nil"/>
              <w:bottom w:val="single" w:color="auto" w:sz="4" w:space="0"/>
              <w:right w:val="single" w:color="auto" w:sz="4" w:space="0"/>
            </w:tcBorders>
            <w:shd w:val="clear" w:color="auto" w:fill="auto"/>
            <w:noWrap/>
            <w:vAlign w:val="center"/>
          </w:tcPr>
          <w:p w14:paraId="125A4247">
            <w:pPr>
              <w:widowControl/>
              <w:jc w:val="center"/>
              <w:rPr>
                <w:rFonts w:ascii="宋体" w:hAnsi="宋体" w:cs="宋体"/>
                <w:color w:val="000000"/>
                <w:kern w:val="0"/>
                <w:sz w:val="18"/>
                <w:szCs w:val="18"/>
              </w:rPr>
            </w:pPr>
            <w:r>
              <w:rPr>
                <w:rFonts w:hint="eastAsia" w:ascii="宋体" w:hAnsi="宋体" w:cs="宋体"/>
                <w:color w:val="000000"/>
                <w:kern w:val="0"/>
                <w:sz w:val="18"/>
                <w:szCs w:val="18"/>
              </w:rPr>
              <w:t>11.03%</w:t>
            </w:r>
          </w:p>
        </w:tc>
        <w:tc>
          <w:tcPr>
            <w:tcW w:w="1167" w:type="dxa"/>
            <w:tcBorders>
              <w:top w:val="nil"/>
              <w:left w:val="nil"/>
              <w:bottom w:val="single" w:color="auto" w:sz="4" w:space="0"/>
              <w:right w:val="single" w:color="auto" w:sz="4" w:space="0"/>
            </w:tcBorders>
            <w:shd w:val="clear" w:color="auto" w:fill="auto"/>
            <w:noWrap/>
            <w:vAlign w:val="center"/>
          </w:tcPr>
          <w:p w14:paraId="2F73E1B3">
            <w:pPr>
              <w:widowControl/>
              <w:jc w:val="center"/>
              <w:rPr>
                <w:rFonts w:ascii="宋体" w:hAnsi="宋体" w:cs="宋体"/>
                <w:color w:val="000000"/>
                <w:kern w:val="0"/>
                <w:sz w:val="18"/>
                <w:szCs w:val="18"/>
              </w:rPr>
            </w:pPr>
            <w:r>
              <w:rPr>
                <w:rFonts w:hint="eastAsia" w:ascii="宋体" w:hAnsi="宋体" w:cs="宋体"/>
                <w:color w:val="000000"/>
                <w:kern w:val="0"/>
                <w:sz w:val="18"/>
                <w:szCs w:val="18"/>
              </w:rPr>
              <w:t>2494.26</w:t>
            </w:r>
          </w:p>
        </w:tc>
        <w:tc>
          <w:tcPr>
            <w:tcW w:w="1134" w:type="dxa"/>
            <w:tcBorders>
              <w:top w:val="nil"/>
              <w:left w:val="nil"/>
              <w:bottom w:val="single" w:color="auto" w:sz="4" w:space="0"/>
              <w:right w:val="single" w:color="auto" w:sz="4" w:space="0"/>
            </w:tcBorders>
            <w:shd w:val="clear" w:color="auto" w:fill="auto"/>
            <w:noWrap/>
            <w:vAlign w:val="center"/>
          </w:tcPr>
          <w:p w14:paraId="0EB4552B">
            <w:pPr>
              <w:widowControl/>
              <w:jc w:val="center"/>
              <w:rPr>
                <w:rFonts w:ascii="宋体" w:hAnsi="宋体" w:cs="宋体"/>
                <w:color w:val="000000"/>
                <w:kern w:val="0"/>
                <w:sz w:val="18"/>
                <w:szCs w:val="18"/>
              </w:rPr>
            </w:pPr>
            <w:r>
              <w:rPr>
                <w:rFonts w:hint="eastAsia" w:ascii="宋体" w:hAnsi="宋体" w:cs="宋体"/>
                <w:color w:val="000000"/>
                <w:kern w:val="0"/>
                <w:sz w:val="18"/>
                <w:szCs w:val="18"/>
              </w:rPr>
              <w:t>10.79%</w:t>
            </w:r>
          </w:p>
        </w:tc>
        <w:tc>
          <w:tcPr>
            <w:tcW w:w="1092" w:type="dxa"/>
            <w:tcBorders>
              <w:top w:val="nil"/>
              <w:left w:val="nil"/>
              <w:bottom w:val="single" w:color="auto" w:sz="4" w:space="0"/>
              <w:right w:val="single" w:color="auto" w:sz="4" w:space="0"/>
            </w:tcBorders>
            <w:shd w:val="clear" w:color="auto" w:fill="auto"/>
            <w:noWrap/>
            <w:vAlign w:val="center"/>
          </w:tcPr>
          <w:p w14:paraId="20941E11">
            <w:pPr>
              <w:widowControl/>
              <w:jc w:val="center"/>
              <w:rPr>
                <w:rFonts w:ascii="宋体" w:hAnsi="宋体" w:cs="宋体"/>
                <w:color w:val="000000"/>
                <w:kern w:val="0"/>
                <w:sz w:val="18"/>
                <w:szCs w:val="18"/>
              </w:rPr>
            </w:pPr>
            <w:r>
              <w:rPr>
                <w:rFonts w:hint="eastAsia" w:ascii="宋体" w:hAnsi="宋体" w:cs="宋体"/>
                <w:color w:val="000000"/>
                <w:kern w:val="0"/>
                <w:sz w:val="18"/>
                <w:szCs w:val="18"/>
              </w:rPr>
              <w:t>-397.08</w:t>
            </w:r>
          </w:p>
        </w:tc>
        <w:tc>
          <w:tcPr>
            <w:tcW w:w="1195" w:type="dxa"/>
            <w:tcBorders>
              <w:top w:val="nil"/>
              <w:left w:val="nil"/>
              <w:bottom w:val="single" w:color="auto" w:sz="4" w:space="0"/>
              <w:right w:val="single" w:color="auto" w:sz="4" w:space="0"/>
            </w:tcBorders>
            <w:shd w:val="clear" w:color="auto" w:fill="auto"/>
            <w:noWrap/>
            <w:vAlign w:val="center"/>
          </w:tcPr>
          <w:p w14:paraId="12D6851D">
            <w:pPr>
              <w:widowControl/>
              <w:jc w:val="center"/>
              <w:rPr>
                <w:rFonts w:ascii="宋体" w:hAnsi="宋体" w:cs="宋体"/>
                <w:color w:val="000000"/>
                <w:kern w:val="0"/>
                <w:sz w:val="18"/>
                <w:szCs w:val="18"/>
              </w:rPr>
            </w:pPr>
            <w:r>
              <w:rPr>
                <w:rFonts w:hint="eastAsia" w:ascii="宋体" w:hAnsi="宋体" w:cs="宋体"/>
                <w:color w:val="000000"/>
                <w:kern w:val="0"/>
                <w:sz w:val="18"/>
                <w:szCs w:val="18"/>
              </w:rPr>
              <w:t>-0.24%</w:t>
            </w:r>
          </w:p>
        </w:tc>
      </w:tr>
      <w:tr w14:paraId="4B7F271F">
        <w:tblPrEx>
          <w:tblCellMar>
            <w:top w:w="0" w:type="dxa"/>
            <w:left w:w="108" w:type="dxa"/>
            <w:bottom w:w="0" w:type="dxa"/>
            <w:right w:w="108" w:type="dxa"/>
          </w:tblCellMar>
        </w:tblPrEx>
        <w:trPr>
          <w:trHeight w:val="288" w:hRule="atLeast"/>
          <w:jc w:val="center"/>
        </w:trPr>
        <w:tc>
          <w:tcPr>
            <w:tcW w:w="1317" w:type="dxa"/>
            <w:tcBorders>
              <w:top w:val="nil"/>
              <w:left w:val="single" w:color="auto" w:sz="4" w:space="0"/>
              <w:bottom w:val="single" w:color="auto" w:sz="4" w:space="0"/>
              <w:right w:val="single" w:color="auto" w:sz="4" w:space="0"/>
            </w:tcBorders>
            <w:shd w:val="clear" w:color="auto" w:fill="auto"/>
            <w:noWrap/>
            <w:vAlign w:val="center"/>
          </w:tcPr>
          <w:p w14:paraId="76EE306E">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399" w:type="dxa"/>
            <w:tcBorders>
              <w:top w:val="nil"/>
              <w:left w:val="nil"/>
              <w:bottom w:val="single" w:color="auto" w:sz="4" w:space="0"/>
              <w:right w:val="single" w:color="auto" w:sz="4" w:space="0"/>
            </w:tcBorders>
            <w:shd w:val="clear" w:color="auto" w:fill="auto"/>
            <w:noWrap/>
            <w:vAlign w:val="center"/>
          </w:tcPr>
          <w:p w14:paraId="6D4AA4C0">
            <w:pPr>
              <w:widowControl/>
              <w:jc w:val="center"/>
              <w:rPr>
                <w:rFonts w:ascii="宋体" w:hAnsi="宋体" w:cs="宋体"/>
                <w:color w:val="000000"/>
                <w:kern w:val="0"/>
                <w:sz w:val="18"/>
                <w:szCs w:val="18"/>
              </w:rPr>
            </w:pPr>
            <w:r>
              <w:rPr>
                <w:rFonts w:hint="eastAsia" w:ascii="宋体" w:hAnsi="宋体" w:cs="宋体"/>
                <w:color w:val="000000"/>
                <w:kern w:val="0"/>
                <w:sz w:val="18"/>
                <w:szCs w:val="18"/>
              </w:rPr>
              <w:t>709.38</w:t>
            </w:r>
          </w:p>
        </w:tc>
        <w:tc>
          <w:tcPr>
            <w:tcW w:w="1120" w:type="dxa"/>
            <w:tcBorders>
              <w:top w:val="nil"/>
              <w:left w:val="nil"/>
              <w:bottom w:val="single" w:color="auto" w:sz="4" w:space="0"/>
              <w:right w:val="single" w:color="auto" w:sz="4" w:space="0"/>
            </w:tcBorders>
            <w:shd w:val="clear" w:color="auto" w:fill="auto"/>
            <w:noWrap/>
            <w:vAlign w:val="center"/>
          </w:tcPr>
          <w:p w14:paraId="3D39DC7B">
            <w:pPr>
              <w:widowControl/>
              <w:jc w:val="center"/>
              <w:rPr>
                <w:rFonts w:ascii="宋体" w:hAnsi="宋体" w:cs="宋体"/>
                <w:color w:val="000000"/>
                <w:kern w:val="0"/>
                <w:sz w:val="18"/>
                <w:szCs w:val="18"/>
              </w:rPr>
            </w:pPr>
            <w:r>
              <w:rPr>
                <w:rFonts w:hint="eastAsia" w:ascii="宋体" w:hAnsi="宋体" w:cs="宋体"/>
                <w:color w:val="000000"/>
                <w:kern w:val="0"/>
                <w:sz w:val="18"/>
                <w:szCs w:val="18"/>
              </w:rPr>
              <w:t>2.71%</w:t>
            </w:r>
          </w:p>
        </w:tc>
        <w:tc>
          <w:tcPr>
            <w:tcW w:w="1167" w:type="dxa"/>
            <w:tcBorders>
              <w:top w:val="nil"/>
              <w:left w:val="nil"/>
              <w:bottom w:val="single" w:color="auto" w:sz="4" w:space="0"/>
              <w:right w:val="single" w:color="auto" w:sz="4" w:space="0"/>
            </w:tcBorders>
            <w:shd w:val="clear" w:color="auto" w:fill="auto"/>
            <w:noWrap/>
            <w:vAlign w:val="center"/>
          </w:tcPr>
          <w:p w14:paraId="1F944A7F">
            <w:pPr>
              <w:widowControl/>
              <w:jc w:val="center"/>
              <w:rPr>
                <w:rFonts w:ascii="宋体" w:hAnsi="宋体" w:cs="宋体"/>
                <w:color w:val="000000"/>
                <w:kern w:val="0"/>
                <w:sz w:val="18"/>
                <w:szCs w:val="18"/>
              </w:rPr>
            </w:pPr>
            <w:r>
              <w:rPr>
                <w:rFonts w:hint="eastAsia" w:ascii="宋体" w:hAnsi="宋体" w:cs="宋体"/>
                <w:color w:val="000000"/>
                <w:kern w:val="0"/>
                <w:sz w:val="18"/>
                <w:szCs w:val="18"/>
              </w:rPr>
              <w:t>528.12</w:t>
            </w:r>
          </w:p>
        </w:tc>
        <w:tc>
          <w:tcPr>
            <w:tcW w:w="1134" w:type="dxa"/>
            <w:tcBorders>
              <w:top w:val="nil"/>
              <w:left w:val="nil"/>
              <w:bottom w:val="single" w:color="auto" w:sz="4" w:space="0"/>
              <w:right w:val="single" w:color="auto" w:sz="4" w:space="0"/>
            </w:tcBorders>
            <w:shd w:val="clear" w:color="auto" w:fill="auto"/>
            <w:noWrap/>
            <w:vAlign w:val="center"/>
          </w:tcPr>
          <w:p w14:paraId="34A6703C">
            <w:pPr>
              <w:widowControl/>
              <w:jc w:val="center"/>
              <w:rPr>
                <w:rFonts w:ascii="宋体" w:hAnsi="宋体" w:cs="宋体"/>
                <w:color w:val="000000"/>
                <w:kern w:val="0"/>
                <w:sz w:val="18"/>
                <w:szCs w:val="18"/>
              </w:rPr>
            </w:pPr>
            <w:r>
              <w:rPr>
                <w:rFonts w:hint="eastAsia" w:ascii="宋体" w:hAnsi="宋体" w:cs="宋体"/>
                <w:color w:val="000000"/>
                <w:kern w:val="0"/>
                <w:sz w:val="18"/>
                <w:szCs w:val="18"/>
              </w:rPr>
              <w:t>2.29%</w:t>
            </w:r>
          </w:p>
        </w:tc>
        <w:tc>
          <w:tcPr>
            <w:tcW w:w="1092" w:type="dxa"/>
            <w:tcBorders>
              <w:top w:val="nil"/>
              <w:left w:val="nil"/>
              <w:bottom w:val="single" w:color="auto" w:sz="4" w:space="0"/>
              <w:right w:val="single" w:color="auto" w:sz="4" w:space="0"/>
            </w:tcBorders>
            <w:shd w:val="clear" w:color="auto" w:fill="auto"/>
            <w:noWrap/>
            <w:vAlign w:val="center"/>
          </w:tcPr>
          <w:p w14:paraId="442A2CE4">
            <w:pPr>
              <w:widowControl/>
              <w:jc w:val="center"/>
              <w:rPr>
                <w:rFonts w:ascii="宋体" w:hAnsi="宋体" w:cs="宋体"/>
                <w:color w:val="000000"/>
                <w:kern w:val="0"/>
                <w:sz w:val="18"/>
                <w:szCs w:val="18"/>
              </w:rPr>
            </w:pPr>
            <w:r>
              <w:rPr>
                <w:rFonts w:hint="eastAsia" w:ascii="宋体" w:hAnsi="宋体" w:cs="宋体"/>
                <w:color w:val="000000"/>
                <w:kern w:val="0"/>
                <w:sz w:val="18"/>
                <w:szCs w:val="18"/>
              </w:rPr>
              <w:t>-181.26</w:t>
            </w:r>
          </w:p>
        </w:tc>
        <w:tc>
          <w:tcPr>
            <w:tcW w:w="1195" w:type="dxa"/>
            <w:tcBorders>
              <w:top w:val="nil"/>
              <w:left w:val="nil"/>
              <w:bottom w:val="single" w:color="auto" w:sz="4" w:space="0"/>
              <w:right w:val="single" w:color="auto" w:sz="4" w:space="0"/>
            </w:tcBorders>
            <w:shd w:val="clear" w:color="auto" w:fill="auto"/>
            <w:noWrap/>
            <w:vAlign w:val="center"/>
          </w:tcPr>
          <w:p w14:paraId="195A8422">
            <w:pPr>
              <w:widowControl/>
              <w:jc w:val="center"/>
              <w:rPr>
                <w:rFonts w:ascii="宋体" w:hAnsi="宋体" w:cs="宋体"/>
                <w:color w:val="000000"/>
                <w:kern w:val="0"/>
                <w:sz w:val="18"/>
                <w:szCs w:val="18"/>
              </w:rPr>
            </w:pPr>
            <w:r>
              <w:rPr>
                <w:rFonts w:hint="eastAsia" w:ascii="宋体" w:hAnsi="宋体" w:cs="宋体"/>
                <w:color w:val="000000"/>
                <w:kern w:val="0"/>
                <w:sz w:val="18"/>
                <w:szCs w:val="18"/>
              </w:rPr>
              <w:t>-0.42%</w:t>
            </w:r>
          </w:p>
        </w:tc>
      </w:tr>
      <w:tr w14:paraId="31006558">
        <w:tblPrEx>
          <w:tblCellMar>
            <w:top w:w="0" w:type="dxa"/>
            <w:left w:w="108" w:type="dxa"/>
            <w:bottom w:w="0" w:type="dxa"/>
            <w:right w:w="108" w:type="dxa"/>
          </w:tblCellMar>
        </w:tblPrEx>
        <w:trPr>
          <w:trHeight w:val="288" w:hRule="atLeast"/>
          <w:jc w:val="center"/>
        </w:trPr>
        <w:tc>
          <w:tcPr>
            <w:tcW w:w="1317" w:type="dxa"/>
            <w:tcBorders>
              <w:top w:val="nil"/>
              <w:left w:val="single" w:color="auto" w:sz="4" w:space="0"/>
              <w:bottom w:val="single" w:color="auto" w:sz="4" w:space="0"/>
              <w:right w:val="single" w:color="auto" w:sz="4" w:space="0"/>
            </w:tcBorders>
            <w:shd w:val="clear" w:color="auto" w:fill="auto"/>
            <w:noWrap/>
            <w:vAlign w:val="center"/>
          </w:tcPr>
          <w:p w14:paraId="5A604051">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399" w:type="dxa"/>
            <w:tcBorders>
              <w:top w:val="nil"/>
              <w:left w:val="nil"/>
              <w:bottom w:val="single" w:color="auto" w:sz="4" w:space="0"/>
              <w:right w:val="single" w:color="auto" w:sz="4" w:space="0"/>
            </w:tcBorders>
            <w:shd w:val="clear" w:color="auto" w:fill="auto"/>
            <w:noWrap/>
            <w:vAlign w:val="center"/>
          </w:tcPr>
          <w:p w14:paraId="46D5F030">
            <w:pPr>
              <w:widowControl/>
              <w:jc w:val="center"/>
              <w:rPr>
                <w:rFonts w:ascii="宋体" w:hAnsi="宋体" w:cs="宋体"/>
                <w:color w:val="000000"/>
                <w:kern w:val="0"/>
                <w:sz w:val="18"/>
                <w:szCs w:val="18"/>
              </w:rPr>
            </w:pPr>
            <w:r>
              <w:rPr>
                <w:rFonts w:hint="eastAsia" w:ascii="宋体" w:hAnsi="宋体" w:cs="宋体"/>
                <w:color w:val="000000"/>
                <w:kern w:val="0"/>
                <w:sz w:val="18"/>
                <w:szCs w:val="18"/>
              </w:rPr>
              <w:t>710.19</w:t>
            </w:r>
          </w:p>
        </w:tc>
        <w:tc>
          <w:tcPr>
            <w:tcW w:w="1120" w:type="dxa"/>
            <w:tcBorders>
              <w:top w:val="nil"/>
              <w:left w:val="nil"/>
              <w:bottom w:val="single" w:color="auto" w:sz="4" w:space="0"/>
              <w:right w:val="single" w:color="auto" w:sz="4" w:space="0"/>
            </w:tcBorders>
            <w:shd w:val="clear" w:color="auto" w:fill="auto"/>
            <w:noWrap/>
            <w:vAlign w:val="center"/>
          </w:tcPr>
          <w:p w14:paraId="3FA83772">
            <w:pPr>
              <w:widowControl/>
              <w:jc w:val="center"/>
              <w:rPr>
                <w:rFonts w:ascii="宋体" w:hAnsi="宋体" w:cs="宋体"/>
                <w:color w:val="000000"/>
                <w:kern w:val="0"/>
                <w:sz w:val="18"/>
                <w:szCs w:val="18"/>
              </w:rPr>
            </w:pPr>
            <w:r>
              <w:rPr>
                <w:rFonts w:hint="eastAsia" w:ascii="宋体" w:hAnsi="宋体" w:cs="宋体"/>
                <w:color w:val="000000"/>
                <w:kern w:val="0"/>
                <w:sz w:val="18"/>
                <w:szCs w:val="18"/>
              </w:rPr>
              <w:t>2.71%</w:t>
            </w:r>
          </w:p>
        </w:tc>
        <w:tc>
          <w:tcPr>
            <w:tcW w:w="1167" w:type="dxa"/>
            <w:tcBorders>
              <w:top w:val="nil"/>
              <w:left w:val="nil"/>
              <w:bottom w:val="single" w:color="auto" w:sz="4" w:space="0"/>
              <w:right w:val="single" w:color="auto" w:sz="4" w:space="0"/>
            </w:tcBorders>
            <w:shd w:val="clear" w:color="auto" w:fill="auto"/>
            <w:noWrap/>
            <w:vAlign w:val="center"/>
          </w:tcPr>
          <w:p w14:paraId="0A35FF34">
            <w:pPr>
              <w:widowControl/>
              <w:jc w:val="center"/>
              <w:rPr>
                <w:rFonts w:ascii="宋体" w:hAnsi="宋体" w:cs="宋体"/>
                <w:color w:val="000000"/>
                <w:kern w:val="0"/>
                <w:sz w:val="18"/>
                <w:szCs w:val="18"/>
              </w:rPr>
            </w:pPr>
            <w:r>
              <w:rPr>
                <w:rFonts w:hint="eastAsia" w:ascii="宋体" w:hAnsi="宋体" w:cs="宋体"/>
                <w:color w:val="000000"/>
                <w:kern w:val="0"/>
                <w:sz w:val="18"/>
                <w:szCs w:val="18"/>
              </w:rPr>
              <w:t>598.54</w:t>
            </w:r>
          </w:p>
        </w:tc>
        <w:tc>
          <w:tcPr>
            <w:tcW w:w="1134" w:type="dxa"/>
            <w:tcBorders>
              <w:top w:val="nil"/>
              <w:left w:val="nil"/>
              <w:bottom w:val="single" w:color="auto" w:sz="4" w:space="0"/>
              <w:right w:val="single" w:color="auto" w:sz="4" w:space="0"/>
            </w:tcBorders>
            <w:shd w:val="clear" w:color="auto" w:fill="auto"/>
            <w:noWrap/>
            <w:vAlign w:val="center"/>
          </w:tcPr>
          <w:p w14:paraId="7B75DBA6">
            <w:pPr>
              <w:widowControl/>
              <w:jc w:val="center"/>
              <w:rPr>
                <w:rFonts w:ascii="宋体" w:hAnsi="宋体" w:cs="宋体"/>
                <w:color w:val="000000"/>
                <w:kern w:val="0"/>
                <w:sz w:val="18"/>
                <w:szCs w:val="18"/>
              </w:rPr>
            </w:pPr>
            <w:r>
              <w:rPr>
                <w:rFonts w:hint="eastAsia" w:ascii="宋体" w:hAnsi="宋体" w:cs="宋体"/>
                <w:color w:val="000000"/>
                <w:kern w:val="0"/>
                <w:sz w:val="18"/>
                <w:szCs w:val="18"/>
              </w:rPr>
              <w:t>2.59%</w:t>
            </w:r>
          </w:p>
        </w:tc>
        <w:tc>
          <w:tcPr>
            <w:tcW w:w="1092" w:type="dxa"/>
            <w:tcBorders>
              <w:top w:val="nil"/>
              <w:left w:val="nil"/>
              <w:bottom w:val="single" w:color="auto" w:sz="4" w:space="0"/>
              <w:right w:val="single" w:color="auto" w:sz="4" w:space="0"/>
            </w:tcBorders>
            <w:shd w:val="clear" w:color="auto" w:fill="auto"/>
            <w:noWrap/>
            <w:vAlign w:val="center"/>
          </w:tcPr>
          <w:p w14:paraId="3D0F5605">
            <w:pPr>
              <w:widowControl/>
              <w:jc w:val="center"/>
              <w:rPr>
                <w:rFonts w:ascii="宋体" w:hAnsi="宋体" w:cs="宋体"/>
                <w:color w:val="000000"/>
                <w:kern w:val="0"/>
                <w:sz w:val="18"/>
                <w:szCs w:val="18"/>
              </w:rPr>
            </w:pPr>
            <w:r>
              <w:rPr>
                <w:rFonts w:hint="eastAsia" w:ascii="宋体" w:hAnsi="宋体" w:cs="宋体"/>
                <w:color w:val="000000"/>
                <w:kern w:val="0"/>
                <w:sz w:val="18"/>
                <w:szCs w:val="18"/>
              </w:rPr>
              <w:t>-111.65</w:t>
            </w:r>
          </w:p>
        </w:tc>
        <w:tc>
          <w:tcPr>
            <w:tcW w:w="1195" w:type="dxa"/>
            <w:tcBorders>
              <w:top w:val="nil"/>
              <w:left w:val="nil"/>
              <w:bottom w:val="single" w:color="auto" w:sz="4" w:space="0"/>
              <w:right w:val="single" w:color="auto" w:sz="4" w:space="0"/>
            </w:tcBorders>
            <w:shd w:val="clear" w:color="auto" w:fill="auto"/>
            <w:noWrap/>
            <w:vAlign w:val="center"/>
          </w:tcPr>
          <w:p w14:paraId="506BFC82">
            <w:pPr>
              <w:widowControl/>
              <w:jc w:val="center"/>
              <w:rPr>
                <w:rFonts w:ascii="宋体" w:hAnsi="宋体" w:cs="宋体"/>
                <w:color w:val="000000"/>
                <w:kern w:val="0"/>
                <w:sz w:val="18"/>
                <w:szCs w:val="18"/>
              </w:rPr>
            </w:pPr>
            <w:r>
              <w:rPr>
                <w:rFonts w:hint="eastAsia" w:ascii="宋体" w:hAnsi="宋体" w:cs="宋体"/>
                <w:color w:val="000000"/>
                <w:kern w:val="0"/>
                <w:sz w:val="18"/>
                <w:szCs w:val="18"/>
              </w:rPr>
              <w:t>-0.12%</w:t>
            </w:r>
          </w:p>
        </w:tc>
      </w:tr>
      <w:tr w14:paraId="336492F0">
        <w:tblPrEx>
          <w:tblCellMar>
            <w:top w:w="0" w:type="dxa"/>
            <w:left w:w="108" w:type="dxa"/>
            <w:bottom w:w="0" w:type="dxa"/>
            <w:right w:w="108" w:type="dxa"/>
          </w:tblCellMar>
        </w:tblPrEx>
        <w:trPr>
          <w:trHeight w:val="288" w:hRule="atLeast"/>
          <w:jc w:val="center"/>
        </w:trPr>
        <w:tc>
          <w:tcPr>
            <w:tcW w:w="1317" w:type="dxa"/>
            <w:tcBorders>
              <w:top w:val="nil"/>
              <w:left w:val="single" w:color="auto" w:sz="4" w:space="0"/>
              <w:bottom w:val="single" w:color="auto" w:sz="4" w:space="0"/>
              <w:right w:val="single" w:color="auto" w:sz="4" w:space="0"/>
            </w:tcBorders>
            <w:shd w:val="clear" w:color="auto" w:fill="auto"/>
            <w:noWrap/>
            <w:vAlign w:val="center"/>
          </w:tcPr>
          <w:p w14:paraId="1C83560B">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399" w:type="dxa"/>
            <w:tcBorders>
              <w:top w:val="nil"/>
              <w:left w:val="nil"/>
              <w:bottom w:val="single" w:color="auto" w:sz="4" w:space="0"/>
              <w:right w:val="single" w:color="auto" w:sz="4" w:space="0"/>
            </w:tcBorders>
            <w:shd w:val="clear" w:color="auto" w:fill="auto"/>
            <w:noWrap/>
            <w:vAlign w:val="center"/>
          </w:tcPr>
          <w:p w14:paraId="09157BE8">
            <w:pPr>
              <w:widowControl/>
              <w:jc w:val="center"/>
              <w:rPr>
                <w:rFonts w:ascii="宋体" w:hAnsi="宋体" w:cs="宋体"/>
                <w:color w:val="000000"/>
                <w:kern w:val="0"/>
                <w:sz w:val="18"/>
                <w:szCs w:val="18"/>
              </w:rPr>
            </w:pPr>
            <w:r>
              <w:rPr>
                <w:rFonts w:hint="eastAsia" w:ascii="宋体" w:hAnsi="宋体" w:cs="宋体"/>
                <w:color w:val="000000"/>
                <w:kern w:val="0"/>
                <w:sz w:val="18"/>
                <w:szCs w:val="18"/>
              </w:rPr>
              <w:t>26203.87</w:t>
            </w:r>
          </w:p>
        </w:tc>
        <w:tc>
          <w:tcPr>
            <w:tcW w:w="1120" w:type="dxa"/>
            <w:tcBorders>
              <w:top w:val="nil"/>
              <w:left w:val="nil"/>
              <w:bottom w:val="single" w:color="auto" w:sz="4" w:space="0"/>
              <w:right w:val="single" w:color="auto" w:sz="4" w:space="0"/>
            </w:tcBorders>
            <w:shd w:val="clear" w:color="auto" w:fill="auto"/>
            <w:noWrap/>
            <w:vAlign w:val="center"/>
          </w:tcPr>
          <w:p w14:paraId="2A9055D4">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167" w:type="dxa"/>
            <w:tcBorders>
              <w:top w:val="nil"/>
              <w:left w:val="nil"/>
              <w:bottom w:val="single" w:color="auto" w:sz="4" w:space="0"/>
              <w:right w:val="single" w:color="auto" w:sz="4" w:space="0"/>
            </w:tcBorders>
            <w:shd w:val="clear" w:color="auto" w:fill="auto"/>
            <w:noWrap/>
            <w:vAlign w:val="center"/>
          </w:tcPr>
          <w:p w14:paraId="1EBB4E70">
            <w:pPr>
              <w:widowControl/>
              <w:jc w:val="center"/>
              <w:rPr>
                <w:rFonts w:ascii="宋体" w:hAnsi="宋体" w:cs="宋体"/>
                <w:color w:val="000000"/>
                <w:kern w:val="0"/>
                <w:sz w:val="18"/>
                <w:szCs w:val="18"/>
              </w:rPr>
            </w:pPr>
            <w:r>
              <w:rPr>
                <w:rFonts w:hint="eastAsia" w:ascii="宋体" w:hAnsi="宋体" w:cs="宋体"/>
                <w:color w:val="000000"/>
                <w:kern w:val="0"/>
                <w:sz w:val="18"/>
                <w:szCs w:val="18"/>
              </w:rPr>
              <w:t>23106.77</w:t>
            </w:r>
          </w:p>
        </w:tc>
        <w:tc>
          <w:tcPr>
            <w:tcW w:w="1134" w:type="dxa"/>
            <w:tcBorders>
              <w:top w:val="nil"/>
              <w:left w:val="nil"/>
              <w:bottom w:val="single" w:color="auto" w:sz="4" w:space="0"/>
              <w:right w:val="single" w:color="auto" w:sz="4" w:space="0"/>
            </w:tcBorders>
            <w:shd w:val="clear" w:color="auto" w:fill="auto"/>
            <w:noWrap/>
            <w:vAlign w:val="center"/>
          </w:tcPr>
          <w:p w14:paraId="5FD7263E">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092" w:type="dxa"/>
            <w:tcBorders>
              <w:top w:val="nil"/>
              <w:left w:val="nil"/>
              <w:bottom w:val="single" w:color="auto" w:sz="4" w:space="0"/>
              <w:right w:val="single" w:color="auto" w:sz="4" w:space="0"/>
            </w:tcBorders>
            <w:shd w:val="clear" w:color="auto" w:fill="auto"/>
            <w:noWrap/>
            <w:vAlign w:val="center"/>
          </w:tcPr>
          <w:p w14:paraId="4E1D4E03">
            <w:pPr>
              <w:widowControl/>
              <w:jc w:val="center"/>
              <w:rPr>
                <w:rFonts w:ascii="宋体" w:hAnsi="宋体" w:cs="宋体"/>
                <w:color w:val="000000"/>
                <w:kern w:val="0"/>
                <w:sz w:val="18"/>
                <w:szCs w:val="18"/>
              </w:rPr>
            </w:pPr>
            <w:r>
              <w:rPr>
                <w:rFonts w:hint="eastAsia" w:ascii="宋体" w:hAnsi="宋体" w:cs="宋体"/>
                <w:color w:val="000000"/>
                <w:kern w:val="0"/>
                <w:sz w:val="18"/>
                <w:szCs w:val="18"/>
              </w:rPr>
              <w:t>-3097.1</w:t>
            </w:r>
          </w:p>
        </w:tc>
        <w:tc>
          <w:tcPr>
            <w:tcW w:w="1195" w:type="dxa"/>
            <w:tcBorders>
              <w:top w:val="nil"/>
              <w:left w:val="nil"/>
              <w:bottom w:val="single" w:color="auto" w:sz="4" w:space="0"/>
              <w:right w:val="single" w:color="auto" w:sz="4" w:space="0"/>
            </w:tcBorders>
            <w:shd w:val="clear" w:color="auto" w:fill="auto"/>
            <w:noWrap/>
            <w:vAlign w:val="center"/>
          </w:tcPr>
          <w:p w14:paraId="45AB107A">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bl>
    <w:p w14:paraId="4B8EF090">
      <w:pPr>
        <w:pStyle w:val="4"/>
        <w:spacing w:before="0" w:after="0" w:line="360" w:lineRule="auto"/>
        <w:ind w:firstLine="140" w:firstLineChars="50"/>
        <w:rPr>
          <w:rFonts w:ascii="Arial" w:hAnsi="Arial" w:eastAsia="黑体"/>
          <w:b w:val="0"/>
          <w:color w:val="000000"/>
          <w:sz w:val="28"/>
          <w:szCs w:val="28"/>
        </w:rPr>
      </w:pPr>
      <w:r>
        <w:rPr>
          <w:rFonts w:hint="eastAsia" w:ascii="Arial" w:hAnsi="Arial" w:eastAsia="黑体"/>
          <w:b w:val="0"/>
          <w:color w:val="000000"/>
          <w:sz w:val="28"/>
          <w:szCs w:val="28"/>
        </w:rPr>
        <w:t>（二）保护坝区优质耕地</w:t>
      </w:r>
    </w:p>
    <w:p w14:paraId="5AD8DDF6">
      <w:pPr>
        <w:spacing w:line="360" w:lineRule="auto"/>
        <w:ind w:firstLine="567"/>
        <w:rPr>
          <w:rFonts w:ascii="仿宋_GB2312" w:eastAsia="仿宋_GB2312"/>
          <w:sz w:val="28"/>
          <w:szCs w:val="28"/>
        </w:rPr>
      </w:pPr>
      <w:r>
        <w:rPr>
          <w:rFonts w:hint="eastAsia" w:ascii="仿宋_GB2312" w:eastAsia="仿宋_GB2312"/>
          <w:sz w:val="28"/>
          <w:szCs w:val="28"/>
        </w:rPr>
        <w:t>保持耕地布局特别是坝区耕地布局基本稳定，增加优质耕地保护数量。严格控制非农建设占用耕地特别是占用坝区耕地，提高坝区耕地质量。</w:t>
      </w:r>
    </w:p>
    <w:p w14:paraId="70C13FF6">
      <w:pPr>
        <w:spacing w:line="360" w:lineRule="auto"/>
        <w:ind w:firstLine="567"/>
        <w:rPr>
          <w:rFonts w:ascii="仿宋_GB2312" w:eastAsia="仿宋_GB2312"/>
          <w:sz w:val="28"/>
          <w:szCs w:val="28"/>
        </w:rPr>
      </w:pPr>
      <w:r>
        <w:rPr>
          <w:rFonts w:hint="eastAsia" w:ascii="仿宋_GB2312" w:eastAsia="仿宋_GB2312"/>
          <w:sz w:val="28"/>
          <w:szCs w:val="28"/>
        </w:rPr>
        <w:t>调整前，东川区划定坝区永久基本农田1135.45公顷，占东川区坝区现状耕地的83.36%。调整后，东川区划定坝区永久基本农田1118.19公顷，占东川区坝区现状耕地的80.10%。坝区基本农田比调整前减少了17.26公顷，坝区基本农田占坝区现状耕地的比例降低了3.26%。</w:t>
      </w:r>
    </w:p>
    <w:p w14:paraId="19D6043F">
      <w:pPr>
        <w:pStyle w:val="3"/>
        <w:jc w:val="center"/>
        <w:rPr>
          <w:b w:val="0"/>
          <w:color w:val="000000"/>
          <w:sz w:val="28"/>
          <w:szCs w:val="28"/>
        </w:rPr>
      </w:pPr>
      <w:bookmarkStart w:id="121" w:name="_Toc491074909"/>
      <w:r>
        <w:rPr>
          <w:rFonts w:hint="eastAsia"/>
          <w:b w:val="0"/>
          <w:color w:val="000000"/>
          <w:sz w:val="28"/>
          <w:szCs w:val="28"/>
        </w:rPr>
        <w:t>第二节  建设用地结构和布局</w:t>
      </w:r>
      <w:bookmarkEnd w:id="121"/>
    </w:p>
    <w:p w14:paraId="4883319E">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一、严格控制建设用地规模</w:t>
      </w:r>
    </w:p>
    <w:p w14:paraId="005DBA6B">
      <w:pPr>
        <w:spacing w:line="360" w:lineRule="auto"/>
        <w:ind w:firstLine="567"/>
        <w:rPr>
          <w:rFonts w:ascii="仿宋_GB2312" w:eastAsia="仿宋_GB2312"/>
          <w:sz w:val="28"/>
          <w:szCs w:val="28"/>
        </w:rPr>
      </w:pPr>
      <w:r>
        <w:rPr>
          <w:rFonts w:hint="eastAsia" w:ascii="仿宋_GB2312" w:eastAsia="仿宋_GB2312"/>
          <w:sz w:val="28"/>
          <w:szCs w:val="28"/>
        </w:rPr>
        <w:t>在保障经济平稳较快发展前提下，充分考虑社会经济发展的阶段性和集约用地的发展趋势，按照“保三望三”的思路，优化建设用地布局，严格控制建设用地总规模和城乡建设用地总规模。调整完善后，全区建设用地总规模控制为6155.66公顷（包含预留的15.65公顷城乡建设用地），其中城乡建设用地为5368.18公顷（包含预留的15.65公顷城乡建设用地），城镇工矿用地总规模为1856.31公顷；新增建设用地规模为335.17公顷，新增建设占用耕地170.93公顷。</w:t>
      </w:r>
    </w:p>
    <w:p w14:paraId="1E0997BD">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二、调整建设用地结构</w:t>
      </w:r>
    </w:p>
    <w:p w14:paraId="4B868619">
      <w:pPr>
        <w:spacing w:line="360" w:lineRule="auto"/>
        <w:ind w:firstLine="567"/>
        <w:rPr>
          <w:rFonts w:ascii="仿宋_GB2312" w:eastAsia="仿宋_GB2312"/>
          <w:sz w:val="28"/>
          <w:szCs w:val="28"/>
        </w:rPr>
      </w:pPr>
      <w:r>
        <w:rPr>
          <w:rFonts w:hint="eastAsia" w:ascii="仿宋_GB2312" w:eastAsia="仿宋_GB2312"/>
          <w:sz w:val="28"/>
          <w:szCs w:val="28"/>
        </w:rPr>
        <w:t>按照“控制增量、盘活存量、管住总量、集约高效”的原则，调控全区建设用地，着力调整建设用地结构，合理安排城镇基础设施用地，严格控制高档商品房和旅游设施项目用地，重点保障基础设施、民生等建设项目的必要用地。</w:t>
      </w:r>
    </w:p>
    <w:p w14:paraId="6E63CA1E">
      <w:pPr>
        <w:spacing w:line="360" w:lineRule="auto"/>
        <w:ind w:firstLine="567"/>
        <w:rPr>
          <w:rFonts w:ascii="仿宋_GB2312" w:eastAsia="仿宋_GB2312"/>
          <w:sz w:val="28"/>
          <w:szCs w:val="28"/>
        </w:rPr>
      </w:pPr>
      <w:r>
        <w:rPr>
          <w:rFonts w:hint="eastAsia" w:ascii="仿宋_GB2312" w:eastAsia="仿宋_GB2312"/>
          <w:sz w:val="28"/>
          <w:szCs w:val="28"/>
        </w:rPr>
        <w:t>调整完善后，至2020年东川区城乡建设用地面积调整为5368.18公顷（包含预留的15.65公顷城乡建设用地）,占建设用地总规模的比例调整为87.21%；交通水利用地面积调整为741.85公顷,占建设用地总规模的比例调整为12.05%；其他建设用地面积调整为45.63公顷,占建设用地总规模的比例调整为0.74%。</w:t>
      </w:r>
    </w:p>
    <w:p w14:paraId="7F959A45">
      <w:pPr>
        <w:jc w:val="center"/>
        <w:outlineLvl w:val="4"/>
        <w:rPr>
          <w:rFonts w:ascii="宋体" w:hAnsi="宋体"/>
          <w:b/>
          <w:sz w:val="24"/>
        </w:rPr>
      </w:pPr>
      <w:r>
        <w:rPr>
          <w:rFonts w:hint="eastAsia" w:ascii="宋体" w:hAnsi="宋体"/>
          <w:b/>
          <w:sz w:val="24"/>
        </w:rPr>
        <w:t>表6-5  东川区建设用地结构调整情况对比表</w:t>
      </w:r>
    </w:p>
    <w:p w14:paraId="29E6F152">
      <w:pPr>
        <w:spacing w:line="360" w:lineRule="auto"/>
        <w:ind w:firstLine="360" w:firstLineChars="200"/>
        <w:jc w:val="center"/>
        <w:rPr>
          <w:rFonts w:ascii="宋体" w:hAnsi="宋体"/>
          <w:color w:val="000000"/>
          <w:sz w:val="18"/>
          <w:szCs w:val="18"/>
        </w:rPr>
      </w:pPr>
      <w:r>
        <w:rPr>
          <w:rFonts w:hint="eastAsia" w:ascii="宋体" w:hAnsi="宋体"/>
          <w:color w:val="000000"/>
          <w:sz w:val="18"/>
          <w:szCs w:val="18"/>
        </w:rPr>
        <w:t xml:space="preserve">                                                                        单位：公顷</w:t>
      </w:r>
    </w:p>
    <w:tbl>
      <w:tblPr>
        <w:tblStyle w:val="27"/>
        <w:tblW w:w="8160" w:type="dxa"/>
        <w:jc w:val="center"/>
        <w:tblLayout w:type="autofit"/>
        <w:tblCellMar>
          <w:top w:w="0" w:type="dxa"/>
          <w:left w:w="108" w:type="dxa"/>
          <w:bottom w:w="0" w:type="dxa"/>
          <w:right w:w="108" w:type="dxa"/>
        </w:tblCellMar>
      </w:tblPr>
      <w:tblGrid>
        <w:gridCol w:w="1891"/>
        <w:gridCol w:w="1079"/>
        <w:gridCol w:w="952"/>
        <w:gridCol w:w="1196"/>
        <w:gridCol w:w="1014"/>
        <w:gridCol w:w="1014"/>
        <w:gridCol w:w="1014"/>
      </w:tblGrid>
      <w:tr w14:paraId="7B76F851">
        <w:tblPrEx>
          <w:tblCellMar>
            <w:top w:w="0" w:type="dxa"/>
            <w:left w:w="108" w:type="dxa"/>
            <w:bottom w:w="0" w:type="dxa"/>
            <w:right w:w="108" w:type="dxa"/>
          </w:tblCellMar>
        </w:tblPrEx>
        <w:trPr>
          <w:trHeight w:val="284" w:hRule="atLeast"/>
          <w:jc w:val="center"/>
        </w:trPr>
        <w:tc>
          <w:tcPr>
            <w:tcW w:w="189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23743EE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类型</w:t>
            </w:r>
          </w:p>
        </w:tc>
        <w:tc>
          <w:tcPr>
            <w:tcW w:w="2031" w:type="dxa"/>
            <w:gridSpan w:val="2"/>
            <w:tcBorders>
              <w:top w:val="single" w:color="auto" w:sz="8" w:space="0"/>
              <w:left w:val="nil"/>
              <w:bottom w:val="single" w:color="auto" w:sz="8" w:space="0"/>
              <w:right w:val="single" w:color="000000" w:sz="8" w:space="0"/>
            </w:tcBorders>
            <w:shd w:val="clear" w:color="auto" w:fill="auto"/>
            <w:vAlign w:val="center"/>
          </w:tcPr>
          <w:p w14:paraId="6EC9F32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调整完善前</w:t>
            </w:r>
          </w:p>
        </w:tc>
        <w:tc>
          <w:tcPr>
            <w:tcW w:w="2210" w:type="dxa"/>
            <w:gridSpan w:val="2"/>
            <w:tcBorders>
              <w:top w:val="single" w:color="auto" w:sz="8" w:space="0"/>
              <w:left w:val="nil"/>
              <w:bottom w:val="single" w:color="auto" w:sz="8" w:space="0"/>
              <w:right w:val="single" w:color="000000" w:sz="8" w:space="0"/>
            </w:tcBorders>
            <w:shd w:val="clear" w:color="auto" w:fill="auto"/>
            <w:vAlign w:val="center"/>
          </w:tcPr>
          <w:p w14:paraId="03390694">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调整完善后</w:t>
            </w:r>
          </w:p>
        </w:tc>
        <w:tc>
          <w:tcPr>
            <w:tcW w:w="2028" w:type="dxa"/>
            <w:gridSpan w:val="2"/>
            <w:tcBorders>
              <w:top w:val="single" w:color="auto" w:sz="8" w:space="0"/>
              <w:left w:val="nil"/>
              <w:bottom w:val="single" w:color="auto" w:sz="8" w:space="0"/>
              <w:right w:val="single" w:color="000000" w:sz="8" w:space="0"/>
            </w:tcBorders>
            <w:shd w:val="clear" w:color="auto" w:fill="auto"/>
            <w:vAlign w:val="center"/>
          </w:tcPr>
          <w:p w14:paraId="4CC37B1C">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变化量</w:t>
            </w:r>
          </w:p>
        </w:tc>
      </w:tr>
      <w:tr w14:paraId="07E2A7AF">
        <w:tblPrEx>
          <w:tblCellMar>
            <w:top w:w="0" w:type="dxa"/>
            <w:left w:w="108" w:type="dxa"/>
            <w:bottom w:w="0" w:type="dxa"/>
            <w:right w:w="108" w:type="dxa"/>
          </w:tblCellMar>
        </w:tblPrEx>
        <w:trPr>
          <w:trHeight w:val="284" w:hRule="atLeast"/>
          <w:jc w:val="center"/>
        </w:trPr>
        <w:tc>
          <w:tcPr>
            <w:tcW w:w="1891" w:type="dxa"/>
            <w:vMerge w:val="continue"/>
            <w:tcBorders>
              <w:top w:val="single" w:color="auto" w:sz="8" w:space="0"/>
              <w:left w:val="single" w:color="auto" w:sz="8" w:space="0"/>
              <w:bottom w:val="single" w:color="000000" w:sz="8" w:space="0"/>
              <w:right w:val="single" w:color="auto" w:sz="8" w:space="0"/>
            </w:tcBorders>
            <w:vAlign w:val="center"/>
          </w:tcPr>
          <w:p w14:paraId="73A831ED">
            <w:pPr>
              <w:widowControl/>
              <w:jc w:val="left"/>
              <w:rPr>
                <w:rFonts w:ascii="宋体" w:hAnsi="宋体" w:cs="宋体"/>
                <w:b/>
                <w:bCs/>
                <w:color w:val="000000"/>
                <w:kern w:val="0"/>
                <w:sz w:val="18"/>
                <w:szCs w:val="18"/>
              </w:rPr>
            </w:pPr>
          </w:p>
        </w:tc>
        <w:tc>
          <w:tcPr>
            <w:tcW w:w="1079" w:type="dxa"/>
            <w:tcBorders>
              <w:top w:val="nil"/>
              <w:left w:val="nil"/>
              <w:bottom w:val="single" w:color="auto" w:sz="8" w:space="0"/>
              <w:right w:val="single" w:color="auto" w:sz="8" w:space="0"/>
            </w:tcBorders>
            <w:shd w:val="clear" w:color="auto" w:fill="auto"/>
            <w:vAlign w:val="center"/>
          </w:tcPr>
          <w:p w14:paraId="5EF89FB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952" w:type="dxa"/>
            <w:tcBorders>
              <w:top w:val="nil"/>
              <w:left w:val="nil"/>
              <w:bottom w:val="single" w:color="auto" w:sz="8" w:space="0"/>
              <w:right w:val="single" w:color="auto" w:sz="8" w:space="0"/>
            </w:tcBorders>
            <w:shd w:val="clear" w:color="auto" w:fill="auto"/>
            <w:vAlign w:val="center"/>
          </w:tcPr>
          <w:p w14:paraId="1152594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196" w:type="dxa"/>
            <w:tcBorders>
              <w:top w:val="nil"/>
              <w:left w:val="nil"/>
              <w:bottom w:val="single" w:color="auto" w:sz="8" w:space="0"/>
              <w:right w:val="single" w:color="auto" w:sz="8" w:space="0"/>
            </w:tcBorders>
            <w:shd w:val="clear" w:color="auto" w:fill="auto"/>
            <w:vAlign w:val="center"/>
          </w:tcPr>
          <w:p w14:paraId="3674440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014" w:type="dxa"/>
            <w:tcBorders>
              <w:top w:val="nil"/>
              <w:left w:val="nil"/>
              <w:bottom w:val="single" w:color="auto" w:sz="8" w:space="0"/>
              <w:right w:val="single" w:color="auto" w:sz="8" w:space="0"/>
            </w:tcBorders>
            <w:shd w:val="clear" w:color="auto" w:fill="auto"/>
            <w:vAlign w:val="center"/>
          </w:tcPr>
          <w:p w14:paraId="173F65D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014" w:type="dxa"/>
            <w:tcBorders>
              <w:top w:val="nil"/>
              <w:left w:val="nil"/>
              <w:bottom w:val="single" w:color="auto" w:sz="8" w:space="0"/>
              <w:right w:val="single" w:color="auto" w:sz="8" w:space="0"/>
            </w:tcBorders>
            <w:shd w:val="clear" w:color="auto" w:fill="auto"/>
            <w:vAlign w:val="center"/>
          </w:tcPr>
          <w:p w14:paraId="362C04E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014" w:type="dxa"/>
            <w:tcBorders>
              <w:top w:val="nil"/>
              <w:left w:val="nil"/>
              <w:bottom w:val="single" w:color="auto" w:sz="8" w:space="0"/>
              <w:right w:val="single" w:color="auto" w:sz="8" w:space="0"/>
            </w:tcBorders>
            <w:shd w:val="clear" w:color="auto" w:fill="auto"/>
            <w:vAlign w:val="center"/>
          </w:tcPr>
          <w:p w14:paraId="234943D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r>
      <w:tr w14:paraId="4F47F6F6">
        <w:tblPrEx>
          <w:tblCellMar>
            <w:top w:w="0" w:type="dxa"/>
            <w:left w:w="108" w:type="dxa"/>
            <w:bottom w:w="0" w:type="dxa"/>
            <w:right w:w="108" w:type="dxa"/>
          </w:tblCellMar>
        </w:tblPrEx>
        <w:trPr>
          <w:trHeight w:val="284" w:hRule="atLeast"/>
          <w:jc w:val="center"/>
        </w:trPr>
        <w:tc>
          <w:tcPr>
            <w:tcW w:w="1891" w:type="dxa"/>
            <w:tcBorders>
              <w:top w:val="nil"/>
              <w:left w:val="single" w:color="auto" w:sz="8" w:space="0"/>
              <w:bottom w:val="single" w:color="auto" w:sz="8" w:space="0"/>
              <w:right w:val="single" w:color="auto" w:sz="8" w:space="0"/>
            </w:tcBorders>
            <w:shd w:val="clear" w:color="auto" w:fill="auto"/>
            <w:vAlign w:val="center"/>
          </w:tcPr>
          <w:p w14:paraId="50CB540A">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建设用地总规模</w:t>
            </w:r>
          </w:p>
        </w:tc>
        <w:tc>
          <w:tcPr>
            <w:tcW w:w="1079" w:type="dxa"/>
            <w:tcBorders>
              <w:top w:val="nil"/>
              <w:left w:val="nil"/>
              <w:bottom w:val="single" w:color="auto" w:sz="8" w:space="0"/>
              <w:right w:val="single" w:color="auto" w:sz="8" w:space="0"/>
            </w:tcBorders>
            <w:shd w:val="clear" w:color="auto" w:fill="auto"/>
            <w:vAlign w:val="center"/>
          </w:tcPr>
          <w:p w14:paraId="3FD5D01D">
            <w:pPr>
              <w:widowControl/>
              <w:jc w:val="center"/>
              <w:rPr>
                <w:rFonts w:ascii="宋体" w:hAnsi="宋体" w:cs="宋体"/>
                <w:color w:val="000000"/>
                <w:kern w:val="0"/>
                <w:sz w:val="18"/>
                <w:szCs w:val="18"/>
              </w:rPr>
            </w:pPr>
            <w:r>
              <w:rPr>
                <w:rFonts w:hint="eastAsia" w:ascii="宋体" w:hAnsi="宋体" w:cs="宋体"/>
                <w:color w:val="000000"/>
                <w:kern w:val="0"/>
                <w:sz w:val="18"/>
                <w:szCs w:val="18"/>
              </w:rPr>
              <w:t>6985.91</w:t>
            </w:r>
          </w:p>
        </w:tc>
        <w:tc>
          <w:tcPr>
            <w:tcW w:w="952" w:type="dxa"/>
            <w:tcBorders>
              <w:top w:val="nil"/>
              <w:left w:val="nil"/>
              <w:bottom w:val="single" w:color="auto" w:sz="8" w:space="0"/>
              <w:right w:val="single" w:color="auto" w:sz="8" w:space="0"/>
            </w:tcBorders>
            <w:shd w:val="clear" w:color="auto" w:fill="auto"/>
            <w:vAlign w:val="center"/>
          </w:tcPr>
          <w:p w14:paraId="14BA3104">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1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682D49">
            <w:pPr>
              <w:widowControl/>
              <w:jc w:val="center"/>
              <w:rPr>
                <w:rFonts w:ascii="宋体" w:hAnsi="宋体" w:cs="宋体"/>
                <w:color w:val="000000"/>
                <w:kern w:val="0"/>
                <w:sz w:val="18"/>
                <w:szCs w:val="18"/>
              </w:rPr>
            </w:pPr>
            <w:r>
              <w:rPr>
                <w:rFonts w:hint="eastAsia" w:ascii="宋体" w:hAnsi="宋体" w:cs="宋体"/>
                <w:color w:val="000000"/>
                <w:kern w:val="0"/>
                <w:sz w:val="18"/>
                <w:szCs w:val="18"/>
              </w:rPr>
              <w:t>6155.66</w:t>
            </w:r>
          </w:p>
        </w:tc>
        <w:tc>
          <w:tcPr>
            <w:tcW w:w="1014" w:type="dxa"/>
            <w:tcBorders>
              <w:top w:val="nil"/>
              <w:left w:val="nil"/>
              <w:bottom w:val="single" w:color="auto" w:sz="8" w:space="0"/>
              <w:right w:val="single" w:color="auto" w:sz="8" w:space="0"/>
            </w:tcBorders>
            <w:shd w:val="clear" w:color="auto" w:fill="auto"/>
            <w:vAlign w:val="center"/>
          </w:tcPr>
          <w:p w14:paraId="27BF3128">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014" w:type="dxa"/>
            <w:tcBorders>
              <w:top w:val="nil"/>
              <w:left w:val="nil"/>
              <w:bottom w:val="single" w:color="auto" w:sz="8" w:space="0"/>
              <w:right w:val="single" w:color="auto" w:sz="8" w:space="0"/>
            </w:tcBorders>
            <w:shd w:val="clear" w:color="auto" w:fill="auto"/>
            <w:vAlign w:val="center"/>
          </w:tcPr>
          <w:p w14:paraId="360766B9">
            <w:pPr>
              <w:widowControl/>
              <w:jc w:val="center"/>
              <w:rPr>
                <w:rFonts w:ascii="宋体" w:hAnsi="宋体" w:cs="宋体"/>
                <w:color w:val="000000"/>
                <w:kern w:val="0"/>
                <w:sz w:val="18"/>
                <w:szCs w:val="18"/>
              </w:rPr>
            </w:pPr>
            <w:r>
              <w:rPr>
                <w:rFonts w:hint="eastAsia" w:ascii="宋体" w:hAnsi="宋体" w:cs="宋体"/>
                <w:color w:val="000000"/>
                <w:kern w:val="0"/>
                <w:sz w:val="18"/>
                <w:szCs w:val="18"/>
              </w:rPr>
              <w:t>-830.25</w:t>
            </w:r>
          </w:p>
        </w:tc>
        <w:tc>
          <w:tcPr>
            <w:tcW w:w="1014" w:type="dxa"/>
            <w:tcBorders>
              <w:top w:val="nil"/>
              <w:left w:val="nil"/>
              <w:bottom w:val="single" w:color="auto" w:sz="8" w:space="0"/>
              <w:right w:val="single" w:color="auto" w:sz="8" w:space="0"/>
            </w:tcBorders>
            <w:shd w:val="clear" w:color="auto" w:fill="auto"/>
            <w:vAlign w:val="center"/>
          </w:tcPr>
          <w:p w14:paraId="075E2240">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0B30E549">
        <w:tblPrEx>
          <w:tblCellMar>
            <w:top w:w="0" w:type="dxa"/>
            <w:left w:w="108" w:type="dxa"/>
            <w:bottom w:w="0" w:type="dxa"/>
            <w:right w:w="108" w:type="dxa"/>
          </w:tblCellMar>
        </w:tblPrEx>
        <w:trPr>
          <w:trHeight w:val="284" w:hRule="atLeast"/>
          <w:jc w:val="center"/>
        </w:trPr>
        <w:tc>
          <w:tcPr>
            <w:tcW w:w="1891" w:type="dxa"/>
            <w:tcBorders>
              <w:top w:val="nil"/>
              <w:left w:val="single" w:color="auto" w:sz="8" w:space="0"/>
              <w:bottom w:val="single" w:color="auto" w:sz="8" w:space="0"/>
              <w:right w:val="single" w:color="auto" w:sz="8" w:space="0"/>
            </w:tcBorders>
            <w:shd w:val="clear" w:color="auto" w:fill="auto"/>
            <w:vAlign w:val="center"/>
          </w:tcPr>
          <w:p w14:paraId="17819F68">
            <w:pPr>
              <w:widowControl/>
              <w:jc w:val="center"/>
              <w:rPr>
                <w:rFonts w:ascii="宋体" w:hAnsi="宋体" w:cs="宋体"/>
                <w:color w:val="000000"/>
                <w:kern w:val="0"/>
                <w:sz w:val="18"/>
                <w:szCs w:val="18"/>
              </w:rPr>
            </w:pPr>
            <w:r>
              <w:rPr>
                <w:rFonts w:hint="eastAsia" w:ascii="宋体" w:hAnsi="宋体" w:cs="宋体"/>
                <w:color w:val="000000"/>
                <w:kern w:val="0"/>
                <w:sz w:val="18"/>
                <w:szCs w:val="18"/>
              </w:rPr>
              <w:t>城乡建设用地</w:t>
            </w:r>
          </w:p>
        </w:tc>
        <w:tc>
          <w:tcPr>
            <w:tcW w:w="1079" w:type="dxa"/>
            <w:tcBorders>
              <w:top w:val="nil"/>
              <w:left w:val="nil"/>
              <w:bottom w:val="single" w:color="auto" w:sz="8" w:space="0"/>
              <w:right w:val="single" w:color="auto" w:sz="8" w:space="0"/>
            </w:tcBorders>
            <w:shd w:val="clear" w:color="auto" w:fill="auto"/>
            <w:vAlign w:val="center"/>
          </w:tcPr>
          <w:p w14:paraId="6BD0BE2A">
            <w:pPr>
              <w:widowControl/>
              <w:jc w:val="center"/>
              <w:rPr>
                <w:rFonts w:ascii="宋体" w:hAnsi="宋体" w:cs="宋体"/>
                <w:color w:val="000000"/>
                <w:kern w:val="0"/>
                <w:sz w:val="18"/>
                <w:szCs w:val="18"/>
              </w:rPr>
            </w:pPr>
            <w:r>
              <w:rPr>
                <w:rFonts w:hint="eastAsia" w:ascii="宋体" w:hAnsi="宋体" w:cs="宋体"/>
                <w:color w:val="000000"/>
                <w:kern w:val="0"/>
                <w:sz w:val="18"/>
                <w:szCs w:val="18"/>
              </w:rPr>
              <w:t>5083.77</w:t>
            </w:r>
          </w:p>
        </w:tc>
        <w:tc>
          <w:tcPr>
            <w:tcW w:w="952" w:type="dxa"/>
            <w:tcBorders>
              <w:top w:val="nil"/>
              <w:left w:val="nil"/>
              <w:bottom w:val="single" w:color="auto" w:sz="8" w:space="0"/>
              <w:right w:val="single" w:color="auto" w:sz="8" w:space="0"/>
            </w:tcBorders>
            <w:shd w:val="clear" w:color="auto" w:fill="auto"/>
            <w:vAlign w:val="center"/>
          </w:tcPr>
          <w:p w14:paraId="5A2B093F">
            <w:pPr>
              <w:widowControl/>
              <w:jc w:val="center"/>
              <w:rPr>
                <w:rFonts w:ascii="宋体" w:hAnsi="宋体" w:cs="宋体"/>
                <w:color w:val="000000"/>
                <w:kern w:val="0"/>
                <w:sz w:val="18"/>
                <w:szCs w:val="18"/>
              </w:rPr>
            </w:pPr>
            <w:r>
              <w:rPr>
                <w:rFonts w:hint="eastAsia" w:ascii="宋体" w:hAnsi="宋体" w:cs="宋体"/>
                <w:color w:val="000000"/>
                <w:kern w:val="0"/>
                <w:sz w:val="18"/>
                <w:szCs w:val="18"/>
              </w:rPr>
              <w:t>72.77%</w:t>
            </w:r>
          </w:p>
        </w:tc>
        <w:tc>
          <w:tcPr>
            <w:tcW w:w="1196" w:type="dxa"/>
            <w:tcBorders>
              <w:top w:val="nil"/>
              <w:left w:val="single" w:color="auto" w:sz="4" w:space="0"/>
              <w:bottom w:val="single" w:color="auto" w:sz="4" w:space="0"/>
              <w:right w:val="single" w:color="auto" w:sz="4" w:space="0"/>
            </w:tcBorders>
            <w:shd w:val="clear" w:color="auto" w:fill="auto"/>
            <w:vAlign w:val="center"/>
          </w:tcPr>
          <w:p w14:paraId="44A68116">
            <w:pPr>
              <w:widowControl/>
              <w:jc w:val="center"/>
              <w:rPr>
                <w:rFonts w:ascii="宋体" w:hAnsi="宋体" w:cs="宋体"/>
                <w:color w:val="000000"/>
                <w:kern w:val="0"/>
                <w:sz w:val="18"/>
                <w:szCs w:val="18"/>
              </w:rPr>
            </w:pPr>
            <w:r>
              <w:rPr>
                <w:rFonts w:hint="eastAsia" w:ascii="宋体" w:hAnsi="宋体" w:cs="宋体"/>
                <w:color w:val="000000"/>
                <w:kern w:val="0"/>
                <w:sz w:val="18"/>
                <w:szCs w:val="18"/>
              </w:rPr>
              <w:t>5368.18</w:t>
            </w:r>
          </w:p>
        </w:tc>
        <w:tc>
          <w:tcPr>
            <w:tcW w:w="1014" w:type="dxa"/>
            <w:tcBorders>
              <w:top w:val="nil"/>
              <w:left w:val="nil"/>
              <w:bottom w:val="single" w:color="auto" w:sz="8" w:space="0"/>
              <w:right w:val="single" w:color="auto" w:sz="8" w:space="0"/>
            </w:tcBorders>
            <w:shd w:val="clear" w:color="auto" w:fill="auto"/>
            <w:vAlign w:val="center"/>
          </w:tcPr>
          <w:p w14:paraId="137C14A2">
            <w:pPr>
              <w:widowControl/>
              <w:jc w:val="center"/>
              <w:rPr>
                <w:rFonts w:ascii="宋体" w:hAnsi="宋体" w:cs="宋体"/>
                <w:color w:val="000000"/>
                <w:kern w:val="0"/>
                <w:sz w:val="18"/>
                <w:szCs w:val="18"/>
              </w:rPr>
            </w:pPr>
            <w:r>
              <w:rPr>
                <w:rFonts w:hint="eastAsia" w:ascii="宋体" w:hAnsi="宋体" w:cs="宋体"/>
                <w:color w:val="000000"/>
                <w:kern w:val="0"/>
                <w:sz w:val="18"/>
                <w:szCs w:val="18"/>
              </w:rPr>
              <w:t>87.21%</w:t>
            </w:r>
          </w:p>
        </w:tc>
        <w:tc>
          <w:tcPr>
            <w:tcW w:w="1014" w:type="dxa"/>
            <w:tcBorders>
              <w:top w:val="nil"/>
              <w:left w:val="nil"/>
              <w:bottom w:val="single" w:color="auto" w:sz="8" w:space="0"/>
              <w:right w:val="single" w:color="auto" w:sz="8" w:space="0"/>
            </w:tcBorders>
            <w:shd w:val="clear" w:color="auto" w:fill="auto"/>
            <w:vAlign w:val="center"/>
          </w:tcPr>
          <w:p w14:paraId="17723E9E">
            <w:pPr>
              <w:widowControl/>
              <w:jc w:val="center"/>
              <w:rPr>
                <w:rFonts w:ascii="宋体" w:hAnsi="宋体" w:cs="宋体"/>
                <w:color w:val="000000"/>
                <w:kern w:val="0"/>
                <w:sz w:val="18"/>
                <w:szCs w:val="18"/>
              </w:rPr>
            </w:pPr>
            <w:r>
              <w:rPr>
                <w:rFonts w:hint="eastAsia" w:ascii="宋体" w:hAnsi="宋体" w:cs="宋体"/>
                <w:color w:val="000000"/>
                <w:kern w:val="0"/>
                <w:sz w:val="18"/>
                <w:szCs w:val="18"/>
              </w:rPr>
              <w:t>284.41</w:t>
            </w:r>
          </w:p>
        </w:tc>
        <w:tc>
          <w:tcPr>
            <w:tcW w:w="1014" w:type="dxa"/>
            <w:tcBorders>
              <w:top w:val="nil"/>
              <w:left w:val="nil"/>
              <w:bottom w:val="single" w:color="auto" w:sz="8" w:space="0"/>
              <w:right w:val="single" w:color="auto" w:sz="8" w:space="0"/>
            </w:tcBorders>
            <w:shd w:val="clear" w:color="auto" w:fill="auto"/>
            <w:vAlign w:val="center"/>
          </w:tcPr>
          <w:p w14:paraId="5302F306">
            <w:pPr>
              <w:widowControl/>
              <w:jc w:val="center"/>
              <w:rPr>
                <w:rFonts w:ascii="宋体" w:hAnsi="宋体" w:cs="宋体"/>
                <w:color w:val="000000"/>
                <w:kern w:val="0"/>
                <w:sz w:val="18"/>
                <w:szCs w:val="18"/>
              </w:rPr>
            </w:pPr>
            <w:r>
              <w:rPr>
                <w:rFonts w:hint="eastAsia" w:ascii="宋体" w:hAnsi="宋体" w:cs="宋体"/>
                <w:color w:val="000000"/>
                <w:kern w:val="0"/>
                <w:sz w:val="18"/>
                <w:szCs w:val="18"/>
              </w:rPr>
              <w:t>14.44%</w:t>
            </w:r>
          </w:p>
        </w:tc>
      </w:tr>
      <w:tr w14:paraId="2E8E9160">
        <w:tblPrEx>
          <w:tblCellMar>
            <w:top w:w="0" w:type="dxa"/>
            <w:left w:w="108" w:type="dxa"/>
            <w:bottom w:w="0" w:type="dxa"/>
            <w:right w:w="108" w:type="dxa"/>
          </w:tblCellMar>
        </w:tblPrEx>
        <w:trPr>
          <w:trHeight w:val="284" w:hRule="atLeast"/>
          <w:jc w:val="center"/>
        </w:trPr>
        <w:tc>
          <w:tcPr>
            <w:tcW w:w="1891" w:type="dxa"/>
            <w:tcBorders>
              <w:top w:val="nil"/>
              <w:left w:val="single" w:color="auto" w:sz="8" w:space="0"/>
              <w:bottom w:val="single" w:color="auto" w:sz="8" w:space="0"/>
              <w:right w:val="single" w:color="auto" w:sz="8" w:space="0"/>
            </w:tcBorders>
            <w:shd w:val="clear" w:color="auto" w:fill="auto"/>
            <w:vAlign w:val="center"/>
          </w:tcPr>
          <w:p w14:paraId="2362B059">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交通水利用地</w:t>
            </w:r>
          </w:p>
        </w:tc>
        <w:tc>
          <w:tcPr>
            <w:tcW w:w="1079" w:type="dxa"/>
            <w:tcBorders>
              <w:top w:val="nil"/>
              <w:left w:val="nil"/>
              <w:bottom w:val="single" w:color="auto" w:sz="8" w:space="0"/>
              <w:right w:val="single" w:color="auto" w:sz="8" w:space="0"/>
            </w:tcBorders>
            <w:shd w:val="clear" w:color="auto" w:fill="auto"/>
            <w:vAlign w:val="center"/>
          </w:tcPr>
          <w:p w14:paraId="44D68C5F">
            <w:pPr>
              <w:widowControl/>
              <w:jc w:val="center"/>
              <w:rPr>
                <w:rFonts w:ascii="宋体" w:hAnsi="宋体" w:cs="宋体"/>
                <w:color w:val="000000"/>
                <w:kern w:val="0"/>
                <w:sz w:val="18"/>
                <w:szCs w:val="18"/>
              </w:rPr>
            </w:pPr>
            <w:r>
              <w:rPr>
                <w:rFonts w:hint="eastAsia" w:ascii="宋体" w:hAnsi="宋体" w:cs="宋体"/>
                <w:color w:val="000000"/>
                <w:kern w:val="0"/>
                <w:sz w:val="18"/>
                <w:szCs w:val="18"/>
              </w:rPr>
              <w:t>1664.21</w:t>
            </w:r>
          </w:p>
        </w:tc>
        <w:tc>
          <w:tcPr>
            <w:tcW w:w="952" w:type="dxa"/>
            <w:tcBorders>
              <w:top w:val="nil"/>
              <w:left w:val="nil"/>
              <w:bottom w:val="single" w:color="auto" w:sz="8" w:space="0"/>
              <w:right w:val="single" w:color="auto" w:sz="8" w:space="0"/>
            </w:tcBorders>
            <w:shd w:val="clear" w:color="auto" w:fill="auto"/>
            <w:vAlign w:val="center"/>
          </w:tcPr>
          <w:p w14:paraId="58488849">
            <w:pPr>
              <w:widowControl/>
              <w:jc w:val="center"/>
              <w:rPr>
                <w:rFonts w:ascii="宋体" w:hAnsi="宋体" w:cs="宋体"/>
                <w:color w:val="000000"/>
                <w:kern w:val="0"/>
                <w:sz w:val="18"/>
                <w:szCs w:val="18"/>
              </w:rPr>
            </w:pPr>
            <w:r>
              <w:rPr>
                <w:rFonts w:hint="eastAsia" w:ascii="宋体" w:hAnsi="宋体" w:cs="宋体"/>
                <w:color w:val="000000"/>
                <w:kern w:val="0"/>
                <w:sz w:val="18"/>
                <w:szCs w:val="18"/>
              </w:rPr>
              <w:t>23.82%</w:t>
            </w:r>
          </w:p>
        </w:tc>
        <w:tc>
          <w:tcPr>
            <w:tcW w:w="1196" w:type="dxa"/>
            <w:tcBorders>
              <w:top w:val="nil"/>
              <w:left w:val="single" w:color="auto" w:sz="4" w:space="0"/>
              <w:bottom w:val="single" w:color="auto" w:sz="4" w:space="0"/>
              <w:right w:val="single" w:color="auto" w:sz="4" w:space="0"/>
            </w:tcBorders>
            <w:shd w:val="clear" w:color="auto" w:fill="auto"/>
            <w:noWrap/>
            <w:vAlign w:val="center"/>
          </w:tcPr>
          <w:p w14:paraId="4A338641">
            <w:pPr>
              <w:widowControl/>
              <w:jc w:val="center"/>
              <w:rPr>
                <w:rFonts w:ascii="宋体" w:hAnsi="宋体" w:cs="宋体"/>
                <w:color w:val="000000"/>
                <w:kern w:val="0"/>
                <w:sz w:val="18"/>
                <w:szCs w:val="18"/>
              </w:rPr>
            </w:pPr>
            <w:r>
              <w:rPr>
                <w:rFonts w:hint="eastAsia" w:ascii="宋体" w:hAnsi="宋体" w:cs="宋体"/>
                <w:color w:val="000000"/>
                <w:kern w:val="0"/>
                <w:sz w:val="18"/>
                <w:szCs w:val="18"/>
              </w:rPr>
              <w:t>741.85</w:t>
            </w:r>
          </w:p>
        </w:tc>
        <w:tc>
          <w:tcPr>
            <w:tcW w:w="1014" w:type="dxa"/>
            <w:tcBorders>
              <w:top w:val="nil"/>
              <w:left w:val="nil"/>
              <w:bottom w:val="single" w:color="auto" w:sz="8" w:space="0"/>
              <w:right w:val="single" w:color="auto" w:sz="8" w:space="0"/>
            </w:tcBorders>
            <w:shd w:val="clear" w:color="auto" w:fill="auto"/>
            <w:vAlign w:val="center"/>
          </w:tcPr>
          <w:p w14:paraId="19BB4432">
            <w:pPr>
              <w:widowControl/>
              <w:jc w:val="center"/>
              <w:rPr>
                <w:rFonts w:ascii="宋体" w:hAnsi="宋体" w:cs="宋体"/>
                <w:color w:val="000000"/>
                <w:kern w:val="0"/>
                <w:sz w:val="18"/>
                <w:szCs w:val="18"/>
              </w:rPr>
            </w:pPr>
            <w:r>
              <w:rPr>
                <w:rFonts w:hint="eastAsia" w:ascii="宋体" w:hAnsi="宋体" w:cs="宋体"/>
                <w:color w:val="000000"/>
                <w:kern w:val="0"/>
                <w:sz w:val="18"/>
                <w:szCs w:val="18"/>
              </w:rPr>
              <w:t>12.05%</w:t>
            </w:r>
          </w:p>
        </w:tc>
        <w:tc>
          <w:tcPr>
            <w:tcW w:w="1014" w:type="dxa"/>
            <w:tcBorders>
              <w:top w:val="nil"/>
              <w:left w:val="nil"/>
              <w:bottom w:val="single" w:color="auto" w:sz="8" w:space="0"/>
              <w:right w:val="single" w:color="auto" w:sz="8" w:space="0"/>
            </w:tcBorders>
            <w:shd w:val="clear" w:color="auto" w:fill="auto"/>
            <w:vAlign w:val="center"/>
          </w:tcPr>
          <w:p w14:paraId="047FD53E">
            <w:pPr>
              <w:widowControl/>
              <w:jc w:val="center"/>
              <w:rPr>
                <w:rFonts w:ascii="宋体" w:hAnsi="宋体" w:cs="宋体"/>
                <w:color w:val="000000"/>
                <w:kern w:val="0"/>
                <w:sz w:val="18"/>
                <w:szCs w:val="18"/>
              </w:rPr>
            </w:pPr>
            <w:r>
              <w:rPr>
                <w:rFonts w:hint="eastAsia" w:ascii="宋体" w:hAnsi="宋体" w:cs="宋体"/>
                <w:color w:val="000000"/>
                <w:kern w:val="0"/>
                <w:sz w:val="18"/>
                <w:szCs w:val="18"/>
              </w:rPr>
              <w:t>-922.36</w:t>
            </w:r>
          </w:p>
        </w:tc>
        <w:tc>
          <w:tcPr>
            <w:tcW w:w="1014" w:type="dxa"/>
            <w:tcBorders>
              <w:top w:val="nil"/>
              <w:left w:val="nil"/>
              <w:bottom w:val="single" w:color="auto" w:sz="8" w:space="0"/>
              <w:right w:val="single" w:color="auto" w:sz="8" w:space="0"/>
            </w:tcBorders>
            <w:shd w:val="clear" w:color="auto" w:fill="auto"/>
            <w:vAlign w:val="center"/>
          </w:tcPr>
          <w:p w14:paraId="3673F4D4">
            <w:pPr>
              <w:widowControl/>
              <w:jc w:val="center"/>
              <w:rPr>
                <w:rFonts w:ascii="宋体" w:hAnsi="宋体" w:cs="宋体"/>
                <w:color w:val="000000"/>
                <w:kern w:val="0"/>
                <w:sz w:val="18"/>
                <w:szCs w:val="18"/>
              </w:rPr>
            </w:pPr>
            <w:r>
              <w:rPr>
                <w:rFonts w:hint="eastAsia" w:ascii="宋体" w:hAnsi="宋体" w:cs="宋体"/>
                <w:color w:val="000000"/>
                <w:kern w:val="0"/>
                <w:sz w:val="18"/>
                <w:szCs w:val="18"/>
              </w:rPr>
              <w:t>-11.77%</w:t>
            </w:r>
          </w:p>
        </w:tc>
      </w:tr>
      <w:tr w14:paraId="1048BD2F">
        <w:tblPrEx>
          <w:tblCellMar>
            <w:top w:w="0" w:type="dxa"/>
            <w:left w:w="108" w:type="dxa"/>
            <w:bottom w:w="0" w:type="dxa"/>
            <w:right w:w="108" w:type="dxa"/>
          </w:tblCellMar>
        </w:tblPrEx>
        <w:trPr>
          <w:trHeight w:val="284" w:hRule="atLeast"/>
          <w:jc w:val="center"/>
        </w:trPr>
        <w:tc>
          <w:tcPr>
            <w:tcW w:w="1891" w:type="dxa"/>
            <w:tcBorders>
              <w:top w:val="nil"/>
              <w:left w:val="single" w:color="auto" w:sz="8" w:space="0"/>
              <w:bottom w:val="single" w:color="auto" w:sz="8" w:space="0"/>
              <w:right w:val="single" w:color="auto" w:sz="8" w:space="0"/>
            </w:tcBorders>
            <w:shd w:val="clear" w:color="auto" w:fill="auto"/>
            <w:vAlign w:val="center"/>
          </w:tcPr>
          <w:p w14:paraId="1B445393">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其他建设用地</w:t>
            </w:r>
          </w:p>
        </w:tc>
        <w:tc>
          <w:tcPr>
            <w:tcW w:w="1079" w:type="dxa"/>
            <w:tcBorders>
              <w:top w:val="nil"/>
              <w:left w:val="nil"/>
              <w:bottom w:val="single" w:color="auto" w:sz="8" w:space="0"/>
              <w:right w:val="single" w:color="auto" w:sz="8" w:space="0"/>
            </w:tcBorders>
            <w:shd w:val="clear" w:color="auto" w:fill="auto"/>
            <w:vAlign w:val="center"/>
          </w:tcPr>
          <w:p w14:paraId="20ADB6B3">
            <w:pPr>
              <w:widowControl/>
              <w:jc w:val="center"/>
              <w:rPr>
                <w:rFonts w:ascii="宋体" w:hAnsi="宋体" w:cs="宋体"/>
                <w:color w:val="000000"/>
                <w:kern w:val="0"/>
                <w:sz w:val="18"/>
                <w:szCs w:val="18"/>
              </w:rPr>
            </w:pPr>
            <w:r>
              <w:rPr>
                <w:rFonts w:hint="eastAsia" w:ascii="宋体" w:hAnsi="宋体" w:cs="宋体"/>
                <w:color w:val="000000"/>
                <w:kern w:val="0"/>
                <w:sz w:val="18"/>
                <w:szCs w:val="18"/>
              </w:rPr>
              <w:t>237.93</w:t>
            </w:r>
          </w:p>
        </w:tc>
        <w:tc>
          <w:tcPr>
            <w:tcW w:w="952" w:type="dxa"/>
            <w:tcBorders>
              <w:top w:val="nil"/>
              <w:left w:val="nil"/>
              <w:bottom w:val="single" w:color="auto" w:sz="8" w:space="0"/>
              <w:right w:val="single" w:color="auto" w:sz="8" w:space="0"/>
            </w:tcBorders>
            <w:shd w:val="clear" w:color="auto" w:fill="auto"/>
            <w:vAlign w:val="center"/>
          </w:tcPr>
          <w:p w14:paraId="5127008D">
            <w:pPr>
              <w:widowControl/>
              <w:jc w:val="center"/>
              <w:rPr>
                <w:rFonts w:ascii="宋体" w:hAnsi="宋体" w:cs="宋体"/>
                <w:color w:val="000000"/>
                <w:kern w:val="0"/>
                <w:sz w:val="18"/>
                <w:szCs w:val="18"/>
              </w:rPr>
            </w:pPr>
            <w:r>
              <w:rPr>
                <w:rFonts w:hint="eastAsia" w:ascii="宋体" w:hAnsi="宋体" w:cs="宋体"/>
                <w:color w:val="000000"/>
                <w:kern w:val="0"/>
                <w:sz w:val="18"/>
                <w:szCs w:val="18"/>
              </w:rPr>
              <w:t>3.41%</w:t>
            </w:r>
          </w:p>
        </w:tc>
        <w:tc>
          <w:tcPr>
            <w:tcW w:w="1196" w:type="dxa"/>
            <w:tcBorders>
              <w:top w:val="nil"/>
              <w:left w:val="single" w:color="auto" w:sz="4" w:space="0"/>
              <w:bottom w:val="single" w:color="auto" w:sz="4" w:space="0"/>
              <w:right w:val="single" w:color="auto" w:sz="4" w:space="0"/>
            </w:tcBorders>
            <w:shd w:val="clear" w:color="auto" w:fill="auto"/>
            <w:noWrap/>
            <w:vAlign w:val="center"/>
          </w:tcPr>
          <w:p w14:paraId="221B4DE6">
            <w:pPr>
              <w:widowControl/>
              <w:jc w:val="center"/>
              <w:rPr>
                <w:rFonts w:ascii="宋体" w:hAnsi="宋体" w:cs="宋体"/>
                <w:color w:val="000000"/>
                <w:kern w:val="0"/>
                <w:sz w:val="18"/>
                <w:szCs w:val="18"/>
              </w:rPr>
            </w:pPr>
            <w:r>
              <w:rPr>
                <w:rFonts w:hint="eastAsia" w:ascii="宋体" w:hAnsi="宋体" w:cs="宋体"/>
                <w:color w:val="000000"/>
                <w:kern w:val="0"/>
                <w:sz w:val="18"/>
                <w:szCs w:val="18"/>
              </w:rPr>
              <w:t>45.63</w:t>
            </w:r>
          </w:p>
        </w:tc>
        <w:tc>
          <w:tcPr>
            <w:tcW w:w="1014" w:type="dxa"/>
            <w:tcBorders>
              <w:top w:val="nil"/>
              <w:left w:val="nil"/>
              <w:bottom w:val="single" w:color="auto" w:sz="8" w:space="0"/>
              <w:right w:val="single" w:color="auto" w:sz="8" w:space="0"/>
            </w:tcBorders>
            <w:shd w:val="clear" w:color="auto" w:fill="auto"/>
            <w:vAlign w:val="center"/>
          </w:tcPr>
          <w:p w14:paraId="0B1E7094">
            <w:pPr>
              <w:widowControl/>
              <w:jc w:val="center"/>
              <w:rPr>
                <w:rFonts w:ascii="宋体" w:hAnsi="宋体" w:cs="宋体"/>
                <w:color w:val="000000"/>
                <w:kern w:val="0"/>
                <w:sz w:val="18"/>
                <w:szCs w:val="18"/>
              </w:rPr>
            </w:pPr>
            <w:r>
              <w:rPr>
                <w:rFonts w:hint="eastAsia" w:ascii="宋体" w:hAnsi="宋体" w:cs="宋体"/>
                <w:color w:val="000000"/>
                <w:kern w:val="0"/>
                <w:sz w:val="18"/>
                <w:szCs w:val="18"/>
              </w:rPr>
              <w:t>0.74%</w:t>
            </w:r>
          </w:p>
        </w:tc>
        <w:tc>
          <w:tcPr>
            <w:tcW w:w="1014" w:type="dxa"/>
            <w:tcBorders>
              <w:top w:val="nil"/>
              <w:left w:val="nil"/>
              <w:bottom w:val="single" w:color="auto" w:sz="8" w:space="0"/>
              <w:right w:val="single" w:color="auto" w:sz="8" w:space="0"/>
            </w:tcBorders>
            <w:shd w:val="clear" w:color="auto" w:fill="auto"/>
            <w:vAlign w:val="center"/>
          </w:tcPr>
          <w:p w14:paraId="037350B1">
            <w:pPr>
              <w:widowControl/>
              <w:jc w:val="center"/>
              <w:rPr>
                <w:rFonts w:ascii="宋体" w:hAnsi="宋体" w:cs="宋体"/>
                <w:color w:val="000000"/>
                <w:kern w:val="0"/>
                <w:sz w:val="18"/>
                <w:szCs w:val="18"/>
              </w:rPr>
            </w:pPr>
            <w:r>
              <w:rPr>
                <w:rFonts w:hint="eastAsia" w:ascii="宋体" w:hAnsi="宋体" w:cs="宋体"/>
                <w:color w:val="000000"/>
                <w:kern w:val="0"/>
                <w:sz w:val="18"/>
                <w:szCs w:val="18"/>
              </w:rPr>
              <w:t>-192.3</w:t>
            </w:r>
          </w:p>
        </w:tc>
        <w:tc>
          <w:tcPr>
            <w:tcW w:w="1014" w:type="dxa"/>
            <w:tcBorders>
              <w:top w:val="nil"/>
              <w:left w:val="nil"/>
              <w:bottom w:val="single" w:color="auto" w:sz="8" w:space="0"/>
              <w:right w:val="single" w:color="auto" w:sz="8" w:space="0"/>
            </w:tcBorders>
            <w:shd w:val="clear" w:color="auto" w:fill="auto"/>
            <w:vAlign w:val="center"/>
          </w:tcPr>
          <w:p w14:paraId="14AE04D1">
            <w:pPr>
              <w:widowControl/>
              <w:jc w:val="center"/>
              <w:rPr>
                <w:rFonts w:ascii="宋体" w:hAnsi="宋体" w:cs="宋体"/>
                <w:color w:val="000000"/>
                <w:kern w:val="0"/>
                <w:sz w:val="18"/>
                <w:szCs w:val="18"/>
              </w:rPr>
            </w:pPr>
            <w:r>
              <w:rPr>
                <w:rFonts w:hint="eastAsia" w:ascii="宋体" w:hAnsi="宋体" w:cs="宋体"/>
                <w:color w:val="000000"/>
                <w:kern w:val="0"/>
                <w:sz w:val="18"/>
                <w:szCs w:val="18"/>
              </w:rPr>
              <w:t>-2.67%</w:t>
            </w:r>
          </w:p>
        </w:tc>
      </w:tr>
    </w:tbl>
    <w:p w14:paraId="62E6144D">
      <w:pPr>
        <w:spacing w:line="360" w:lineRule="auto"/>
        <w:ind w:firstLine="360" w:firstLineChars="200"/>
        <w:jc w:val="left"/>
        <w:rPr>
          <w:rFonts w:ascii="宋体" w:hAnsi="宋体"/>
          <w:color w:val="000000"/>
          <w:sz w:val="18"/>
          <w:szCs w:val="18"/>
        </w:rPr>
      </w:pPr>
      <w:r>
        <w:rPr>
          <w:rFonts w:hint="eastAsia" w:ascii="宋体" w:hAnsi="宋体"/>
          <w:color w:val="000000"/>
          <w:sz w:val="18"/>
          <w:szCs w:val="18"/>
        </w:rPr>
        <w:t>注：上表数据中包括预留的15.65公顷城乡建设用地。</w:t>
      </w:r>
    </w:p>
    <w:p w14:paraId="0966156D">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三、保障基础设施用地</w:t>
      </w:r>
    </w:p>
    <w:p w14:paraId="63A13DD0">
      <w:pPr>
        <w:spacing w:line="360" w:lineRule="auto"/>
        <w:ind w:firstLine="567"/>
        <w:rPr>
          <w:rFonts w:ascii="仿宋_GB2312" w:eastAsia="仿宋_GB2312"/>
          <w:sz w:val="28"/>
          <w:szCs w:val="28"/>
        </w:rPr>
      </w:pPr>
      <w:r>
        <w:rPr>
          <w:rFonts w:hint="eastAsia" w:ascii="仿宋_GB2312" w:eastAsia="仿宋_GB2312"/>
          <w:sz w:val="28"/>
          <w:szCs w:val="28"/>
        </w:rPr>
        <w:t>东川区坚持全区区域发展一体化，统筹考虑人口资源环境承载力，优化城镇空间布局，构建区域功能明确，发展重点突出的空间开发格局，使全区各个区域的自然和人文资源得到高效利用，功能得到充分发挥，实现全区的经济效益、社会效益和生态效益最大化。</w:t>
      </w:r>
    </w:p>
    <w:p w14:paraId="790DE19A">
      <w:pPr>
        <w:pStyle w:val="4"/>
        <w:spacing w:before="0" w:after="0" w:line="360" w:lineRule="auto"/>
        <w:ind w:firstLine="275" w:firstLineChars="98"/>
        <w:rPr>
          <w:rFonts w:ascii="仿宋_GB2312" w:hAnsi="宋体" w:eastAsia="仿宋_GB2312"/>
          <w:sz w:val="28"/>
          <w:szCs w:val="28"/>
        </w:rPr>
      </w:pPr>
      <w:r>
        <w:rPr>
          <w:rFonts w:hint="eastAsia" w:ascii="仿宋_GB2312" w:hAnsi="宋体" w:eastAsia="仿宋_GB2312"/>
          <w:sz w:val="28"/>
          <w:szCs w:val="28"/>
        </w:rPr>
        <w:t>1、路网设施</w:t>
      </w:r>
    </w:p>
    <w:p w14:paraId="783BC701">
      <w:pPr>
        <w:widowControl/>
        <w:tabs>
          <w:tab w:val="left" w:pos="1950"/>
        </w:tabs>
        <w:adjustRightInd w:val="0"/>
        <w:snapToGrid w:val="0"/>
        <w:spacing w:line="360" w:lineRule="auto"/>
        <w:ind w:firstLine="561"/>
        <w:jc w:val="left"/>
        <w:rPr>
          <w:rFonts w:ascii="仿宋_GB2312" w:eastAsia="仿宋_GB2312"/>
          <w:sz w:val="28"/>
          <w:szCs w:val="28"/>
        </w:rPr>
      </w:pPr>
      <w:r>
        <w:rPr>
          <w:rFonts w:ascii="仿宋_GB2312" w:hAnsi="宋体" w:eastAsia="仿宋_GB2312"/>
          <w:kern w:val="0"/>
          <w:sz w:val="28"/>
          <w:szCs w:val="28"/>
        </w:rPr>
        <w:t>充分发挥东川独特的区位优势，加快推进与昆明北部县区发展战略深度合作，着力推进出滇入川大通道建设</w:t>
      </w:r>
      <w:r>
        <w:rPr>
          <w:rFonts w:hint="eastAsia" w:ascii="仿宋_GB2312" w:hAnsi="宋体" w:eastAsia="仿宋_GB2312"/>
          <w:kern w:val="0"/>
          <w:sz w:val="28"/>
          <w:szCs w:val="28"/>
        </w:rPr>
        <w:t>。</w:t>
      </w:r>
      <w:r>
        <w:rPr>
          <w:rFonts w:ascii="仿宋_GB2312" w:hAnsi="宋体" w:eastAsia="仿宋_GB2312"/>
          <w:kern w:val="0"/>
          <w:sz w:val="28"/>
          <w:szCs w:val="28"/>
        </w:rPr>
        <w:t>构建</w:t>
      </w:r>
      <w:r>
        <w:rPr>
          <w:rFonts w:hint="eastAsia" w:ascii="仿宋_GB2312" w:hAnsi="宋体" w:eastAsia="仿宋_GB2312"/>
          <w:kern w:val="0"/>
          <w:sz w:val="28"/>
          <w:szCs w:val="28"/>
        </w:rPr>
        <w:t>“</w:t>
      </w:r>
      <w:r>
        <w:rPr>
          <w:rFonts w:ascii="仿宋_GB2312" w:hAnsi="宋体" w:eastAsia="仿宋_GB2312"/>
          <w:kern w:val="0"/>
          <w:sz w:val="28"/>
          <w:szCs w:val="28"/>
        </w:rPr>
        <w:t>以高等级公路网、省道区域干线公路网、县乡农村公路网</w:t>
      </w:r>
      <w:r>
        <w:rPr>
          <w:rFonts w:hint="eastAsia" w:ascii="仿宋_GB2312" w:hAnsi="宋体" w:eastAsia="仿宋_GB2312"/>
          <w:kern w:val="0"/>
          <w:sz w:val="28"/>
          <w:szCs w:val="28"/>
        </w:rPr>
        <w:t>”</w:t>
      </w:r>
      <w:r>
        <w:rPr>
          <w:rFonts w:ascii="仿宋_GB2312" w:hAnsi="宋体" w:eastAsia="仿宋_GB2312"/>
          <w:kern w:val="0"/>
          <w:sz w:val="28"/>
          <w:szCs w:val="28"/>
        </w:rPr>
        <w:t>三个层次为主体，水运航道、铁路支线为补充的大通道交通体系，推进实施东川区大通道、大路网、大物流三大建设，全面提升基础设施建设、运输供给能力和服务保障水平。加快东川交通与滇中城市</w:t>
      </w:r>
      <w:r>
        <w:rPr>
          <w:rFonts w:hint="eastAsia" w:ascii="仿宋_GB2312" w:hAnsi="宋体" w:eastAsia="仿宋_GB2312"/>
          <w:kern w:val="0"/>
          <w:sz w:val="28"/>
          <w:szCs w:val="28"/>
        </w:rPr>
        <w:t>经济圈</w:t>
      </w:r>
      <w:r>
        <w:rPr>
          <w:rFonts w:ascii="仿宋_GB2312" w:hAnsi="宋体" w:eastAsia="仿宋_GB2312"/>
          <w:kern w:val="0"/>
          <w:sz w:val="28"/>
          <w:szCs w:val="28"/>
        </w:rPr>
        <w:t>和沿金沙江区域交通运输一体化进程，</w:t>
      </w:r>
      <w:r>
        <w:rPr>
          <w:rFonts w:hint="eastAsia" w:ascii="仿宋_GB2312" w:hAnsi="宋体" w:eastAsia="仿宋_GB2312"/>
          <w:kern w:val="0"/>
          <w:sz w:val="28"/>
          <w:szCs w:val="28"/>
        </w:rPr>
        <w:t>使东川更好地融入成渝</w:t>
      </w:r>
      <w:r>
        <w:rPr>
          <w:rFonts w:ascii="仿宋_GB2312" w:hAnsi="宋体" w:eastAsia="仿宋_GB2312"/>
          <w:kern w:val="0"/>
          <w:sz w:val="28"/>
          <w:szCs w:val="28"/>
        </w:rPr>
        <w:t>经济圈</w:t>
      </w:r>
      <w:r>
        <w:rPr>
          <w:rFonts w:hint="eastAsia" w:ascii="仿宋_GB2312" w:hAnsi="宋体" w:eastAsia="仿宋_GB2312"/>
          <w:kern w:val="0"/>
          <w:sz w:val="28"/>
          <w:szCs w:val="28"/>
        </w:rPr>
        <w:t>和</w:t>
      </w:r>
      <w:r>
        <w:rPr>
          <w:rFonts w:ascii="仿宋_GB2312" w:hAnsi="宋体" w:eastAsia="仿宋_GB2312"/>
          <w:kern w:val="0"/>
          <w:sz w:val="28"/>
          <w:szCs w:val="28"/>
        </w:rPr>
        <w:t>滇中</w:t>
      </w:r>
      <w:r>
        <w:rPr>
          <w:rFonts w:hint="eastAsia" w:ascii="仿宋_GB2312" w:hAnsi="宋体" w:eastAsia="仿宋_GB2312"/>
          <w:kern w:val="0"/>
          <w:sz w:val="28"/>
          <w:szCs w:val="28"/>
        </w:rPr>
        <w:t>城市经济圈</w:t>
      </w:r>
      <w:r>
        <w:rPr>
          <w:rFonts w:ascii="仿宋_GB2312" w:hAnsi="宋体" w:eastAsia="仿宋_GB2312"/>
          <w:kern w:val="0"/>
          <w:sz w:val="28"/>
          <w:szCs w:val="28"/>
        </w:rPr>
        <w:t>，开发大市场、促进大流通、实现大发展。</w:t>
      </w:r>
    </w:p>
    <w:p w14:paraId="5525B176">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ascii="仿宋_GB2312" w:hAnsi="宋体" w:eastAsia="仿宋_GB2312"/>
          <w:b/>
          <w:kern w:val="0"/>
          <w:sz w:val="28"/>
          <w:szCs w:val="28"/>
        </w:rPr>
        <w:t>公路。</w:t>
      </w:r>
      <w:r>
        <w:rPr>
          <w:rFonts w:ascii="仿宋_GB2312" w:hAnsi="宋体" w:eastAsia="仿宋_GB2312"/>
          <w:kern w:val="0"/>
          <w:sz w:val="28"/>
          <w:szCs w:val="28"/>
        </w:rPr>
        <w:t>重点抓好功山至东川</w:t>
      </w:r>
      <w:r>
        <w:rPr>
          <w:rFonts w:hint="eastAsia" w:ascii="仿宋_GB2312" w:hAnsi="宋体" w:eastAsia="仿宋_GB2312"/>
          <w:kern w:val="0"/>
          <w:sz w:val="28"/>
          <w:szCs w:val="28"/>
        </w:rPr>
        <w:t>至格勒</w:t>
      </w:r>
      <w:r>
        <w:rPr>
          <w:rFonts w:ascii="仿宋_GB2312" w:hAnsi="宋体" w:eastAsia="仿宋_GB2312"/>
          <w:kern w:val="0"/>
          <w:sz w:val="28"/>
          <w:szCs w:val="28"/>
        </w:rPr>
        <w:t>高速公路、</w:t>
      </w:r>
      <w:r>
        <w:rPr>
          <w:rFonts w:hint="eastAsia" w:ascii="仿宋_GB2312" w:hAnsi="宋体" w:eastAsia="仿宋_GB2312"/>
          <w:kern w:val="0"/>
          <w:sz w:val="28"/>
          <w:szCs w:val="28"/>
        </w:rPr>
        <w:t>东川至待补至沾益</w:t>
      </w:r>
      <w:r>
        <w:rPr>
          <w:rFonts w:ascii="仿宋_GB2312" w:hAnsi="宋体" w:eastAsia="仿宋_GB2312"/>
          <w:kern w:val="0"/>
          <w:sz w:val="28"/>
          <w:szCs w:val="28"/>
        </w:rPr>
        <w:t>高速公路</w:t>
      </w:r>
      <w:r>
        <w:rPr>
          <w:rFonts w:hint="eastAsia" w:ascii="仿宋_GB2312" w:hAnsi="宋体" w:eastAsia="仿宋_GB2312"/>
          <w:kern w:val="0"/>
          <w:sz w:val="28"/>
          <w:szCs w:val="28"/>
        </w:rPr>
        <w:t>、东川至陆良国道、</w:t>
      </w:r>
      <w:r>
        <w:rPr>
          <w:rFonts w:ascii="仿宋_GB2312" w:hAnsi="宋体" w:eastAsia="仿宋_GB2312"/>
          <w:kern w:val="0"/>
          <w:sz w:val="28"/>
          <w:szCs w:val="28"/>
        </w:rPr>
        <w:t>金东大桥、东倘二级公路建设；</w:t>
      </w:r>
      <w:r>
        <w:rPr>
          <w:rFonts w:hint="eastAsia" w:ascii="仿宋_GB2312" w:hAnsi="宋体" w:eastAsia="仿宋_GB2312"/>
          <w:kern w:val="0"/>
          <w:sz w:val="28"/>
          <w:szCs w:val="28"/>
        </w:rPr>
        <w:t>启动</w:t>
      </w:r>
      <w:r>
        <w:rPr>
          <w:rFonts w:ascii="仿宋_GB2312" w:hAnsi="宋体" w:eastAsia="仿宋_GB2312"/>
          <w:kern w:val="0"/>
          <w:sz w:val="28"/>
          <w:szCs w:val="28"/>
        </w:rPr>
        <w:t>东川至格勒高速公路前期工作</w:t>
      </w:r>
      <w:r>
        <w:rPr>
          <w:rFonts w:hint="eastAsia" w:ascii="仿宋_GB2312" w:hAnsi="宋体" w:eastAsia="仿宋_GB2312"/>
          <w:kern w:val="0"/>
          <w:sz w:val="28"/>
          <w:szCs w:val="28"/>
        </w:rPr>
        <w:t>，尽早开工建设</w:t>
      </w:r>
      <w:r>
        <w:rPr>
          <w:rFonts w:ascii="仿宋_GB2312" w:hAnsi="宋体" w:eastAsia="仿宋_GB2312"/>
          <w:kern w:val="0"/>
          <w:sz w:val="28"/>
          <w:szCs w:val="28"/>
        </w:rPr>
        <w:t>。</w:t>
      </w:r>
      <w:r>
        <w:rPr>
          <w:rFonts w:hint="eastAsia" w:ascii="仿宋_GB2312" w:hAnsi="宋体" w:eastAsia="仿宋_GB2312"/>
          <w:kern w:val="0"/>
          <w:sz w:val="28"/>
          <w:szCs w:val="28"/>
        </w:rPr>
        <w:t>适时启动</w:t>
      </w:r>
      <w:r>
        <w:rPr>
          <w:rFonts w:ascii="仿宋_GB2312" w:hAnsi="宋体" w:eastAsia="仿宋_GB2312"/>
          <w:kern w:val="0"/>
          <w:sz w:val="28"/>
          <w:szCs w:val="28"/>
        </w:rPr>
        <w:t>普通国省干线S101昆明至蒙姑（倘甸至东川）、S223（汤丹至双柏）格勒至茂麓公路、G248兰马线（会泽至东川）公路升级改造为二级公路，启动东川区四条旅游线前期</w:t>
      </w:r>
      <w:r>
        <w:rPr>
          <w:rFonts w:hint="eastAsia" w:ascii="仿宋_GB2312" w:hAnsi="宋体" w:eastAsia="仿宋_GB2312"/>
          <w:kern w:val="0"/>
          <w:sz w:val="28"/>
          <w:szCs w:val="28"/>
        </w:rPr>
        <w:t>研究</w:t>
      </w:r>
      <w:r>
        <w:rPr>
          <w:rFonts w:ascii="仿宋_GB2312" w:hAnsi="宋体" w:eastAsia="仿宋_GB2312"/>
          <w:kern w:val="0"/>
          <w:sz w:val="28"/>
          <w:szCs w:val="28"/>
        </w:rPr>
        <w:t>工作；完成农村通组公路双百目标，至</w:t>
      </w:r>
      <w:r>
        <w:rPr>
          <w:rFonts w:hint="eastAsia" w:ascii="仿宋_GB2312" w:hAnsi="宋体" w:eastAsia="仿宋_GB2312"/>
          <w:kern w:val="0"/>
          <w:sz w:val="28"/>
          <w:szCs w:val="28"/>
        </w:rPr>
        <w:t>“</w:t>
      </w:r>
      <w:r>
        <w:rPr>
          <w:rFonts w:ascii="仿宋_GB2312" w:hAnsi="宋体" w:eastAsia="仿宋_GB2312"/>
          <w:kern w:val="0"/>
          <w:sz w:val="28"/>
          <w:szCs w:val="28"/>
        </w:rPr>
        <w:t>十三五</w:t>
      </w:r>
      <w:r>
        <w:rPr>
          <w:rFonts w:hint="eastAsia" w:ascii="仿宋_GB2312" w:hAnsi="宋体" w:eastAsia="仿宋_GB2312"/>
          <w:kern w:val="0"/>
          <w:sz w:val="28"/>
          <w:szCs w:val="28"/>
        </w:rPr>
        <w:t>”</w:t>
      </w:r>
      <w:r>
        <w:rPr>
          <w:rFonts w:ascii="仿宋_GB2312" w:hAnsi="宋体" w:eastAsia="仿宋_GB2312"/>
          <w:kern w:val="0"/>
          <w:sz w:val="28"/>
          <w:szCs w:val="28"/>
        </w:rPr>
        <w:t>末，五十户以上自然村公路</w:t>
      </w:r>
      <w:r>
        <w:rPr>
          <w:rFonts w:hint="eastAsia" w:ascii="仿宋_GB2312" w:hAnsi="宋体" w:eastAsia="仿宋_GB2312"/>
          <w:kern w:val="0"/>
          <w:sz w:val="28"/>
          <w:szCs w:val="28"/>
        </w:rPr>
        <w:t>通畅率达</w:t>
      </w:r>
      <w:r>
        <w:rPr>
          <w:rFonts w:ascii="仿宋_GB2312" w:hAnsi="宋体" w:eastAsia="仿宋_GB2312"/>
          <w:kern w:val="0"/>
          <w:sz w:val="28"/>
          <w:szCs w:val="28"/>
        </w:rPr>
        <w:t>100%</w:t>
      </w:r>
      <w:r>
        <w:rPr>
          <w:rFonts w:hint="eastAsia" w:ascii="仿宋_GB2312" w:hAnsi="宋体" w:eastAsia="仿宋_GB2312"/>
          <w:kern w:val="0"/>
          <w:sz w:val="28"/>
          <w:szCs w:val="28"/>
        </w:rPr>
        <w:t>，</w:t>
      </w:r>
      <w:r>
        <w:rPr>
          <w:rFonts w:ascii="仿宋_GB2312" w:hAnsi="宋体" w:eastAsia="仿宋_GB2312"/>
          <w:kern w:val="0"/>
          <w:sz w:val="28"/>
          <w:szCs w:val="28"/>
        </w:rPr>
        <w:t>自然村公路</w:t>
      </w:r>
      <w:r>
        <w:rPr>
          <w:rFonts w:hint="eastAsia" w:ascii="仿宋_GB2312" w:hAnsi="宋体" w:eastAsia="仿宋_GB2312"/>
          <w:kern w:val="0"/>
          <w:sz w:val="28"/>
          <w:szCs w:val="28"/>
        </w:rPr>
        <w:t>通达率达</w:t>
      </w:r>
      <w:r>
        <w:rPr>
          <w:rFonts w:ascii="仿宋_GB2312" w:hAnsi="宋体" w:eastAsia="仿宋_GB2312"/>
          <w:kern w:val="0"/>
          <w:sz w:val="28"/>
          <w:szCs w:val="28"/>
        </w:rPr>
        <w:t>100%。实施县、乡道改造工程</w:t>
      </w:r>
      <w:r>
        <w:rPr>
          <w:rFonts w:hint="eastAsia" w:ascii="仿宋_GB2312" w:hAnsi="宋体" w:eastAsia="仿宋_GB2312"/>
          <w:kern w:val="0"/>
          <w:sz w:val="28"/>
          <w:szCs w:val="28"/>
        </w:rPr>
        <w:t>，</w:t>
      </w:r>
      <w:r>
        <w:rPr>
          <w:rFonts w:ascii="仿宋_GB2312" w:hAnsi="宋体" w:eastAsia="仿宋_GB2312"/>
          <w:kern w:val="0"/>
          <w:sz w:val="28"/>
          <w:szCs w:val="28"/>
        </w:rPr>
        <w:t>加大公路网养护力度。</w:t>
      </w:r>
    </w:p>
    <w:p w14:paraId="42666417">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ascii="仿宋_GB2312" w:hAnsi="宋体" w:eastAsia="仿宋_GB2312"/>
          <w:b/>
          <w:kern w:val="0"/>
          <w:sz w:val="28"/>
          <w:szCs w:val="28"/>
        </w:rPr>
        <w:t>水运。</w:t>
      </w:r>
      <w:r>
        <w:rPr>
          <w:rFonts w:ascii="仿宋_GB2312" w:hAnsi="宋体" w:eastAsia="仿宋_GB2312"/>
          <w:kern w:val="0"/>
          <w:sz w:val="28"/>
          <w:szCs w:val="28"/>
        </w:rPr>
        <w:t>依托乌东德电站和白鹤滩电站布局，研究水运基础设施布局，构建东川通江达海的航运通道。努力打造水路交通，打开水域门户，加快推进金沙江港区中</w:t>
      </w:r>
      <w:r>
        <w:rPr>
          <w:rFonts w:hint="eastAsia" w:ascii="仿宋_GB2312" w:hAnsi="宋体" w:eastAsia="仿宋_GB2312"/>
          <w:kern w:val="0"/>
          <w:sz w:val="28"/>
          <w:szCs w:val="28"/>
        </w:rPr>
        <w:t>心</w:t>
      </w:r>
      <w:r>
        <w:rPr>
          <w:rFonts w:ascii="仿宋_GB2312" w:hAnsi="宋体" w:eastAsia="仿宋_GB2312"/>
          <w:kern w:val="0"/>
          <w:sz w:val="28"/>
          <w:szCs w:val="28"/>
        </w:rPr>
        <w:t>东川港的建设，将东川港建成我省北出长江、融入国家沿长江经济带发展战略的重要港口。同步建设格勒、牛场坪、炉灯、白鹤滩等四个作业港口区。加强金沙江航道小江口至宜宾东川段建设协调工作</w:t>
      </w:r>
      <w:r>
        <w:rPr>
          <w:rFonts w:hint="eastAsia" w:ascii="仿宋_GB2312" w:hAnsi="宋体" w:eastAsia="仿宋_GB2312"/>
          <w:kern w:val="0"/>
          <w:sz w:val="28"/>
          <w:szCs w:val="28"/>
        </w:rPr>
        <w:t>。</w:t>
      </w:r>
      <w:r>
        <w:rPr>
          <w:rFonts w:ascii="仿宋_GB2312" w:hAnsi="宋体" w:eastAsia="仿宋_GB2312"/>
          <w:kern w:val="0"/>
          <w:sz w:val="28"/>
          <w:szCs w:val="28"/>
        </w:rPr>
        <w:t>启动小江口至皎平渡渡口区航道规划。</w:t>
      </w:r>
    </w:p>
    <w:p w14:paraId="3A760C76">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ascii="仿宋_GB2312" w:hAnsi="宋体" w:eastAsia="仿宋_GB2312"/>
          <w:b/>
          <w:kern w:val="0"/>
          <w:sz w:val="28"/>
          <w:szCs w:val="28"/>
        </w:rPr>
        <w:t>铁路。</w:t>
      </w:r>
      <w:r>
        <w:rPr>
          <w:rFonts w:ascii="仿宋_GB2312" w:hAnsi="宋体" w:eastAsia="仿宋_GB2312"/>
          <w:kern w:val="0"/>
          <w:sz w:val="28"/>
          <w:szCs w:val="28"/>
        </w:rPr>
        <w:t>积极争取渝昆高速铁路从东川经过</w:t>
      </w:r>
      <w:r>
        <w:rPr>
          <w:rFonts w:hint="eastAsia" w:ascii="仿宋_GB2312" w:hAnsi="宋体" w:eastAsia="仿宋_GB2312"/>
          <w:kern w:val="0"/>
          <w:sz w:val="28"/>
          <w:szCs w:val="28"/>
        </w:rPr>
        <w:t>并设置站点</w:t>
      </w:r>
      <w:r>
        <w:rPr>
          <w:rFonts w:ascii="仿宋_GB2312" w:hAnsi="宋体" w:eastAsia="仿宋_GB2312"/>
          <w:kern w:val="0"/>
          <w:sz w:val="28"/>
          <w:szCs w:val="28"/>
        </w:rPr>
        <w:t>，加快推进东川铁路支线技术升级改造项目落地，提高经济发展外向度。</w:t>
      </w:r>
    </w:p>
    <w:p w14:paraId="3C5ED491">
      <w:pPr>
        <w:widowControl/>
        <w:tabs>
          <w:tab w:val="left" w:pos="1950"/>
        </w:tabs>
        <w:adjustRightInd w:val="0"/>
        <w:snapToGrid w:val="0"/>
        <w:spacing w:line="360" w:lineRule="auto"/>
        <w:ind w:firstLine="561"/>
        <w:jc w:val="left"/>
        <w:rPr>
          <w:rFonts w:ascii="仿宋_GB2312" w:eastAsia="仿宋_GB2312"/>
          <w:sz w:val="28"/>
          <w:szCs w:val="28"/>
        </w:rPr>
      </w:pPr>
      <w:r>
        <w:rPr>
          <w:rFonts w:ascii="仿宋_GB2312" w:hAnsi="宋体" w:eastAsia="仿宋_GB2312"/>
          <w:b/>
          <w:kern w:val="0"/>
          <w:sz w:val="28"/>
          <w:szCs w:val="28"/>
        </w:rPr>
        <w:t>交通枢纽建设。</w:t>
      </w:r>
      <w:r>
        <w:rPr>
          <w:rFonts w:ascii="仿宋_GB2312" w:hAnsi="宋体" w:eastAsia="仿宋_GB2312"/>
          <w:kern w:val="0"/>
          <w:sz w:val="28"/>
          <w:szCs w:val="28"/>
        </w:rPr>
        <w:t>提升改造铜都二级客运站，阿旺和汤丹三级客运站。基本形成公路客运体系良好的发展格局，为居民出行提供</w:t>
      </w:r>
      <w:r>
        <w:rPr>
          <w:rFonts w:hint="eastAsia" w:ascii="仿宋_GB2312" w:hAnsi="宋体" w:eastAsia="仿宋_GB2312"/>
          <w:kern w:val="0"/>
          <w:sz w:val="28"/>
          <w:szCs w:val="28"/>
        </w:rPr>
        <w:t>“</w:t>
      </w:r>
      <w:r>
        <w:rPr>
          <w:rFonts w:ascii="仿宋_GB2312" w:hAnsi="宋体" w:eastAsia="仿宋_GB2312"/>
          <w:kern w:val="0"/>
          <w:sz w:val="28"/>
          <w:szCs w:val="28"/>
        </w:rPr>
        <w:t>方便、安全、快捷、舒适</w:t>
      </w:r>
      <w:r>
        <w:rPr>
          <w:rFonts w:hint="eastAsia" w:ascii="仿宋_GB2312" w:hAnsi="宋体" w:eastAsia="仿宋_GB2312"/>
          <w:kern w:val="0"/>
          <w:sz w:val="28"/>
          <w:szCs w:val="28"/>
        </w:rPr>
        <w:t>”</w:t>
      </w:r>
      <w:r>
        <w:rPr>
          <w:rFonts w:ascii="仿宋_GB2312" w:hAnsi="宋体" w:eastAsia="仿宋_GB2312"/>
          <w:kern w:val="0"/>
          <w:sz w:val="28"/>
          <w:szCs w:val="28"/>
        </w:rPr>
        <w:t>的客运服务。加快快递业与综合交通运输体系的顺畅衔接。</w:t>
      </w:r>
    </w:p>
    <w:p w14:paraId="42249EE6">
      <w:pPr>
        <w:pStyle w:val="4"/>
        <w:spacing w:before="0" w:after="0" w:line="360" w:lineRule="auto"/>
        <w:ind w:firstLine="275" w:firstLineChars="98"/>
        <w:rPr>
          <w:rFonts w:ascii="仿宋_GB2312" w:hAnsi="宋体" w:eastAsia="仿宋_GB2312"/>
          <w:sz w:val="28"/>
          <w:szCs w:val="28"/>
        </w:rPr>
      </w:pPr>
      <w:r>
        <w:rPr>
          <w:rFonts w:hint="eastAsia" w:ascii="仿宋_GB2312" w:hAnsi="宋体" w:eastAsia="仿宋_GB2312"/>
          <w:sz w:val="28"/>
          <w:szCs w:val="28"/>
        </w:rPr>
        <w:t>2、能源设施</w:t>
      </w:r>
    </w:p>
    <w:p w14:paraId="2A5377F4">
      <w:pPr>
        <w:spacing w:line="360" w:lineRule="auto"/>
        <w:ind w:firstLine="567"/>
        <w:rPr>
          <w:rFonts w:ascii="仿宋_GB2312" w:eastAsia="仿宋_GB2312"/>
          <w:color w:val="000000"/>
          <w:sz w:val="32"/>
          <w:szCs w:val="32"/>
        </w:rPr>
      </w:pPr>
      <w:r>
        <w:rPr>
          <w:rFonts w:hint="eastAsia" w:ascii="仿宋_GB2312" w:eastAsia="仿宋_GB2312"/>
          <w:sz w:val="28"/>
          <w:szCs w:val="28"/>
        </w:rPr>
        <w:t>加强</w:t>
      </w:r>
      <w:r>
        <w:rPr>
          <w:rFonts w:ascii="仿宋_GB2312" w:eastAsia="仿宋_GB2312"/>
          <w:sz w:val="28"/>
          <w:szCs w:val="28"/>
        </w:rPr>
        <w:t>城乡电源电网建设，大力推进风能和太阳能等新兴能源开发利用，加快推进轿子山4500KW水电站、</w:t>
      </w:r>
      <w:r>
        <w:rPr>
          <w:rFonts w:hint="eastAsia" w:ascii="仿宋_GB2312" w:eastAsia="仿宋_GB2312"/>
          <w:sz w:val="28"/>
          <w:szCs w:val="28"/>
        </w:rPr>
        <w:t>阿旺龙头山4000KW水电站、</w:t>
      </w:r>
      <w:r>
        <w:rPr>
          <w:rFonts w:ascii="仿宋_GB2312" w:eastAsia="仿宋_GB2312"/>
          <w:sz w:val="28"/>
          <w:szCs w:val="28"/>
        </w:rPr>
        <w:t>塘子口风电场、汤丹三锅庄风电场、落雪风电场和铜都街道老村光伏电站、</w:t>
      </w:r>
      <w:r>
        <w:rPr>
          <w:rFonts w:hint="eastAsia" w:ascii="仿宋_GB2312" w:eastAsia="仿宋_GB2312"/>
          <w:sz w:val="28"/>
          <w:szCs w:val="28"/>
        </w:rPr>
        <w:t>阿旺大白泥沟光伏电站、小海草山光伏电站、</w:t>
      </w:r>
      <w:r>
        <w:rPr>
          <w:rFonts w:ascii="仿宋_GB2312" w:eastAsia="仿宋_GB2312"/>
          <w:sz w:val="28"/>
          <w:szCs w:val="28"/>
        </w:rPr>
        <w:t>荒田光伏电站建设、汤丹同心村光伏电站建设，加快完善城市燃气设施建设和农村清洁能源建设。</w:t>
      </w:r>
    </w:p>
    <w:p w14:paraId="29A23500">
      <w:pPr>
        <w:pStyle w:val="4"/>
        <w:spacing w:before="0" w:after="0" w:line="360" w:lineRule="auto"/>
        <w:ind w:firstLine="275" w:firstLineChars="98"/>
        <w:rPr>
          <w:rFonts w:ascii="仿宋_GB2312" w:hAnsi="宋体" w:eastAsia="仿宋_GB2312"/>
          <w:sz w:val="28"/>
          <w:szCs w:val="28"/>
        </w:rPr>
      </w:pPr>
      <w:r>
        <w:rPr>
          <w:rFonts w:hint="eastAsia" w:ascii="仿宋_GB2312" w:hAnsi="宋体" w:eastAsia="仿宋_GB2312"/>
          <w:sz w:val="28"/>
          <w:szCs w:val="28"/>
        </w:rPr>
        <w:t>3、</w:t>
      </w:r>
      <w:bookmarkStart w:id="122" w:name="_Toc449013849"/>
      <w:bookmarkStart w:id="123" w:name="_Toc436145944"/>
      <w:bookmarkStart w:id="124" w:name="_Toc436147802"/>
      <w:bookmarkStart w:id="125" w:name="_Toc436145469"/>
      <w:bookmarkStart w:id="126" w:name="_Toc439669062"/>
      <w:r>
        <w:rPr>
          <w:rFonts w:ascii="仿宋_GB2312" w:hAnsi="宋体" w:eastAsia="仿宋_GB2312"/>
          <w:sz w:val="28"/>
          <w:szCs w:val="28"/>
        </w:rPr>
        <w:t>水利基础设施建设</w:t>
      </w:r>
      <w:bookmarkEnd w:id="122"/>
      <w:bookmarkEnd w:id="123"/>
      <w:bookmarkEnd w:id="124"/>
      <w:bookmarkEnd w:id="125"/>
      <w:bookmarkEnd w:id="126"/>
    </w:p>
    <w:p w14:paraId="0E457D0E">
      <w:pPr>
        <w:spacing w:line="360" w:lineRule="auto"/>
        <w:ind w:firstLine="567"/>
        <w:rPr>
          <w:rFonts w:ascii="仿宋_GB2312" w:eastAsia="仿宋_GB2312"/>
          <w:sz w:val="28"/>
          <w:szCs w:val="28"/>
        </w:rPr>
      </w:pPr>
      <w:r>
        <w:rPr>
          <w:rFonts w:ascii="仿宋_GB2312" w:eastAsia="仿宋_GB2312"/>
          <w:sz w:val="28"/>
          <w:szCs w:val="28"/>
        </w:rPr>
        <w:t>加快建设一批骨干水利工程和重点水利枢纽工程</w:t>
      </w:r>
      <w:r>
        <w:rPr>
          <w:rFonts w:hint="eastAsia" w:ascii="仿宋_GB2312" w:eastAsia="仿宋_GB2312"/>
          <w:sz w:val="28"/>
          <w:szCs w:val="28"/>
        </w:rPr>
        <w:t>，</w:t>
      </w:r>
      <w:r>
        <w:rPr>
          <w:rFonts w:ascii="仿宋_GB2312" w:eastAsia="仿宋_GB2312"/>
          <w:sz w:val="28"/>
          <w:szCs w:val="28"/>
        </w:rPr>
        <w:t>重点推进轿子山水库、水井山水库等基础设施建设，推进山区中小水利工程建设。加强农田水利、小型灌区、农业高效节水灌溉工程建设，加快农村水电工程和农村集中供水工程建设。</w:t>
      </w:r>
      <w:r>
        <w:rPr>
          <w:rFonts w:hint="eastAsia" w:ascii="仿宋_GB2312" w:eastAsia="仿宋_GB2312"/>
          <w:sz w:val="28"/>
          <w:szCs w:val="28"/>
        </w:rPr>
        <w:t>实施常态化人工增雨工作，增加重点水库蓄水。</w:t>
      </w:r>
    </w:p>
    <w:p w14:paraId="5F708F37">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四、优化城乡建设用地布局</w:t>
      </w:r>
    </w:p>
    <w:p w14:paraId="060E3312">
      <w:pPr>
        <w:pStyle w:val="4"/>
        <w:spacing w:before="0" w:after="0" w:line="360" w:lineRule="auto"/>
        <w:ind w:firstLine="275" w:firstLineChars="98"/>
        <w:rPr>
          <w:rFonts w:ascii="仿宋_GB2312" w:hAnsi="宋体" w:eastAsia="仿宋_GB2312"/>
          <w:sz w:val="28"/>
          <w:szCs w:val="28"/>
        </w:rPr>
      </w:pPr>
      <w:r>
        <w:rPr>
          <w:rFonts w:hint="eastAsia" w:ascii="仿宋_GB2312" w:hAnsi="宋体" w:eastAsia="仿宋_GB2312"/>
          <w:sz w:val="28"/>
          <w:szCs w:val="28"/>
        </w:rPr>
        <w:t>1、取消城乡建设用地增减挂钩布局</w:t>
      </w:r>
    </w:p>
    <w:p w14:paraId="57D6D6FD">
      <w:pPr>
        <w:spacing w:line="360" w:lineRule="auto"/>
        <w:ind w:firstLine="567"/>
        <w:rPr>
          <w:rFonts w:ascii="仿宋_GB2312" w:hAnsi="仿宋_GB2312" w:eastAsia="仿宋_GB2312"/>
          <w:sz w:val="28"/>
          <w:szCs w:val="28"/>
        </w:rPr>
      </w:pPr>
      <w:r>
        <w:rPr>
          <w:rFonts w:hint="eastAsia" w:ascii="仿宋_GB2312" w:eastAsia="仿宋_GB2312"/>
          <w:sz w:val="28"/>
          <w:szCs w:val="28"/>
        </w:rPr>
        <w:t>现行规划中，为使低效和闲置建设用地得到充分利用，提高城乡节约集约利用水平，计划通过实施城乡建设用地增减挂钩项目转换建设用地指标</w:t>
      </w:r>
      <w:r>
        <w:rPr>
          <w:rFonts w:hint="eastAsia" w:ascii="仿宋_GB2312" w:hAnsi="仿宋_GB2312" w:eastAsia="仿宋_GB2312"/>
          <w:sz w:val="28"/>
          <w:szCs w:val="28"/>
        </w:rPr>
        <w:t>713.37公顷，规划实施期间尚未开展城乡建设用地增减挂钩项目。</w:t>
      </w:r>
    </w:p>
    <w:p w14:paraId="0C03CA8D">
      <w:pPr>
        <w:spacing w:line="360" w:lineRule="auto"/>
        <w:ind w:firstLine="567"/>
        <w:rPr>
          <w:rFonts w:ascii="仿宋_GB2312" w:hAnsi="仿宋_GB2312" w:eastAsia="仿宋_GB2312"/>
          <w:sz w:val="28"/>
          <w:szCs w:val="28"/>
        </w:rPr>
      </w:pPr>
      <w:r>
        <w:rPr>
          <w:rFonts w:hint="eastAsia" w:ascii="仿宋_GB2312" w:hAnsi="仿宋_GB2312" w:eastAsia="仿宋_GB2312"/>
          <w:sz w:val="28"/>
          <w:szCs w:val="28"/>
        </w:rPr>
        <w:t>在此次规划调整中，因规划实施管理和审批模式的转变，土地利用总体规划中不再安排城乡建设用地增减挂钩项目。对于具备实施条件的项目及潜力区，在此次规划调整完善中通过合理划定有条件建设区、避让基本农田等手段预留项目建设空间，以保障项目的顺利实施。</w:t>
      </w:r>
    </w:p>
    <w:p w14:paraId="5CD706F5">
      <w:pPr>
        <w:pStyle w:val="4"/>
        <w:spacing w:before="0" w:after="0" w:line="360" w:lineRule="auto"/>
        <w:ind w:firstLine="275" w:firstLineChars="98"/>
        <w:rPr>
          <w:rFonts w:ascii="仿宋_GB2312" w:hAnsi="宋体" w:eastAsia="仿宋_GB2312"/>
          <w:sz w:val="28"/>
          <w:szCs w:val="28"/>
        </w:rPr>
      </w:pPr>
      <w:r>
        <w:rPr>
          <w:rFonts w:hint="eastAsia" w:ascii="仿宋_GB2312" w:hAnsi="宋体" w:eastAsia="仿宋_GB2312"/>
          <w:sz w:val="28"/>
          <w:szCs w:val="28"/>
        </w:rPr>
        <w:t>2、优化城乡建设用地布局</w:t>
      </w:r>
    </w:p>
    <w:p w14:paraId="7E686374">
      <w:pPr>
        <w:spacing w:line="360" w:lineRule="auto"/>
        <w:ind w:firstLine="567"/>
        <w:rPr>
          <w:rFonts w:ascii="仿宋_GB2312" w:eastAsia="仿宋_GB2312"/>
          <w:sz w:val="28"/>
          <w:szCs w:val="28"/>
        </w:rPr>
      </w:pPr>
      <w:r>
        <w:rPr>
          <w:rFonts w:hint="eastAsia" w:ascii="仿宋_GB2312" w:eastAsia="仿宋_GB2312"/>
          <w:sz w:val="28"/>
          <w:szCs w:val="28"/>
        </w:rPr>
        <w:t>以资源环境承载力为基础，在合理避让优质耕地，保护生态用的前提下，积极推进“保护坝区农田，建设山地城镇”这一云南特色的新型城镇发展。根据东川区“十三五”规划目标，</w:t>
      </w:r>
      <w:r>
        <w:rPr>
          <w:rFonts w:ascii="仿宋_GB2312" w:eastAsia="仿宋_GB2312"/>
          <w:sz w:val="28"/>
          <w:szCs w:val="28"/>
        </w:rPr>
        <w:t>结合东川实际，围绕发展定位</w:t>
      </w:r>
      <w:r>
        <w:rPr>
          <w:rFonts w:hint="eastAsia" w:ascii="仿宋_GB2312" w:eastAsia="仿宋_GB2312"/>
          <w:sz w:val="28"/>
          <w:szCs w:val="28"/>
        </w:rPr>
        <w:t>、</w:t>
      </w:r>
      <w:r>
        <w:rPr>
          <w:rFonts w:ascii="仿宋_GB2312" w:eastAsia="仿宋_GB2312"/>
          <w:sz w:val="28"/>
          <w:szCs w:val="28"/>
        </w:rPr>
        <w:t>优化空间布局，以区域功能鲜明、发展重点突出、生态系统安全、区域协调发展为理念，构建以龙东格公路为依托、以阿旺</w:t>
      </w:r>
      <w:r>
        <w:rPr>
          <w:rFonts w:hint="eastAsia" w:ascii="仿宋_GB2312" w:eastAsia="仿宋_GB2312"/>
          <w:sz w:val="28"/>
          <w:szCs w:val="28"/>
        </w:rPr>
        <w:t>—</w:t>
      </w:r>
      <w:r>
        <w:rPr>
          <w:rFonts w:ascii="仿宋_GB2312" w:eastAsia="仿宋_GB2312"/>
          <w:sz w:val="28"/>
          <w:szCs w:val="28"/>
        </w:rPr>
        <w:t>铜都</w:t>
      </w:r>
      <w:r>
        <w:rPr>
          <w:rFonts w:hint="eastAsia" w:ascii="仿宋_GB2312" w:eastAsia="仿宋_GB2312"/>
          <w:sz w:val="28"/>
          <w:szCs w:val="28"/>
        </w:rPr>
        <w:t>—</w:t>
      </w:r>
      <w:r>
        <w:rPr>
          <w:rFonts w:ascii="仿宋_GB2312" w:eastAsia="仿宋_GB2312"/>
          <w:sz w:val="28"/>
          <w:szCs w:val="28"/>
        </w:rPr>
        <w:t>乌龙为核心的中心发展区域</w:t>
      </w:r>
      <w:r>
        <w:rPr>
          <w:rFonts w:hint="eastAsia" w:ascii="仿宋_GB2312" w:eastAsia="仿宋_GB2312"/>
          <w:sz w:val="28"/>
          <w:szCs w:val="28"/>
        </w:rPr>
        <w:t>，</w:t>
      </w:r>
      <w:r>
        <w:rPr>
          <w:rFonts w:ascii="仿宋_GB2312" w:eastAsia="仿宋_GB2312"/>
          <w:sz w:val="28"/>
          <w:szCs w:val="28"/>
        </w:rPr>
        <w:t>串联各镇（街道）和园区的</w:t>
      </w:r>
      <w:r>
        <w:rPr>
          <w:rFonts w:hint="eastAsia" w:ascii="仿宋_GB2312" w:eastAsia="仿宋_GB2312"/>
          <w:sz w:val="28"/>
          <w:szCs w:val="28"/>
        </w:rPr>
        <w:t>“</w:t>
      </w:r>
      <w:r>
        <w:rPr>
          <w:rFonts w:ascii="仿宋_GB2312" w:eastAsia="仿宋_GB2312"/>
          <w:sz w:val="28"/>
          <w:szCs w:val="28"/>
        </w:rPr>
        <w:t>一</w:t>
      </w:r>
      <w:r>
        <w:rPr>
          <w:rFonts w:hint="eastAsia" w:ascii="仿宋_GB2312" w:eastAsia="仿宋_GB2312"/>
          <w:sz w:val="28"/>
          <w:szCs w:val="28"/>
        </w:rPr>
        <w:t>核</w:t>
      </w:r>
      <w:r>
        <w:rPr>
          <w:rFonts w:ascii="仿宋_GB2312" w:eastAsia="仿宋_GB2312"/>
          <w:sz w:val="28"/>
          <w:szCs w:val="28"/>
        </w:rPr>
        <w:t>、三轴、四区</w:t>
      </w:r>
      <w:r>
        <w:rPr>
          <w:rFonts w:hint="eastAsia" w:ascii="仿宋_GB2312" w:eastAsia="仿宋_GB2312"/>
          <w:sz w:val="28"/>
          <w:szCs w:val="28"/>
        </w:rPr>
        <w:t>”</w:t>
      </w:r>
      <w:r>
        <w:rPr>
          <w:rFonts w:ascii="仿宋_GB2312" w:eastAsia="仿宋_GB2312"/>
          <w:sz w:val="28"/>
          <w:szCs w:val="28"/>
        </w:rPr>
        <w:t>空间开发格局。</w:t>
      </w:r>
    </w:p>
    <w:p w14:paraId="7DA01F8F">
      <w:pPr>
        <w:spacing w:line="360" w:lineRule="auto"/>
        <w:ind w:firstLine="567"/>
        <w:rPr>
          <w:rFonts w:ascii="仿宋_GB2312" w:eastAsia="仿宋_GB2312"/>
          <w:sz w:val="28"/>
          <w:szCs w:val="28"/>
        </w:rPr>
      </w:pPr>
      <w:r>
        <w:rPr>
          <w:rFonts w:hint="eastAsia" w:ascii="仿宋_GB2312" w:eastAsia="仿宋_GB2312"/>
          <w:sz w:val="28"/>
          <w:szCs w:val="28"/>
        </w:rPr>
        <w:t>根据东川区土地利用现状特点，在保障东川区历年已报批未变更建设用地前提下，合理安排城镇建设、特色旅游产业以及基础设施建设用地；预留15.65公顷城乡建设用地指标，用于农村居民点建设；同时，针对完善规划指标分配不均的问题进行了认真分析，对于城市建设扩张较快的区域适当提高新增建设用地比例，保障城市建设和产业结构调整合理的用地需求。</w:t>
      </w:r>
    </w:p>
    <w:p w14:paraId="65DD81B5">
      <w:pPr>
        <w:spacing w:line="360" w:lineRule="auto"/>
        <w:ind w:firstLine="567"/>
        <w:rPr>
          <w:rFonts w:ascii="仿宋_GB2312" w:eastAsia="仿宋_GB2312"/>
          <w:sz w:val="28"/>
          <w:szCs w:val="28"/>
        </w:rPr>
      </w:pPr>
      <w:r>
        <w:rPr>
          <w:rFonts w:hint="eastAsia" w:ascii="仿宋_GB2312" w:eastAsia="仿宋_GB2312"/>
          <w:sz w:val="28"/>
          <w:szCs w:val="28"/>
        </w:rPr>
        <w:t>调整完善后，东川区区新增城乡建设用地289.42公顷，占新增建设用地总规模的90.58%，主要布局于铜都街道及阿旺镇，同时适当增加了因民镇的新增城乡建设用地指标，以保障集镇、村镇必要的新增建设用地需求。</w:t>
      </w:r>
    </w:p>
    <w:p w14:paraId="71FB1E7A">
      <w:pPr>
        <w:pStyle w:val="4"/>
        <w:spacing w:before="0" w:after="0" w:line="360" w:lineRule="auto"/>
        <w:ind w:firstLine="275" w:firstLineChars="98"/>
        <w:rPr>
          <w:rFonts w:ascii="仿宋_GB2312" w:hAnsi="宋体" w:eastAsia="仿宋_GB2312"/>
          <w:sz w:val="28"/>
          <w:szCs w:val="28"/>
        </w:rPr>
      </w:pPr>
      <w:r>
        <w:rPr>
          <w:rFonts w:hint="eastAsia" w:ascii="仿宋_GB2312" w:hAnsi="宋体" w:eastAsia="仿宋_GB2312"/>
          <w:sz w:val="28"/>
          <w:szCs w:val="28"/>
        </w:rPr>
        <w:t>3、完善美丽乡村建设，保障易地扶贫搬迁建设用地需求</w:t>
      </w:r>
    </w:p>
    <w:p w14:paraId="54A03F1B">
      <w:pPr>
        <w:spacing w:line="360" w:lineRule="auto"/>
        <w:ind w:firstLine="567"/>
        <w:rPr>
          <w:rFonts w:ascii="仿宋_GB2312" w:eastAsia="仿宋_GB2312"/>
          <w:sz w:val="28"/>
          <w:szCs w:val="28"/>
        </w:rPr>
      </w:pPr>
      <w:r>
        <w:rPr>
          <w:rFonts w:hint="eastAsia" w:ascii="仿宋_GB2312" w:eastAsia="仿宋_GB2312"/>
          <w:sz w:val="28"/>
          <w:szCs w:val="28"/>
        </w:rPr>
        <w:t>以“基础产业、基础设施、危房改造、素质提升、社会事业、生态环保”为重点，以资源大整合、社会大参与、群众大发动、连片大开发为主要方式，与发展现代农业、新农村建设相结合，与建设美丽乡村、推进城镇化相结合，集中力量、重点突破，整乡规划，整体推进。同时，充分考虑脱贫攻坚需要，做好易地扶贫搬迁用地保障工作，合理安排保障农村公共设施、基础设施的配备建设和居民建房等用地需求，规划调整完善后，东川区共预留了15.65公顷新增城乡建设用地指标，占新增建设用地规模的5%。专项用于农村建设用地需求。</w:t>
      </w:r>
    </w:p>
    <w:p w14:paraId="159AD666">
      <w:pPr>
        <w:pStyle w:val="3"/>
        <w:jc w:val="center"/>
        <w:rPr>
          <w:b w:val="0"/>
          <w:color w:val="000000"/>
          <w:sz w:val="28"/>
          <w:szCs w:val="28"/>
        </w:rPr>
      </w:pPr>
      <w:bookmarkStart w:id="127" w:name="_Toc317500263"/>
      <w:bookmarkStart w:id="128" w:name="_Toc491074910"/>
      <w:r>
        <w:rPr>
          <w:rFonts w:hint="eastAsia"/>
          <w:b w:val="0"/>
          <w:color w:val="000000"/>
          <w:sz w:val="28"/>
          <w:szCs w:val="28"/>
        </w:rPr>
        <w:t>第三节  中心城区用地规划</w:t>
      </w:r>
      <w:bookmarkEnd w:id="127"/>
      <w:bookmarkEnd w:id="128"/>
    </w:p>
    <w:p w14:paraId="7224F6FE">
      <w:pPr>
        <w:pStyle w:val="4"/>
        <w:spacing w:before="0" w:after="0" w:line="480" w:lineRule="auto"/>
        <w:rPr>
          <w:rFonts w:ascii="Arial" w:hAnsi="Arial" w:eastAsia="黑体"/>
          <w:b w:val="0"/>
          <w:color w:val="000000"/>
          <w:sz w:val="28"/>
          <w:szCs w:val="28"/>
        </w:rPr>
      </w:pPr>
      <w:bookmarkStart w:id="129" w:name="_Toc266629474"/>
      <w:r>
        <w:rPr>
          <w:rFonts w:hint="eastAsia" w:ascii="Arial" w:hAnsi="Arial" w:eastAsia="黑体"/>
          <w:b w:val="0"/>
          <w:color w:val="000000"/>
          <w:sz w:val="28"/>
          <w:szCs w:val="28"/>
        </w:rPr>
        <w:t>一、规划范围</w:t>
      </w:r>
      <w:bookmarkEnd w:id="129"/>
    </w:p>
    <w:p w14:paraId="55256C5D">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中心城区用地规划范围主要在铜都街道，根据城市建设用地方向选择，结合城市规划区范围内现状用地布局，划定中心城区建设用范围，其“四至”边界分别为：东至牯牛山麓沿线，南至腊利河，西至龙东格二级公路，北至大桥河。用地规模是</w:t>
      </w:r>
      <w:r>
        <w:rPr>
          <w:rFonts w:ascii="仿宋_GB2312" w:hAnsi="宋体" w:eastAsia="仿宋_GB2312"/>
          <w:kern w:val="0"/>
          <w:sz w:val="28"/>
          <w:szCs w:val="28"/>
        </w:rPr>
        <w:t>2685.56</w:t>
      </w:r>
      <w:r>
        <w:rPr>
          <w:rFonts w:hint="eastAsia" w:ascii="仿宋_GB2312" w:hAnsi="宋体" w:eastAsia="仿宋_GB2312"/>
          <w:kern w:val="0"/>
          <w:sz w:val="28"/>
          <w:szCs w:val="28"/>
        </w:rPr>
        <w:t>公顷。</w:t>
      </w:r>
    </w:p>
    <w:p w14:paraId="4E023F23">
      <w:pPr>
        <w:pStyle w:val="4"/>
        <w:spacing w:before="0" w:after="0" w:line="480" w:lineRule="auto"/>
        <w:rPr>
          <w:rFonts w:ascii="Arial" w:hAnsi="Arial" w:eastAsia="黑体"/>
          <w:b w:val="0"/>
          <w:color w:val="000000"/>
          <w:sz w:val="28"/>
          <w:szCs w:val="28"/>
        </w:rPr>
      </w:pPr>
      <w:bookmarkStart w:id="130" w:name="_Toc266629475"/>
      <w:r>
        <w:rPr>
          <w:rFonts w:hint="eastAsia" w:ascii="Arial" w:hAnsi="Arial" w:eastAsia="黑体"/>
          <w:b w:val="0"/>
          <w:color w:val="000000"/>
          <w:sz w:val="28"/>
          <w:szCs w:val="28"/>
        </w:rPr>
        <w:t>二、空间布局</w:t>
      </w:r>
      <w:bookmarkEnd w:id="130"/>
    </w:p>
    <w:p w14:paraId="3A3FB2F1">
      <w:pPr>
        <w:widowControl/>
        <w:tabs>
          <w:tab w:val="left" w:pos="1950"/>
        </w:tabs>
        <w:adjustRightInd w:val="0"/>
        <w:snapToGrid w:val="0"/>
        <w:spacing w:line="360" w:lineRule="auto"/>
        <w:ind w:firstLine="561"/>
        <w:jc w:val="left"/>
        <w:rPr>
          <w:rFonts w:ascii="仿宋_GB2312" w:hAnsi="宋体" w:eastAsia="仿宋_GB2312"/>
          <w:kern w:val="0"/>
          <w:sz w:val="28"/>
          <w:szCs w:val="28"/>
        </w:rPr>
      </w:pPr>
      <w:bookmarkStart w:id="131" w:name="_Toc266629480"/>
      <w:r>
        <w:rPr>
          <w:rFonts w:hint="eastAsia" w:ascii="仿宋_GB2312" w:hAnsi="宋体" w:eastAsia="仿宋_GB2312"/>
          <w:kern w:val="0"/>
          <w:sz w:val="28"/>
          <w:szCs w:val="28"/>
        </w:rPr>
        <w:t>东川区中心城区用地依托老城区、碧谷，将建成轴线拓展、绿楔包容的组团式城市。城市用地形态将形成“一轴、两带、五楔、三组团”的组团式用地格局和空间形态。</w:t>
      </w:r>
    </w:p>
    <w:p w14:paraId="6838FF96">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“一轴”：沿新村路形成城市功能空间发展轴，以新村路为中心轴线连起城区各功能组团，成为城区空间发展与功能联系的重要轴线。</w:t>
      </w:r>
    </w:p>
    <w:p w14:paraId="19CCF110">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“两带”：在城区东西两侧分别由东格公路、金沙路和东起路及其之间的生态绿化组成两条生态交通走廊，既是城区外围交通走廊，也是组成生态景观安全格局的建设缓冲带。</w:t>
      </w:r>
    </w:p>
    <w:p w14:paraId="50239C0D">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“五楔”：沿现状城区主要的五条冲沟设置生态景观绿化，形成城区重要的东西向景观轴线，成为分隔功能组团的依据，并形成良好的生态景观安全格局和城市发展缓冲带。</w:t>
      </w:r>
    </w:p>
    <w:p w14:paraId="502EDC24">
      <w:pPr>
        <w:widowControl/>
        <w:tabs>
          <w:tab w:val="left" w:pos="1950"/>
        </w:tabs>
        <w:adjustRightInd w:val="0"/>
        <w:snapToGrid w:val="0"/>
        <w:spacing w:line="360" w:lineRule="auto"/>
        <w:ind w:firstLine="561"/>
        <w:jc w:val="left"/>
        <w:rPr>
          <w:rFonts w:ascii="仿宋_GB2312" w:eastAsia="仿宋_GB2312"/>
          <w:sz w:val="28"/>
          <w:szCs w:val="28"/>
        </w:rPr>
      </w:pPr>
      <w:r>
        <w:rPr>
          <w:rFonts w:hint="eastAsia" w:ascii="仿宋_GB2312" w:hAnsi="宋体" w:eastAsia="仿宋_GB2312"/>
          <w:kern w:val="0"/>
          <w:sz w:val="28"/>
          <w:szCs w:val="28"/>
        </w:rPr>
        <w:t>“三组团”：以主要冲沟生态景观带为分隔形成的三大功能组团，由南向北分别为主城区综合组团、城北教育科研组团以及北部碧谷产业组团。</w:t>
      </w:r>
    </w:p>
    <w:p w14:paraId="7BD06F42">
      <w:pPr>
        <w:pStyle w:val="4"/>
        <w:spacing w:before="0" w:after="0" w:line="480" w:lineRule="auto"/>
        <w:rPr>
          <w:rFonts w:ascii="Arial" w:hAnsi="Arial" w:eastAsia="黑体"/>
          <w:b w:val="0"/>
          <w:color w:val="000000"/>
          <w:sz w:val="28"/>
          <w:szCs w:val="28"/>
        </w:rPr>
      </w:pPr>
      <w:bookmarkStart w:id="132" w:name="_Toc266629481"/>
      <w:r>
        <w:rPr>
          <w:rFonts w:hint="eastAsia" w:ascii="Arial" w:hAnsi="Arial" w:eastAsia="黑体"/>
          <w:b w:val="0"/>
          <w:color w:val="000000"/>
          <w:sz w:val="28"/>
          <w:szCs w:val="28"/>
        </w:rPr>
        <w:t>三、中心城区用地发展方向</w:t>
      </w:r>
    </w:p>
    <w:p w14:paraId="2B1E4B0B">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根据对东川规划建设用地方向选择因素的分析和发展代价的核算，确定规划期内中心城区建设用地的主要方向为：</w:t>
      </w:r>
    </w:p>
    <w:p w14:paraId="07E4E894">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规划期内以向北发展为主，在南部腊利片区建设成熟和北部新城区初具规模之后，城区进一步向北拓展，完善新城区以及北部工业组团。</w:t>
      </w:r>
    </w:p>
    <w:p w14:paraId="7717F21E">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规划期内控制建设用地的向西发展，严禁用地跨越龙东格公路发展；同时以保护东部山地的生态安全格局为前提，限制建设用地的向东发展。</w:t>
      </w:r>
    </w:p>
    <w:p w14:paraId="3521FE77">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四、中心城区土地利用结构调整表</w:t>
      </w:r>
    </w:p>
    <w:p w14:paraId="514AE8DF">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ascii="仿宋_GB2312" w:hAnsi="宋体" w:eastAsia="仿宋_GB2312"/>
          <w:kern w:val="0"/>
          <w:sz w:val="28"/>
          <w:szCs w:val="28"/>
        </w:rPr>
        <w:t>20</w:t>
      </w:r>
      <w:r>
        <w:rPr>
          <w:rFonts w:hint="eastAsia" w:ascii="仿宋_GB2312" w:hAnsi="宋体" w:eastAsia="仿宋_GB2312"/>
          <w:kern w:val="0"/>
          <w:sz w:val="28"/>
          <w:szCs w:val="28"/>
        </w:rPr>
        <w:t>14</w:t>
      </w:r>
      <w:r>
        <w:rPr>
          <w:rFonts w:ascii="仿宋_GB2312" w:hAnsi="宋体" w:eastAsia="仿宋_GB2312"/>
          <w:kern w:val="0"/>
          <w:sz w:val="28"/>
          <w:szCs w:val="28"/>
        </w:rPr>
        <w:t>年</w:t>
      </w:r>
      <w:r>
        <w:rPr>
          <w:rFonts w:hint="eastAsia" w:ascii="仿宋_GB2312" w:hAnsi="宋体" w:eastAsia="仿宋_GB2312"/>
          <w:kern w:val="0"/>
          <w:sz w:val="28"/>
          <w:szCs w:val="28"/>
        </w:rPr>
        <w:t>，东川区中心城区</w:t>
      </w:r>
      <w:r>
        <w:rPr>
          <w:rFonts w:ascii="仿宋_GB2312" w:hAnsi="宋体" w:eastAsia="仿宋_GB2312"/>
          <w:kern w:val="0"/>
          <w:sz w:val="28"/>
          <w:szCs w:val="28"/>
        </w:rPr>
        <w:t>农用地面积1539.72公顷，占</w:t>
      </w:r>
      <w:r>
        <w:rPr>
          <w:rFonts w:hint="eastAsia" w:ascii="仿宋_GB2312" w:hAnsi="宋体" w:eastAsia="仿宋_GB2312"/>
          <w:kern w:val="0"/>
          <w:sz w:val="28"/>
          <w:szCs w:val="28"/>
        </w:rPr>
        <w:t>中心城区</w:t>
      </w:r>
      <w:r>
        <w:rPr>
          <w:rFonts w:ascii="仿宋_GB2312" w:hAnsi="宋体" w:eastAsia="仿宋_GB2312"/>
          <w:kern w:val="0"/>
          <w:sz w:val="28"/>
          <w:szCs w:val="28"/>
        </w:rPr>
        <w:t>土地总面积的</w:t>
      </w:r>
      <w:r>
        <w:rPr>
          <w:rFonts w:hint="eastAsia" w:ascii="仿宋_GB2312" w:hAnsi="宋体" w:eastAsia="仿宋_GB2312"/>
          <w:kern w:val="0"/>
          <w:sz w:val="28"/>
          <w:szCs w:val="28"/>
        </w:rPr>
        <w:t>53.59</w:t>
      </w:r>
      <w:r>
        <w:rPr>
          <w:rFonts w:ascii="仿宋_GB2312" w:hAnsi="宋体" w:eastAsia="仿宋_GB2312"/>
          <w:kern w:val="0"/>
          <w:sz w:val="28"/>
          <w:szCs w:val="28"/>
        </w:rPr>
        <w:t>%；</w:t>
      </w:r>
      <w:r>
        <w:rPr>
          <w:rFonts w:hint="eastAsia" w:ascii="仿宋_GB2312" w:hAnsi="宋体" w:eastAsia="仿宋_GB2312"/>
          <w:kern w:val="0"/>
          <w:sz w:val="28"/>
          <w:szCs w:val="28"/>
        </w:rPr>
        <w:t>建设用地面积</w:t>
      </w:r>
      <w:r>
        <w:rPr>
          <w:rFonts w:ascii="仿宋_GB2312" w:hAnsi="宋体" w:eastAsia="仿宋_GB2312"/>
          <w:kern w:val="0"/>
          <w:sz w:val="28"/>
          <w:szCs w:val="28"/>
        </w:rPr>
        <w:t>1190.44</w:t>
      </w:r>
      <w:r>
        <w:rPr>
          <w:rFonts w:hint="eastAsia" w:ascii="仿宋_GB2312" w:hAnsi="宋体" w:eastAsia="仿宋_GB2312"/>
          <w:kern w:val="0"/>
          <w:sz w:val="28"/>
          <w:szCs w:val="28"/>
        </w:rPr>
        <w:t>公顷，</w:t>
      </w:r>
      <w:r>
        <w:rPr>
          <w:rFonts w:ascii="仿宋_GB2312" w:hAnsi="宋体" w:eastAsia="仿宋_GB2312"/>
          <w:kern w:val="0"/>
          <w:sz w:val="28"/>
          <w:szCs w:val="28"/>
        </w:rPr>
        <w:t>占</w:t>
      </w:r>
      <w:r>
        <w:rPr>
          <w:rFonts w:hint="eastAsia" w:ascii="仿宋_GB2312" w:hAnsi="宋体" w:eastAsia="仿宋_GB2312"/>
          <w:kern w:val="0"/>
          <w:sz w:val="28"/>
          <w:szCs w:val="28"/>
        </w:rPr>
        <w:t>中心城区</w:t>
      </w:r>
      <w:r>
        <w:rPr>
          <w:rFonts w:ascii="仿宋_GB2312" w:hAnsi="宋体" w:eastAsia="仿宋_GB2312"/>
          <w:kern w:val="0"/>
          <w:sz w:val="28"/>
          <w:szCs w:val="28"/>
        </w:rPr>
        <w:t>土地总面积的</w:t>
      </w:r>
      <w:r>
        <w:rPr>
          <w:rFonts w:hint="eastAsia" w:ascii="仿宋_GB2312" w:hAnsi="宋体" w:eastAsia="仿宋_GB2312"/>
          <w:kern w:val="0"/>
          <w:sz w:val="28"/>
          <w:szCs w:val="28"/>
        </w:rPr>
        <w:t>41.71%</w:t>
      </w:r>
      <w:r>
        <w:rPr>
          <w:rFonts w:ascii="仿宋_GB2312" w:hAnsi="宋体" w:eastAsia="仿宋_GB2312"/>
          <w:kern w:val="0"/>
          <w:sz w:val="28"/>
          <w:szCs w:val="28"/>
        </w:rPr>
        <w:t>；</w:t>
      </w:r>
      <w:r>
        <w:rPr>
          <w:rFonts w:hint="eastAsia" w:ascii="仿宋_GB2312" w:hAnsi="宋体" w:eastAsia="仿宋_GB2312"/>
          <w:kern w:val="0"/>
          <w:sz w:val="28"/>
          <w:szCs w:val="28"/>
        </w:rPr>
        <w:t>其他土地</w:t>
      </w:r>
      <w:r>
        <w:rPr>
          <w:rFonts w:ascii="仿宋_GB2312" w:hAnsi="宋体" w:eastAsia="仿宋_GB2312"/>
          <w:kern w:val="0"/>
          <w:sz w:val="28"/>
          <w:szCs w:val="28"/>
        </w:rPr>
        <w:t>123.99</w:t>
      </w:r>
      <w:r>
        <w:rPr>
          <w:rFonts w:hint="eastAsia" w:ascii="仿宋_GB2312" w:hAnsi="宋体" w:eastAsia="仿宋_GB2312"/>
          <w:kern w:val="0"/>
          <w:sz w:val="28"/>
          <w:szCs w:val="28"/>
        </w:rPr>
        <w:t>公顷，</w:t>
      </w:r>
      <w:r>
        <w:rPr>
          <w:rFonts w:ascii="仿宋_GB2312" w:hAnsi="宋体" w:eastAsia="仿宋_GB2312"/>
          <w:kern w:val="0"/>
          <w:sz w:val="28"/>
          <w:szCs w:val="28"/>
        </w:rPr>
        <w:t>占</w:t>
      </w:r>
      <w:r>
        <w:rPr>
          <w:rFonts w:hint="eastAsia" w:ascii="仿宋_GB2312" w:hAnsi="宋体" w:eastAsia="仿宋_GB2312"/>
          <w:kern w:val="0"/>
          <w:sz w:val="28"/>
          <w:szCs w:val="28"/>
        </w:rPr>
        <w:t>中心城区</w:t>
      </w:r>
      <w:r>
        <w:rPr>
          <w:rFonts w:ascii="仿宋_GB2312" w:hAnsi="宋体" w:eastAsia="仿宋_GB2312"/>
          <w:kern w:val="0"/>
          <w:sz w:val="28"/>
          <w:szCs w:val="28"/>
        </w:rPr>
        <w:t>土地总面积的</w:t>
      </w:r>
      <w:r>
        <w:rPr>
          <w:rFonts w:hint="eastAsia" w:ascii="仿宋_GB2312" w:hAnsi="宋体" w:eastAsia="仿宋_GB2312"/>
          <w:kern w:val="0"/>
          <w:sz w:val="28"/>
          <w:szCs w:val="28"/>
        </w:rPr>
        <w:t>4.34</w:t>
      </w:r>
      <w:r>
        <w:rPr>
          <w:rFonts w:ascii="仿宋_GB2312" w:hAnsi="宋体" w:eastAsia="仿宋_GB2312"/>
          <w:kern w:val="0"/>
          <w:sz w:val="28"/>
          <w:szCs w:val="28"/>
        </w:rPr>
        <w:t>%；规划至20</w:t>
      </w:r>
      <w:r>
        <w:rPr>
          <w:rFonts w:hint="eastAsia" w:ascii="仿宋_GB2312" w:hAnsi="宋体" w:eastAsia="仿宋_GB2312"/>
          <w:kern w:val="0"/>
          <w:sz w:val="28"/>
          <w:szCs w:val="28"/>
        </w:rPr>
        <w:t>20</w:t>
      </w:r>
      <w:r>
        <w:rPr>
          <w:rFonts w:ascii="仿宋_GB2312" w:hAnsi="宋体" w:eastAsia="仿宋_GB2312"/>
          <w:kern w:val="0"/>
          <w:sz w:val="28"/>
          <w:szCs w:val="28"/>
        </w:rPr>
        <w:t>年</w:t>
      </w:r>
      <w:r>
        <w:rPr>
          <w:rFonts w:hint="eastAsia" w:ascii="仿宋_GB2312" w:hAnsi="宋体" w:eastAsia="仿宋_GB2312"/>
          <w:kern w:val="0"/>
          <w:sz w:val="28"/>
          <w:szCs w:val="28"/>
        </w:rPr>
        <w:t>，东川区中心城区</w:t>
      </w:r>
      <w:r>
        <w:rPr>
          <w:rFonts w:ascii="仿宋_GB2312" w:hAnsi="宋体" w:eastAsia="仿宋_GB2312"/>
          <w:kern w:val="0"/>
          <w:sz w:val="28"/>
          <w:szCs w:val="28"/>
        </w:rPr>
        <w:t>农用地面积1472.73公顷，占</w:t>
      </w:r>
      <w:r>
        <w:rPr>
          <w:rFonts w:hint="eastAsia" w:ascii="仿宋_GB2312" w:hAnsi="宋体" w:eastAsia="仿宋_GB2312"/>
          <w:kern w:val="0"/>
          <w:sz w:val="28"/>
          <w:szCs w:val="28"/>
        </w:rPr>
        <w:t>中心城区</w:t>
      </w:r>
      <w:r>
        <w:rPr>
          <w:rFonts w:ascii="仿宋_GB2312" w:hAnsi="宋体" w:eastAsia="仿宋_GB2312"/>
          <w:kern w:val="0"/>
          <w:sz w:val="28"/>
          <w:szCs w:val="28"/>
        </w:rPr>
        <w:t>土地总面积的</w:t>
      </w:r>
      <w:r>
        <w:rPr>
          <w:rFonts w:hint="eastAsia" w:ascii="仿宋_GB2312" w:hAnsi="宋体" w:eastAsia="仿宋_GB2312"/>
          <w:kern w:val="0"/>
          <w:sz w:val="28"/>
          <w:szCs w:val="28"/>
        </w:rPr>
        <w:t>51.60</w:t>
      </w:r>
      <w:r>
        <w:rPr>
          <w:rFonts w:ascii="仿宋_GB2312" w:hAnsi="宋体" w:eastAsia="仿宋_GB2312"/>
          <w:kern w:val="0"/>
          <w:sz w:val="28"/>
          <w:szCs w:val="28"/>
        </w:rPr>
        <w:t>%；</w:t>
      </w:r>
      <w:r>
        <w:rPr>
          <w:rFonts w:hint="eastAsia" w:ascii="仿宋_GB2312" w:hAnsi="宋体" w:eastAsia="仿宋_GB2312"/>
          <w:kern w:val="0"/>
          <w:sz w:val="28"/>
          <w:szCs w:val="28"/>
        </w:rPr>
        <w:t>建设用地面积</w:t>
      </w:r>
      <w:r>
        <w:rPr>
          <w:rFonts w:ascii="仿宋_GB2312" w:hAnsi="宋体" w:eastAsia="仿宋_GB2312"/>
          <w:kern w:val="0"/>
          <w:sz w:val="28"/>
          <w:szCs w:val="28"/>
        </w:rPr>
        <w:t>1258.30</w:t>
      </w:r>
      <w:r>
        <w:rPr>
          <w:rFonts w:hint="eastAsia" w:ascii="仿宋_GB2312" w:hAnsi="宋体" w:eastAsia="仿宋_GB2312"/>
          <w:kern w:val="0"/>
          <w:sz w:val="28"/>
          <w:szCs w:val="28"/>
        </w:rPr>
        <w:t>公顷，</w:t>
      </w:r>
      <w:r>
        <w:rPr>
          <w:rFonts w:ascii="仿宋_GB2312" w:hAnsi="宋体" w:eastAsia="仿宋_GB2312"/>
          <w:kern w:val="0"/>
          <w:sz w:val="28"/>
          <w:szCs w:val="28"/>
        </w:rPr>
        <w:t>占</w:t>
      </w:r>
      <w:r>
        <w:rPr>
          <w:rFonts w:hint="eastAsia" w:ascii="仿宋_GB2312" w:hAnsi="宋体" w:eastAsia="仿宋_GB2312"/>
          <w:kern w:val="0"/>
          <w:sz w:val="28"/>
          <w:szCs w:val="28"/>
        </w:rPr>
        <w:t>中心城区</w:t>
      </w:r>
      <w:r>
        <w:rPr>
          <w:rFonts w:ascii="仿宋_GB2312" w:hAnsi="宋体" w:eastAsia="仿宋_GB2312"/>
          <w:kern w:val="0"/>
          <w:sz w:val="28"/>
          <w:szCs w:val="28"/>
        </w:rPr>
        <w:t>土地总面积的</w:t>
      </w:r>
      <w:r>
        <w:rPr>
          <w:rFonts w:hint="eastAsia" w:ascii="仿宋_GB2312" w:hAnsi="宋体" w:eastAsia="仿宋_GB2312"/>
          <w:kern w:val="0"/>
          <w:sz w:val="28"/>
          <w:szCs w:val="28"/>
        </w:rPr>
        <w:t>44.09</w:t>
      </w:r>
      <w:r>
        <w:rPr>
          <w:rFonts w:ascii="仿宋_GB2312" w:hAnsi="宋体" w:eastAsia="仿宋_GB2312"/>
          <w:kern w:val="0"/>
          <w:sz w:val="28"/>
          <w:szCs w:val="28"/>
        </w:rPr>
        <w:t>%；</w:t>
      </w:r>
      <w:r>
        <w:rPr>
          <w:rFonts w:hint="eastAsia" w:ascii="仿宋_GB2312" w:hAnsi="宋体" w:eastAsia="仿宋_GB2312"/>
          <w:kern w:val="0"/>
          <w:sz w:val="28"/>
          <w:szCs w:val="28"/>
        </w:rPr>
        <w:t>其他土地</w:t>
      </w:r>
      <w:r>
        <w:rPr>
          <w:rFonts w:ascii="仿宋_GB2312" w:hAnsi="宋体" w:eastAsia="仿宋_GB2312"/>
          <w:kern w:val="0"/>
          <w:sz w:val="28"/>
          <w:szCs w:val="28"/>
        </w:rPr>
        <w:t>123.12</w:t>
      </w:r>
      <w:r>
        <w:rPr>
          <w:rFonts w:hint="eastAsia" w:ascii="仿宋_GB2312" w:hAnsi="宋体" w:eastAsia="仿宋_GB2312"/>
          <w:kern w:val="0"/>
          <w:sz w:val="28"/>
          <w:szCs w:val="28"/>
        </w:rPr>
        <w:t>公顷，</w:t>
      </w:r>
      <w:r>
        <w:rPr>
          <w:rFonts w:ascii="仿宋_GB2312" w:hAnsi="宋体" w:eastAsia="仿宋_GB2312"/>
          <w:kern w:val="0"/>
          <w:sz w:val="28"/>
          <w:szCs w:val="28"/>
        </w:rPr>
        <w:t>占</w:t>
      </w:r>
      <w:r>
        <w:rPr>
          <w:rFonts w:hint="eastAsia" w:ascii="仿宋_GB2312" w:hAnsi="宋体" w:eastAsia="仿宋_GB2312"/>
          <w:kern w:val="0"/>
          <w:sz w:val="28"/>
          <w:szCs w:val="28"/>
        </w:rPr>
        <w:t>中心城区</w:t>
      </w:r>
      <w:r>
        <w:rPr>
          <w:rFonts w:ascii="仿宋_GB2312" w:hAnsi="宋体" w:eastAsia="仿宋_GB2312"/>
          <w:kern w:val="0"/>
          <w:sz w:val="28"/>
          <w:szCs w:val="28"/>
        </w:rPr>
        <w:t>土地总面积的</w:t>
      </w:r>
      <w:r>
        <w:rPr>
          <w:rFonts w:hint="eastAsia" w:ascii="仿宋_GB2312" w:hAnsi="宋体" w:eastAsia="仿宋_GB2312"/>
          <w:kern w:val="0"/>
          <w:sz w:val="28"/>
          <w:szCs w:val="28"/>
        </w:rPr>
        <w:t>4.31</w:t>
      </w:r>
      <w:r>
        <w:rPr>
          <w:rFonts w:ascii="仿宋_GB2312" w:hAnsi="宋体" w:eastAsia="仿宋_GB2312"/>
          <w:kern w:val="0"/>
          <w:sz w:val="28"/>
          <w:szCs w:val="28"/>
        </w:rPr>
        <w:t>%</w:t>
      </w:r>
      <w:r>
        <w:rPr>
          <w:rFonts w:hint="eastAsia" w:ascii="仿宋_GB2312" w:hAnsi="宋体" w:eastAsia="仿宋_GB2312"/>
          <w:kern w:val="0"/>
          <w:sz w:val="28"/>
          <w:szCs w:val="28"/>
        </w:rPr>
        <w:t>。</w:t>
      </w:r>
    </w:p>
    <w:p w14:paraId="1E8D5906">
      <w:pPr>
        <w:jc w:val="center"/>
        <w:outlineLvl w:val="4"/>
        <w:rPr>
          <w:rFonts w:ascii="宋体" w:hAnsi="宋体"/>
          <w:b/>
          <w:sz w:val="24"/>
        </w:rPr>
      </w:pPr>
      <w:r>
        <w:rPr>
          <w:rFonts w:hint="eastAsia" w:ascii="宋体" w:hAnsi="宋体"/>
          <w:b/>
          <w:sz w:val="24"/>
        </w:rPr>
        <w:t>表6-6  东川区中心城区土地利用结构调整表</w:t>
      </w:r>
    </w:p>
    <w:p w14:paraId="53ECBCC2">
      <w:pPr>
        <w:spacing w:line="360" w:lineRule="auto"/>
        <w:ind w:firstLine="360" w:firstLineChars="200"/>
        <w:jc w:val="right"/>
        <w:rPr>
          <w:rFonts w:ascii="宋体" w:hAnsi="宋体"/>
          <w:color w:val="000000"/>
          <w:sz w:val="18"/>
          <w:szCs w:val="18"/>
        </w:rPr>
      </w:pPr>
      <w:r>
        <w:rPr>
          <w:rFonts w:hint="eastAsia" w:ascii="宋体" w:hAnsi="宋体"/>
          <w:color w:val="000000"/>
          <w:sz w:val="18"/>
          <w:szCs w:val="18"/>
        </w:rPr>
        <w:t>单位：公顷</w:t>
      </w:r>
    </w:p>
    <w:tbl>
      <w:tblPr>
        <w:tblStyle w:val="27"/>
        <w:tblW w:w="9309" w:type="dxa"/>
        <w:jc w:val="center"/>
        <w:tblLayout w:type="autofit"/>
        <w:tblCellMar>
          <w:top w:w="0" w:type="dxa"/>
          <w:left w:w="108" w:type="dxa"/>
          <w:bottom w:w="0" w:type="dxa"/>
          <w:right w:w="108" w:type="dxa"/>
        </w:tblCellMar>
      </w:tblPr>
      <w:tblGrid>
        <w:gridCol w:w="960"/>
        <w:gridCol w:w="753"/>
        <w:gridCol w:w="1836"/>
        <w:gridCol w:w="960"/>
        <w:gridCol w:w="960"/>
        <w:gridCol w:w="846"/>
        <w:gridCol w:w="1100"/>
        <w:gridCol w:w="934"/>
        <w:gridCol w:w="960"/>
      </w:tblGrid>
      <w:tr w14:paraId="744E2324">
        <w:tblPrEx>
          <w:tblCellMar>
            <w:top w:w="0" w:type="dxa"/>
            <w:left w:w="108" w:type="dxa"/>
            <w:bottom w:w="0" w:type="dxa"/>
            <w:right w:w="108" w:type="dxa"/>
          </w:tblCellMar>
        </w:tblPrEx>
        <w:trPr>
          <w:trHeight w:val="634" w:hRule="atLeast"/>
          <w:jc w:val="center"/>
        </w:trPr>
        <w:tc>
          <w:tcPr>
            <w:tcW w:w="3549" w:type="dxa"/>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FA6F35D">
            <w:pPr>
              <w:widowControl/>
              <w:jc w:val="left"/>
              <w:rPr>
                <w:rFonts w:ascii="Calibri" w:hAnsi="Calibri" w:cs="Calibri"/>
                <w:color w:val="000000"/>
                <w:kern w:val="0"/>
                <w:szCs w:val="21"/>
              </w:rPr>
            </w:pPr>
            <w:r>
              <w:rPr>
                <w:rFonts w:ascii="Calibri" w:hAnsi="Calibri" w:cs="Calibri"/>
                <w:color w:val="000000"/>
                <w:kern w:val="0"/>
                <w:szCs w:val="21"/>
              </w:rPr>
              <w:t>　</w:t>
            </w:r>
          </w:p>
        </w:tc>
        <w:tc>
          <w:tcPr>
            <w:tcW w:w="1920" w:type="dxa"/>
            <w:gridSpan w:val="2"/>
            <w:tcBorders>
              <w:top w:val="single" w:color="auto" w:sz="4" w:space="0"/>
              <w:left w:val="nil"/>
              <w:bottom w:val="single" w:color="auto" w:sz="4" w:space="0"/>
              <w:right w:val="single" w:color="auto" w:sz="4" w:space="0"/>
            </w:tcBorders>
            <w:shd w:val="clear" w:color="auto" w:fill="auto"/>
            <w:noWrap/>
            <w:vAlign w:val="center"/>
          </w:tcPr>
          <w:p w14:paraId="031ACA1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规划基期</w:t>
            </w:r>
          </w:p>
          <w:p w14:paraId="636D394F">
            <w:pPr>
              <w:jc w:val="center"/>
              <w:rPr>
                <w:rFonts w:ascii="宋体" w:hAnsi="宋体" w:cs="宋体"/>
                <w:b/>
                <w:bCs/>
                <w:color w:val="000000"/>
                <w:kern w:val="0"/>
                <w:sz w:val="18"/>
                <w:szCs w:val="18"/>
              </w:rPr>
            </w:pPr>
            <w:r>
              <w:rPr>
                <w:rFonts w:hint="eastAsia" w:ascii="宋体" w:hAnsi="宋体" w:cs="宋体"/>
                <w:b/>
                <w:bCs/>
                <w:color w:val="000000"/>
                <w:kern w:val="0"/>
                <w:sz w:val="18"/>
                <w:szCs w:val="18"/>
              </w:rPr>
              <w:t>（2014年）</w:t>
            </w:r>
          </w:p>
        </w:tc>
        <w:tc>
          <w:tcPr>
            <w:tcW w:w="1946" w:type="dxa"/>
            <w:gridSpan w:val="2"/>
            <w:tcBorders>
              <w:top w:val="single" w:color="auto" w:sz="4" w:space="0"/>
              <w:left w:val="nil"/>
              <w:bottom w:val="single" w:color="auto" w:sz="4" w:space="0"/>
              <w:right w:val="single" w:color="auto" w:sz="4" w:space="0"/>
            </w:tcBorders>
            <w:shd w:val="clear" w:color="auto" w:fill="auto"/>
            <w:vAlign w:val="center"/>
          </w:tcPr>
          <w:p w14:paraId="7805B14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规划目标年</w:t>
            </w:r>
          </w:p>
          <w:p w14:paraId="13F57DD3">
            <w:pPr>
              <w:jc w:val="center"/>
              <w:rPr>
                <w:rFonts w:ascii="宋体" w:hAnsi="宋体" w:cs="宋体"/>
                <w:b/>
                <w:bCs/>
                <w:color w:val="000000"/>
                <w:kern w:val="0"/>
                <w:sz w:val="18"/>
                <w:szCs w:val="18"/>
              </w:rPr>
            </w:pPr>
            <w:r>
              <w:rPr>
                <w:rFonts w:hint="eastAsia" w:ascii="宋体" w:hAnsi="宋体" w:cs="宋体"/>
                <w:b/>
                <w:bCs/>
                <w:color w:val="000000"/>
                <w:kern w:val="0"/>
                <w:sz w:val="18"/>
                <w:szCs w:val="18"/>
              </w:rPr>
              <w:t>（2020年）</w:t>
            </w:r>
          </w:p>
        </w:tc>
        <w:tc>
          <w:tcPr>
            <w:tcW w:w="18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74360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变化量　</w:t>
            </w:r>
          </w:p>
        </w:tc>
      </w:tr>
      <w:tr w14:paraId="3B4172EC">
        <w:tblPrEx>
          <w:tblCellMar>
            <w:top w:w="0" w:type="dxa"/>
            <w:left w:w="108" w:type="dxa"/>
            <w:bottom w:w="0" w:type="dxa"/>
            <w:right w:w="108" w:type="dxa"/>
          </w:tblCellMar>
        </w:tblPrEx>
        <w:trPr>
          <w:trHeight w:val="312" w:hRule="atLeast"/>
          <w:jc w:val="center"/>
        </w:trPr>
        <w:tc>
          <w:tcPr>
            <w:tcW w:w="3549" w:type="dxa"/>
            <w:gridSpan w:val="3"/>
            <w:vMerge w:val="continue"/>
            <w:tcBorders>
              <w:top w:val="single" w:color="auto" w:sz="4" w:space="0"/>
              <w:left w:val="single" w:color="auto" w:sz="4" w:space="0"/>
              <w:bottom w:val="single" w:color="auto" w:sz="4" w:space="0"/>
              <w:right w:val="single" w:color="auto" w:sz="4" w:space="0"/>
            </w:tcBorders>
            <w:vAlign w:val="center"/>
          </w:tcPr>
          <w:p w14:paraId="00CED52C">
            <w:pPr>
              <w:widowControl/>
              <w:jc w:val="left"/>
              <w:rPr>
                <w:rFonts w:ascii="Calibri" w:hAnsi="Calibri" w:cs="Calibri"/>
                <w:color w:val="000000"/>
                <w:kern w:val="0"/>
                <w:szCs w:val="21"/>
              </w:rPr>
            </w:pP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3AED5AD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E2B6D4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846" w:type="dxa"/>
            <w:tcBorders>
              <w:top w:val="single" w:color="auto" w:sz="4" w:space="0"/>
              <w:left w:val="nil"/>
              <w:bottom w:val="single" w:color="auto" w:sz="4" w:space="0"/>
              <w:right w:val="single" w:color="auto" w:sz="4" w:space="0"/>
            </w:tcBorders>
            <w:shd w:val="clear" w:color="auto" w:fill="auto"/>
            <w:noWrap/>
            <w:vAlign w:val="center"/>
          </w:tcPr>
          <w:p w14:paraId="7F76B4D4">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100" w:type="dxa"/>
            <w:tcBorders>
              <w:top w:val="single" w:color="auto" w:sz="4" w:space="0"/>
              <w:left w:val="nil"/>
              <w:bottom w:val="single" w:color="auto" w:sz="4" w:space="0"/>
              <w:right w:val="single" w:color="auto" w:sz="4" w:space="0"/>
            </w:tcBorders>
            <w:shd w:val="clear" w:color="auto" w:fill="auto"/>
            <w:noWrap/>
            <w:vAlign w:val="center"/>
          </w:tcPr>
          <w:p w14:paraId="1B07661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934" w:type="dxa"/>
            <w:tcBorders>
              <w:top w:val="nil"/>
              <w:left w:val="nil"/>
              <w:bottom w:val="single" w:color="auto" w:sz="4" w:space="0"/>
              <w:right w:val="single" w:color="auto" w:sz="4" w:space="0"/>
            </w:tcBorders>
            <w:shd w:val="clear" w:color="auto" w:fill="auto"/>
            <w:vAlign w:val="center"/>
          </w:tcPr>
          <w:p w14:paraId="12EC53E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960" w:type="dxa"/>
            <w:tcBorders>
              <w:top w:val="nil"/>
              <w:left w:val="nil"/>
              <w:bottom w:val="single" w:color="auto" w:sz="4" w:space="0"/>
              <w:right w:val="single" w:color="auto" w:sz="4" w:space="0"/>
            </w:tcBorders>
            <w:shd w:val="clear" w:color="auto" w:fill="auto"/>
            <w:noWrap/>
            <w:vAlign w:val="center"/>
          </w:tcPr>
          <w:p w14:paraId="19F0C9D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r>
      <w:tr w14:paraId="2594E9C8">
        <w:tblPrEx>
          <w:tblCellMar>
            <w:top w:w="0" w:type="dxa"/>
            <w:left w:w="108" w:type="dxa"/>
            <w:bottom w:w="0" w:type="dxa"/>
            <w:right w:w="108" w:type="dxa"/>
          </w:tblCellMar>
        </w:tblPrEx>
        <w:trPr>
          <w:trHeight w:val="312" w:hRule="atLeast"/>
          <w:jc w:val="center"/>
        </w:trPr>
        <w:tc>
          <w:tcPr>
            <w:tcW w:w="960" w:type="dxa"/>
            <w:vMerge w:val="restart"/>
            <w:tcBorders>
              <w:top w:val="nil"/>
              <w:left w:val="single" w:color="auto" w:sz="4" w:space="0"/>
              <w:bottom w:val="single" w:color="auto" w:sz="4" w:space="0"/>
              <w:right w:val="single" w:color="auto" w:sz="4" w:space="0"/>
            </w:tcBorders>
            <w:shd w:val="clear" w:color="auto" w:fill="auto"/>
            <w:vAlign w:val="center"/>
          </w:tcPr>
          <w:p w14:paraId="5A692AF2">
            <w:pPr>
              <w:widowControl/>
              <w:jc w:val="center"/>
              <w:rPr>
                <w:rFonts w:ascii="宋体" w:hAnsi="宋体" w:cs="宋体"/>
                <w:color w:val="000000"/>
                <w:kern w:val="0"/>
                <w:sz w:val="18"/>
                <w:szCs w:val="18"/>
              </w:rPr>
            </w:pPr>
            <w:r>
              <w:rPr>
                <w:rFonts w:hint="eastAsia" w:ascii="宋体" w:hAnsi="宋体" w:cs="宋体"/>
                <w:color w:val="000000"/>
                <w:kern w:val="0"/>
                <w:sz w:val="18"/>
                <w:szCs w:val="18"/>
              </w:rPr>
              <w:t>农用地</w:t>
            </w:r>
          </w:p>
        </w:tc>
        <w:tc>
          <w:tcPr>
            <w:tcW w:w="2589" w:type="dxa"/>
            <w:gridSpan w:val="2"/>
            <w:tcBorders>
              <w:top w:val="single" w:color="auto" w:sz="4" w:space="0"/>
              <w:left w:val="nil"/>
              <w:bottom w:val="single" w:color="auto" w:sz="4" w:space="0"/>
              <w:right w:val="single" w:color="auto" w:sz="4" w:space="0"/>
            </w:tcBorders>
            <w:shd w:val="clear" w:color="auto" w:fill="auto"/>
            <w:vAlign w:val="center"/>
          </w:tcPr>
          <w:p w14:paraId="283D8706">
            <w:pPr>
              <w:widowControl/>
              <w:jc w:val="center"/>
              <w:rPr>
                <w:rFonts w:ascii="宋体" w:hAnsi="宋体" w:cs="宋体"/>
                <w:color w:val="000000"/>
                <w:kern w:val="0"/>
                <w:sz w:val="18"/>
                <w:szCs w:val="18"/>
              </w:rPr>
            </w:pPr>
            <w:r>
              <w:rPr>
                <w:rFonts w:hint="eastAsia" w:ascii="宋体" w:hAnsi="宋体" w:cs="宋体"/>
                <w:color w:val="000000"/>
                <w:kern w:val="0"/>
                <w:sz w:val="18"/>
                <w:szCs w:val="18"/>
              </w:rPr>
              <w:t>耕地</w:t>
            </w:r>
          </w:p>
        </w:tc>
        <w:tc>
          <w:tcPr>
            <w:tcW w:w="960" w:type="dxa"/>
            <w:tcBorders>
              <w:top w:val="nil"/>
              <w:left w:val="nil"/>
              <w:bottom w:val="single" w:color="auto" w:sz="4" w:space="0"/>
              <w:right w:val="single" w:color="auto" w:sz="4" w:space="0"/>
            </w:tcBorders>
            <w:shd w:val="clear" w:color="auto" w:fill="auto"/>
            <w:noWrap/>
            <w:vAlign w:val="center"/>
          </w:tcPr>
          <w:p w14:paraId="57305DD7">
            <w:pPr>
              <w:widowControl/>
              <w:jc w:val="center"/>
              <w:rPr>
                <w:rFonts w:ascii="宋体" w:hAnsi="宋体" w:cs="宋体"/>
                <w:color w:val="000000"/>
                <w:kern w:val="0"/>
                <w:sz w:val="18"/>
                <w:szCs w:val="18"/>
              </w:rPr>
            </w:pPr>
            <w:r>
              <w:rPr>
                <w:rFonts w:ascii="宋体" w:hAnsi="宋体" w:cs="宋体"/>
                <w:color w:val="000000"/>
                <w:kern w:val="0"/>
                <w:sz w:val="18"/>
                <w:szCs w:val="18"/>
              </w:rPr>
              <w:t>1053.98</w:t>
            </w:r>
          </w:p>
        </w:tc>
        <w:tc>
          <w:tcPr>
            <w:tcW w:w="960" w:type="dxa"/>
            <w:tcBorders>
              <w:top w:val="nil"/>
              <w:left w:val="nil"/>
              <w:bottom w:val="single" w:color="auto" w:sz="4" w:space="0"/>
              <w:right w:val="single" w:color="auto" w:sz="4" w:space="0"/>
            </w:tcBorders>
            <w:shd w:val="clear" w:color="auto" w:fill="auto"/>
            <w:vAlign w:val="center"/>
          </w:tcPr>
          <w:p w14:paraId="156507DB">
            <w:pPr>
              <w:widowControl/>
              <w:jc w:val="center"/>
              <w:rPr>
                <w:rFonts w:ascii="宋体" w:hAnsi="宋体" w:cs="宋体"/>
                <w:color w:val="000000"/>
                <w:kern w:val="0"/>
                <w:sz w:val="18"/>
                <w:szCs w:val="18"/>
              </w:rPr>
            </w:pPr>
            <w:r>
              <w:rPr>
                <w:rFonts w:hint="eastAsia" w:ascii="宋体" w:hAnsi="宋体" w:cs="宋体"/>
                <w:color w:val="000000"/>
                <w:kern w:val="0"/>
                <w:sz w:val="18"/>
                <w:szCs w:val="18"/>
              </w:rPr>
              <w:t>36.93%</w:t>
            </w:r>
          </w:p>
        </w:tc>
        <w:tc>
          <w:tcPr>
            <w:tcW w:w="846" w:type="dxa"/>
            <w:tcBorders>
              <w:top w:val="nil"/>
              <w:left w:val="nil"/>
              <w:bottom w:val="single" w:color="auto" w:sz="4" w:space="0"/>
              <w:right w:val="single" w:color="auto" w:sz="4" w:space="0"/>
            </w:tcBorders>
            <w:shd w:val="clear" w:color="auto" w:fill="auto"/>
            <w:noWrap/>
            <w:vAlign w:val="center"/>
          </w:tcPr>
          <w:p w14:paraId="33B565C6">
            <w:pPr>
              <w:widowControl/>
              <w:jc w:val="center"/>
              <w:rPr>
                <w:rFonts w:ascii="宋体" w:hAnsi="宋体" w:cs="宋体"/>
                <w:color w:val="000000"/>
                <w:kern w:val="0"/>
                <w:sz w:val="18"/>
                <w:szCs w:val="18"/>
              </w:rPr>
            </w:pPr>
            <w:r>
              <w:rPr>
                <w:rFonts w:ascii="宋体" w:hAnsi="宋体" w:cs="宋体"/>
                <w:color w:val="000000"/>
                <w:kern w:val="0"/>
                <w:sz w:val="18"/>
                <w:szCs w:val="18"/>
              </w:rPr>
              <w:t>1009.69</w:t>
            </w:r>
          </w:p>
        </w:tc>
        <w:tc>
          <w:tcPr>
            <w:tcW w:w="1100" w:type="dxa"/>
            <w:tcBorders>
              <w:top w:val="nil"/>
              <w:left w:val="nil"/>
              <w:bottom w:val="single" w:color="auto" w:sz="4" w:space="0"/>
              <w:right w:val="single" w:color="auto" w:sz="4" w:space="0"/>
            </w:tcBorders>
            <w:shd w:val="clear" w:color="auto" w:fill="auto"/>
            <w:vAlign w:val="center"/>
          </w:tcPr>
          <w:p w14:paraId="77BD3E94">
            <w:pPr>
              <w:widowControl/>
              <w:jc w:val="center"/>
              <w:rPr>
                <w:rFonts w:ascii="宋体" w:hAnsi="宋体" w:cs="宋体"/>
                <w:color w:val="000000"/>
                <w:kern w:val="0"/>
                <w:sz w:val="18"/>
                <w:szCs w:val="18"/>
              </w:rPr>
            </w:pPr>
            <w:r>
              <w:rPr>
                <w:rFonts w:hint="eastAsia" w:ascii="宋体" w:hAnsi="宋体" w:cs="宋体"/>
                <w:color w:val="000000"/>
                <w:kern w:val="0"/>
                <w:sz w:val="18"/>
                <w:szCs w:val="18"/>
              </w:rPr>
              <w:t>35.38%</w:t>
            </w:r>
          </w:p>
        </w:tc>
        <w:tc>
          <w:tcPr>
            <w:tcW w:w="934" w:type="dxa"/>
            <w:tcBorders>
              <w:top w:val="nil"/>
              <w:left w:val="nil"/>
              <w:bottom w:val="single" w:color="auto" w:sz="4" w:space="0"/>
              <w:right w:val="single" w:color="auto" w:sz="4" w:space="0"/>
            </w:tcBorders>
            <w:shd w:val="clear" w:color="auto" w:fill="auto"/>
            <w:vAlign w:val="center"/>
          </w:tcPr>
          <w:p w14:paraId="5E394F7E">
            <w:pPr>
              <w:widowControl/>
              <w:jc w:val="center"/>
              <w:rPr>
                <w:rFonts w:ascii="宋体" w:hAnsi="宋体" w:cs="宋体"/>
                <w:color w:val="000000"/>
                <w:kern w:val="0"/>
                <w:sz w:val="18"/>
                <w:szCs w:val="18"/>
              </w:rPr>
            </w:pPr>
            <w:r>
              <w:rPr>
                <w:rFonts w:hint="eastAsia" w:ascii="宋体" w:hAnsi="宋体" w:cs="宋体"/>
                <w:color w:val="000000"/>
                <w:kern w:val="0"/>
                <w:sz w:val="18"/>
                <w:szCs w:val="18"/>
              </w:rPr>
              <w:t>-44.29</w:t>
            </w:r>
          </w:p>
        </w:tc>
        <w:tc>
          <w:tcPr>
            <w:tcW w:w="960" w:type="dxa"/>
            <w:tcBorders>
              <w:top w:val="nil"/>
              <w:left w:val="nil"/>
              <w:bottom w:val="single" w:color="auto" w:sz="4" w:space="0"/>
              <w:right w:val="single" w:color="auto" w:sz="4" w:space="0"/>
            </w:tcBorders>
            <w:shd w:val="clear" w:color="auto" w:fill="auto"/>
            <w:vAlign w:val="center"/>
          </w:tcPr>
          <w:p w14:paraId="38718C86">
            <w:pPr>
              <w:widowControl/>
              <w:jc w:val="center"/>
              <w:rPr>
                <w:rFonts w:ascii="宋体" w:hAnsi="宋体" w:cs="宋体"/>
                <w:color w:val="000000"/>
                <w:kern w:val="0"/>
                <w:sz w:val="18"/>
                <w:szCs w:val="18"/>
              </w:rPr>
            </w:pPr>
            <w:r>
              <w:rPr>
                <w:rFonts w:hint="eastAsia" w:ascii="宋体" w:hAnsi="宋体" w:cs="宋体"/>
                <w:color w:val="000000"/>
                <w:kern w:val="0"/>
                <w:sz w:val="18"/>
                <w:szCs w:val="18"/>
              </w:rPr>
              <w:t>-1.55%</w:t>
            </w:r>
          </w:p>
        </w:tc>
      </w:tr>
      <w:tr w14:paraId="7F5D5F8B">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17EEEC37">
            <w:pPr>
              <w:widowControl/>
              <w:jc w:val="left"/>
              <w:rPr>
                <w:rFonts w:ascii="宋体" w:hAnsi="宋体" w:cs="宋体"/>
                <w:color w:val="000000"/>
                <w:kern w:val="0"/>
                <w:sz w:val="18"/>
                <w:szCs w:val="18"/>
              </w:rPr>
            </w:pPr>
          </w:p>
        </w:tc>
        <w:tc>
          <w:tcPr>
            <w:tcW w:w="2589" w:type="dxa"/>
            <w:gridSpan w:val="2"/>
            <w:tcBorders>
              <w:top w:val="single" w:color="auto" w:sz="4" w:space="0"/>
              <w:left w:val="nil"/>
              <w:bottom w:val="single" w:color="auto" w:sz="4" w:space="0"/>
              <w:right w:val="single" w:color="auto" w:sz="4" w:space="0"/>
            </w:tcBorders>
            <w:shd w:val="clear" w:color="auto" w:fill="auto"/>
            <w:vAlign w:val="center"/>
          </w:tcPr>
          <w:p w14:paraId="1D1105CA">
            <w:pPr>
              <w:widowControl/>
              <w:jc w:val="center"/>
              <w:rPr>
                <w:rFonts w:ascii="宋体" w:hAnsi="宋体" w:cs="宋体"/>
                <w:color w:val="000000"/>
                <w:kern w:val="0"/>
                <w:sz w:val="18"/>
                <w:szCs w:val="18"/>
              </w:rPr>
            </w:pPr>
            <w:r>
              <w:rPr>
                <w:rFonts w:hint="eastAsia" w:ascii="宋体" w:hAnsi="宋体" w:cs="宋体"/>
                <w:color w:val="000000"/>
                <w:kern w:val="0"/>
                <w:sz w:val="18"/>
                <w:szCs w:val="18"/>
              </w:rPr>
              <w:t>园地</w:t>
            </w:r>
          </w:p>
        </w:tc>
        <w:tc>
          <w:tcPr>
            <w:tcW w:w="960" w:type="dxa"/>
            <w:tcBorders>
              <w:top w:val="nil"/>
              <w:left w:val="nil"/>
              <w:bottom w:val="single" w:color="auto" w:sz="4" w:space="0"/>
              <w:right w:val="single" w:color="auto" w:sz="4" w:space="0"/>
            </w:tcBorders>
            <w:shd w:val="clear" w:color="auto" w:fill="auto"/>
            <w:noWrap/>
            <w:vAlign w:val="center"/>
          </w:tcPr>
          <w:p w14:paraId="2DA854ED">
            <w:pPr>
              <w:widowControl/>
              <w:jc w:val="center"/>
              <w:rPr>
                <w:rFonts w:ascii="宋体" w:hAnsi="宋体" w:cs="宋体"/>
                <w:color w:val="000000"/>
                <w:kern w:val="0"/>
                <w:sz w:val="18"/>
                <w:szCs w:val="18"/>
              </w:rPr>
            </w:pPr>
            <w:r>
              <w:rPr>
                <w:rFonts w:ascii="宋体" w:hAnsi="宋体" w:cs="宋体"/>
                <w:color w:val="000000"/>
                <w:kern w:val="0"/>
                <w:sz w:val="18"/>
                <w:szCs w:val="18"/>
              </w:rPr>
              <w:t>285.73</w:t>
            </w:r>
          </w:p>
        </w:tc>
        <w:tc>
          <w:tcPr>
            <w:tcW w:w="960" w:type="dxa"/>
            <w:tcBorders>
              <w:top w:val="nil"/>
              <w:left w:val="nil"/>
              <w:bottom w:val="single" w:color="auto" w:sz="4" w:space="0"/>
              <w:right w:val="single" w:color="auto" w:sz="4" w:space="0"/>
            </w:tcBorders>
            <w:shd w:val="clear" w:color="auto" w:fill="auto"/>
            <w:vAlign w:val="center"/>
          </w:tcPr>
          <w:p w14:paraId="726DAF24">
            <w:pPr>
              <w:widowControl/>
              <w:jc w:val="center"/>
              <w:rPr>
                <w:rFonts w:ascii="宋体" w:hAnsi="宋体" w:cs="宋体"/>
                <w:color w:val="000000"/>
                <w:kern w:val="0"/>
                <w:sz w:val="18"/>
                <w:szCs w:val="18"/>
              </w:rPr>
            </w:pPr>
            <w:r>
              <w:rPr>
                <w:rFonts w:hint="eastAsia" w:ascii="宋体" w:hAnsi="宋体" w:cs="宋体"/>
                <w:color w:val="000000"/>
                <w:kern w:val="0"/>
                <w:sz w:val="18"/>
                <w:szCs w:val="18"/>
              </w:rPr>
              <w:t>10.01%</w:t>
            </w:r>
          </w:p>
        </w:tc>
        <w:tc>
          <w:tcPr>
            <w:tcW w:w="846" w:type="dxa"/>
            <w:tcBorders>
              <w:top w:val="nil"/>
              <w:left w:val="nil"/>
              <w:bottom w:val="single" w:color="auto" w:sz="4" w:space="0"/>
              <w:right w:val="single" w:color="auto" w:sz="4" w:space="0"/>
            </w:tcBorders>
            <w:shd w:val="clear" w:color="auto" w:fill="auto"/>
            <w:noWrap/>
            <w:vAlign w:val="center"/>
          </w:tcPr>
          <w:p w14:paraId="12DF1186">
            <w:pPr>
              <w:widowControl/>
              <w:jc w:val="center"/>
              <w:rPr>
                <w:rFonts w:ascii="宋体" w:hAnsi="宋体" w:cs="宋体"/>
                <w:color w:val="000000"/>
                <w:kern w:val="0"/>
                <w:sz w:val="18"/>
                <w:szCs w:val="18"/>
              </w:rPr>
            </w:pPr>
            <w:r>
              <w:rPr>
                <w:rFonts w:ascii="宋体" w:hAnsi="宋体" w:cs="宋体"/>
                <w:color w:val="000000"/>
                <w:kern w:val="0"/>
                <w:sz w:val="18"/>
                <w:szCs w:val="18"/>
              </w:rPr>
              <w:t>265.91</w:t>
            </w:r>
          </w:p>
        </w:tc>
        <w:tc>
          <w:tcPr>
            <w:tcW w:w="1100" w:type="dxa"/>
            <w:tcBorders>
              <w:top w:val="nil"/>
              <w:left w:val="nil"/>
              <w:bottom w:val="single" w:color="auto" w:sz="4" w:space="0"/>
              <w:right w:val="single" w:color="auto" w:sz="4" w:space="0"/>
            </w:tcBorders>
            <w:shd w:val="clear" w:color="auto" w:fill="auto"/>
            <w:vAlign w:val="center"/>
          </w:tcPr>
          <w:p w14:paraId="3073D2D0">
            <w:pPr>
              <w:widowControl/>
              <w:jc w:val="center"/>
              <w:rPr>
                <w:rFonts w:ascii="宋体" w:hAnsi="宋体" w:cs="宋体"/>
                <w:color w:val="000000"/>
                <w:kern w:val="0"/>
                <w:sz w:val="18"/>
                <w:szCs w:val="18"/>
              </w:rPr>
            </w:pPr>
            <w:r>
              <w:rPr>
                <w:rFonts w:hint="eastAsia" w:ascii="宋体" w:hAnsi="宋体" w:cs="宋体"/>
                <w:color w:val="000000"/>
                <w:kern w:val="0"/>
                <w:sz w:val="18"/>
                <w:szCs w:val="18"/>
              </w:rPr>
              <w:t>9.32%</w:t>
            </w:r>
          </w:p>
        </w:tc>
        <w:tc>
          <w:tcPr>
            <w:tcW w:w="934" w:type="dxa"/>
            <w:tcBorders>
              <w:top w:val="nil"/>
              <w:left w:val="nil"/>
              <w:bottom w:val="single" w:color="auto" w:sz="4" w:space="0"/>
              <w:right w:val="single" w:color="auto" w:sz="4" w:space="0"/>
            </w:tcBorders>
            <w:shd w:val="clear" w:color="auto" w:fill="auto"/>
            <w:vAlign w:val="center"/>
          </w:tcPr>
          <w:p w14:paraId="16E47F23">
            <w:pPr>
              <w:widowControl/>
              <w:jc w:val="center"/>
              <w:rPr>
                <w:rFonts w:ascii="宋体" w:hAnsi="宋体" w:cs="宋体"/>
                <w:color w:val="000000"/>
                <w:kern w:val="0"/>
                <w:sz w:val="18"/>
                <w:szCs w:val="18"/>
              </w:rPr>
            </w:pPr>
            <w:r>
              <w:rPr>
                <w:rFonts w:hint="eastAsia" w:ascii="宋体" w:hAnsi="宋体" w:cs="宋体"/>
                <w:color w:val="000000"/>
                <w:kern w:val="0"/>
                <w:sz w:val="18"/>
                <w:szCs w:val="18"/>
              </w:rPr>
              <w:t>-19.82</w:t>
            </w:r>
          </w:p>
        </w:tc>
        <w:tc>
          <w:tcPr>
            <w:tcW w:w="960" w:type="dxa"/>
            <w:tcBorders>
              <w:top w:val="nil"/>
              <w:left w:val="nil"/>
              <w:bottom w:val="single" w:color="auto" w:sz="4" w:space="0"/>
              <w:right w:val="single" w:color="auto" w:sz="4" w:space="0"/>
            </w:tcBorders>
            <w:shd w:val="clear" w:color="auto" w:fill="auto"/>
            <w:vAlign w:val="center"/>
          </w:tcPr>
          <w:p w14:paraId="0DD7527F">
            <w:pPr>
              <w:widowControl/>
              <w:jc w:val="center"/>
              <w:rPr>
                <w:rFonts w:ascii="宋体" w:hAnsi="宋体" w:cs="宋体"/>
                <w:color w:val="000000"/>
                <w:kern w:val="0"/>
                <w:sz w:val="18"/>
                <w:szCs w:val="18"/>
              </w:rPr>
            </w:pPr>
            <w:r>
              <w:rPr>
                <w:rFonts w:hint="eastAsia" w:ascii="宋体" w:hAnsi="宋体" w:cs="宋体"/>
                <w:color w:val="000000"/>
                <w:kern w:val="0"/>
                <w:sz w:val="18"/>
                <w:szCs w:val="18"/>
              </w:rPr>
              <w:t>-0.69%</w:t>
            </w:r>
          </w:p>
        </w:tc>
      </w:tr>
      <w:tr w14:paraId="22358B18">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4A16212F">
            <w:pPr>
              <w:widowControl/>
              <w:jc w:val="left"/>
              <w:rPr>
                <w:rFonts w:ascii="宋体" w:hAnsi="宋体" w:cs="宋体"/>
                <w:color w:val="000000"/>
                <w:kern w:val="0"/>
                <w:sz w:val="18"/>
                <w:szCs w:val="18"/>
              </w:rPr>
            </w:pPr>
          </w:p>
        </w:tc>
        <w:tc>
          <w:tcPr>
            <w:tcW w:w="2589" w:type="dxa"/>
            <w:gridSpan w:val="2"/>
            <w:tcBorders>
              <w:top w:val="single" w:color="auto" w:sz="4" w:space="0"/>
              <w:left w:val="nil"/>
              <w:bottom w:val="single" w:color="auto" w:sz="4" w:space="0"/>
              <w:right w:val="single" w:color="auto" w:sz="4" w:space="0"/>
            </w:tcBorders>
            <w:shd w:val="clear" w:color="auto" w:fill="auto"/>
            <w:vAlign w:val="center"/>
          </w:tcPr>
          <w:p w14:paraId="3CC92857">
            <w:pPr>
              <w:widowControl/>
              <w:jc w:val="center"/>
              <w:rPr>
                <w:rFonts w:ascii="宋体" w:hAnsi="宋体" w:cs="宋体"/>
                <w:color w:val="000000"/>
                <w:kern w:val="0"/>
                <w:sz w:val="18"/>
                <w:szCs w:val="18"/>
              </w:rPr>
            </w:pPr>
            <w:r>
              <w:rPr>
                <w:rFonts w:hint="eastAsia" w:ascii="宋体" w:hAnsi="宋体" w:cs="宋体"/>
                <w:color w:val="000000"/>
                <w:kern w:val="0"/>
                <w:sz w:val="18"/>
                <w:szCs w:val="18"/>
              </w:rPr>
              <w:t>林地</w:t>
            </w:r>
          </w:p>
        </w:tc>
        <w:tc>
          <w:tcPr>
            <w:tcW w:w="960" w:type="dxa"/>
            <w:tcBorders>
              <w:top w:val="nil"/>
              <w:left w:val="nil"/>
              <w:bottom w:val="single" w:color="auto" w:sz="4" w:space="0"/>
              <w:right w:val="single" w:color="auto" w:sz="4" w:space="0"/>
            </w:tcBorders>
            <w:shd w:val="clear" w:color="auto" w:fill="auto"/>
            <w:noWrap/>
            <w:vAlign w:val="center"/>
          </w:tcPr>
          <w:p w14:paraId="761CC4C6">
            <w:pPr>
              <w:widowControl/>
              <w:jc w:val="center"/>
              <w:rPr>
                <w:rFonts w:ascii="宋体" w:hAnsi="宋体" w:cs="宋体"/>
                <w:color w:val="000000"/>
                <w:kern w:val="0"/>
                <w:sz w:val="18"/>
                <w:szCs w:val="18"/>
              </w:rPr>
            </w:pPr>
            <w:r>
              <w:rPr>
                <w:rFonts w:ascii="宋体" w:hAnsi="宋体" w:cs="宋体"/>
                <w:color w:val="000000"/>
                <w:kern w:val="0"/>
                <w:sz w:val="18"/>
                <w:szCs w:val="18"/>
              </w:rPr>
              <w:t>155.48</w:t>
            </w:r>
          </w:p>
        </w:tc>
        <w:tc>
          <w:tcPr>
            <w:tcW w:w="960" w:type="dxa"/>
            <w:tcBorders>
              <w:top w:val="nil"/>
              <w:left w:val="nil"/>
              <w:bottom w:val="single" w:color="auto" w:sz="4" w:space="0"/>
              <w:right w:val="single" w:color="auto" w:sz="4" w:space="0"/>
            </w:tcBorders>
            <w:shd w:val="clear" w:color="auto" w:fill="auto"/>
            <w:vAlign w:val="center"/>
          </w:tcPr>
          <w:p w14:paraId="03013B9E">
            <w:pPr>
              <w:widowControl/>
              <w:jc w:val="center"/>
              <w:rPr>
                <w:rFonts w:ascii="宋体" w:hAnsi="宋体" w:cs="宋体"/>
                <w:color w:val="000000"/>
                <w:kern w:val="0"/>
                <w:sz w:val="18"/>
                <w:szCs w:val="18"/>
              </w:rPr>
            </w:pPr>
            <w:r>
              <w:rPr>
                <w:rFonts w:hint="eastAsia" w:ascii="宋体" w:hAnsi="宋体" w:cs="宋体"/>
                <w:color w:val="000000"/>
                <w:kern w:val="0"/>
                <w:sz w:val="18"/>
                <w:szCs w:val="18"/>
              </w:rPr>
              <w:t>5.45%</w:t>
            </w:r>
          </w:p>
        </w:tc>
        <w:tc>
          <w:tcPr>
            <w:tcW w:w="846" w:type="dxa"/>
            <w:tcBorders>
              <w:top w:val="nil"/>
              <w:left w:val="nil"/>
              <w:bottom w:val="single" w:color="auto" w:sz="4" w:space="0"/>
              <w:right w:val="single" w:color="auto" w:sz="4" w:space="0"/>
            </w:tcBorders>
            <w:shd w:val="clear" w:color="auto" w:fill="auto"/>
            <w:noWrap/>
            <w:vAlign w:val="center"/>
          </w:tcPr>
          <w:p w14:paraId="18396DDC">
            <w:pPr>
              <w:widowControl/>
              <w:jc w:val="center"/>
              <w:rPr>
                <w:rFonts w:ascii="宋体" w:hAnsi="宋体" w:cs="宋体"/>
                <w:color w:val="000000"/>
                <w:kern w:val="0"/>
                <w:sz w:val="18"/>
                <w:szCs w:val="18"/>
              </w:rPr>
            </w:pPr>
            <w:r>
              <w:rPr>
                <w:rFonts w:ascii="宋体" w:hAnsi="宋体" w:cs="宋体"/>
                <w:color w:val="000000"/>
                <w:kern w:val="0"/>
                <w:sz w:val="18"/>
                <w:szCs w:val="18"/>
              </w:rPr>
              <w:t>155.26</w:t>
            </w:r>
          </w:p>
        </w:tc>
        <w:tc>
          <w:tcPr>
            <w:tcW w:w="1100" w:type="dxa"/>
            <w:tcBorders>
              <w:top w:val="nil"/>
              <w:left w:val="nil"/>
              <w:bottom w:val="single" w:color="auto" w:sz="4" w:space="0"/>
              <w:right w:val="single" w:color="auto" w:sz="4" w:space="0"/>
            </w:tcBorders>
            <w:shd w:val="clear" w:color="auto" w:fill="auto"/>
            <w:vAlign w:val="center"/>
          </w:tcPr>
          <w:p w14:paraId="378F30A5">
            <w:pPr>
              <w:widowControl/>
              <w:jc w:val="center"/>
              <w:rPr>
                <w:rFonts w:ascii="宋体" w:hAnsi="宋体" w:cs="宋体"/>
                <w:color w:val="000000"/>
                <w:kern w:val="0"/>
                <w:sz w:val="18"/>
                <w:szCs w:val="18"/>
              </w:rPr>
            </w:pPr>
            <w:r>
              <w:rPr>
                <w:rFonts w:hint="eastAsia" w:ascii="宋体" w:hAnsi="宋体" w:cs="宋体"/>
                <w:color w:val="000000"/>
                <w:kern w:val="0"/>
                <w:sz w:val="18"/>
                <w:szCs w:val="18"/>
              </w:rPr>
              <w:t>5.44%</w:t>
            </w:r>
          </w:p>
        </w:tc>
        <w:tc>
          <w:tcPr>
            <w:tcW w:w="934" w:type="dxa"/>
            <w:tcBorders>
              <w:top w:val="nil"/>
              <w:left w:val="nil"/>
              <w:bottom w:val="single" w:color="auto" w:sz="4" w:space="0"/>
              <w:right w:val="single" w:color="auto" w:sz="4" w:space="0"/>
            </w:tcBorders>
            <w:shd w:val="clear" w:color="auto" w:fill="auto"/>
            <w:vAlign w:val="center"/>
          </w:tcPr>
          <w:p w14:paraId="054D0E50">
            <w:pPr>
              <w:widowControl/>
              <w:jc w:val="center"/>
              <w:rPr>
                <w:rFonts w:ascii="宋体" w:hAnsi="宋体" w:cs="宋体"/>
                <w:color w:val="000000"/>
                <w:kern w:val="0"/>
                <w:sz w:val="18"/>
                <w:szCs w:val="18"/>
              </w:rPr>
            </w:pPr>
            <w:r>
              <w:rPr>
                <w:rFonts w:hint="eastAsia" w:ascii="宋体" w:hAnsi="宋体" w:cs="宋体"/>
                <w:color w:val="000000"/>
                <w:kern w:val="0"/>
                <w:sz w:val="18"/>
                <w:szCs w:val="18"/>
              </w:rPr>
              <w:t>-0.22</w:t>
            </w:r>
          </w:p>
        </w:tc>
        <w:tc>
          <w:tcPr>
            <w:tcW w:w="960" w:type="dxa"/>
            <w:tcBorders>
              <w:top w:val="nil"/>
              <w:left w:val="nil"/>
              <w:bottom w:val="single" w:color="auto" w:sz="4" w:space="0"/>
              <w:right w:val="single" w:color="auto" w:sz="4" w:space="0"/>
            </w:tcBorders>
            <w:shd w:val="clear" w:color="auto" w:fill="auto"/>
            <w:vAlign w:val="center"/>
          </w:tcPr>
          <w:p w14:paraId="723CEF39">
            <w:pPr>
              <w:widowControl/>
              <w:jc w:val="center"/>
              <w:rPr>
                <w:rFonts w:ascii="宋体" w:hAnsi="宋体" w:cs="宋体"/>
                <w:color w:val="000000"/>
                <w:kern w:val="0"/>
                <w:sz w:val="18"/>
                <w:szCs w:val="18"/>
              </w:rPr>
            </w:pPr>
            <w:r>
              <w:rPr>
                <w:rFonts w:hint="eastAsia" w:ascii="宋体" w:hAnsi="宋体" w:cs="宋体"/>
                <w:color w:val="000000"/>
                <w:kern w:val="0"/>
                <w:sz w:val="18"/>
                <w:szCs w:val="18"/>
              </w:rPr>
              <w:t>-0.01%</w:t>
            </w:r>
          </w:p>
        </w:tc>
      </w:tr>
      <w:tr w14:paraId="6F292700">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429F4898">
            <w:pPr>
              <w:widowControl/>
              <w:jc w:val="left"/>
              <w:rPr>
                <w:rFonts w:ascii="宋体" w:hAnsi="宋体" w:cs="宋体"/>
                <w:color w:val="000000"/>
                <w:kern w:val="0"/>
                <w:sz w:val="18"/>
                <w:szCs w:val="18"/>
              </w:rPr>
            </w:pPr>
          </w:p>
        </w:tc>
        <w:tc>
          <w:tcPr>
            <w:tcW w:w="2589" w:type="dxa"/>
            <w:gridSpan w:val="2"/>
            <w:tcBorders>
              <w:top w:val="single" w:color="auto" w:sz="4" w:space="0"/>
              <w:left w:val="nil"/>
              <w:bottom w:val="single" w:color="auto" w:sz="4" w:space="0"/>
              <w:right w:val="single" w:color="auto" w:sz="4" w:space="0"/>
            </w:tcBorders>
            <w:shd w:val="clear" w:color="auto" w:fill="auto"/>
            <w:vAlign w:val="center"/>
          </w:tcPr>
          <w:p w14:paraId="3772744D">
            <w:pPr>
              <w:widowControl/>
              <w:jc w:val="center"/>
              <w:rPr>
                <w:rFonts w:ascii="宋体" w:hAnsi="宋体" w:cs="宋体"/>
                <w:color w:val="000000"/>
                <w:kern w:val="0"/>
                <w:sz w:val="18"/>
                <w:szCs w:val="18"/>
              </w:rPr>
            </w:pPr>
            <w:r>
              <w:rPr>
                <w:rFonts w:hint="eastAsia" w:ascii="宋体" w:hAnsi="宋体" w:cs="宋体"/>
                <w:color w:val="000000"/>
                <w:kern w:val="0"/>
                <w:sz w:val="18"/>
                <w:szCs w:val="18"/>
              </w:rPr>
              <w:t>牧草地</w:t>
            </w:r>
          </w:p>
        </w:tc>
        <w:tc>
          <w:tcPr>
            <w:tcW w:w="960" w:type="dxa"/>
            <w:tcBorders>
              <w:top w:val="nil"/>
              <w:left w:val="nil"/>
              <w:bottom w:val="single" w:color="auto" w:sz="4" w:space="0"/>
              <w:right w:val="single" w:color="auto" w:sz="4" w:space="0"/>
            </w:tcBorders>
            <w:shd w:val="clear" w:color="auto" w:fill="auto"/>
            <w:noWrap/>
            <w:vAlign w:val="center"/>
          </w:tcPr>
          <w:p w14:paraId="6BA68B5E">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960" w:type="dxa"/>
            <w:tcBorders>
              <w:top w:val="nil"/>
              <w:left w:val="nil"/>
              <w:bottom w:val="single" w:color="auto" w:sz="4" w:space="0"/>
              <w:right w:val="single" w:color="auto" w:sz="4" w:space="0"/>
            </w:tcBorders>
            <w:shd w:val="clear" w:color="auto" w:fill="auto"/>
            <w:vAlign w:val="center"/>
          </w:tcPr>
          <w:p w14:paraId="695B0384">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46" w:type="dxa"/>
            <w:tcBorders>
              <w:top w:val="nil"/>
              <w:left w:val="nil"/>
              <w:bottom w:val="single" w:color="auto" w:sz="4" w:space="0"/>
              <w:right w:val="single" w:color="auto" w:sz="4" w:space="0"/>
            </w:tcBorders>
            <w:shd w:val="clear" w:color="auto" w:fill="auto"/>
            <w:noWrap/>
            <w:vAlign w:val="center"/>
          </w:tcPr>
          <w:p w14:paraId="064E1323">
            <w:pPr>
              <w:widowControl/>
              <w:jc w:val="center"/>
              <w:rPr>
                <w:rFonts w:ascii="宋体" w:hAnsi="宋体" w:cs="宋体"/>
                <w:color w:val="000000"/>
                <w:kern w:val="0"/>
                <w:sz w:val="18"/>
                <w:szCs w:val="18"/>
              </w:rPr>
            </w:pPr>
            <w:r>
              <w:rPr>
                <w:rFonts w:ascii="宋体" w:hAnsi="宋体" w:cs="宋体"/>
                <w:color w:val="000000"/>
                <w:kern w:val="0"/>
                <w:sz w:val="18"/>
                <w:szCs w:val="18"/>
              </w:rPr>
              <w:t xml:space="preserve">0.00 </w:t>
            </w:r>
          </w:p>
        </w:tc>
        <w:tc>
          <w:tcPr>
            <w:tcW w:w="1100" w:type="dxa"/>
            <w:tcBorders>
              <w:top w:val="nil"/>
              <w:left w:val="nil"/>
              <w:bottom w:val="single" w:color="auto" w:sz="4" w:space="0"/>
              <w:right w:val="single" w:color="auto" w:sz="4" w:space="0"/>
            </w:tcBorders>
            <w:shd w:val="clear" w:color="auto" w:fill="auto"/>
            <w:vAlign w:val="center"/>
          </w:tcPr>
          <w:p w14:paraId="60AA6111">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34" w:type="dxa"/>
            <w:tcBorders>
              <w:top w:val="nil"/>
              <w:left w:val="nil"/>
              <w:bottom w:val="single" w:color="auto" w:sz="4" w:space="0"/>
              <w:right w:val="single" w:color="auto" w:sz="4" w:space="0"/>
            </w:tcBorders>
            <w:shd w:val="clear" w:color="auto" w:fill="auto"/>
            <w:vAlign w:val="center"/>
          </w:tcPr>
          <w:p w14:paraId="7BCB7CB2">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960" w:type="dxa"/>
            <w:tcBorders>
              <w:top w:val="nil"/>
              <w:left w:val="nil"/>
              <w:bottom w:val="single" w:color="auto" w:sz="4" w:space="0"/>
              <w:right w:val="single" w:color="auto" w:sz="4" w:space="0"/>
            </w:tcBorders>
            <w:shd w:val="clear" w:color="auto" w:fill="auto"/>
            <w:vAlign w:val="center"/>
          </w:tcPr>
          <w:p w14:paraId="707ED19A">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6B41B1B2">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245B488E">
            <w:pPr>
              <w:widowControl/>
              <w:jc w:val="left"/>
              <w:rPr>
                <w:rFonts w:ascii="宋体" w:hAnsi="宋体" w:cs="宋体"/>
                <w:color w:val="000000"/>
                <w:kern w:val="0"/>
                <w:sz w:val="18"/>
                <w:szCs w:val="18"/>
              </w:rPr>
            </w:pPr>
          </w:p>
        </w:tc>
        <w:tc>
          <w:tcPr>
            <w:tcW w:w="2589" w:type="dxa"/>
            <w:gridSpan w:val="2"/>
            <w:tcBorders>
              <w:top w:val="single" w:color="auto" w:sz="4" w:space="0"/>
              <w:left w:val="nil"/>
              <w:bottom w:val="single" w:color="auto" w:sz="4" w:space="0"/>
              <w:right w:val="single" w:color="auto" w:sz="4" w:space="0"/>
            </w:tcBorders>
            <w:shd w:val="clear" w:color="auto" w:fill="auto"/>
            <w:vAlign w:val="center"/>
          </w:tcPr>
          <w:p w14:paraId="48BF70E8">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其他农用地</w:t>
            </w:r>
          </w:p>
        </w:tc>
        <w:tc>
          <w:tcPr>
            <w:tcW w:w="960" w:type="dxa"/>
            <w:tcBorders>
              <w:top w:val="nil"/>
              <w:left w:val="nil"/>
              <w:bottom w:val="single" w:color="auto" w:sz="4" w:space="0"/>
              <w:right w:val="single" w:color="auto" w:sz="4" w:space="0"/>
            </w:tcBorders>
            <w:shd w:val="clear" w:color="auto" w:fill="auto"/>
            <w:noWrap/>
            <w:vAlign w:val="center"/>
          </w:tcPr>
          <w:p w14:paraId="224B11A3">
            <w:pPr>
              <w:widowControl/>
              <w:jc w:val="center"/>
              <w:rPr>
                <w:rFonts w:ascii="宋体" w:hAnsi="宋体" w:cs="宋体"/>
                <w:color w:val="000000"/>
                <w:kern w:val="0"/>
                <w:sz w:val="18"/>
                <w:szCs w:val="18"/>
              </w:rPr>
            </w:pPr>
            <w:r>
              <w:rPr>
                <w:rFonts w:ascii="宋体" w:hAnsi="宋体" w:cs="宋体"/>
                <w:color w:val="000000"/>
                <w:kern w:val="0"/>
                <w:sz w:val="18"/>
                <w:szCs w:val="18"/>
              </w:rPr>
              <w:t xml:space="preserve">44.53 </w:t>
            </w:r>
          </w:p>
        </w:tc>
        <w:tc>
          <w:tcPr>
            <w:tcW w:w="960" w:type="dxa"/>
            <w:tcBorders>
              <w:top w:val="nil"/>
              <w:left w:val="nil"/>
              <w:bottom w:val="single" w:color="auto" w:sz="4" w:space="0"/>
              <w:right w:val="single" w:color="auto" w:sz="4" w:space="0"/>
            </w:tcBorders>
            <w:shd w:val="clear" w:color="auto" w:fill="auto"/>
            <w:vAlign w:val="center"/>
          </w:tcPr>
          <w:p w14:paraId="17C925F1">
            <w:pPr>
              <w:widowControl/>
              <w:jc w:val="center"/>
              <w:rPr>
                <w:rFonts w:ascii="宋体" w:hAnsi="宋体" w:cs="宋体"/>
                <w:color w:val="000000"/>
                <w:kern w:val="0"/>
                <w:sz w:val="18"/>
                <w:szCs w:val="18"/>
              </w:rPr>
            </w:pPr>
            <w:r>
              <w:rPr>
                <w:rFonts w:hint="eastAsia" w:ascii="宋体" w:hAnsi="宋体" w:cs="宋体"/>
                <w:color w:val="000000"/>
                <w:kern w:val="0"/>
                <w:sz w:val="18"/>
                <w:szCs w:val="18"/>
              </w:rPr>
              <w:t>1.56%</w:t>
            </w:r>
          </w:p>
        </w:tc>
        <w:tc>
          <w:tcPr>
            <w:tcW w:w="846" w:type="dxa"/>
            <w:tcBorders>
              <w:top w:val="nil"/>
              <w:left w:val="nil"/>
              <w:bottom w:val="single" w:color="auto" w:sz="4" w:space="0"/>
              <w:right w:val="single" w:color="auto" w:sz="4" w:space="0"/>
            </w:tcBorders>
            <w:shd w:val="clear" w:color="auto" w:fill="auto"/>
            <w:noWrap/>
            <w:vAlign w:val="center"/>
          </w:tcPr>
          <w:p w14:paraId="17BFDEDF">
            <w:pPr>
              <w:widowControl/>
              <w:jc w:val="center"/>
              <w:rPr>
                <w:rFonts w:ascii="宋体" w:hAnsi="宋体" w:cs="宋体"/>
                <w:color w:val="000000"/>
                <w:kern w:val="0"/>
                <w:sz w:val="18"/>
                <w:szCs w:val="18"/>
              </w:rPr>
            </w:pPr>
            <w:r>
              <w:rPr>
                <w:rFonts w:ascii="宋体" w:hAnsi="宋体" w:cs="宋体"/>
                <w:color w:val="000000"/>
                <w:kern w:val="0"/>
                <w:sz w:val="18"/>
                <w:szCs w:val="18"/>
              </w:rPr>
              <w:t xml:space="preserve">41.87 </w:t>
            </w:r>
          </w:p>
        </w:tc>
        <w:tc>
          <w:tcPr>
            <w:tcW w:w="1100" w:type="dxa"/>
            <w:tcBorders>
              <w:top w:val="nil"/>
              <w:left w:val="nil"/>
              <w:bottom w:val="single" w:color="auto" w:sz="4" w:space="0"/>
              <w:right w:val="single" w:color="auto" w:sz="4" w:space="0"/>
            </w:tcBorders>
            <w:shd w:val="clear" w:color="auto" w:fill="auto"/>
            <w:vAlign w:val="center"/>
          </w:tcPr>
          <w:p w14:paraId="4A542067">
            <w:pPr>
              <w:widowControl/>
              <w:jc w:val="center"/>
              <w:rPr>
                <w:rFonts w:ascii="宋体" w:hAnsi="宋体" w:cs="宋体"/>
                <w:color w:val="000000"/>
                <w:kern w:val="0"/>
                <w:sz w:val="18"/>
                <w:szCs w:val="18"/>
              </w:rPr>
            </w:pPr>
            <w:r>
              <w:rPr>
                <w:rFonts w:hint="eastAsia" w:ascii="宋体" w:hAnsi="宋体" w:cs="宋体"/>
                <w:color w:val="000000"/>
                <w:kern w:val="0"/>
                <w:sz w:val="18"/>
                <w:szCs w:val="18"/>
              </w:rPr>
              <w:t>1.47%</w:t>
            </w:r>
          </w:p>
        </w:tc>
        <w:tc>
          <w:tcPr>
            <w:tcW w:w="934" w:type="dxa"/>
            <w:tcBorders>
              <w:top w:val="nil"/>
              <w:left w:val="nil"/>
              <w:bottom w:val="single" w:color="auto" w:sz="4" w:space="0"/>
              <w:right w:val="single" w:color="auto" w:sz="4" w:space="0"/>
            </w:tcBorders>
            <w:shd w:val="clear" w:color="auto" w:fill="auto"/>
            <w:vAlign w:val="center"/>
          </w:tcPr>
          <w:p w14:paraId="7BB8AEB2">
            <w:pPr>
              <w:widowControl/>
              <w:jc w:val="center"/>
              <w:rPr>
                <w:rFonts w:ascii="宋体" w:hAnsi="宋体" w:cs="宋体"/>
                <w:color w:val="000000"/>
                <w:kern w:val="0"/>
                <w:sz w:val="18"/>
                <w:szCs w:val="18"/>
              </w:rPr>
            </w:pPr>
            <w:r>
              <w:rPr>
                <w:rFonts w:hint="eastAsia" w:ascii="宋体" w:hAnsi="宋体" w:cs="宋体"/>
                <w:color w:val="000000"/>
                <w:kern w:val="0"/>
                <w:sz w:val="18"/>
                <w:szCs w:val="18"/>
              </w:rPr>
              <w:t>-2.66</w:t>
            </w:r>
          </w:p>
        </w:tc>
        <w:tc>
          <w:tcPr>
            <w:tcW w:w="960" w:type="dxa"/>
            <w:tcBorders>
              <w:top w:val="nil"/>
              <w:left w:val="nil"/>
              <w:bottom w:val="single" w:color="auto" w:sz="4" w:space="0"/>
              <w:right w:val="single" w:color="auto" w:sz="4" w:space="0"/>
            </w:tcBorders>
            <w:shd w:val="clear" w:color="auto" w:fill="auto"/>
            <w:vAlign w:val="center"/>
          </w:tcPr>
          <w:p w14:paraId="54A62FA6">
            <w:pPr>
              <w:widowControl/>
              <w:jc w:val="center"/>
              <w:rPr>
                <w:rFonts w:ascii="宋体" w:hAnsi="宋体" w:cs="宋体"/>
                <w:color w:val="000000"/>
                <w:kern w:val="0"/>
                <w:sz w:val="18"/>
                <w:szCs w:val="18"/>
              </w:rPr>
            </w:pPr>
            <w:r>
              <w:rPr>
                <w:rFonts w:hint="eastAsia" w:ascii="宋体" w:hAnsi="宋体" w:cs="宋体"/>
                <w:color w:val="000000"/>
                <w:kern w:val="0"/>
                <w:sz w:val="18"/>
                <w:szCs w:val="18"/>
              </w:rPr>
              <w:t>-0.09%</w:t>
            </w:r>
          </w:p>
        </w:tc>
      </w:tr>
      <w:tr w14:paraId="4C25AF33">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5138197F">
            <w:pPr>
              <w:widowControl/>
              <w:jc w:val="left"/>
              <w:rPr>
                <w:rFonts w:ascii="宋体" w:hAnsi="宋体" w:cs="宋体"/>
                <w:color w:val="000000"/>
                <w:kern w:val="0"/>
                <w:sz w:val="18"/>
                <w:szCs w:val="18"/>
              </w:rPr>
            </w:pPr>
          </w:p>
        </w:tc>
        <w:tc>
          <w:tcPr>
            <w:tcW w:w="2589" w:type="dxa"/>
            <w:gridSpan w:val="2"/>
            <w:tcBorders>
              <w:top w:val="single" w:color="auto" w:sz="4" w:space="0"/>
              <w:left w:val="nil"/>
              <w:bottom w:val="single" w:color="auto" w:sz="4" w:space="0"/>
              <w:right w:val="single" w:color="auto" w:sz="4" w:space="0"/>
            </w:tcBorders>
            <w:shd w:val="clear" w:color="auto" w:fill="auto"/>
            <w:vAlign w:val="center"/>
          </w:tcPr>
          <w:p w14:paraId="0B19A61C">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960" w:type="dxa"/>
            <w:tcBorders>
              <w:top w:val="nil"/>
              <w:left w:val="nil"/>
              <w:bottom w:val="single" w:color="auto" w:sz="4" w:space="0"/>
              <w:right w:val="single" w:color="auto" w:sz="4" w:space="0"/>
            </w:tcBorders>
            <w:shd w:val="clear" w:color="auto" w:fill="auto"/>
            <w:vAlign w:val="center"/>
          </w:tcPr>
          <w:p w14:paraId="117A0F68">
            <w:pPr>
              <w:widowControl/>
              <w:jc w:val="center"/>
              <w:rPr>
                <w:rFonts w:ascii="宋体" w:hAnsi="宋体" w:cs="宋体"/>
                <w:color w:val="000000"/>
                <w:kern w:val="0"/>
                <w:sz w:val="18"/>
                <w:szCs w:val="18"/>
              </w:rPr>
            </w:pPr>
            <w:r>
              <w:rPr>
                <w:rFonts w:ascii="宋体" w:hAnsi="宋体" w:cs="宋体"/>
                <w:color w:val="000000"/>
                <w:kern w:val="0"/>
                <w:sz w:val="18"/>
                <w:szCs w:val="18"/>
              </w:rPr>
              <w:t xml:space="preserve">1539.72 </w:t>
            </w:r>
          </w:p>
        </w:tc>
        <w:tc>
          <w:tcPr>
            <w:tcW w:w="960" w:type="dxa"/>
            <w:tcBorders>
              <w:top w:val="nil"/>
              <w:left w:val="nil"/>
              <w:bottom w:val="single" w:color="auto" w:sz="4" w:space="0"/>
              <w:right w:val="single" w:color="auto" w:sz="4" w:space="0"/>
            </w:tcBorders>
            <w:shd w:val="clear" w:color="auto" w:fill="auto"/>
            <w:vAlign w:val="center"/>
          </w:tcPr>
          <w:p w14:paraId="2DD3079A">
            <w:pPr>
              <w:widowControl/>
              <w:jc w:val="center"/>
              <w:rPr>
                <w:rFonts w:ascii="宋体" w:hAnsi="宋体" w:cs="宋体"/>
                <w:color w:val="000000"/>
                <w:kern w:val="0"/>
                <w:sz w:val="18"/>
                <w:szCs w:val="18"/>
              </w:rPr>
            </w:pPr>
            <w:r>
              <w:rPr>
                <w:rFonts w:hint="eastAsia" w:ascii="宋体" w:hAnsi="宋体" w:cs="宋体"/>
                <w:color w:val="000000"/>
                <w:kern w:val="0"/>
                <w:sz w:val="18"/>
                <w:szCs w:val="18"/>
              </w:rPr>
              <w:t>53.95%</w:t>
            </w:r>
          </w:p>
        </w:tc>
        <w:tc>
          <w:tcPr>
            <w:tcW w:w="846" w:type="dxa"/>
            <w:tcBorders>
              <w:top w:val="nil"/>
              <w:left w:val="nil"/>
              <w:bottom w:val="single" w:color="auto" w:sz="4" w:space="0"/>
              <w:right w:val="single" w:color="auto" w:sz="4" w:space="0"/>
            </w:tcBorders>
            <w:shd w:val="clear" w:color="auto" w:fill="auto"/>
            <w:noWrap/>
            <w:vAlign w:val="center"/>
          </w:tcPr>
          <w:p w14:paraId="35BDC3C2">
            <w:pPr>
              <w:widowControl/>
              <w:jc w:val="center"/>
              <w:rPr>
                <w:rFonts w:ascii="宋体" w:hAnsi="宋体" w:cs="宋体"/>
                <w:color w:val="000000"/>
                <w:kern w:val="0"/>
                <w:sz w:val="18"/>
                <w:szCs w:val="18"/>
              </w:rPr>
            </w:pPr>
            <w:r>
              <w:rPr>
                <w:rFonts w:ascii="宋体" w:hAnsi="宋体" w:cs="宋体"/>
                <w:color w:val="000000"/>
                <w:kern w:val="0"/>
                <w:sz w:val="18"/>
                <w:szCs w:val="18"/>
              </w:rPr>
              <w:t xml:space="preserve">1472.73 </w:t>
            </w:r>
          </w:p>
        </w:tc>
        <w:tc>
          <w:tcPr>
            <w:tcW w:w="1100" w:type="dxa"/>
            <w:tcBorders>
              <w:top w:val="nil"/>
              <w:left w:val="nil"/>
              <w:bottom w:val="single" w:color="auto" w:sz="4" w:space="0"/>
              <w:right w:val="single" w:color="auto" w:sz="4" w:space="0"/>
            </w:tcBorders>
            <w:shd w:val="clear" w:color="auto" w:fill="auto"/>
            <w:vAlign w:val="center"/>
          </w:tcPr>
          <w:p w14:paraId="58942835">
            <w:pPr>
              <w:widowControl/>
              <w:jc w:val="center"/>
              <w:rPr>
                <w:rFonts w:ascii="宋体" w:hAnsi="宋体" w:cs="宋体"/>
                <w:color w:val="000000"/>
                <w:kern w:val="0"/>
                <w:sz w:val="18"/>
                <w:szCs w:val="18"/>
              </w:rPr>
            </w:pPr>
            <w:r>
              <w:rPr>
                <w:rFonts w:hint="eastAsia" w:ascii="宋体" w:hAnsi="宋体" w:cs="宋体"/>
                <w:color w:val="000000"/>
                <w:kern w:val="0"/>
                <w:sz w:val="18"/>
                <w:szCs w:val="18"/>
              </w:rPr>
              <w:t>51.60%</w:t>
            </w:r>
          </w:p>
        </w:tc>
        <w:tc>
          <w:tcPr>
            <w:tcW w:w="934" w:type="dxa"/>
            <w:tcBorders>
              <w:top w:val="nil"/>
              <w:left w:val="nil"/>
              <w:bottom w:val="single" w:color="auto" w:sz="4" w:space="0"/>
              <w:right w:val="single" w:color="auto" w:sz="4" w:space="0"/>
            </w:tcBorders>
            <w:shd w:val="clear" w:color="auto" w:fill="auto"/>
            <w:vAlign w:val="center"/>
          </w:tcPr>
          <w:p w14:paraId="74BAC073">
            <w:pPr>
              <w:widowControl/>
              <w:jc w:val="center"/>
              <w:rPr>
                <w:rFonts w:ascii="宋体" w:hAnsi="宋体" w:cs="宋体"/>
                <w:color w:val="000000"/>
                <w:kern w:val="0"/>
                <w:sz w:val="18"/>
                <w:szCs w:val="18"/>
              </w:rPr>
            </w:pPr>
            <w:r>
              <w:rPr>
                <w:rFonts w:hint="eastAsia" w:ascii="宋体" w:hAnsi="宋体" w:cs="宋体"/>
                <w:color w:val="000000"/>
                <w:kern w:val="0"/>
                <w:sz w:val="18"/>
                <w:szCs w:val="18"/>
              </w:rPr>
              <w:t>-66.99</w:t>
            </w:r>
          </w:p>
        </w:tc>
        <w:tc>
          <w:tcPr>
            <w:tcW w:w="960" w:type="dxa"/>
            <w:tcBorders>
              <w:top w:val="nil"/>
              <w:left w:val="nil"/>
              <w:bottom w:val="single" w:color="auto" w:sz="4" w:space="0"/>
              <w:right w:val="single" w:color="auto" w:sz="4" w:space="0"/>
            </w:tcBorders>
            <w:shd w:val="clear" w:color="auto" w:fill="auto"/>
            <w:vAlign w:val="center"/>
          </w:tcPr>
          <w:p w14:paraId="162FFA46">
            <w:pPr>
              <w:widowControl/>
              <w:jc w:val="center"/>
              <w:rPr>
                <w:rFonts w:ascii="宋体" w:hAnsi="宋体" w:cs="宋体"/>
                <w:color w:val="000000"/>
                <w:kern w:val="0"/>
                <w:sz w:val="18"/>
                <w:szCs w:val="18"/>
              </w:rPr>
            </w:pPr>
            <w:r>
              <w:rPr>
                <w:rFonts w:hint="eastAsia" w:ascii="宋体" w:hAnsi="宋体" w:cs="宋体"/>
                <w:color w:val="000000"/>
                <w:kern w:val="0"/>
                <w:sz w:val="18"/>
                <w:szCs w:val="18"/>
              </w:rPr>
              <w:t>-2.35%</w:t>
            </w:r>
          </w:p>
        </w:tc>
      </w:tr>
      <w:tr w14:paraId="74E96F25">
        <w:tblPrEx>
          <w:tblCellMar>
            <w:top w:w="0" w:type="dxa"/>
            <w:left w:w="108" w:type="dxa"/>
            <w:bottom w:w="0" w:type="dxa"/>
            <w:right w:w="108" w:type="dxa"/>
          </w:tblCellMar>
        </w:tblPrEx>
        <w:trPr>
          <w:trHeight w:val="312" w:hRule="atLeast"/>
          <w:jc w:val="center"/>
        </w:trPr>
        <w:tc>
          <w:tcPr>
            <w:tcW w:w="960" w:type="dxa"/>
            <w:vMerge w:val="restart"/>
            <w:tcBorders>
              <w:top w:val="nil"/>
              <w:left w:val="single" w:color="auto" w:sz="4" w:space="0"/>
              <w:bottom w:val="single" w:color="auto" w:sz="4" w:space="0"/>
              <w:right w:val="single" w:color="auto" w:sz="4" w:space="0"/>
            </w:tcBorders>
            <w:shd w:val="clear" w:color="auto" w:fill="auto"/>
            <w:vAlign w:val="center"/>
          </w:tcPr>
          <w:p w14:paraId="18BE39FA">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w:t>
            </w:r>
          </w:p>
        </w:tc>
        <w:tc>
          <w:tcPr>
            <w:tcW w:w="753" w:type="dxa"/>
            <w:vMerge w:val="restart"/>
            <w:tcBorders>
              <w:top w:val="nil"/>
              <w:left w:val="single" w:color="auto" w:sz="4" w:space="0"/>
              <w:bottom w:val="single" w:color="auto" w:sz="4" w:space="0"/>
              <w:right w:val="single" w:color="auto" w:sz="4" w:space="0"/>
            </w:tcBorders>
            <w:shd w:val="clear" w:color="auto" w:fill="auto"/>
            <w:vAlign w:val="center"/>
          </w:tcPr>
          <w:p w14:paraId="160E0812">
            <w:pPr>
              <w:widowControl/>
              <w:jc w:val="center"/>
              <w:rPr>
                <w:rFonts w:ascii="宋体" w:hAnsi="宋体" w:cs="宋体"/>
                <w:color w:val="000000"/>
                <w:kern w:val="0"/>
                <w:sz w:val="18"/>
                <w:szCs w:val="18"/>
              </w:rPr>
            </w:pPr>
            <w:r>
              <w:rPr>
                <w:rFonts w:hint="eastAsia" w:ascii="宋体" w:hAnsi="宋体" w:cs="宋体"/>
                <w:color w:val="000000"/>
                <w:kern w:val="0"/>
                <w:sz w:val="18"/>
                <w:szCs w:val="18"/>
              </w:rPr>
              <w:t>城乡建设用地</w:t>
            </w:r>
          </w:p>
        </w:tc>
        <w:tc>
          <w:tcPr>
            <w:tcW w:w="1836" w:type="dxa"/>
            <w:tcBorders>
              <w:top w:val="nil"/>
              <w:left w:val="nil"/>
              <w:bottom w:val="single" w:color="auto" w:sz="4" w:space="0"/>
              <w:right w:val="single" w:color="auto" w:sz="4" w:space="0"/>
            </w:tcBorders>
            <w:shd w:val="clear" w:color="auto" w:fill="auto"/>
            <w:vAlign w:val="center"/>
          </w:tcPr>
          <w:p w14:paraId="2A1D338C">
            <w:pPr>
              <w:widowControl/>
              <w:jc w:val="center"/>
              <w:rPr>
                <w:rFonts w:ascii="宋体" w:hAnsi="宋体" w:cs="宋体"/>
                <w:color w:val="000000"/>
                <w:kern w:val="0"/>
                <w:sz w:val="18"/>
                <w:szCs w:val="18"/>
              </w:rPr>
            </w:pPr>
            <w:r>
              <w:rPr>
                <w:rFonts w:hint="eastAsia" w:ascii="宋体" w:hAnsi="宋体" w:cs="宋体"/>
                <w:color w:val="000000"/>
                <w:kern w:val="0"/>
                <w:sz w:val="18"/>
                <w:szCs w:val="18"/>
              </w:rPr>
              <w:t>城镇用地</w:t>
            </w:r>
          </w:p>
        </w:tc>
        <w:tc>
          <w:tcPr>
            <w:tcW w:w="960" w:type="dxa"/>
            <w:tcBorders>
              <w:top w:val="nil"/>
              <w:left w:val="nil"/>
              <w:bottom w:val="single" w:color="auto" w:sz="4" w:space="0"/>
              <w:right w:val="single" w:color="auto" w:sz="4" w:space="0"/>
            </w:tcBorders>
            <w:shd w:val="clear" w:color="auto" w:fill="auto"/>
            <w:vAlign w:val="center"/>
          </w:tcPr>
          <w:p w14:paraId="4ECF9563">
            <w:pPr>
              <w:widowControl/>
              <w:jc w:val="center"/>
              <w:rPr>
                <w:rFonts w:ascii="宋体" w:hAnsi="宋体" w:cs="宋体"/>
                <w:color w:val="000000"/>
                <w:kern w:val="0"/>
                <w:sz w:val="18"/>
                <w:szCs w:val="18"/>
              </w:rPr>
            </w:pPr>
            <w:r>
              <w:rPr>
                <w:rFonts w:ascii="宋体" w:hAnsi="宋体" w:cs="宋体"/>
                <w:color w:val="000000"/>
                <w:kern w:val="0"/>
                <w:sz w:val="18"/>
                <w:szCs w:val="18"/>
              </w:rPr>
              <w:t>707.58</w:t>
            </w:r>
          </w:p>
        </w:tc>
        <w:tc>
          <w:tcPr>
            <w:tcW w:w="960" w:type="dxa"/>
            <w:tcBorders>
              <w:top w:val="nil"/>
              <w:left w:val="nil"/>
              <w:bottom w:val="single" w:color="auto" w:sz="4" w:space="0"/>
              <w:right w:val="single" w:color="auto" w:sz="4" w:space="0"/>
            </w:tcBorders>
            <w:shd w:val="clear" w:color="auto" w:fill="auto"/>
            <w:vAlign w:val="center"/>
          </w:tcPr>
          <w:p w14:paraId="4D5DE413">
            <w:pPr>
              <w:widowControl/>
              <w:jc w:val="center"/>
              <w:rPr>
                <w:rFonts w:ascii="宋体" w:hAnsi="宋体" w:cs="宋体"/>
                <w:color w:val="000000"/>
                <w:kern w:val="0"/>
                <w:sz w:val="18"/>
                <w:szCs w:val="18"/>
              </w:rPr>
            </w:pPr>
            <w:r>
              <w:rPr>
                <w:rFonts w:hint="eastAsia" w:ascii="宋体" w:hAnsi="宋体" w:cs="宋体"/>
                <w:color w:val="000000"/>
                <w:kern w:val="0"/>
                <w:sz w:val="18"/>
                <w:szCs w:val="18"/>
              </w:rPr>
              <w:t>24.79%</w:t>
            </w:r>
          </w:p>
        </w:tc>
        <w:tc>
          <w:tcPr>
            <w:tcW w:w="846" w:type="dxa"/>
            <w:tcBorders>
              <w:top w:val="nil"/>
              <w:left w:val="nil"/>
              <w:bottom w:val="single" w:color="auto" w:sz="4" w:space="0"/>
              <w:right w:val="single" w:color="auto" w:sz="4" w:space="0"/>
            </w:tcBorders>
            <w:shd w:val="clear" w:color="auto" w:fill="auto"/>
            <w:noWrap/>
            <w:vAlign w:val="center"/>
          </w:tcPr>
          <w:p w14:paraId="5CAB0B94">
            <w:pPr>
              <w:widowControl/>
              <w:jc w:val="center"/>
              <w:rPr>
                <w:rFonts w:ascii="宋体" w:hAnsi="宋体" w:cs="宋体"/>
                <w:color w:val="000000"/>
                <w:kern w:val="0"/>
                <w:sz w:val="18"/>
                <w:szCs w:val="18"/>
              </w:rPr>
            </w:pPr>
            <w:r>
              <w:rPr>
                <w:rFonts w:ascii="宋体" w:hAnsi="宋体" w:cs="宋体"/>
                <w:color w:val="000000"/>
                <w:kern w:val="0"/>
                <w:sz w:val="18"/>
                <w:szCs w:val="18"/>
              </w:rPr>
              <w:t>769.32</w:t>
            </w:r>
          </w:p>
        </w:tc>
        <w:tc>
          <w:tcPr>
            <w:tcW w:w="1100" w:type="dxa"/>
            <w:tcBorders>
              <w:top w:val="nil"/>
              <w:left w:val="nil"/>
              <w:bottom w:val="single" w:color="auto" w:sz="4" w:space="0"/>
              <w:right w:val="single" w:color="auto" w:sz="4" w:space="0"/>
            </w:tcBorders>
            <w:shd w:val="clear" w:color="auto" w:fill="auto"/>
            <w:vAlign w:val="center"/>
          </w:tcPr>
          <w:p w14:paraId="1FA747D4">
            <w:pPr>
              <w:widowControl/>
              <w:jc w:val="center"/>
              <w:rPr>
                <w:rFonts w:ascii="宋体" w:hAnsi="宋体" w:cs="宋体"/>
                <w:color w:val="000000"/>
                <w:kern w:val="0"/>
                <w:sz w:val="18"/>
                <w:szCs w:val="18"/>
              </w:rPr>
            </w:pPr>
            <w:r>
              <w:rPr>
                <w:rFonts w:hint="eastAsia" w:ascii="宋体" w:hAnsi="宋体" w:cs="宋体"/>
                <w:color w:val="000000"/>
                <w:kern w:val="0"/>
                <w:sz w:val="18"/>
                <w:szCs w:val="18"/>
              </w:rPr>
              <w:t>26.95%</w:t>
            </w:r>
          </w:p>
        </w:tc>
        <w:tc>
          <w:tcPr>
            <w:tcW w:w="934" w:type="dxa"/>
            <w:tcBorders>
              <w:top w:val="nil"/>
              <w:left w:val="nil"/>
              <w:bottom w:val="single" w:color="auto" w:sz="4" w:space="0"/>
              <w:right w:val="single" w:color="auto" w:sz="4" w:space="0"/>
            </w:tcBorders>
            <w:shd w:val="clear" w:color="auto" w:fill="auto"/>
            <w:vAlign w:val="center"/>
          </w:tcPr>
          <w:p w14:paraId="654E3D82">
            <w:pPr>
              <w:widowControl/>
              <w:jc w:val="center"/>
              <w:rPr>
                <w:rFonts w:ascii="宋体" w:hAnsi="宋体" w:cs="宋体"/>
                <w:color w:val="000000"/>
                <w:kern w:val="0"/>
                <w:sz w:val="18"/>
                <w:szCs w:val="18"/>
              </w:rPr>
            </w:pPr>
            <w:r>
              <w:rPr>
                <w:rFonts w:hint="eastAsia" w:ascii="宋体" w:hAnsi="宋体" w:cs="宋体"/>
                <w:color w:val="000000"/>
                <w:kern w:val="0"/>
                <w:sz w:val="18"/>
                <w:szCs w:val="18"/>
              </w:rPr>
              <w:t>61.74</w:t>
            </w:r>
          </w:p>
        </w:tc>
        <w:tc>
          <w:tcPr>
            <w:tcW w:w="960" w:type="dxa"/>
            <w:tcBorders>
              <w:top w:val="nil"/>
              <w:left w:val="nil"/>
              <w:bottom w:val="single" w:color="auto" w:sz="4" w:space="0"/>
              <w:right w:val="single" w:color="auto" w:sz="4" w:space="0"/>
            </w:tcBorders>
            <w:shd w:val="clear" w:color="auto" w:fill="auto"/>
            <w:vAlign w:val="center"/>
          </w:tcPr>
          <w:p w14:paraId="76AFA5F7">
            <w:pPr>
              <w:widowControl/>
              <w:jc w:val="center"/>
              <w:rPr>
                <w:rFonts w:ascii="宋体" w:hAnsi="宋体" w:cs="宋体"/>
                <w:color w:val="000000"/>
                <w:kern w:val="0"/>
                <w:sz w:val="18"/>
                <w:szCs w:val="18"/>
              </w:rPr>
            </w:pPr>
            <w:r>
              <w:rPr>
                <w:rFonts w:hint="eastAsia" w:ascii="宋体" w:hAnsi="宋体" w:cs="宋体"/>
                <w:color w:val="000000"/>
                <w:kern w:val="0"/>
                <w:sz w:val="18"/>
                <w:szCs w:val="18"/>
              </w:rPr>
              <w:t>2.16%</w:t>
            </w:r>
          </w:p>
        </w:tc>
      </w:tr>
      <w:tr w14:paraId="196625A5">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6E3E8626">
            <w:pPr>
              <w:widowControl/>
              <w:jc w:val="left"/>
              <w:rPr>
                <w:rFonts w:ascii="宋体" w:hAnsi="宋体" w:cs="宋体"/>
                <w:color w:val="000000"/>
                <w:kern w:val="0"/>
                <w:sz w:val="18"/>
                <w:szCs w:val="18"/>
              </w:rPr>
            </w:pPr>
          </w:p>
        </w:tc>
        <w:tc>
          <w:tcPr>
            <w:tcW w:w="753" w:type="dxa"/>
            <w:vMerge w:val="continue"/>
            <w:tcBorders>
              <w:top w:val="nil"/>
              <w:left w:val="single" w:color="auto" w:sz="4" w:space="0"/>
              <w:bottom w:val="single" w:color="auto" w:sz="4" w:space="0"/>
              <w:right w:val="single" w:color="auto" w:sz="4" w:space="0"/>
            </w:tcBorders>
            <w:vAlign w:val="center"/>
          </w:tcPr>
          <w:p w14:paraId="29E1E172">
            <w:pPr>
              <w:widowControl/>
              <w:jc w:val="left"/>
              <w:rPr>
                <w:rFonts w:ascii="宋体" w:hAnsi="宋体" w:cs="宋体"/>
                <w:color w:val="000000"/>
                <w:kern w:val="0"/>
                <w:sz w:val="18"/>
                <w:szCs w:val="18"/>
              </w:rPr>
            </w:pPr>
          </w:p>
        </w:tc>
        <w:tc>
          <w:tcPr>
            <w:tcW w:w="1836" w:type="dxa"/>
            <w:tcBorders>
              <w:top w:val="nil"/>
              <w:left w:val="nil"/>
              <w:bottom w:val="single" w:color="auto" w:sz="4" w:space="0"/>
              <w:right w:val="single" w:color="auto" w:sz="4" w:space="0"/>
            </w:tcBorders>
            <w:shd w:val="clear" w:color="auto" w:fill="auto"/>
            <w:vAlign w:val="center"/>
          </w:tcPr>
          <w:p w14:paraId="6B20D836">
            <w:pPr>
              <w:widowControl/>
              <w:jc w:val="center"/>
              <w:rPr>
                <w:rFonts w:ascii="宋体" w:hAnsi="宋体" w:cs="宋体"/>
                <w:color w:val="000000"/>
                <w:kern w:val="0"/>
                <w:sz w:val="18"/>
                <w:szCs w:val="18"/>
              </w:rPr>
            </w:pPr>
            <w:r>
              <w:rPr>
                <w:rFonts w:hint="eastAsia" w:ascii="宋体" w:hAnsi="宋体" w:cs="宋体"/>
                <w:color w:val="000000"/>
                <w:kern w:val="0"/>
                <w:sz w:val="18"/>
                <w:szCs w:val="18"/>
              </w:rPr>
              <w:t>农村居民点用地</w:t>
            </w:r>
          </w:p>
        </w:tc>
        <w:tc>
          <w:tcPr>
            <w:tcW w:w="960" w:type="dxa"/>
            <w:tcBorders>
              <w:top w:val="nil"/>
              <w:left w:val="nil"/>
              <w:bottom w:val="single" w:color="auto" w:sz="4" w:space="0"/>
              <w:right w:val="single" w:color="auto" w:sz="4" w:space="0"/>
            </w:tcBorders>
            <w:shd w:val="clear" w:color="auto" w:fill="auto"/>
            <w:noWrap/>
            <w:vAlign w:val="center"/>
          </w:tcPr>
          <w:p w14:paraId="1F5EDA15">
            <w:pPr>
              <w:widowControl/>
              <w:jc w:val="center"/>
              <w:rPr>
                <w:rFonts w:ascii="宋体" w:hAnsi="宋体" w:cs="宋体"/>
                <w:color w:val="000000"/>
                <w:kern w:val="0"/>
                <w:sz w:val="18"/>
                <w:szCs w:val="18"/>
              </w:rPr>
            </w:pPr>
            <w:r>
              <w:rPr>
                <w:rFonts w:ascii="宋体" w:hAnsi="宋体" w:cs="宋体"/>
                <w:color w:val="000000"/>
                <w:kern w:val="0"/>
                <w:sz w:val="18"/>
                <w:szCs w:val="18"/>
              </w:rPr>
              <w:t>328.59</w:t>
            </w:r>
          </w:p>
        </w:tc>
        <w:tc>
          <w:tcPr>
            <w:tcW w:w="960" w:type="dxa"/>
            <w:tcBorders>
              <w:top w:val="nil"/>
              <w:left w:val="nil"/>
              <w:bottom w:val="single" w:color="auto" w:sz="4" w:space="0"/>
              <w:right w:val="single" w:color="auto" w:sz="4" w:space="0"/>
            </w:tcBorders>
            <w:shd w:val="clear" w:color="auto" w:fill="auto"/>
            <w:vAlign w:val="center"/>
          </w:tcPr>
          <w:p w14:paraId="5AC935AD">
            <w:pPr>
              <w:widowControl/>
              <w:jc w:val="center"/>
              <w:rPr>
                <w:rFonts w:ascii="宋体" w:hAnsi="宋体" w:cs="宋体"/>
                <w:color w:val="000000"/>
                <w:kern w:val="0"/>
                <w:sz w:val="18"/>
                <w:szCs w:val="18"/>
              </w:rPr>
            </w:pPr>
            <w:r>
              <w:rPr>
                <w:rFonts w:hint="eastAsia" w:ascii="宋体" w:hAnsi="宋体" w:cs="宋体"/>
                <w:color w:val="000000"/>
                <w:kern w:val="0"/>
                <w:sz w:val="18"/>
                <w:szCs w:val="18"/>
              </w:rPr>
              <w:t>11.51%</w:t>
            </w:r>
          </w:p>
        </w:tc>
        <w:tc>
          <w:tcPr>
            <w:tcW w:w="846" w:type="dxa"/>
            <w:tcBorders>
              <w:top w:val="nil"/>
              <w:left w:val="nil"/>
              <w:bottom w:val="single" w:color="auto" w:sz="4" w:space="0"/>
              <w:right w:val="single" w:color="auto" w:sz="4" w:space="0"/>
            </w:tcBorders>
            <w:shd w:val="clear" w:color="auto" w:fill="auto"/>
            <w:noWrap/>
            <w:vAlign w:val="center"/>
          </w:tcPr>
          <w:p w14:paraId="7596F9D2">
            <w:pPr>
              <w:widowControl/>
              <w:jc w:val="center"/>
              <w:rPr>
                <w:rFonts w:ascii="宋体" w:hAnsi="宋体" w:cs="宋体"/>
                <w:color w:val="000000"/>
                <w:kern w:val="0"/>
                <w:sz w:val="18"/>
                <w:szCs w:val="18"/>
              </w:rPr>
            </w:pPr>
            <w:r>
              <w:rPr>
                <w:rFonts w:ascii="宋体" w:hAnsi="宋体" w:cs="宋体"/>
                <w:color w:val="000000"/>
                <w:kern w:val="0"/>
                <w:sz w:val="18"/>
                <w:szCs w:val="18"/>
              </w:rPr>
              <w:t>344.71</w:t>
            </w:r>
          </w:p>
        </w:tc>
        <w:tc>
          <w:tcPr>
            <w:tcW w:w="1100" w:type="dxa"/>
            <w:tcBorders>
              <w:top w:val="nil"/>
              <w:left w:val="nil"/>
              <w:bottom w:val="single" w:color="auto" w:sz="4" w:space="0"/>
              <w:right w:val="single" w:color="auto" w:sz="4" w:space="0"/>
            </w:tcBorders>
            <w:shd w:val="clear" w:color="auto" w:fill="auto"/>
            <w:vAlign w:val="center"/>
          </w:tcPr>
          <w:p w14:paraId="1D37CCA3">
            <w:pPr>
              <w:widowControl/>
              <w:jc w:val="center"/>
              <w:rPr>
                <w:rFonts w:ascii="宋体" w:hAnsi="宋体" w:cs="宋体"/>
                <w:color w:val="000000"/>
                <w:kern w:val="0"/>
                <w:sz w:val="18"/>
                <w:szCs w:val="18"/>
              </w:rPr>
            </w:pPr>
            <w:r>
              <w:rPr>
                <w:rFonts w:hint="eastAsia" w:ascii="宋体" w:hAnsi="宋体" w:cs="宋体"/>
                <w:color w:val="000000"/>
                <w:kern w:val="0"/>
                <w:sz w:val="18"/>
                <w:szCs w:val="18"/>
              </w:rPr>
              <w:t>12.08%</w:t>
            </w:r>
          </w:p>
        </w:tc>
        <w:tc>
          <w:tcPr>
            <w:tcW w:w="934" w:type="dxa"/>
            <w:tcBorders>
              <w:top w:val="nil"/>
              <w:left w:val="nil"/>
              <w:bottom w:val="single" w:color="auto" w:sz="4" w:space="0"/>
              <w:right w:val="single" w:color="auto" w:sz="4" w:space="0"/>
            </w:tcBorders>
            <w:shd w:val="clear" w:color="auto" w:fill="auto"/>
            <w:vAlign w:val="center"/>
          </w:tcPr>
          <w:p w14:paraId="065FF38E">
            <w:pPr>
              <w:widowControl/>
              <w:jc w:val="center"/>
              <w:rPr>
                <w:rFonts w:ascii="宋体" w:hAnsi="宋体" w:cs="宋体"/>
                <w:color w:val="000000"/>
                <w:kern w:val="0"/>
                <w:sz w:val="18"/>
                <w:szCs w:val="18"/>
              </w:rPr>
            </w:pPr>
            <w:r>
              <w:rPr>
                <w:rFonts w:hint="eastAsia" w:ascii="宋体" w:hAnsi="宋体" w:cs="宋体"/>
                <w:color w:val="000000"/>
                <w:kern w:val="0"/>
                <w:sz w:val="18"/>
                <w:szCs w:val="18"/>
              </w:rPr>
              <w:t>16.12</w:t>
            </w:r>
          </w:p>
        </w:tc>
        <w:tc>
          <w:tcPr>
            <w:tcW w:w="960" w:type="dxa"/>
            <w:tcBorders>
              <w:top w:val="nil"/>
              <w:left w:val="nil"/>
              <w:bottom w:val="single" w:color="auto" w:sz="4" w:space="0"/>
              <w:right w:val="single" w:color="auto" w:sz="4" w:space="0"/>
            </w:tcBorders>
            <w:shd w:val="clear" w:color="auto" w:fill="auto"/>
            <w:vAlign w:val="center"/>
          </w:tcPr>
          <w:p w14:paraId="5353EAED">
            <w:pPr>
              <w:widowControl/>
              <w:jc w:val="center"/>
              <w:rPr>
                <w:rFonts w:ascii="宋体" w:hAnsi="宋体" w:cs="宋体"/>
                <w:color w:val="000000"/>
                <w:kern w:val="0"/>
                <w:sz w:val="18"/>
                <w:szCs w:val="18"/>
              </w:rPr>
            </w:pPr>
            <w:r>
              <w:rPr>
                <w:rFonts w:hint="eastAsia" w:ascii="宋体" w:hAnsi="宋体" w:cs="宋体"/>
                <w:color w:val="000000"/>
                <w:kern w:val="0"/>
                <w:sz w:val="18"/>
                <w:szCs w:val="18"/>
              </w:rPr>
              <w:t>0.56%</w:t>
            </w:r>
          </w:p>
        </w:tc>
      </w:tr>
      <w:tr w14:paraId="54B0F159">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194CBEBD">
            <w:pPr>
              <w:widowControl/>
              <w:jc w:val="left"/>
              <w:rPr>
                <w:rFonts w:ascii="宋体" w:hAnsi="宋体" w:cs="宋体"/>
                <w:color w:val="000000"/>
                <w:kern w:val="0"/>
                <w:sz w:val="18"/>
                <w:szCs w:val="18"/>
              </w:rPr>
            </w:pPr>
          </w:p>
        </w:tc>
        <w:tc>
          <w:tcPr>
            <w:tcW w:w="753" w:type="dxa"/>
            <w:vMerge w:val="continue"/>
            <w:tcBorders>
              <w:top w:val="nil"/>
              <w:left w:val="single" w:color="auto" w:sz="4" w:space="0"/>
              <w:bottom w:val="single" w:color="auto" w:sz="4" w:space="0"/>
              <w:right w:val="single" w:color="auto" w:sz="4" w:space="0"/>
            </w:tcBorders>
            <w:vAlign w:val="center"/>
          </w:tcPr>
          <w:p w14:paraId="4F8C5BDE">
            <w:pPr>
              <w:widowControl/>
              <w:jc w:val="left"/>
              <w:rPr>
                <w:rFonts w:ascii="宋体" w:hAnsi="宋体" w:cs="宋体"/>
                <w:color w:val="000000"/>
                <w:kern w:val="0"/>
                <w:sz w:val="18"/>
                <w:szCs w:val="18"/>
              </w:rPr>
            </w:pPr>
          </w:p>
        </w:tc>
        <w:tc>
          <w:tcPr>
            <w:tcW w:w="1836" w:type="dxa"/>
            <w:tcBorders>
              <w:top w:val="nil"/>
              <w:left w:val="nil"/>
              <w:bottom w:val="single" w:color="auto" w:sz="4" w:space="0"/>
              <w:right w:val="single" w:color="auto" w:sz="4" w:space="0"/>
            </w:tcBorders>
            <w:shd w:val="clear" w:color="auto" w:fill="auto"/>
            <w:vAlign w:val="center"/>
          </w:tcPr>
          <w:p w14:paraId="3EF7F5E5">
            <w:pPr>
              <w:widowControl/>
              <w:jc w:val="center"/>
              <w:rPr>
                <w:rFonts w:ascii="宋体" w:hAnsi="宋体" w:cs="宋体"/>
                <w:color w:val="000000"/>
                <w:kern w:val="0"/>
                <w:sz w:val="18"/>
                <w:szCs w:val="18"/>
              </w:rPr>
            </w:pPr>
            <w:r>
              <w:rPr>
                <w:rFonts w:hint="eastAsia" w:ascii="宋体" w:hAnsi="宋体" w:cs="宋体"/>
                <w:color w:val="000000"/>
                <w:kern w:val="0"/>
                <w:sz w:val="18"/>
                <w:szCs w:val="18"/>
              </w:rPr>
              <w:t>采矿用地</w:t>
            </w:r>
          </w:p>
        </w:tc>
        <w:tc>
          <w:tcPr>
            <w:tcW w:w="960" w:type="dxa"/>
            <w:tcBorders>
              <w:top w:val="nil"/>
              <w:left w:val="nil"/>
              <w:bottom w:val="single" w:color="auto" w:sz="4" w:space="0"/>
              <w:right w:val="single" w:color="auto" w:sz="4" w:space="0"/>
            </w:tcBorders>
            <w:shd w:val="clear" w:color="auto" w:fill="auto"/>
            <w:noWrap/>
            <w:vAlign w:val="center"/>
          </w:tcPr>
          <w:p w14:paraId="6A754CD4">
            <w:pPr>
              <w:widowControl/>
              <w:jc w:val="center"/>
              <w:rPr>
                <w:rFonts w:ascii="宋体" w:hAnsi="宋体" w:cs="宋体"/>
                <w:color w:val="000000"/>
                <w:kern w:val="0"/>
                <w:sz w:val="18"/>
                <w:szCs w:val="18"/>
              </w:rPr>
            </w:pPr>
            <w:r>
              <w:rPr>
                <w:rFonts w:ascii="宋体" w:hAnsi="宋体" w:cs="宋体"/>
                <w:color w:val="000000"/>
                <w:kern w:val="0"/>
                <w:sz w:val="18"/>
                <w:szCs w:val="18"/>
              </w:rPr>
              <w:t>79.41</w:t>
            </w:r>
          </w:p>
        </w:tc>
        <w:tc>
          <w:tcPr>
            <w:tcW w:w="960" w:type="dxa"/>
            <w:tcBorders>
              <w:top w:val="nil"/>
              <w:left w:val="nil"/>
              <w:bottom w:val="single" w:color="auto" w:sz="4" w:space="0"/>
              <w:right w:val="single" w:color="auto" w:sz="4" w:space="0"/>
            </w:tcBorders>
            <w:shd w:val="clear" w:color="auto" w:fill="auto"/>
            <w:vAlign w:val="center"/>
          </w:tcPr>
          <w:p w14:paraId="1FAA9750">
            <w:pPr>
              <w:widowControl/>
              <w:jc w:val="center"/>
              <w:rPr>
                <w:rFonts w:ascii="宋体" w:hAnsi="宋体" w:cs="宋体"/>
                <w:color w:val="000000"/>
                <w:kern w:val="0"/>
                <w:sz w:val="18"/>
                <w:szCs w:val="18"/>
              </w:rPr>
            </w:pPr>
            <w:r>
              <w:rPr>
                <w:rFonts w:hint="eastAsia" w:ascii="宋体" w:hAnsi="宋体" w:cs="宋体"/>
                <w:color w:val="000000"/>
                <w:kern w:val="0"/>
                <w:sz w:val="18"/>
                <w:szCs w:val="18"/>
              </w:rPr>
              <w:t>2.78%</w:t>
            </w:r>
          </w:p>
        </w:tc>
        <w:tc>
          <w:tcPr>
            <w:tcW w:w="846" w:type="dxa"/>
            <w:tcBorders>
              <w:top w:val="nil"/>
              <w:left w:val="nil"/>
              <w:bottom w:val="single" w:color="auto" w:sz="4" w:space="0"/>
              <w:right w:val="single" w:color="auto" w:sz="4" w:space="0"/>
            </w:tcBorders>
            <w:shd w:val="clear" w:color="auto" w:fill="auto"/>
            <w:noWrap/>
            <w:vAlign w:val="center"/>
          </w:tcPr>
          <w:p w14:paraId="4C9E1F02">
            <w:pPr>
              <w:widowControl/>
              <w:jc w:val="center"/>
              <w:rPr>
                <w:rFonts w:ascii="宋体" w:hAnsi="宋体" w:cs="宋体"/>
                <w:color w:val="000000"/>
                <w:kern w:val="0"/>
                <w:sz w:val="18"/>
                <w:szCs w:val="18"/>
              </w:rPr>
            </w:pPr>
            <w:r>
              <w:rPr>
                <w:rFonts w:ascii="宋体" w:hAnsi="宋体" w:cs="宋体"/>
                <w:color w:val="000000"/>
                <w:kern w:val="0"/>
                <w:sz w:val="18"/>
                <w:szCs w:val="18"/>
              </w:rPr>
              <w:t>71.05</w:t>
            </w:r>
          </w:p>
        </w:tc>
        <w:tc>
          <w:tcPr>
            <w:tcW w:w="1100" w:type="dxa"/>
            <w:tcBorders>
              <w:top w:val="nil"/>
              <w:left w:val="nil"/>
              <w:bottom w:val="single" w:color="auto" w:sz="4" w:space="0"/>
              <w:right w:val="single" w:color="auto" w:sz="4" w:space="0"/>
            </w:tcBorders>
            <w:shd w:val="clear" w:color="auto" w:fill="auto"/>
            <w:vAlign w:val="center"/>
          </w:tcPr>
          <w:p w14:paraId="62A9B6B2">
            <w:pPr>
              <w:widowControl/>
              <w:jc w:val="center"/>
              <w:rPr>
                <w:rFonts w:ascii="宋体" w:hAnsi="宋体" w:cs="宋体"/>
                <w:color w:val="000000"/>
                <w:kern w:val="0"/>
                <w:sz w:val="18"/>
                <w:szCs w:val="18"/>
              </w:rPr>
            </w:pPr>
            <w:r>
              <w:rPr>
                <w:rFonts w:hint="eastAsia" w:ascii="宋体" w:hAnsi="宋体" w:cs="宋体"/>
                <w:color w:val="000000"/>
                <w:kern w:val="0"/>
                <w:sz w:val="18"/>
                <w:szCs w:val="18"/>
              </w:rPr>
              <w:t>2.49%</w:t>
            </w:r>
          </w:p>
        </w:tc>
        <w:tc>
          <w:tcPr>
            <w:tcW w:w="934" w:type="dxa"/>
            <w:tcBorders>
              <w:top w:val="nil"/>
              <w:left w:val="nil"/>
              <w:bottom w:val="single" w:color="auto" w:sz="4" w:space="0"/>
              <w:right w:val="single" w:color="auto" w:sz="4" w:space="0"/>
            </w:tcBorders>
            <w:shd w:val="clear" w:color="auto" w:fill="auto"/>
            <w:vAlign w:val="center"/>
          </w:tcPr>
          <w:p w14:paraId="51E16D09">
            <w:pPr>
              <w:widowControl/>
              <w:jc w:val="center"/>
              <w:rPr>
                <w:rFonts w:ascii="宋体" w:hAnsi="宋体" w:cs="宋体"/>
                <w:color w:val="000000"/>
                <w:kern w:val="0"/>
                <w:sz w:val="18"/>
                <w:szCs w:val="18"/>
              </w:rPr>
            </w:pPr>
            <w:r>
              <w:rPr>
                <w:rFonts w:hint="eastAsia" w:ascii="宋体" w:hAnsi="宋体" w:cs="宋体"/>
                <w:color w:val="000000"/>
                <w:kern w:val="0"/>
                <w:sz w:val="18"/>
                <w:szCs w:val="18"/>
              </w:rPr>
              <w:t>-8.36</w:t>
            </w:r>
          </w:p>
        </w:tc>
        <w:tc>
          <w:tcPr>
            <w:tcW w:w="960" w:type="dxa"/>
            <w:tcBorders>
              <w:top w:val="nil"/>
              <w:left w:val="nil"/>
              <w:bottom w:val="single" w:color="auto" w:sz="4" w:space="0"/>
              <w:right w:val="single" w:color="auto" w:sz="4" w:space="0"/>
            </w:tcBorders>
            <w:shd w:val="clear" w:color="auto" w:fill="auto"/>
            <w:vAlign w:val="center"/>
          </w:tcPr>
          <w:p w14:paraId="2C109308">
            <w:pPr>
              <w:widowControl/>
              <w:jc w:val="center"/>
              <w:rPr>
                <w:rFonts w:ascii="宋体" w:hAnsi="宋体" w:cs="宋体"/>
                <w:color w:val="000000"/>
                <w:kern w:val="0"/>
                <w:sz w:val="18"/>
                <w:szCs w:val="18"/>
              </w:rPr>
            </w:pPr>
            <w:r>
              <w:rPr>
                <w:rFonts w:hint="eastAsia" w:ascii="宋体" w:hAnsi="宋体" w:cs="宋体"/>
                <w:color w:val="000000"/>
                <w:kern w:val="0"/>
                <w:sz w:val="18"/>
                <w:szCs w:val="18"/>
              </w:rPr>
              <w:t>-0.29%</w:t>
            </w:r>
          </w:p>
        </w:tc>
      </w:tr>
      <w:tr w14:paraId="696F03C0">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241FA891">
            <w:pPr>
              <w:widowControl/>
              <w:jc w:val="left"/>
              <w:rPr>
                <w:rFonts w:ascii="宋体" w:hAnsi="宋体" w:cs="宋体"/>
                <w:color w:val="000000"/>
                <w:kern w:val="0"/>
                <w:sz w:val="18"/>
                <w:szCs w:val="18"/>
              </w:rPr>
            </w:pPr>
          </w:p>
        </w:tc>
        <w:tc>
          <w:tcPr>
            <w:tcW w:w="753" w:type="dxa"/>
            <w:vMerge w:val="continue"/>
            <w:tcBorders>
              <w:top w:val="nil"/>
              <w:left w:val="single" w:color="auto" w:sz="4" w:space="0"/>
              <w:bottom w:val="single" w:color="auto" w:sz="4" w:space="0"/>
              <w:right w:val="single" w:color="auto" w:sz="4" w:space="0"/>
            </w:tcBorders>
            <w:vAlign w:val="center"/>
          </w:tcPr>
          <w:p w14:paraId="5AF93F58">
            <w:pPr>
              <w:widowControl/>
              <w:jc w:val="left"/>
              <w:rPr>
                <w:rFonts w:ascii="宋体" w:hAnsi="宋体" w:cs="宋体"/>
                <w:color w:val="000000"/>
                <w:kern w:val="0"/>
                <w:sz w:val="18"/>
                <w:szCs w:val="18"/>
              </w:rPr>
            </w:pPr>
          </w:p>
        </w:tc>
        <w:tc>
          <w:tcPr>
            <w:tcW w:w="1836" w:type="dxa"/>
            <w:tcBorders>
              <w:top w:val="nil"/>
              <w:left w:val="nil"/>
              <w:bottom w:val="single" w:color="auto" w:sz="4" w:space="0"/>
              <w:right w:val="single" w:color="auto" w:sz="4" w:space="0"/>
            </w:tcBorders>
            <w:shd w:val="clear" w:color="auto" w:fill="auto"/>
            <w:vAlign w:val="center"/>
          </w:tcPr>
          <w:p w14:paraId="0322A788">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其他独立建设用地</w:t>
            </w:r>
          </w:p>
        </w:tc>
        <w:tc>
          <w:tcPr>
            <w:tcW w:w="960" w:type="dxa"/>
            <w:tcBorders>
              <w:top w:val="nil"/>
              <w:left w:val="nil"/>
              <w:bottom w:val="single" w:color="auto" w:sz="4" w:space="0"/>
              <w:right w:val="single" w:color="auto" w:sz="4" w:space="0"/>
            </w:tcBorders>
            <w:shd w:val="clear" w:color="auto" w:fill="auto"/>
            <w:noWrap/>
            <w:vAlign w:val="center"/>
          </w:tcPr>
          <w:p w14:paraId="05BC350F">
            <w:pPr>
              <w:widowControl/>
              <w:jc w:val="center"/>
              <w:rPr>
                <w:rFonts w:ascii="宋体" w:hAnsi="宋体" w:cs="宋体"/>
                <w:color w:val="000000"/>
                <w:kern w:val="0"/>
                <w:sz w:val="18"/>
                <w:szCs w:val="18"/>
              </w:rPr>
            </w:pPr>
            <w:r>
              <w:rPr>
                <w:rFonts w:ascii="宋体" w:hAnsi="宋体" w:cs="宋体"/>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2633C117">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46" w:type="dxa"/>
            <w:tcBorders>
              <w:top w:val="nil"/>
              <w:left w:val="nil"/>
              <w:bottom w:val="single" w:color="auto" w:sz="4" w:space="0"/>
              <w:right w:val="single" w:color="auto" w:sz="4" w:space="0"/>
            </w:tcBorders>
            <w:shd w:val="clear" w:color="auto" w:fill="auto"/>
            <w:noWrap/>
            <w:vAlign w:val="center"/>
          </w:tcPr>
          <w:p w14:paraId="1A5D248E">
            <w:pPr>
              <w:widowControl/>
              <w:jc w:val="center"/>
              <w:rPr>
                <w:rFonts w:ascii="宋体" w:hAnsi="宋体" w:cs="宋体"/>
                <w:color w:val="000000"/>
                <w:kern w:val="0"/>
                <w:sz w:val="18"/>
                <w:szCs w:val="18"/>
              </w:rPr>
            </w:pPr>
            <w:r>
              <w:rPr>
                <w:rFonts w:ascii="宋体" w:hAnsi="宋体" w:cs="宋体"/>
                <w:color w:val="000000"/>
                <w:kern w:val="0"/>
                <w:sz w:val="18"/>
                <w:szCs w:val="18"/>
              </w:rPr>
              <w:t xml:space="preserve">0.00 </w:t>
            </w:r>
          </w:p>
        </w:tc>
        <w:tc>
          <w:tcPr>
            <w:tcW w:w="1100" w:type="dxa"/>
            <w:tcBorders>
              <w:top w:val="nil"/>
              <w:left w:val="nil"/>
              <w:bottom w:val="single" w:color="auto" w:sz="4" w:space="0"/>
              <w:right w:val="single" w:color="auto" w:sz="4" w:space="0"/>
            </w:tcBorders>
            <w:shd w:val="clear" w:color="auto" w:fill="auto"/>
            <w:vAlign w:val="center"/>
          </w:tcPr>
          <w:p w14:paraId="73658A93">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34" w:type="dxa"/>
            <w:tcBorders>
              <w:top w:val="nil"/>
              <w:left w:val="nil"/>
              <w:bottom w:val="single" w:color="auto" w:sz="4" w:space="0"/>
              <w:right w:val="single" w:color="auto" w:sz="4" w:space="0"/>
            </w:tcBorders>
            <w:shd w:val="clear" w:color="auto" w:fill="auto"/>
            <w:vAlign w:val="center"/>
          </w:tcPr>
          <w:p w14:paraId="07C2F8DA">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960" w:type="dxa"/>
            <w:tcBorders>
              <w:top w:val="nil"/>
              <w:left w:val="nil"/>
              <w:bottom w:val="single" w:color="auto" w:sz="4" w:space="0"/>
              <w:right w:val="single" w:color="auto" w:sz="4" w:space="0"/>
            </w:tcBorders>
            <w:shd w:val="clear" w:color="auto" w:fill="auto"/>
            <w:vAlign w:val="center"/>
          </w:tcPr>
          <w:p w14:paraId="143EC953">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2184BD77">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463598BC">
            <w:pPr>
              <w:widowControl/>
              <w:jc w:val="left"/>
              <w:rPr>
                <w:rFonts w:ascii="宋体" w:hAnsi="宋体" w:cs="宋体"/>
                <w:color w:val="000000"/>
                <w:kern w:val="0"/>
                <w:sz w:val="18"/>
                <w:szCs w:val="18"/>
              </w:rPr>
            </w:pPr>
          </w:p>
        </w:tc>
        <w:tc>
          <w:tcPr>
            <w:tcW w:w="753" w:type="dxa"/>
            <w:vMerge w:val="continue"/>
            <w:tcBorders>
              <w:top w:val="nil"/>
              <w:left w:val="single" w:color="auto" w:sz="4" w:space="0"/>
              <w:bottom w:val="single" w:color="auto" w:sz="4" w:space="0"/>
              <w:right w:val="single" w:color="auto" w:sz="4" w:space="0"/>
            </w:tcBorders>
            <w:vAlign w:val="center"/>
          </w:tcPr>
          <w:p w14:paraId="57872DA7">
            <w:pPr>
              <w:widowControl/>
              <w:jc w:val="left"/>
              <w:rPr>
                <w:rFonts w:ascii="宋体" w:hAnsi="宋体" w:cs="宋体"/>
                <w:color w:val="000000"/>
                <w:kern w:val="0"/>
                <w:sz w:val="18"/>
                <w:szCs w:val="18"/>
              </w:rPr>
            </w:pPr>
          </w:p>
        </w:tc>
        <w:tc>
          <w:tcPr>
            <w:tcW w:w="1836" w:type="dxa"/>
            <w:tcBorders>
              <w:top w:val="nil"/>
              <w:left w:val="nil"/>
              <w:bottom w:val="single" w:color="auto" w:sz="4" w:space="0"/>
              <w:right w:val="single" w:color="auto" w:sz="4" w:space="0"/>
            </w:tcBorders>
            <w:shd w:val="clear" w:color="auto" w:fill="auto"/>
            <w:vAlign w:val="center"/>
          </w:tcPr>
          <w:p w14:paraId="5A4BD58D">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960" w:type="dxa"/>
            <w:tcBorders>
              <w:top w:val="nil"/>
              <w:left w:val="nil"/>
              <w:bottom w:val="single" w:color="auto" w:sz="4" w:space="0"/>
              <w:right w:val="single" w:color="auto" w:sz="4" w:space="0"/>
            </w:tcBorders>
            <w:shd w:val="clear" w:color="auto" w:fill="auto"/>
            <w:vAlign w:val="center"/>
          </w:tcPr>
          <w:p w14:paraId="3B757510">
            <w:pPr>
              <w:widowControl/>
              <w:jc w:val="center"/>
              <w:rPr>
                <w:rFonts w:ascii="宋体" w:hAnsi="宋体" w:cs="宋体"/>
                <w:color w:val="000000"/>
                <w:kern w:val="0"/>
                <w:sz w:val="18"/>
                <w:szCs w:val="18"/>
              </w:rPr>
            </w:pPr>
            <w:r>
              <w:rPr>
                <w:rFonts w:ascii="宋体" w:hAnsi="宋体" w:cs="宋体"/>
                <w:color w:val="000000"/>
                <w:kern w:val="0"/>
                <w:sz w:val="18"/>
                <w:szCs w:val="18"/>
              </w:rPr>
              <w:t xml:space="preserve">1115.58 </w:t>
            </w:r>
          </w:p>
        </w:tc>
        <w:tc>
          <w:tcPr>
            <w:tcW w:w="960" w:type="dxa"/>
            <w:tcBorders>
              <w:top w:val="nil"/>
              <w:left w:val="nil"/>
              <w:bottom w:val="single" w:color="auto" w:sz="4" w:space="0"/>
              <w:right w:val="single" w:color="auto" w:sz="4" w:space="0"/>
            </w:tcBorders>
            <w:shd w:val="clear" w:color="auto" w:fill="auto"/>
            <w:vAlign w:val="center"/>
          </w:tcPr>
          <w:p w14:paraId="025D06BE">
            <w:pPr>
              <w:widowControl/>
              <w:jc w:val="center"/>
              <w:rPr>
                <w:rFonts w:ascii="宋体" w:hAnsi="宋体" w:cs="宋体"/>
                <w:color w:val="000000"/>
                <w:kern w:val="0"/>
                <w:sz w:val="18"/>
                <w:szCs w:val="18"/>
              </w:rPr>
            </w:pPr>
            <w:r>
              <w:rPr>
                <w:rFonts w:hint="eastAsia" w:ascii="宋体" w:hAnsi="宋体" w:cs="宋体"/>
                <w:color w:val="000000"/>
                <w:kern w:val="0"/>
                <w:sz w:val="18"/>
                <w:szCs w:val="18"/>
              </w:rPr>
              <w:t>39.09%</w:t>
            </w:r>
          </w:p>
        </w:tc>
        <w:tc>
          <w:tcPr>
            <w:tcW w:w="846" w:type="dxa"/>
            <w:tcBorders>
              <w:top w:val="nil"/>
              <w:left w:val="nil"/>
              <w:bottom w:val="single" w:color="auto" w:sz="4" w:space="0"/>
              <w:right w:val="single" w:color="auto" w:sz="4" w:space="0"/>
            </w:tcBorders>
            <w:shd w:val="clear" w:color="auto" w:fill="auto"/>
            <w:noWrap/>
            <w:vAlign w:val="center"/>
          </w:tcPr>
          <w:p w14:paraId="1A498A0C">
            <w:pPr>
              <w:widowControl/>
              <w:jc w:val="center"/>
              <w:rPr>
                <w:rFonts w:ascii="宋体" w:hAnsi="宋体" w:cs="宋体"/>
                <w:color w:val="000000"/>
                <w:kern w:val="0"/>
                <w:sz w:val="18"/>
                <w:szCs w:val="18"/>
              </w:rPr>
            </w:pPr>
            <w:r>
              <w:rPr>
                <w:rFonts w:ascii="宋体" w:hAnsi="宋体" w:cs="宋体"/>
                <w:color w:val="000000"/>
                <w:kern w:val="0"/>
                <w:sz w:val="18"/>
                <w:szCs w:val="18"/>
              </w:rPr>
              <w:t xml:space="preserve">1185.08 </w:t>
            </w:r>
          </w:p>
        </w:tc>
        <w:tc>
          <w:tcPr>
            <w:tcW w:w="1100" w:type="dxa"/>
            <w:tcBorders>
              <w:top w:val="nil"/>
              <w:left w:val="nil"/>
              <w:bottom w:val="single" w:color="auto" w:sz="4" w:space="0"/>
              <w:right w:val="single" w:color="auto" w:sz="4" w:space="0"/>
            </w:tcBorders>
            <w:shd w:val="clear" w:color="auto" w:fill="auto"/>
            <w:vAlign w:val="center"/>
          </w:tcPr>
          <w:p w14:paraId="7533F2FC">
            <w:pPr>
              <w:widowControl/>
              <w:jc w:val="center"/>
              <w:rPr>
                <w:rFonts w:ascii="宋体" w:hAnsi="宋体" w:cs="宋体"/>
                <w:color w:val="000000"/>
                <w:kern w:val="0"/>
                <w:sz w:val="18"/>
                <w:szCs w:val="18"/>
              </w:rPr>
            </w:pPr>
            <w:r>
              <w:rPr>
                <w:rFonts w:hint="eastAsia" w:ascii="宋体" w:hAnsi="宋体" w:cs="宋体"/>
                <w:color w:val="000000"/>
                <w:kern w:val="0"/>
                <w:sz w:val="18"/>
                <w:szCs w:val="18"/>
              </w:rPr>
              <w:t>41.52%</w:t>
            </w:r>
          </w:p>
        </w:tc>
        <w:tc>
          <w:tcPr>
            <w:tcW w:w="934" w:type="dxa"/>
            <w:tcBorders>
              <w:top w:val="nil"/>
              <w:left w:val="nil"/>
              <w:bottom w:val="single" w:color="auto" w:sz="4" w:space="0"/>
              <w:right w:val="single" w:color="auto" w:sz="4" w:space="0"/>
            </w:tcBorders>
            <w:shd w:val="clear" w:color="auto" w:fill="auto"/>
            <w:vAlign w:val="center"/>
          </w:tcPr>
          <w:p w14:paraId="7F44943D">
            <w:pPr>
              <w:widowControl/>
              <w:jc w:val="center"/>
              <w:rPr>
                <w:rFonts w:ascii="宋体" w:hAnsi="宋体" w:cs="宋体"/>
                <w:color w:val="000000"/>
                <w:kern w:val="0"/>
                <w:sz w:val="18"/>
                <w:szCs w:val="18"/>
              </w:rPr>
            </w:pPr>
            <w:r>
              <w:rPr>
                <w:rFonts w:hint="eastAsia" w:ascii="宋体" w:hAnsi="宋体" w:cs="宋体"/>
                <w:color w:val="000000"/>
                <w:kern w:val="0"/>
                <w:sz w:val="18"/>
                <w:szCs w:val="18"/>
              </w:rPr>
              <w:t>69.5</w:t>
            </w:r>
          </w:p>
        </w:tc>
        <w:tc>
          <w:tcPr>
            <w:tcW w:w="960" w:type="dxa"/>
            <w:tcBorders>
              <w:top w:val="nil"/>
              <w:left w:val="nil"/>
              <w:bottom w:val="single" w:color="auto" w:sz="4" w:space="0"/>
              <w:right w:val="single" w:color="auto" w:sz="4" w:space="0"/>
            </w:tcBorders>
            <w:shd w:val="clear" w:color="auto" w:fill="auto"/>
            <w:vAlign w:val="center"/>
          </w:tcPr>
          <w:p w14:paraId="6A133EAB">
            <w:pPr>
              <w:widowControl/>
              <w:jc w:val="center"/>
              <w:rPr>
                <w:rFonts w:ascii="宋体" w:hAnsi="宋体" w:cs="宋体"/>
                <w:color w:val="000000"/>
                <w:kern w:val="0"/>
                <w:sz w:val="18"/>
                <w:szCs w:val="18"/>
              </w:rPr>
            </w:pPr>
            <w:r>
              <w:rPr>
                <w:rFonts w:hint="eastAsia" w:ascii="宋体" w:hAnsi="宋体" w:cs="宋体"/>
                <w:color w:val="000000"/>
                <w:kern w:val="0"/>
                <w:sz w:val="18"/>
                <w:szCs w:val="18"/>
              </w:rPr>
              <w:t>2.44%</w:t>
            </w:r>
          </w:p>
        </w:tc>
      </w:tr>
      <w:tr w14:paraId="047480A4">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366587E2">
            <w:pPr>
              <w:widowControl/>
              <w:jc w:val="left"/>
              <w:rPr>
                <w:rFonts w:ascii="宋体" w:hAnsi="宋体" w:cs="宋体"/>
                <w:color w:val="000000"/>
                <w:kern w:val="0"/>
                <w:sz w:val="18"/>
                <w:szCs w:val="18"/>
              </w:rPr>
            </w:pPr>
          </w:p>
        </w:tc>
        <w:tc>
          <w:tcPr>
            <w:tcW w:w="2589" w:type="dxa"/>
            <w:gridSpan w:val="2"/>
            <w:tcBorders>
              <w:top w:val="single" w:color="auto" w:sz="4" w:space="0"/>
              <w:left w:val="nil"/>
              <w:bottom w:val="single" w:color="auto" w:sz="4" w:space="0"/>
              <w:right w:val="single" w:color="auto" w:sz="4" w:space="0"/>
            </w:tcBorders>
            <w:shd w:val="clear" w:color="auto" w:fill="auto"/>
            <w:vAlign w:val="center"/>
          </w:tcPr>
          <w:p w14:paraId="40DE60D6">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交通水利用地</w:t>
            </w:r>
          </w:p>
        </w:tc>
        <w:tc>
          <w:tcPr>
            <w:tcW w:w="960" w:type="dxa"/>
            <w:tcBorders>
              <w:top w:val="nil"/>
              <w:left w:val="nil"/>
              <w:bottom w:val="single" w:color="auto" w:sz="4" w:space="0"/>
              <w:right w:val="single" w:color="auto" w:sz="4" w:space="0"/>
            </w:tcBorders>
            <w:shd w:val="clear" w:color="auto" w:fill="auto"/>
            <w:noWrap/>
            <w:vAlign w:val="center"/>
          </w:tcPr>
          <w:p w14:paraId="30ECC213">
            <w:pPr>
              <w:widowControl/>
              <w:jc w:val="center"/>
              <w:rPr>
                <w:rFonts w:ascii="宋体" w:hAnsi="宋体" w:cs="宋体"/>
                <w:color w:val="000000"/>
                <w:kern w:val="0"/>
                <w:sz w:val="18"/>
                <w:szCs w:val="18"/>
              </w:rPr>
            </w:pPr>
            <w:r>
              <w:rPr>
                <w:rFonts w:ascii="宋体" w:hAnsi="宋体" w:cs="宋体"/>
                <w:color w:val="000000"/>
                <w:kern w:val="0"/>
                <w:sz w:val="18"/>
                <w:szCs w:val="18"/>
              </w:rPr>
              <w:t>53.83</w:t>
            </w:r>
          </w:p>
        </w:tc>
        <w:tc>
          <w:tcPr>
            <w:tcW w:w="960" w:type="dxa"/>
            <w:tcBorders>
              <w:top w:val="nil"/>
              <w:left w:val="nil"/>
              <w:bottom w:val="single" w:color="auto" w:sz="4" w:space="0"/>
              <w:right w:val="single" w:color="auto" w:sz="4" w:space="0"/>
            </w:tcBorders>
            <w:shd w:val="clear" w:color="auto" w:fill="auto"/>
            <w:vAlign w:val="center"/>
          </w:tcPr>
          <w:p w14:paraId="3101FD77">
            <w:pPr>
              <w:widowControl/>
              <w:jc w:val="center"/>
              <w:rPr>
                <w:rFonts w:ascii="宋体" w:hAnsi="宋体" w:cs="宋体"/>
                <w:color w:val="000000"/>
                <w:kern w:val="0"/>
                <w:sz w:val="18"/>
                <w:szCs w:val="18"/>
              </w:rPr>
            </w:pPr>
            <w:r>
              <w:rPr>
                <w:rFonts w:hint="eastAsia" w:ascii="宋体" w:hAnsi="宋体" w:cs="宋体"/>
                <w:color w:val="000000"/>
                <w:kern w:val="0"/>
                <w:sz w:val="18"/>
                <w:szCs w:val="18"/>
              </w:rPr>
              <w:t>1.89%</w:t>
            </w:r>
          </w:p>
        </w:tc>
        <w:tc>
          <w:tcPr>
            <w:tcW w:w="846" w:type="dxa"/>
            <w:tcBorders>
              <w:top w:val="nil"/>
              <w:left w:val="nil"/>
              <w:bottom w:val="single" w:color="auto" w:sz="4" w:space="0"/>
              <w:right w:val="single" w:color="auto" w:sz="4" w:space="0"/>
            </w:tcBorders>
            <w:shd w:val="clear" w:color="auto" w:fill="auto"/>
            <w:noWrap/>
            <w:vAlign w:val="center"/>
          </w:tcPr>
          <w:p w14:paraId="22E726CD">
            <w:pPr>
              <w:widowControl/>
              <w:jc w:val="center"/>
              <w:rPr>
                <w:rFonts w:ascii="宋体" w:hAnsi="宋体" w:cs="宋体"/>
                <w:color w:val="000000"/>
                <w:kern w:val="0"/>
                <w:sz w:val="18"/>
                <w:szCs w:val="18"/>
              </w:rPr>
            </w:pPr>
            <w:r>
              <w:rPr>
                <w:rFonts w:ascii="宋体" w:hAnsi="宋体" w:cs="宋体"/>
                <w:color w:val="000000"/>
                <w:kern w:val="0"/>
                <w:sz w:val="18"/>
                <w:szCs w:val="18"/>
              </w:rPr>
              <w:t xml:space="preserve">53.18 </w:t>
            </w:r>
          </w:p>
        </w:tc>
        <w:tc>
          <w:tcPr>
            <w:tcW w:w="1100" w:type="dxa"/>
            <w:tcBorders>
              <w:top w:val="nil"/>
              <w:left w:val="nil"/>
              <w:bottom w:val="single" w:color="auto" w:sz="4" w:space="0"/>
              <w:right w:val="single" w:color="auto" w:sz="4" w:space="0"/>
            </w:tcBorders>
            <w:shd w:val="clear" w:color="auto" w:fill="auto"/>
            <w:vAlign w:val="center"/>
          </w:tcPr>
          <w:p w14:paraId="5F5BF3B4">
            <w:pPr>
              <w:widowControl/>
              <w:jc w:val="center"/>
              <w:rPr>
                <w:rFonts w:ascii="宋体" w:hAnsi="宋体" w:cs="宋体"/>
                <w:color w:val="000000"/>
                <w:kern w:val="0"/>
                <w:sz w:val="18"/>
                <w:szCs w:val="18"/>
              </w:rPr>
            </w:pPr>
            <w:r>
              <w:rPr>
                <w:rFonts w:hint="eastAsia" w:ascii="宋体" w:hAnsi="宋体" w:cs="宋体"/>
                <w:color w:val="000000"/>
                <w:kern w:val="0"/>
                <w:sz w:val="18"/>
                <w:szCs w:val="18"/>
              </w:rPr>
              <w:t>1.86%</w:t>
            </w:r>
          </w:p>
        </w:tc>
        <w:tc>
          <w:tcPr>
            <w:tcW w:w="934" w:type="dxa"/>
            <w:tcBorders>
              <w:top w:val="nil"/>
              <w:left w:val="nil"/>
              <w:bottom w:val="single" w:color="auto" w:sz="4" w:space="0"/>
              <w:right w:val="single" w:color="auto" w:sz="4" w:space="0"/>
            </w:tcBorders>
            <w:shd w:val="clear" w:color="auto" w:fill="auto"/>
            <w:vAlign w:val="center"/>
          </w:tcPr>
          <w:p w14:paraId="781F8730">
            <w:pPr>
              <w:widowControl/>
              <w:jc w:val="center"/>
              <w:rPr>
                <w:rFonts w:ascii="宋体" w:hAnsi="宋体" w:cs="宋体"/>
                <w:color w:val="000000"/>
                <w:kern w:val="0"/>
                <w:sz w:val="18"/>
                <w:szCs w:val="18"/>
              </w:rPr>
            </w:pPr>
            <w:r>
              <w:rPr>
                <w:rFonts w:hint="eastAsia" w:ascii="宋体" w:hAnsi="宋体" w:cs="宋体"/>
                <w:color w:val="000000"/>
                <w:kern w:val="0"/>
                <w:sz w:val="18"/>
                <w:szCs w:val="18"/>
              </w:rPr>
              <w:t>-0.65</w:t>
            </w:r>
          </w:p>
        </w:tc>
        <w:tc>
          <w:tcPr>
            <w:tcW w:w="960" w:type="dxa"/>
            <w:tcBorders>
              <w:top w:val="nil"/>
              <w:left w:val="nil"/>
              <w:bottom w:val="single" w:color="auto" w:sz="4" w:space="0"/>
              <w:right w:val="single" w:color="auto" w:sz="4" w:space="0"/>
            </w:tcBorders>
            <w:shd w:val="clear" w:color="auto" w:fill="auto"/>
            <w:vAlign w:val="center"/>
          </w:tcPr>
          <w:p w14:paraId="08F9942C">
            <w:pPr>
              <w:widowControl/>
              <w:jc w:val="center"/>
              <w:rPr>
                <w:rFonts w:ascii="宋体" w:hAnsi="宋体" w:cs="宋体"/>
                <w:color w:val="000000"/>
                <w:kern w:val="0"/>
                <w:sz w:val="18"/>
                <w:szCs w:val="18"/>
              </w:rPr>
            </w:pPr>
            <w:r>
              <w:rPr>
                <w:rFonts w:hint="eastAsia" w:ascii="宋体" w:hAnsi="宋体" w:cs="宋体"/>
                <w:color w:val="000000"/>
                <w:kern w:val="0"/>
                <w:sz w:val="18"/>
                <w:szCs w:val="18"/>
              </w:rPr>
              <w:t>-0.02%</w:t>
            </w:r>
          </w:p>
        </w:tc>
      </w:tr>
      <w:tr w14:paraId="6F9EDBFC">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48D67548">
            <w:pPr>
              <w:widowControl/>
              <w:jc w:val="left"/>
              <w:rPr>
                <w:rFonts w:ascii="宋体" w:hAnsi="宋体" w:cs="宋体"/>
                <w:color w:val="000000"/>
                <w:kern w:val="0"/>
                <w:sz w:val="18"/>
                <w:szCs w:val="18"/>
              </w:rPr>
            </w:pPr>
          </w:p>
        </w:tc>
        <w:tc>
          <w:tcPr>
            <w:tcW w:w="2589" w:type="dxa"/>
            <w:gridSpan w:val="2"/>
            <w:tcBorders>
              <w:top w:val="single" w:color="auto" w:sz="4" w:space="0"/>
              <w:left w:val="nil"/>
              <w:bottom w:val="single" w:color="auto" w:sz="4" w:space="0"/>
              <w:right w:val="single" w:color="auto" w:sz="4" w:space="0"/>
            </w:tcBorders>
            <w:shd w:val="clear" w:color="auto" w:fill="auto"/>
            <w:vAlign w:val="center"/>
          </w:tcPr>
          <w:p w14:paraId="36DA729F">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其他建设用地</w:t>
            </w:r>
          </w:p>
        </w:tc>
        <w:tc>
          <w:tcPr>
            <w:tcW w:w="960" w:type="dxa"/>
            <w:tcBorders>
              <w:top w:val="nil"/>
              <w:left w:val="nil"/>
              <w:bottom w:val="single" w:color="auto" w:sz="4" w:space="0"/>
              <w:right w:val="single" w:color="auto" w:sz="4" w:space="0"/>
            </w:tcBorders>
            <w:shd w:val="clear" w:color="auto" w:fill="auto"/>
            <w:noWrap/>
            <w:vAlign w:val="center"/>
          </w:tcPr>
          <w:p w14:paraId="20CB3FB6">
            <w:pPr>
              <w:widowControl/>
              <w:jc w:val="center"/>
              <w:rPr>
                <w:rFonts w:ascii="宋体" w:hAnsi="宋体" w:cs="宋体"/>
                <w:color w:val="000000"/>
                <w:kern w:val="0"/>
                <w:sz w:val="18"/>
                <w:szCs w:val="18"/>
              </w:rPr>
            </w:pPr>
            <w:r>
              <w:rPr>
                <w:rFonts w:ascii="宋体" w:hAnsi="宋体" w:cs="宋体"/>
                <w:color w:val="000000"/>
                <w:kern w:val="0"/>
                <w:sz w:val="18"/>
                <w:szCs w:val="18"/>
              </w:rPr>
              <w:t>21.03</w:t>
            </w:r>
          </w:p>
        </w:tc>
        <w:tc>
          <w:tcPr>
            <w:tcW w:w="960" w:type="dxa"/>
            <w:tcBorders>
              <w:top w:val="nil"/>
              <w:left w:val="nil"/>
              <w:bottom w:val="single" w:color="auto" w:sz="4" w:space="0"/>
              <w:right w:val="single" w:color="auto" w:sz="4" w:space="0"/>
            </w:tcBorders>
            <w:shd w:val="clear" w:color="auto" w:fill="auto"/>
            <w:vAlign w:val="center"/>
          </w:tcPr>
          <w:p w14:paraId="05C7276B">
            <w:pPr>
              <w:widowControl/>
              <w:jc w:val="center"/>
              <w:rPr>
                <w:rFonts w:ascii="宋体" w:hAnsi="宋体" w:cs="宋体"/>
                <w:color w:val="000000"/>
                <w:kern w:val="0"/>
                <w:sz w:val="18"/>
                <w:szCs w:val="18"/>
              </w:rPr>
            </w:pPr>
            <w:r>
              <w:rPr>
                <w:rFonts w:hint="eastAsia" w:ascii="宋体" w:hAnsi="宋体" w:cs="宋体"/>
                <w:color w:val="000000"/>
                <w:kern w:val="0"/>
                <w:sz w:val="18"/>
                <w:szCs w:val="18"/>
              </w:rPr>
              <w:t>0.74%</w:t>
            </w:r>
          </w:p>
        </w:tc>
        <w:tc>
          <w:tcPr>
            <w:tcW w:w="846" w:type="dxa"/>
            <w:tcBorders>
              <w:top w:val="nil"/>
              <w:left w:val="nil"/>
              <w:bottom w:val="single" w:color="auto" w:sz="4" w:space="0"/>
              <w:right w:val="single" w:color="auto" w:sz="4" w:space="0"/>
            </w:tcBorders>
            <w:shd w:val="clear" w:color="auto" w:fill="auto"/>
            <w:noWrap/>
            <w:vAlign w:val="center"/>
          </w:tcPr>
          <w:p w14:paraId="7E52DF73">
            <w:pPr>
              <w:widowControl/>
              <w:jc w:val="center"/>
              <w:rPr>
                <w:rFonts w:ascii="宋体" w:hAnsi="宋体" w:cs="宋体"/>
                <w:color w:val="000000"/>
                <w:kern w:val="0"/>
                <w:sz w:val="18"/>
                <w:szCs w:val="18"/>
              </w:rPr>
            </w:pPr>
            <w:r>
              <w:rPr>
                <w:rFonts w:ascii="宋体" w:hAnsi="宋体" w:cs="宋体"/>
                <w:color w:val="000000"/>
                <w:kern w:val="0"/>
                <w:sz w:val="18"/>
                <w:szCs w:val="18"/>
              </w:rPr>
              <w:t xml:space="preserve">20.04 </w:t>
            </w:r>
          </w:p>
        </w:tc>
        <w:tc>
          <w:tcPr>
            <w:tcW w:w="1100" w:type="dxa"/>
            <w:tcBorders>
              <w:top w:val="nil"/>
              <w:left w:val="nil"/>
              <w:bottom w:val="single" w:color="auto" w:sz="4" w:space="0"/>
              <w:right w:val="single" w:color="auto" w:sz="4" w:space="0"/>
            </w:tcBorders>
            <w:shd w:val="clear" w:color="auto" w:fill="auto"/>
            <w:vAlign w:val="center"/>
          </w:tcPr>
          <w:p w14:paraId="00C8A115">
            <w:pPr>
              <w:widowControl/>
              <w:jc w:val="center"/>
              <w:rPr>
                <w:rFonts w:ascii="宋体" w:hAnsi="宋体" w:cs="宋体"/>
                <w:color w:val="000000"/>
                <w:kern w:val="0"/>
                <w:sz w:val="18"/>
                <w:szCs w:val="18"/>
              </w:rPr>
            </w:pPr>
            <w:r>
              <w:rPr>
                <w:rFonts w:hint="eastAsia" w:ascii="宋体" w:hAnsi="宋体" w:cs="宋体"/>
                <w:color w:val="000000"/>
                <w:kern w:val="0"/>
                <w:sz w:val="18"/>
                <w:szCs w:val="18"/>
              </w:rPr>
              <w:t>0.70%</w:t>
            </w:r>
          </w:p>
        </w:tc>
        <w:tc>
          <w:tcPr>
            <w:tcW w:w="934" w:type="dxa"/>
            <w:tcBorders>
              <w:top w:val="nil"/>
              <w:left w:val="nil"/>
              <w:bottom w:val="single" w:color="auto" w:sz="4" w:space="0"/>
              <w:right w:val="single" w:color="auto" w:sz="4" w:space="0"/>
            </w:tcBorders>
            <w:shd w:val="clear" w:color="auto" w:fill="auto"/>
            <w:vAlign w:val="center"/>
          </w:tcPr>
          <w:p w14:paraId="29F9733C">
            <w:pPr>
              <w:widowControl/>
              <w:jc w:val="center"/>
              <w:rPr>
                <w:rFonts w:ascii="宋体" w:hAnsi="宋体" w:cs="宋体"/>
                <w:color w:val="000000"/>
                <w:kern w:val="0"/>
                <w:sz w:val="18"/>
                <w:szCs w:val="18"/>
              </w:rPr>
            </w:pPr>
            <w:r>
              <w:rPr>
                <w:rFonts w:hint="eastAsia" w:ascii="宋体" w:hAnsi="宋体" w:cs="宋体"/>
                <w:color w:val="000000"/>
                <w:kern w:val="0"/>
                <w:sz w:val="18"/>
                <w:szCs w:val="18"/>
              </w:rPr>
              <w:t>-0.99</w:t>
            </w:r>
          </w:p>
        </w:tc>
        <w:tc>
          <w:tcPr>
            <w:tcW w:w="960" w:type="dxa"/>
            <w:tcBorders>
              <w:top w:val="nil"/>
              <w:left w:val="nil"/>
              <w:bottom w:val="single" w:color="auto" w:sz="4" w:space="0"/>
              <w:right w:val="single" w:color="auto" w:sz="4" w:space="0"/>
            </w:tcBorders>
            <w:shd w:val="clear" w:color="auto" w:fill="auto"/>
            <w:vAlign w:val="center"/>
          </w:tcPr>
          <w:p w14:paraId="7A8FCA5D">
            <w:pPr>
              <w:widowControl/>
              <w:jc w:val="center"/>
              <w:rPr>
                <w:rFonts w:ascii="宋体" w:hAnsi="宋体" w:cs="宋体"/>
                <w:color w:val="000000"/>
                <w:kern w:val="0"/>
                <w:sz w:val="18"/>
                <w:szCs w:val="18"/>
              </w:rPr>
            </w:pPr>
            <w:r>
              <w:rPr>
                <w:rFonts w:hint="eastAsia" w:ascii="宋体" w:hAnsi="宋体" w:cs="宋体"/>
                <w:color w:val="000000"/>
                <w:kern w:val="0"/>
                <w:sz w:val="18"/>
                <w:szCs w:val="18"/>
              </w:rPr>
              <w:t>-0.03%</w:t>
            </w:r>
          </w:p>
        </w:tc>
      </w:tr>
      <w:tr w14:paraId="309BA5C9">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581EBD55">
            <w:pPr>
              <w:widowControl/>
              <w:jc w:val="left"/>
              <w:rPr>
                <w:rFonts w:ascii="宋体" w:hAnsi="宋体" w:cs="宋体"/>
                <w:color w:val="000000"/>
                <w:kern w:val="0"/>
                <w:sz w:val="18"/>
                <w:szCs w:val="18"/>
              </w:rPr>
            </w:pPr>
          </w:p>
        </w:tc>
        <w:tc>
          <w:tcPr>
            <w:tcW w:w="2589" w:type="dxa"/>
            <w:gridSpan w:val="2"/>
            <w:tcBorders>
              <w:top w:val="single" w:color="auto" w:sz="4" w:space="0"/>
              <w:left w:val="nil"/>
              <w:bottom w:val="single" w:color="auto" w:sz="4" w:space="0"/>
              <w:right w:val="single" w:color="auto" w:sz="4" w:space="0"/>
            </w:tcBorders>
            <w:shd w:val="clear" w:color="auto" w:fill="auto"/>
            <w:vAlign w:val="center"/>
          </w:tcPr>
          <w:p w14:paraId="28678159">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960" w:type="dxa"/>
            <w:tcBorders>
              <w:top w:val="nil"/>
              <w:left w:val="nil"/>
              <w:bottom w:val="single" w:color="auto" w:sz="4" w:space="0"/>
              <w:right w:val="single" w:color="auto" w:sz="4" w:space="0"/>
            </w:tcBorders>
            <w:shd w:val="clear" w:color="auto" w:fill="auto"/>
            <w:vAlign w:val="center"/>
          </w:tcPr>
          <w:p w14:paraId="23F8848F">
            <w:pPr>
              <w:widowControl/>
              <w:jc w:val="center"/>
              <w:rPr>
                <w:rFonts w:ascii="宋体" w:hAnsi="宋体" w:cs="宋体"/>
                <w:color w:val="000000"/>
                <w:kern w:val="0"/>
                <w:sz w:val="18"/>
                <w:szCs w:val="18"/>
              </w:rPr>
            </w:pPr>
            <w:r>
              <w:rPr>
                <w:rFonts w:ascii="宋体" w:hAnsi="宋体" w:cs="宋体"/>
                <w:color w:val="000000"/>
                <w:kern w:val="0"/>
                <w:sz w:val="18"/>
                <w:szCs w:val="18"/>
              </w:rPr>
              <w:t xml:space="preserve">1190.44 </w:t>
            </w:r>
          </w:p>
        </w:tc>
        <w:tc>
          <w:tcPr>
            <w:tcW w:w="960" w:type="dxa"/>
            <w:tcBorders>
              <w:top w:val="nil"/>
              <w:left w:val="nil"/>
              <w:bottom w:val="single" w:color="auto" w:sz="4" w:space="0"/>
              <w:right w:val="single" w:color="auto" w:sz="4" w:space="0"/>
            </w:tcBorders>
            <w:shd w:val="clear" w:color="auto" w:fill="auto"/>
            <w:vAlign w:val="center"/>
          </w:tcPr>
          <w:p w14:paraId="0B9D8AD0">
            <w:pPr>
              <w:widowControl/>
              <w:jc w:val="center"/>
              <w:rPr>
                <w:rFonts w:ascii="宋体" w:hAnsi="宋体" w:cs="宋体"/>
                <w:color w:val="000000"/>
                <w:kern w:val="0"/>
                <w:sz w:val="18"/>
                <w:szCs w:val="18"/>
              </w:rPr>
            </w:pPr>
            <w:r>
              <w:rPr>
                <w:rFonts w:hint="eastAsia" w:ascii="宋体" w:hAnsi="宋体" w:cs="宋体"/>
                <w:color w:val="000000"/>
                <w:kern w:val="0"/>
                <w:sz w:val="18"/>
                <w:szCs w:val="18"/>
              </w:rPr>
              <w:t>41.71%</w:t>
            </w:r>
          </w:p>
        </w:tc>
        <w:tc>
          <w:tcPr>
            <w:tcW w:w="846" w:type="dxa"/>
            <w:tcBorders>
              <w:top w:val="nil"/>
              <w:left w:val="nil"/>
              <w:bottom w:val="single" w:color="auto" w:sz="4" w:space="0"/>
              <w:right w:val="single" w:color="auto" w:sz="4" w:space="0"/>
            </w:tcBorders>
            <w:shd w:val="clear" w:color="auto" w:fill="auto"/>
            <w:noWrap/>
            <w:vAlign w:val="center"/>
          </w:tcPr>
          <w:p w14:paraId="393176B4">
            <w:pPr>
              <w:widowControl/>
              <w:jc w:val="center"/>
              <w:rPr>
                <w:rFonts w:ascii="宋体" w:hAnsi="宋体" w:cs="宋体"/>
                <w:color w:val="000000"/>
                <w:kern w:val="0"/>
                <w:sz w:val="18"/>
                <w:szCs w:val="18"/>
              </w:rPr>
            </w:pPr>
            <w:r>
              <w:rPr>
                <w:rFonts w:ascii="宋体" w:hAnsi="宋体" w:cs="宋体"/>
                <w:color w:val="000000"/>
                <w:kern w:val="0"/>
                <w:sz w:val="18"/>
                <w:szCs w:val="18"/>
              </w:rPr>
              <w:t xml:space="preserve">1258.30 </w:t>
            </w:r>
          </w:p>
        </w:tc>
        <w:tc>
          <w:tcPr>
            <w:tcW w:w="1100" w:type="dxa"/>
            <w:tcBorders>
              <w:top w:val="nil"/>
              <w:left w:val="nil"/>
              <w:bottom w:val="single" w:color="auto" w:sz="4" w:space="0"/>
              <w:right w:val="single" w:color="auto" w:sz="4" w:space="0"/>
            </w:tcBorders>
            <w:shd w:val="clear" w:color="auto" w:fill="auto"/>
            <w:vAlign w:val="center"/>
          </w:tcPr>
          <w:p w14:paraId="0CC08120">
            <w:pPr>
              <w:widowControl/>
              <w:jc w:val="center"/>
              <w:rPr>
                <w:rFonts w:ascii="宋体" w:hAnsi="宋体" w:cs="宋体"/>
                <w:color w:val="000000"/>
                <w:kern w:val="0"/>
                <w:sz w:val="18"/>
                <w:szCs w:val="18"/>
              </w:rPr>
            </w:pPr>
            <w:r>
              <w:rPr>
                <w:rFonts w:hint="eastAsia" w:ascii="宋体" w:hAnsi="宋体" w:cs="宋体"/>
                <w:color w:val="000000"/>
                <w:kern w:val="0"/>
                <w:sz w:val="18"/>
                <w:szCs w:val="18"/>
              </w:rPr>
              <w:t>44.09%</w:t>
            </w:r>
          </w:p>
        </w:tc>
        <w:tc>
          <w:tcPr>
            <w:tcW w:w="934" w:type="dxa"/>
            <w:tcBorders>
              <w:top w:val="nil"/>
              <w:left w:val="nil"/>
              <w:bottom w:val="single" w:color="auto" w:sz="4" w:space="0"/>
              <w:right w:val="single" w:color="auto" w:sz="4" w:space="0"/>
            </w:tcBorders>
            <w:shd w:val="clear" w:color="auto" w:fill="auto"/>
            <w:vAlign w:val="center"/>
          </w:tcPr>
          <w:p w14:paraId="493C409D">
            <w:pPr>
              <w:widowControl/>
              <w:jc w:val="center"/>
              <w:rPr>
                <w:rFonts w:ascii="宋体" w:hAnsi="宋体" w:cs="宋体"/>
                <w:color w:val="000000"/>
                <w:kern w:val="0"/>
                <w:sz w:val="18"/>
                <w:szCs w:val="18"/>
              </w:rPr>
            </w:pPr>
            <w:r>
              <w:rPr>
                <w:rFonts w:hint="eastAsia" w:ascii="宋体" w:hAnsi="宋体" w:cs="宋体"/>
                <w:color w:val="000000"/>
                <w:kern w:val="0"/>
                <w:sz w:val="18"/>
                <w:szCs w:val="18"/>
              </w:rPr>
              <w:t>67.86</w:t>
            </w:r>
          </w:p>
        </w:tc>
        <w:tc>
          <w:tcPr>
            <w:tcW w:w="960" w:type="dxa"/>
            <w:tcBorders>
              <w:top w:val="nil"/>
              <w:left w:val="nil"/>
              <w:bottom w:val="single" w:color="auto" w:sz="4" w:space="0"/>
              <w:right w:val="single" w:color="auto" w:sz="4" w:space="0"/>
            </w:tcBorders>
            <w:shd w:val="clear" w:color="auto" w:fill="auto"/>
            <w:vAlign w:val="center"/>
          </w:tcPr>
          <w:p w14:paraId="67082A6B">
            <w:pPr>
              <w:widowControl/>
              <w:jc w:val="center"/>
              <w:rPr>
                <w:rFonts w:ascii="宋体" w:hAnsi="宋体" w:cs="宋体"/>
                <w:color w:val="000000"/>
                <w:kern w:val="0"/>
                <w:sz w:val="18"/>
                <w:szCs w:val="18"/>
              </w:rPr>
            </w:pPr>
            <w:r>
              <w:rPr>
                <w:rFonts w:hint="eastAsia" w:ascii="宋体" w:hAnsi="宋体" w:cs="宋体"/>
                <w:color w:val="000000"/>
                <w:kern w:val="0"/>
                <w:sz w:val="18"/>
                <w:szCs w:val="18"/>
              </w:rPr>
              <w:t>2.38%</w:t>
            </w:r>
          </w:p>
        </w:tc>
      </w:tr>
      <w:tr w14:paraId="112D1DE3">
        <w:tblPrEx>
          <w:tblCellMar>
            <w:top w:w="0" w:type="dxa"/>
            <w:left w:w="108" w:type="dxa"/>
            <w:bottom w:w="0" w:type="dxa"/>
            <w:right w:w="108" w:type="dxa"/>
          </w:tblCellMar>
        </w:tblPrEx>
        <w:trPr>
          <w:trHeight w:val="312" w:hRule="atLeast"/>
          <w:jc w:val="center"/>
        </w:trPr>
        <w:tc>
          <w:tcPr>
            <w:tcW w:w="960" w:type="dxa"/>
            <w:vMerge w:val="restart"/>
            <w:tcBorders>
              <w:top w:val="nil"/>
              <w:left w:val="single" w:color="auto" w:sz="4" w:space="0"/>
              <w:bottom w:val="single" w:color="auto" w:sz="4" w:space="0"/>
              <w:right w:val="single" w:color="auto" w:sz="4" w:space="0"/>
            </w:tcBorders>
            <w:shd w:val="clear" w:color="auto" w:fill="auto"/>
            <w:vAlign w:val="center"/>
          </w:tcPr>
          <w:p w14:paraId="415A81FF">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其他土地</w:t>
            </w:r>
          </w:p>
        </w:tc>
        <w:tc>
          <w:tcPr>
            <w:tcW w:w="2589" w:type="dxa"/>
            <w:gridSpan w:val="2"/>
            <w:tcBorders>
              <w:top w:val="single" w:color="auto" w:sz="4" w:space="0"/>
              <w:left w:val="nil"/>
              <w:bottom w:val="single" w:color="auto" w:sz="4" w:space="0"/>
              <w:right w:val="single" w:color="auto" w:sz="4" w:space="0"/>
            </w:tcBorders>
            <w:shd w:val="clear" w:color="auto" w:fill="auto"/>
            <w:vAlign w:val="center"/>
          </w:tcPr>
          <w:p w14:paraId="01EF2B63">
            <w:pPr>
              <w:widowControl/>
              <w:jc w:val="center"/>
              <w:rPr>
                <w:rFonts w:ascii="宋体" w:hAnsi="宋体" w:cs="宋体"/>
                <w:color w:val="000000"/>
                <w:kern w:val="0"/>
                <w:sz w:val="18"/>
                <w:szCs w:val="18"/>
              </w:rPr>
            </w:pPr>
            <w:r>
              <w:rPr>
                <w:rFonts w:hint="eastAsia" w:ascii="宋体" w:hAnsi="宋体" w:cs="宋体"/>
                <w:color w:val="000000"/>
                <w:kern w:val="0"/>
                <w:sz w:val="18"/>
                <w:szCs w:val="18"/>
              </w:rPr>
              <w:t>水域</w:t>
            </w:r>
          </w:p>
        </w:tc>
        <w:tc>
          <w:tcPr>
            <w:tcW w:w="960" w:type="dxa"/>
            <w:tcBorders>
              <w:top w:val="nil"/>
              <w:left w:val="nil"/>
              <w:bottom w:val="single" w:color="auto" w:sz="4" w:space="0"/>
              <w:right w:val="single" w:color="auto" w:sz="4" w:space="0"/>
            </w:tcBorders>
            <w:shd w:val="clear" w:color="auto" w:fill="auto"/>
            <w:noWrap/>
            <w:vAlign w:val="center"/>
          </w:tcPr>
          <w:p w14:paraId="268343C6">
            <w:pPr>
              <w:widowControl/>
              <w:jc w:val="center"/>
              <w:rPr>
                <w:rFonts w:ascii="宋体" w:hAnsi="宋体" w:cs="宋体"/>
                <w:color w:val="000000"/>
                <w:kern w:val="0"/>
                <w:sz w:val="18"/>
                <w:szCs w:val="18"/>
              </w:rPr>
            </w:pPr>
            <w:r>
              <w:rPr>
                <w:rFonts w:ascii="宋体" w:hAnsi="宋体" w:cs="宋体"/>
                <w:color w:val="000000"/>
                <w:kern w:val="0"/>
                <w:sz w:val="18"/>
                <w:szCs w:val="18"/>
              </w:rPr>
              <w:t>2.43</w:t>
            </w:r>
          </w:p>
        </w:tc>
        <w:tc>
          <w:tcPr>
            <w:tcW w:w="960" w:type="dxa"/>
            <w:tcBorders>
              <w:top w:val="nil"/>
              <w:left w:val="nil"/>
              <w:bottom w:val="single" w:color="auto" w:sz="4" w:space="0"/>
              <w:right w:val="single" w:color="auto" w:sz="4" w:space="0"/>
            </w:tcBorders>
            <w:shd w:val="clear" w:color="auto" w:fill="auto"/>
            <w:vAlign w:val="center"/>
          </w:tcPr>
          <w:p w14:paraId="59ACDBC7">
            <w:pPr>
              <w:widowControl/>
              <w:jc w:val="center"/>
              <w:rPr>
                <w:rFonts w:ascii="宋体" w:hAnsi="宋体" w:cs="宋体"/>
                <w:color w:val="000000"/>
                <w:kern w:val="0"/>
                <w:sz w:val="18"/>
                <w:szCs w:val="18"/>
              </w:rPr>
            </w:pPr>
            <w:r>
              <w:rPr>
                <w:rFonts w:hint="eastAsia" w:ascii="宋体" w:hAnsi="宋体" w:cs="宋体"/>
                <w:color w:val="000000"/>
                <w:kern w:val="0"/>
                <w:sz w:val="18"/>
                <w:szCs w:val="18"/>
              </w:rPr>
              <w:t>0.09%</w:t>
            </w:r>
          </w:p>
        </w:tc>
        <w:tc>
          <w:tcPr>
            <w:tcW w:w="846" w:type="dxa"/>
            <w:tcBorders>
              <w:top w:val="nil"/>
              <w:left w:val="nil"/>
              <w:bottom w:val="single" w:color="auto" w:sz="4" w:space="0"/>
              <w:right w:val="single" w:color="auto" w:sz="4" w:space="0"/>
            </w:tcBorders>
            <w:shd w:val="clear" w:color="auto" w:fill="auto"/>
            <w:noWrap/>
            <w:vAlign w:val="center"/>
          </w:tcPr>
          <w:p w14:paraId="283509F6">
            <w:pPr>
              <w:widowControl/>
              <w:jc w:val="center"/>
              <w:rPr>
                <w:rFonts w:ascii="宋体" w:hAnsi="宋体" w:cs="宋体"/>
                <w:color w:val="000000"/>
                <w:kern w:val="0"/>
                <w:sz w:val="18"/>
                <w:szCs w:val="18"/>
              </w:rPr>
            </w:pPr>
            <w:r>
              <w:rPr>
                <w:rFonts w:ascii="宋体" w:hAnsi="宋体" w:cs="宋体"/>
                <w:color w:val="000000"/>
                <w:kern w:val="0"/>
                <w:sz w:val="18"/>
                <w:szCs w:val="18"/>
              </w:rPr>
              <w:t xml:space="preserve">2.43 </w:t>
            </w:r>
          </w:p>
        </w:tc>
        <w:tc>
          <w:tcPr>
            <w:tcW w:w="1100" w:type="dxa"/>
            <w:tcBorders>
              <w:top w:val="nil"/>
              <w:left w:val="nil"/>
              <w:bottom w:val="single" w:color="auto" w:sz="4" w:space="0"/>
              <w:right w:val="single" w:color="auto" w:sz="4" w:space="0"/>
            </w:tcBorders>
            <w:shd w:val="clear" w:color="auto" w:fill="auto"/>
            <w:vAlign w:val="center"/>
          </w:tcPr>
          <w:p w14:paraId="5D7B6335">
            <w:pPr>
              <w:widowControl/>
              <w:jc w:val="center"/>
              <w:rPr>
                <w:rFonts w:ascii="宋体" w:hAnsi="宋体" w:cs="宋体"/>
                <w:color w:val="000000"/>
                <w:kern w:val="0"/>
                <w:sz w:val="18"/>
                <w:szCs w:val="18"/>
              </w:rPr>
            </w:pPr>
            <w:r>
              <w:rPr>
                <w:rFonts w:hint="eastAsia" w:ascii="宋体" w:hAnsi="宋体" w:cs="宋体"/>
                <w:color w:val="000000"/>
                <w:kern w:val="0"/>
                <w:sz w:val="18"/>
                <w:szCs w:val="18"/>
              </w:rPr>
              <w:t>0.09%</w:t>
            </w:r>
          </w:p>
        </w:tc>
        <w:tc>
          <w:tcPr>
            <w:tcW w:w="934" w:type="dxa"/>
            <w:tcBorders>
              <w:top w:val="nil"/>
              <w:left w:val="nil"/>
              <w:bottom w:val="single" w:color="auto" w:sz="4" w:space="0"/>
              <w:right w:val="single" w:color="auto" w:sz="4" w:space="0"/>
            </w:tcBorders>
            <w:shd w:val="clear" w:color="auto" w:fill="auto"/>
            <w:vAlign w:val="center"/>
          </w:tcPr>
          <w:p w14:paraId="586C3A5C">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960" w:type="dxa"/>
            <w:tcBorders>
              <w:top w:val="nil"/>
              <w:left w:val="nil"/>
              <w:bottom w:val="single" w:color="auto" w:sz="4" w:space="0"/>
              <w:right w:val="single" w:color="auto" w:sz="4" w:space="0"/>
            </w:tcBorders>
            <w:shd w:val="clear" w:color="auto" w:fill="auto"/>
            <w:vAlign w:val="center"/>
          </w:tcPr>
          <w:p w14:paraId="6561B166">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773B13AA">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7E1C418B">
            <w:pPr>
              <w:widowControl/>
              <w:jc w:val="left"/>
              <w:rPr>
                <w:rFonts w:ascii="宋体" w:hAnsi="宋体" w:cs="宋体"/>
                <w:color w:val="000000"/>
                <w:kern w:val="0"/>
                <w:sz w:val="18"/>
                <w:szCs w:val="18"/>
              </w:rPr>
            </w:pPr>
          </w:p>
        </w:tc>
        <w:tc>
          <w:tcPr>
            <w:tcW w:w="2589" w:type="dxa"/>
            <w:gridSpan w:val="2"/>
            <w:tcBorders>
              <w:top w:val="single" w:color="auto" w:sz="4" w:space="0"/>
              <w:left w:val="nil"/>
              <w:bottom w:val="single" w:color="auto" w:sz="4" w:space="0"/>
              <w:right w:val="single" w:color="auto" w:sz="4" w:space="0"/>
            </w:tcBorders>
            <w:shd w:val="clear" w:color="auto" w:fill="auto"/>
            <w:vAlign w:val="center"/>
          </w:tcPr>
          <w:p w14:paraId="66BF4CFA">
            <w:pPr>
              <w:widowControl/>
              <w:jc w:val="center"/>
              <w:rPr>
                <w:rFonts w:ascii="宋体" w:hAnsi="宋体" w:cs="宋体"/>
                <w:color w:val="000000"/>
                <w:kern w:val="0"/>
                <w:sz w:val="18"/>
                <w:szCs w:val="18"/>
              </w:rPr>
            </w:pPr>
            <w:r>
              <w:rPr>
                <w:rFonts w:hint="eastAsia" w:ascii="宋体" w:hAnsi="宋体" w:cs="宋体"/>
                <w:color w:val="000000"/>
                <w:kern w:val="0"/>
                <w:sz w:val="18"/>
                <w:szCs w:val="18"/>
              </w:rPr>
              <w:t>自然保留地</w:t>
            </w:r>
          </w:p>
        </w:tc>
        <w:tc>
          <w:tcPr>
            <w:tcW w:w="960" w:type="dxa"/>
            <w:tcBorders>
              <w:top w:val="nil"/>
              <w:left w:val="nil"/>
              <w:bottom w:val="single" w:color="auto" w:sz="4" w:space="0"/>
              <w:right w:val="single" w:color="auto" w:sz="4" w:space="0"/>
            </w:tcBorders>
            <w:shd w:val="clear" w:color="auto" w:fill="auto"/>
            <w:noWrap/>
            <w:vAlign w:val="center"/>
          </w:tcPr>
          <w:p w14:paraId="6B7219ED">
            <w:pPr>
              <w:widowControl/>
              <w:jc w:val="center"/>
              <w:rPr>
                <w:rFonts w:ascii="宋体" w:hAnsi="宋体" w:cs="宋体"/>
                <w:color w:val="000000"/>
                <w:kern w:val="0"/>
                <w:sz w:val="18"/>
                <w:szCs w:val="18"/>
              </w:rPr>
            </w:pPr>
            <w:r>
              <w:rPr>
                <w:rFonts w:ascii="宋体" w:hAnsi="宋体" w:cs="宋体"/>
                <w:color w:val="000000"/>
                <w:kern w:val="0"/>
                <w:sz w:val="18"/>
                <w:szCs w:val="18"/>
              </w:rPr>
              <w:t>121.56</w:t>
            </w:r>
          </w:p>
        </w:tc>
        <w:tc>
          <w:tcPr>
            <w:tcW w:w="960" w:type="dxa"/>
            <w:tcBorders>
              <w:top w:val="nil"/>
              <w:left w:val="nil"/>
              <w:bottom w:val="single" w:color="auto" w:sz="4" w:space="0"/>
              <w:right w:val="single" w:color="auto" w:sz="4" w:space="0"/>
            </w:tcBorders>
            <w:shd w:val="clear" w:color="auto" w:fill="auto"/>
            <w:vAlign w:val="center"/>
          </w:tcPr>
          <w:p w14:paraId="6DB0BAB7">
            <w:pPr>
              <w:widowControl/>
              <w:jc w:val="center"/>
              <w:rPr>
                <w:rFonts w:ascii="宋体" w:hAnsi="宋体" w:cs="宋体"/>
                <w:color w:val="000000"/>
                <w:kern w:val="0"/>
                <w:sz w:val="18"/>
                <w:szCs w:val="18"/>
              </w:rPr>
            </w:pPr>
            <w:r>
              <w:rPr>
                <w:rFonts w:hint="eastAsia" w:ascii="宋体" w:hAnsi="宋体" w:cs="宋体"/>
                <w:color w:val="000000"/>
                <w:kern w:val="0"/>
                <w:sz w:val="18"/>
                <w:szCs w:val="18"/>
              </w:rPr>
              <w:t>4.26%</w:t>
            </w:r>
          </w:p>
        </w:tc>
        <w:tc>
          <w:tcPr>
            <w:tcW w:w="846" w:type="dxa"/>
            <w:tcBorders>
              <w:top w:val="nil"/>
              <w:left w:val="nil"/>
              <w:bottom w:val="single" w:color="auto" w:sz="4" w:space="0"/>
              <w:right w:val="single" w:color="auto" w:sz="4" w:space="0"/>
            </w:tcBorders>
            <w:shd w:val="clear" w:color="auto" w:fill="auto"/>
            <w:noWrap/>
            <w:vAlign w:val="center"/>
          </w:tcPr>
          <w:p w14:paraId="689959B0">
            <w:pPr>
              <w:widowControl/>
              <w:jc w:val="center"/>
              <w:rPr>
                <w:rFonts w:ascii="宋体" w:hAnsi="宋体" w:cs="宋体"/>
                <w:color w:val="000000"/>
                <w:kern w:val="0"/>
                <w:sz w:val="18"/>
                <w:szCs w:val="18"/>
              </w:rPr>
            </w:pPr>
            <w:r>
              <w:rPr>
                <w:rFonts w:ascii="宋体" w:hAnsi="宋体" w:cs="宋体"/>
                <w:color w:val="000000"/>
                <w:kern w:val="0"/>
                <w:sz w:val="18"/>
                <w:szCs w:val="18"/>
              </w:rPr>
              <w:t xml:space="preserve">120.69 </w:t>
            </w:r>
          </w:p>
        </w:tc>
        <w:tc>
          <w:tcPr>
            <w:tcW w:w="1100" w:type="dxa"/>
            <w:tcBorders>
              <w:top w:val="nil"/>
              <w:left w:val="nil"/>
              <w:bottom w:val="single" w:color="auto" w:sz="4" w:space="0"/>
              <w:right w:val="single" w:color="auto" w:sz="4" w:space="0"/>
            </w:tcBorders>
            <w:shd w:val="clear" w:color="auto" w:fill="auto"/>
            <w:vAlign w:val="center"/>
          </w:tcPr>
          <w:p w14:paraId="11187634">
            <w:pPr>
              <w:widowControl/>
              <w:jc w:val="center"/>
              <w:rPr>
                <w:rFonts w:ascii="宋体" w:hAnsi="宋体" w:cs="宋体"/>
                <w:color w:val="000000"/>
                <w:kern w:val="0"/>
                <w:sz w:val="18"/>
                <w:szCs w:val="18"/>
              </w:rPr>
            </w:pPr>
            <w:r>
              <w:rPr>
                <w:rFonts w:hint="eastAsia" w:ascii="宋体" w:hAnsi="宋体" w:cs="宋体"/>
                <w:color w:val="000000"/>
                <w:kern w:val="0"/>
                <w:sz w:val="18"/>
                <w:szCs w:val="18"/>
              </w:rPr>
              <w:t>4.23%</w:t>
            </w:r>
          </w:p>
        </w:tc>
        <w:tc>
          <w:tcPr>
            <w:tcW w:w="934" w:type="dxa"/>
            <w:tcBorders>
              <w:top w:val="nil"/>
              <w:left w:val="nil"/>
              <w:bottom w:val="single" w:color="auto" w:sz="4" w:space="0"/>
              <w:right w:val="single" w:color="auto" w:sz="4" w:space="0"/>
            </w:tcBorders>
            <w:shd w:val="clear" w:color="auto" w:fill="auto"/>
            <w:vAlign w:val="center"/>
          </w:tcPr>
          <w:p w14:paraId="350A39C4">
            <w:pPr>
              <w:widowControl/>
              <w:jc w:val="center"/>
              <w:rPr>
                <w:rFonts w:ascii="宋体" w:hAnsi="宋体" w:cs="宋体"/>
                <w:color w:val="000000"/>
                <w:kern w:val="0"/>
                <w:sz w:val="18"/>
                <w:szCs w:val="18"/>
              </w:rPr>
            </w:pPr>
            <w:r>
              <w:rPr>
                <w:rFonts w:hint="eastAsia" w:ascii="宋体" w:hAnsi="宋体" w:cs="宋体"/>
                <w:color w:val="000000"/>
                <w:kern w:val="0"/>
                <w:sz w:val="18"/>
                <w:szCs w:val="18"/>
              </w:rPr>
              <w:t>-0.87</w:t>
            </w:r>
          </w:p>
        </w:tc>
        <w:tc>
          <w:tcPr>
            <w:tcW w:w="960" w:type="dxa"/>
            <w:tcBorders>
              <w:top w:val="nil"/>
              <w:left w:val="nil"/>
              <w:bottom w:val="single" w:color="auto" w:sz="4" w:space="0"/>
              <w:right w:val="single" w:color="auto" w:sz="4" w:space="0"/>
            </w:tcBorders>
            <w:shd w:val="clear" w:color="auto" w:fill="auto"/>
            <w:vAlign w:val="center"/>
          </w:tcPr>
          <w:p w14:paraId="4B07374E">
            <w:pPr>
              <w:widowControl/>
              <w:jc w:val="center"/>
              <w:rPr>
                <w:rFonts w:ascii="宋体" w:hAnsi="宋体" w:cs="宋体"/>
                <w:color w:val="000000"/>
                <w:kern w:val="0"/>
                <w:sz w:val="18"/>
                <w:szCs w:val="18"/>
              </w:rPr>
            </w:pPr>
            <w:r>
              <w:rPr>
                <w:rFonts w:hint="eastAsia" w:ascii="宋体" w:hAnsi="宋体" w:cs="宋体"/>
                <w:color w:val="000000"/>
                <w:kern w:val="0"/>
                <w:sz w:val="18"/>
                <w:szCs w:val="18"/>
              </w:rPr>
              <w:t>-0.03%</w:t>
            </w:r>
          </w:p>
        </w:tc>
      </w:tr>
      <w:tr w14:paraId="12DB6AA2">
        <w:tblPrEx>
          <w:tblCellMar>
            <w:top w:w="0" w:type="dxa"/>
            <w:left w:w="108" w:type="dxa"/>
            <w:bottom w:w="0" w:type="dxa"/>
            <w:right w:w="108" w:type="dxa"/>
          </w:tblCellMar>
        </w:tblPrEx>
        <w:trPr>
          <w:trHeight w:val="312" w:hRule="atLeast"/>
          <w:jc w:val="center"/>
        </w:trPr>
        <w:tc>
          <w:tcPr>
            <w:tcW w:w="960" w:type="dxa"/>
            <w:vMerge w:val="continue"/>
            <w:tcBorders>
              <w:top w:val="nil"/>
              <w:left w:val="single" w:color="auto" w:sz="4" w:space="0"/>
              <w:bottom w:val="single" w:color="auto" w:sz="4" w:space="0"/>
              <w:right w:val="single" w:color="auto" w:sz="4" w:space="0"/>
            </w:tcBorders>
            <w:vAlign w:val="center"/>
          </w:tcPr>
          <w:p w14:paraId="0586E40A">
            <w:pPr>
              <w:widowControl/>
              <w:jc w:val="left"/>
              <w:rPr>
                <w:rFonts w:ascii="宋体" w:hAnsi="宋体" w:cs="宋体"/>
                <w:color w:val="000000"/>
                <w:kern w:val="0"/>
                <w:sz w:val="18"/>
                <w:szCs w:val="18"/>
              </w:rPr>
            </w:pPr>
          </w:p>
        </w:tc>
        <w:tc>
          <w:tcPr>
            <w:tcW w:w="2589" w:type="dxa"/>
            <w:gridSpan w:val="2"/>
            <w:tcBorders>
              <w:top w:val="single" w:color="auto" w:sz="4" w:space="0"/>
              <w:left w:val="nil"/>
              <w:bottom w:val="single" w:color="auto" w:sz="4" w:space="0"/>
              <w:right w:val="single" w:color="auto" w:sz="4" w:space="0"/>
            </w:tcBorders>
            <w:shd w:val="clear" w:color="auto" w:fill="auto"/>
            <w:vAlign w:val="center"/>
          </w:tcPr>
          <w:p w14:paraId="5D0C9C9D">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960" w:type="dxa"/>
            <w:tcBorders>
              <w:top w:val="nil"/>
              <w:left w:val="nil"/>
              <w:bottom w:val="single" w:color="auto" w:sz="4" w:space="0"/>
              <w:right w:val="single" w:color="auto" w:sz="4" w:space="0"/>
            </w:tcBorders>
            <w:shd w:val="clear" w:color="auto" w:fill="auto"/>
            <w:vAlign w:val="center"/>
          </w:tcPr>
          <w:p w14:paraId="35CC910E">
            <w:pPr>
              <w:widowControl/>
              <w:jc w:val="center"/>
              <w:rPr>
                <w:rFonts w:ascii="宋体" w:hAnsi="宋体" w:cs="宋体"/>
                <w:color w:val="000000"/>
                <w:kern w:val="0"/>
                <w:sz w:val="18"/>
                <w:szCs w:val="18"/>
              </w:rPr>
            </w:pPr>
            <w:r>
              <w:rPr>
                <w:rFonts w:ascii="宋体" w:hAnsi="宋体" w:cs="宋体"/>
                <w:color w:val="000000"/>
                <w:kern w:val="0"/>
                <w:sz w:val="18"/>
                <w:szCs w:val="18"/>
              </w:rPr>
              <w:t xml:space="preserve">123.99 </w:t>
            </w:r>
          </w:p>
        </w:tc>
        <w:tc>
          <w:tcPr>
            <w:tcW w:w="960" w:type="dxa"/>
            <w:tcBorders>
              <w:top w:val="nil"/>
              <w:left w:val="nil"/>
              <w:bottom w:val="single" w:color="auto" w:sz="4" w:space="0"/>
              <w:right w:val="single" w:color="auto" w:sz="4" w:space="0"/>
            </w:tcBorders>
            <w:shd w:val="clear" w:color="auto" w:fill="auto"/>
            <w:vAlign w:val="center"/>
          </w:tcPr>
          <w:p w14:paraId="2969E6C3">
            <w:pPr>
              <w:widowControl/>
              <w:jc w:val="center"/>
              <w:rPr>
                <w:rFonts w:ascii="宋体" w:hAnsi="宋体" w:cs="宋体"/>
                <w:color w:val="000000"/>
                <w:kern w:val="0"/>
                <w:sz w:val="18"/>
                <w:szCs w:val="18"/>
              </w:rPr>
            </w:pPr>
            <w:r>
              <w:rPr>
                <w:rFonts w:hint="eastAsia" w:ascii="宋体" w:hAnsi="宋体" w:cs="宋体"/>
                <w:color w:val="000000"/>
                <w:kern w:val="0"/>
                <w:sz w:val="18"/>
                <w:szCs w:val="18"/>
              </w:rPr>
              <w:t>4.34%</w:t>
            </w:r>
          </w:p>
        </w:tc>
        <w:tc>
          <w:tcPr>
            <w:tcW w:w="846" w:type="dxa"/>
            <w:tcBorders>
              <w:top w:val="nil"/>
              <w:left w:val="nil"/>
              <w:bottom w:val="single" w:color="auto" w:sz="4" w:space="0"/>
              <w:right w:val="single" w:color="auto" w:sz="4" w:space="0"/>
            </w:tcBorders>
            <w:shd w:val="clear" w:color="auto" w:fill="auto"/>
            <w:noWrap/>
            <w:vAlign w:val="center"/>
          </w:tcPr>
          <w:p w14:paraId="7B0446F0">
            <w:pPr>
              <w:widowControl/>
              <w:jc w:val="center"/>
              <w:rPr>
                <w:rFonts w:ascii="宋体" w:hAnsi="宋体" w:cs="宋体"/>
                <w:color w:val="000000"/>
                <w:kern w:val="0"/>
                <w:sz w:val="18"/>
                <w:szCs w:val="18"/>
              </w:rPr>
            </w:pPr>
            <w:r>
              <w:rPr>
                <w:rFonts w:ascii="宋体" w:hAnsi="宋体" w:cs="宋体"/>
                <w:color w:val="000000"/>
                <w:kern w:val="0"/>
                <w:sz w:val="18"/>
                <w:szCs w:val="18"/>
              </w:rPr>
              <w:t xml:space="preserve">123.12 </w:t>
            </w:r>
          </w:p>
        </w:tc>
        <w:tc>
          <w:tcPr>
            <w:tcW w:w="1100" w:type="dxa"/>
            <w:tcBorders>
              <w:top w:val="nil"/>
              <w:left w:val="nil"/>
              <w:bottom w:val="single" w:color="auto" w:sz="4" w:space="0"/>
              <w:right w:val="single" w:color="auto" w:sz="4" w:space="0"/>
            </w:tcBorders>
            <w:shd w:val="clear" w:color="auto" w:fill="auto"/>
            <w:vAlign w:val="center"/>
          </w:tcPr>
          <w:p w14:paraId="5E274903">
            <w:pPr>
              <w:widowControl/>
              <w:jc w:val="center"/>
              <w:rPr>
                <w:rFonts w:ascii="宋体" w:hAnsi="宋体" w:cs="宋体"/>
                <w:color w:val="000000"/>
                <w:kern w:val="0"/>
                <w:sz w:val="18"/>
                <w:szCs w:val="18"/>
              </w:rPr>
            </w:pPr>
            <w:r>
              <w:rPr>
                <w:rFonts w:hint="eastAsia" w:ascii="宋体" w:hAnsi="宋体" w:cs="宋体"/>
                <w:color w:val="000000"/>
                <w:kern w:val="0"/>
                <w:sz w:val="18"/>
                <w:szCs w:val="18"/>
              </w:rPr>
              <w:t>4.31%</w:t>
            </w:r>
          </w:p>
        </w:tc>
        <w:tc>
          <w:tcPr>
            <w:tcW w:w="934" w:type="dxa"/>
            <w:tcBorders>
              <w:top w:val="nil"/>
              <w:left w:val="nil"/>
              <w:bottom w:val="single" w:color="auto" w:sz="4" w:space="0"/>
              <w:right w:val="single" w:color="auto" w:sz="4" w:space="0"/>
            </w:tcBorders>
            <w:shd w:val="clear" w:color="auto" w:fill="auto"/>
            <w:vAlign w:val="center"/>
          </w:tcPr>
          <w:p w14:paraId="32AFC241">
            <w:pPr>
              <w:widowControl/>
              <w:jc w:val="center"/>
              <w:rPr>
                <w:rFonts w:ascii="宋体" w:hAnsi="宋体" w:cs="宋体"/>
                <w:color w:val="000000"/>
                <w:kern w:val="0"/>
                <w:sz w:val="18"/>
                <w:szCs w:val="18"/>
              </w:rPr>
            </w:pPr>
            <w:r>
              <w:rPr>
                <w:rFonts w:hint="eastAsia" w:ascii="宋体" w:hAnsi="宋体" w:cs="宋体"/>
                <w:color w:val="000000"/>
                <w:kern w:val="0"/>
                <w:sz w:val="18"/>
                <w:szCs w:val="18"/>
              </w:rPr>
              <w:t>-0.87</w:t>
            </w:r>
          </w:p>
        </w:tc>
        <w:tc>
          <w:tcPr>
            <w:tcW w:w="960" w:type="dxa"/>
            <w:tcBorders>
              <w:top w:val="nil"/>
              <w:left w:val="nil"/>
              <w:bottom w:val="single" w:color="auto" w:sz="4" w:space="0"/>
              <w:right w:val="single" w:color="auto" w:sz="4" w:space="0"/>
            </w:tcBorders>
            <w:shd w:val="clear" w:color="auto" w:fill="auto"/>
            <w:vAlign w:val="center"/>
          </w:tcPr>
          <w:p w14:paraId="26BE5EF1">
            <w:pPr>
              <w:widowControl/>
              <w:jc w:val="center"/>
              <w:rPr>
                <w:rFonts w:ascii="宋体" w:hAnsi="宋体" w:cs="宋体"/>
                <w:color w:val="000000"/>
                <w:kern w:val="0"/>
                <w:sz w:val="18"/>
                <w:szCs w:val="18"/>
              </w:rPr>
            </w:pPr>
            <w:r>
              <w:rPr>
                <w:rFonts w:hint="eastAsia" w:ascii="宋体" w:hAnsi="宋体" w:cs="宋体"/>
                <w:color w:val="000000"/>
                <w:kern w:val="0"/>
                <w:sz w:val="18"/>
                <w:szCs w:val="18"/>
              </w:rPr>
              <w:t>-0.03%</w:t>
            </w:r>
          </w:p>
        </w:tc>
      </w:tr>
      <w:tr w14:paraId="1BFBE84A">
        <w:tblPrEx>
          <w:tblCellMar>
            <w:top w:w="0" w:type="dxa"/>
            <w:left w:w="108" w:type="dxa"/>
            <w:bottom w:w="0" w:type="dxa"/>
            <w:right w:w="108" w:type="dxa"/>
          </w:tblCellMar>
        </w:tblPrEx>
        <w:trPr>
          <w:trHeight w:val="312" w:hRule="atLeast"/>
          <w:jc w:val="center"/>
        </w:trPr>
        <w:tc>
          <w:tcPr>
            <w:tcW w:w="35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F211342">
            <w:pPr>
              <w:widowControl/>
              <w:jc w:val="center"/>
              <w:rPr>
                <w:rFonts w:ascii="宋体" w:hAnsi="宋体" w:cs="宋体"/>
                <w:color w:val="000000"/>
                <w:kern w:val="0"/>
                <w:sz w:val="18"/>
                <w:szCs w:val="18"/>
              </w:rPr>
            </w:pPr>
            <w:r>
              <w:rPr>
                <w:rFonts w:hint="eastAsia" w:ascii="宋体" w:hAnsi="宋体" w:cs="宋体"/>
                <w:color w:val="000000"/>
                <w:kern w:val="0"/>
                <w:sz w:val="18"/>
                <w:szCs w:val="18"/>
              </w:rPr>
              <w:t>总计</w:t>
            </w:r>
          </w:p>
        </w:tc>
        <w:tc>
          <w:tcPr>
            <w:tcW w:w="960" w:type="dxa"/>
            <w:tcBorders>
              <w:top w:val="nil"/>
              <w:left w:val="nil"/>
              <w:bottom w:val="single" w:color="auto" w:sz="4" w:space="0"/>
              <w:right w:val="single" w:color="auto" w:sz="4" w:space="0"/>
            </w:tcBorders>
            <w:shd w:val="clear" w:color="auto" w:fill="auto"/>
            <w:noWrap/>
            <w:vAlign w:val="center"/>
          </w:tcPr>
          <w:p w14:paraId="25F849D0">
            <w:pPr>
              <w:widowControl/>
              <w:jc w:val="center"/>
              <w:rPr>
                <w:rFonts w:ascii="宋体" w:hAnsi="宋体" w:cs="宋体"/>
                <w:color w:val="000000"/>
                <w:kern w:val="0"/>
                <w:sz w:val="18"/>
                <w:szCs w:val="18"/>
              </w:rPr>
            </w:pPr>
            <w:r>
              <w:rPr>
                <w:rFonts w:ascii="宋体" w:hAnsi="宋体" w:cs="宋体"/>
                <w:color w:val="000000"/>
                <w:kern w:val="0"/>
                <w:sz w:val="18"/>
                <w:szCs w:val="18"/>
              </w:rPr>
              <w:t xml:space="preserve">2854.15 </w:t>
            </w:r>
          </w:p>
        </w:tc>
        <w:tc>
          <w:tcPr>
            <w:tcW w:w="960" w:type="dxa"/>
            <w:tcBorders>
              <w:top w:val="nil"/>
              <w:left w:val="nil"/>
              <w:bottom w:val="single" w:color="auto" w:sz="4" w:space="0"/>
              <w:right w:val="single" w:color="auto" w:sz="4" w:space="0"/>
            </w:tcBorders>
            <w:shd w:val="clear" w:color="auto" w:fill="auto"/>
            <w:vAlign w:val="center"/>
          </w:tcPr>
          <w:p w14:paraId="5571928C">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46" w:type="dxa"/>
            <w:tcBorders>
              <w:top w:val="nil"/>
              <w:left w:val="nil"/>
              <w:bottom w:val="single" w:color="auto" w:sz="4" w:space="0"/>
              <w:right w:val="single" w:color="auto" w:sz="4" w:space="0"/>
            </w:tcBorders>
            <w:shd w:val="clear" w:color="auto" w:fill="auto"/>
            <w:noWrap/>
            <w:vAlign w:val="center"/>
          </w:tcPr>
          <w:p w14:paraId="2F464CDC">
            <w:pPr>
              <w:widowControl/>
              <w:jc w:val="center"/>
              <w:rPr>
                <w:rFonts w:ascii="宋体" w:hAnsi="宋体" w:cs="宋体"/>
                <w:color w:val="000000"/>
                <w:kern w:val="0"/>
                <w:sz w:val="18"/>
                <w:szCs w:val="18"/>
              </w:rPr>
            </w:pPr>
            <w:r>
              <w:rPr>
                <w:rFonts w:ascii="宋体" w:hAnsi="宋体" w:cs="宋体"/>
                <w:color w:val="000000"/>
                <w:kern w:val="0"/>
                <w:sz w:val="18"/>
                <w:szCs w:val="18"/>
              </w:rPr>
              <w:t xml:space="preserve">2854.15 </w:t>
            </w:r>
          </w:p>
        </w:tc>
        <w:tc>
          <w:tcPr>
            <w:tcW w:w="1100" w:type="dxa"/>
            <w:tcBorders>
              <w:top w:val="nil"/>
              <w:left w:val="nil"/>
              <w:bottom w:val="single" w:color="auto" w:sz="4" w:space="0"/>
              <w:right w:val="single" w:color="auto" w:sz="4" w:space="0"/>
            </w:tcBorders>
            <w:shd w:val="clear" w:color="auto" w:fill="auto"/>
            <w:vAlign w:val="center"/>
          </w:tcPr>
          <w:p w14:paraId="4A79D94A">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934" w:type="dxa"/>
            <w:tcBorders>
              <w:top w:val="nil"/>
              <w:left w:val="nil"/>
              <w:bottom w:val="single" w:color="auto" w:sz="4" w:space="0"/>
              <w:right w:val="single" w:color="auto" w:sz="4" w:space="0"/>
            </w:tcBorders>
            <w:shd w:val="clear" w:color="auto" w:fill="auto"/>
            <w:vAlign w:val="center"/>
          </w:tcPr>
          <w:p w14:paraId="52DE9824">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960" w:type="dxa"/>
            <w:tcBorders>
              <w:top w:val="nil"/>
              <w:left w:val="nil"/>
              <w:bottom w:val="single" w:color="auto" w:sz="4" w:space="0"/>
              <w:right w:val="single" w:color="auto" w:sz="4" w:space="0"/>
            </w:tcBorders>
            <w:shd w:val="clear" w:color="auto" w:fill="auto"/>
            <w:vAlign w:val="center"/>
          </w:tcPr>
          <w:p w14:paraId="367A3293">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bl>
    <w:p w14:paraId="4D8780A1">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四、中心城区</w:t>
      </w:r>
      <w:bookmarkEnd w:id="132"/>
      <w:r>
        <w:rPr>
          <w:rFonts w:hint="eastAsia" w:ascii="Arial" w:hAnsi="Arial" w:eastAsia="黑体"/>
          <w:b w:val="0"/>
          <w:color w:val="000000"/>
          <w:sz w:val="28"/>
          <w:szCs w:val="28"/>
        </w:rPr>
        <w:t>建设用地管制分区</w:t>
      </w:r>
    </w:p>
    <w:p w14:paraId="18B43866">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调整完善前，东川区中心城区允许建设区面积1518.28公顷,有条件建设区面积579.54公顷,限制建设区面积756.33公顷。</w:t>
      </w:r>
    </w:p>
    <w:p w14:paraId="3457BDBF">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调整完善后，东川区允许建设区面积</w:t>
      </w:r>
      <w:r>
        <w:rPr>
          <w:rFonts w:ascii="仿宋_GB2312" w:hAnsi="宋体" w:eastAsia="仿宋_GB2312"/>
          <w:kern w:val="0"/>
          <w:sz w:val="28"/>
          <w:szCs w:val="28"/>
        </w:rPr>
        <w:t>1523.97</w:t>
      </w:r>
      <w:r>
        <w:rPr>
          <w:rFonts w:hint="eastAsia" w:ascii="仿宋_GB2312" w:hAnsi="宋体" w:eastAsia="仿宋_GB2312"/>
          <w:kern w:val="0"/>
          <w:sz w:val="28"/>
          <w:szCs w:val="28"/>
        </w:rPr>
        <w:t>公顷,有条件建设区面积</w:t>
      </w:r>
      <w:r>
        <w:rPr>
          <w:rFonts w:ascii="仿宋_GB2312" w:hAnsi="宋体" w:eastAsia="仿宋_GB2312"/>
          <w:kern w:val="0"/>
          <w:sz w:val="28"/>
          <w:szCs w:val="28"/>
        </w:rPr>
        <w:t>576.47</w:t>
      </w:r>
      <w:r>
        <w:rPr>
          <w:rFonts w:hint="eastAsia" w:ascii="仿宋_GB2312" w:hAnsi="宋体" w:eastAsia="仿宋_GB2312"/>
          <w:kern w:val="0"/>
          <w:sz w:val="28"/>
          <w:szCs w:val="28"/>
        </w:rPr>
        <w:t>公顷,限制建设区面积</w:t>
      </w:r>
      <w:r>
        <w:rPr>
          <w:rFonts w:ascii="仿宋_GB2312" w:hAnsi="宋体" w:eastAsia="仿宋_GB2312"/>
          <w:kern w:val="0"/>
          <w:sz w:val="28"/>
          <w:szCs w:val="28"/>
        </w:rPr>
        <w:t>753.71</w:t>
      </w:r>
      <w:r>
        <w:rPr>
          <w:rFonts w:hint="eastAsia" w:ascii="仿宋_GB2312" w:hAnsi="宋体" w:eastAsia="仿宋_GB2312"/>
          <w:kern w:val="0"/>
          <w:sz w:val="28"/>
          <w:szCs w:val="28"/>
        </w:rPr>
        <w:t>公顷。</w:t>
      </w:r>
    </w:p>
    <w:p w14:paraId="705501B7">
      <w:pPr>
        <w:jc w:val="center"/>
        <w:outlineLvl w:val="4"/>
        <w:rPr>
          <w:rFonts w:ascii="宋体" w:hAnsi="宋体"/>
          <w:b/>
          <w:sz w:val="24"/>
        </w:rPr>
      </w:pPr>
      <w:r>
        <w:rPr>
          <w:rFonts w:hint="eastAsia" w:ascii="宋体" w:hAnsi="宋体"/>
          <w:b/>
          <w:sz w:val="24"/>
        </w:rPr>
        <w:t>表6-7  东川区中心城区调整前后建设用地空间管制分区对比情况表</w:t>
      </w:r>
    </w:p>
    <w:p w14:paraId="2462B155">
      <w:pPr>
        <w:snapToGrid w:val="0"/>
        <w:spacing w:line="360" w:lineRule="auto"/>
        <w:ind w:firstLine="360" w:firstLineChars="200"/>
        <w:jc w:val="right"/>
        <w:rPr>
          <w:rFonts w:ascii="宋体" w:hAnsi="宋体"/>
          <w:color w:val="000000"/>
          <w:sz w:val="18"/>
          <w:szCs w:val="18"/>
        </w:rPr>
      </w:pPr>
      <w:r>
        <w:rPr>
          <w:rFonts w:hint="eastAsia" w:ascii="宋体" w:hAnsi="宋体"/>
          <w:color w:val="000000"/>
          <w:sz w:val="18"/>
          <w:szCs w:val="18"/>
        </w:rPr>
        <w:t>单位：公顷</w:t>
      </w:r>
    </w:p>
    <w:tbl>
      <w:tblPr>
        <w:tblStyle w:val="27"/>
        <w:tblW w:w="8426" w:type="dxa"/>
        <w:jc w:val="center"/>
        <w:tblLayout w:type="autofit"/>
        <w:tblCellMar>
          <w:top w:w="0" w:type="dxa"/>
          <w:left w:w="108" w:type="dxa"/>
          <w:bottom w:w="0" w:type="dxa"/>
          <w:right w:w="108" w:type="dxa"/>
        </w:tblCellMar>
      </w:tblPr>
      <w:tblGrid>
        <w:gridCol w:w="1608"/>
        <w:gridCol w:w="1116"/>
        <w:gridCol w:w="1139"/>
        <w:gridCol w:w="1098"/>
        <w:gridCol w:w="1134"/>
        <w:gridCol w:w="1134"/>
        <w:gridCol w:w="1197"/>
      </w:tblGrid>
      <w:tr w14:paraId="028AA733">
        <w:tblPrEx>
          <w:tblCellMar>
            <w:top w:w="0" w:type="dxa"/>
            <w:left w:w="108" w:type="dxa"/>
            <w:bottom w:w="0" w:type="dxa"/>
            <w:right w:w="108" w:type="dxa"/>
          </w:tblCellMar>
        </w:tblPrEx>
        <w:trPr>
          <w:trHeight w:val="300" w:hRule="atLeast"/>
          <w:jc w:val="center"/>
        </w:trPr>
        <w:tc>
          <w:tcPr>
            <w:tcW w:w="1608" w:type="dxa"/>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14:paraId="131DB99E">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255" w:type="dxa"/>
            <w:gridSpan w:val="2"/>
            <w:tcBorders>
              <w:top w:val="single" w:color="auto" w:sz="8" w:space="0"/>
              <w:left w:val="nil"/>
              <w:bottom w:val="single" w:color="auto" w:sz="8" w:space="0"/>
              <w:right w:val="single" w:color="000000" w:sz="8" w:space="0"/>
            </w:tcBorders>
            <w:shd w:val="clear" w:color="auto" w:fill="auto"/>
            <w:vAlign w:val="center"/>
          </w:tcPr>
          <w:p w14:paraId="359DF31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调整前</w:t>
            </w:r>
          </w:p>
        </w:tc>
        <w:tc>
          <w:tcPr>
            <w:tcW w:w="2232" w:type="dxa"/>
            <w:gridSpan w:val="2"/>
            <w:tcBorders>
              <w:top w:val="single" w:color="auto" w:sz="8" w:space="0"/>
              <w:left w:val="nil"/>
              <w:bottom w:val="single" w:color="auto" w:sz="8" w:space="0"/>
              <w:right w:val="single" w:color="000000" w:sz="8" w:space="0"/>
            </w:tcBorders>
            <w:shd w:val="clear" w:color="auto" w:fill="auto"/>
            <w:vAlign w:val="center"/>
          </w:tcPr>
          <w:p w14:paraId="09B0FEB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调整后</w:t>
            </w:r>
          </w:p>
        </w:tc>
        <w:tc>
          <w:tcPr>
            <w:tcW w:w="2331" w:type="dxa"/>
            <w:gridSpan w:val="2"/>
            <w:tcBorders>
              <w:top w:val="single" w:color="auto" w:sz="8" w:space="0"/>
              <w:left w:val="nil"/>
              <w:bottom w:val="single" w:color="auto" w:sz="8" w:space="0"/>
              <w:right w:val="single" w:color="000000" w:sz="8" w:space="0"/>
            </w:tcBorders>
            <w:shd w:val="clear" w:color="auto" w:fill="auto"/>
            <w:vAlign w:val="center"/>
          </w:tcPr>
          <w:p w14:paraId="4C6882E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变化量</w:t>
            </w:r>
          </w:p>
        </w:tc>
      </w:tr>
      <w:tr w14:paraId="2EB633E5">
        <w:tblPrEx>
          <w:tblCellMar>
            <w:top w:w="0" w:type="dxa"/>
            <w:left w:w="108" w:type="dxa"/>
            <w:bottom w:w="0" w:type="dxa"/>
            <w:right w:w="108" w:type="dxa"/>
          </w:tblCellMar>
        </w:tblPrEx>
        <w:trPr>
          <w:trHeight w:val="300" w:hRule="atLeast"/>
          <w:jc w:val="center"/>
        </w:trPr>
        <w:tc>
          <w:tcPr>
            <w:tcW w:w="1608" w:type="dxa"/>
            <w:vMerge w:val="continue"/>
            <w:tcBorders>
              <w:top w:val="single" w:color="auto" w:sz="8" w:space="0"/>
              <w:left w:val="single" w:color="auto" w:sz="8" w:space="0"/>
              <w:bottom w:val="single" w:color="000000" w:sz="8" w:space="0"/>
              <w:right w:val="single" w:color="auto" w:sz="8" w:space="0"/>
            </w:tcBorders>
            <w:vAlign w:val="center"/>
          </w:tcPr>
          <w:p w14:paraId="3CF9E7DF">
            <w:pPr>
              <w:widowControl/>
              <w:jc w:val="left"/>
              <w:rPr>
                <w:rFonts w:ascii="宋体" w:hAnsi="宋体" w:cs="宋体"/>
                <w:color w:val="000000"/>
                <w:kern w:val="0"/>
                <w:szCs w:val="21"/>
              </w:rPr>
            </w:pPr>
          </w:p>
        </w:tc>
        <w:tc>
          <w:tcPr>
            <w:tcW w:w="1116" w:type="dxa"/>
            <w:tcBorders>
              <w:top w:val="nil"/>
              <w:left w:val="nil"/>
              <w:bottom w:val="single" w:color="auto" w:sz="8" w:space="0"/>
              <w:right w:val="single" w:color="auto" w:sz="8" w:space="0"/>
            </w:tcBorders>
            <w:shd w:val="clear" w:color="auto" w:fill="auto"/>
            <w:vAlign w:val="center"/>
          </w:tcPr>
          <w:p w14:paraId="0DC71CE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139" w:type="dxa"/>
            <w:tcBorders>
              <w:top w:val="nil"/>
              <w:left w:val="nil"/>
              <w:bottom w:val="single" w:color="auto" w:sz="8" w:space="0"/>
              <w:right w:val="single" w:color="auto" w:sz="8" w:space="0"/>
            </w:tcBorders>
            <w:shd w:val="clear" w:color="auto" w:fill="auto"/>
            <w:vAlign w:val="center"/>
          </w:tcPr>
          <w:p w14:paraId="6717EEE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098" w:type="dxa"/>
            <w:tcBorders>
              <w:top w:val="nil"/>
              <w:left w:val="nil"/>
              <w:bottom w:val="single" w:color="auto" w:sz="8" w:space="0"/>
              <w:right w:val="single" w:color="auto" w:sz="8" w:space="0"/>
            </w:tcBorders>
            <w:shd w:val="clear" w:color="auto" w:fill="auto"/>
            <w:vAlign w:val="center"/>
          </w:tcPr>
          <w:p w14:paraId="5B0A8DD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134" w:type="dxa"/>
            <w:tcBorders>
              <w:top w:val="nil"/>
              <w:left w:val="nil"/>
              <w:bottom w:val="single" w:color="auto" w:sz="8" w:space="0"/>
              <w:right w:val="single" w:color="auto" w:sz="8" w:space="0"/>
            </w:tcBorders>
            <w:shd w:val="clear" w:color="auto" w:fill="auto"/>
            <w:vAlign w:val="center"/>
          </w:tcPr>
          <w:p w14:paraId="42C1C6F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134" w:type="dxa"/>
            <w:tcBorders>
              <w:top w:val="nil"/>
              <w:left w:val="nil"/>
              <w:bottom w:val="single" w:color="auto" w:sz="8" w:space="0"/>
              <w:right w:val="single" w:color="auto" w:sz="8" w:space="0"/>
            </w:tcBorders>
            <w:shd w:val="clear" w:color="auto" w:fill="auto"/>
            <w:vAlign w:val="center"/>
          </w:tcPr>
          <w:p w14:paraId="332C6DA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197" w:type="dxa"/>
            <w:tcBorders>
              <w:top w:val="nil"/>
              <w:left w:val="nil"/>
              <w:bottom w:val="single" w:color="auto" w:sz="8" w:space="0"/>
              <w:right w:val="single" w:color="auto" w:sz="8" w:space="0"/>
            </w:tcBorders>
            <w:shd w:val="clear" w:color="auto" w:fill="auto"/>
            <w:vAlign w:val="center"/>
          </w:tcPr>
          <w:p w14:paraId="3BF8A49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r>
      <w:tr w14:paraId="307F6A5F">
        <w:tblPrEx>
          <w:tblCellMar>
            <w:top w:w="0" w:type="dxa"/>
            <w:left w:w="108" w:type="dxa"/>
            <w:bottom w:w="0" w:type="dxa"/>
            <w:right w:w="108" w:type="dxa"/>
          </w:tblCellMar>
        </w:tblPrEx>
        <w:trPr>
          <w:trHeight w:val="300" w:hRule="atLeast"/>
          <w:jc w:val="center"/>
        </w:trPr>
        <w:tc>
          <w:tcPr>
            <w:tcW w:w="1608" w:type="dxa"/>
            <w:tcBorders>
              <w:top w:val="nil"/>
              <w:left w:val="single" w:color="auto" w:sz="8" w:space="0"/>
              <w:bottom w:val="single" w:color="auto" w:sz="8" w:space="0"/>
              <w:right w:val="single" w:color="auto" w:sz="8" w:space="0"/>
            </w:tcBorders>
            <w:shd w:val="clear" w:color="auto" w:fill="auto"/>
            <w:vAlign w:val="center"/>
          </w:tcPr>
          <w:p w14:paraId="752B31A6">
            <w:pPr>
              <w:widowControl/>
              <w:jc w:val="center"/>
              <w:rPr>
                <w:rFonts w:ascii="宋体" w:hAnsi="宋体" w:cs="宋体"/>
                <w:color w:val="000000"/>
                <w:kern w:val="0"/>
                <w:sz w:val="18"/>
                <w:szCs w:val="18"/>
              </w:rPr>
            </w:pPr>
            <w:r>
              <w:rPr>
                <w:rFonts w:hint="eastAsia" w:ascii="宋体" w:hAnsi="宋体" w:cs="宋体"/>
                <w:color w:val="000000"/>
                <w:kern w:val="0"/>
                <w:sz w:val="18"/>
                <w:szCs w:val="18"/>
              </w:rPr>
              <w:t>允许建设区</w:t>
            </w:r>
          </w:p>
        </w:tc>
        <w:tc>
          <w:tcPr>
            <w:tcW w:w="1116" w:type="dxa"/>
            <w:tcBorders>
              <w:top w:val="nil"/>
              <w:left w:val="nil"/>
              <w:bottom w:val="single" w:color="auto" w:sz="8" w:space="0"/>
              <w:right w:val="single" w:color="auto" w:sz="8" w:space="0"/>
            </w:tcBorders>
            <w:shd w:val="clear" w:color="auto" w:fill="auto"/>
            <w:vAlign w:val="center"/>
          </w:tcPr>
          <w:p w14:paraId="74860140">
            <w:pPr>
              <w:widowControl/>
              <w:jc w:val="center"/>
              <w:rPr>
                <w:rFonts w:ascii="宋体" w:hAnsi="宋体" w:cs="宋体"/>
                <w:color w:val="000000"/>
                <w:kern w:val="0"/>
                <w:sz w:val="18"/>
                <w:szCs w:val="18"/>
              </w:rPr>
            </w:pPr>
            <w:r>
              <w:rPr>
                <w:rFonts w:hint="eastAsia" w:ascii="宋体" w:hAnsi="宋体" w:cs="宋体"/>
                <w:color w:val="000000"/>
                <w:kern w:val="0"/>
                <w:sz w:val="18"/>
                <w:szCs w:val="18"/>
              </w:rPr>
              <w:t>1518.28</w:t>
            </w:r>
          </w:p>
        </w:tc>
        <w:tc>
          <w:tcPr>
            <w:tcW w:w="1139" w:type="dxa"/>
            <w:tcBorders>
              <w:top w:val="nil"/>
              <w:left w:val="nil"/>
              <w:bottom w:val="single" w:color="auto" w:sz="8" w:space="0"/>
              <w:right w:val="single" w:color="auto" w:sz="8" w:space="0"/>
            </w:tcBorders>
            <w:shd w:val="clear" w:color="auto" w:fill="auto"/>
            <w:noWrap/>
            <w:vAlign w:val="center"/>
          </w:tcPr>
          <w:p w14:paraId="25EA0EAB">
            <w:pPr>
              <w:widowControl/>
              <w:jc w:val="center"/>
              <w:rPr>
                <w:rFonts w:ascii="宋体" w:hAnsi="宋体" w:cs="宋体"/>
                <w:color w:val="000000"/>
                <w:kern w:val="0"/>
                <w:sz w:val="18"/>
                <w:szCs w:val="18"/>
              </w:rPr>
            </w:pPr>
            <w:r>
              <w:rPr>
                <w:rFonts w:hint="eastAsia" w:ascii="宋体" w:hAnsi="宋体" w:cs="宋体"/>
                <w:color w:val="000000"/>
                <w:kern w:val="0"/>
                <w:sz w:val="18"/>
                <w:szCs w:val="18"/>
              </w:rPr>
              <w:t>53.20%</w:t>
            </w:r>
          </w:p>
        </w:tc>
        <w:tc>
          <w:tcPr>
            <w:tcW w:w="1098" w:type="dxa"/>
            <w:tcBorders>
              <w:top w:val="single" w:color="auto" w:sz="4" w:space="0"/>
              <w:left w:val="single" w:color="auto" w:sz="4" w:space="0"/>
              <w:bottom w:val="single" w:color="auto" w:sz="8" w:space="0"/>
              <w:right w:val="single" w:color="auto" w:sz="4" w:space="0"/>
            </w:tcBorders>
            <w:shd w:val="clear" w:color="auto" w:fill="auto"/>
            <w:noWrap/>
            <w:vAlign w:val="center"/>
          </w:tcPr>
          <w:p w14:paraId="566DEC86">
            <w:pPr>
              <w:widowControl/>
              <w:jc w:val="center"/>
              <w:rPr>
                <w:rFonts w:ascii="宋体" w:hAnsi="宋体" w:cs="宋体"/>
                <w:color w:val="000000"/>
                <w:kern w:val="0"/>
                <w:sz w:val="18"/>
                <w:szCs w:val="18"/>
              </w:rPr>
            </w:pPr>
            <w:r>
              <w:rPr>
                <w:rFonts w:ascii="宋体" w:hAnsi="宋体" w:cs="宋体"/>
                <w:color w:val="000000"/>
                <w:kern w:val="0"/>
                <w:sz w:val="18"/>
                <w:szCs w:val="18"/>
              </w:rPr>
              <w:t xml:space="preserve">1523.97 </w:t>
            </w:r>
          </w:p>
        </w:tc>
        <w:tc>
          <w:tcPr>
            <w:tcW w:w="1134" w:type="dxa"/>
            <w:tcBorders>
              <w:top w:val="nil"/>
              <w:left w:val="nil"/>
              <w:bottom w:val="single" w:color="auto" w:sz="8" w:space="0"/>
              <w:right w:val="single" w:color="auto" w:sz="8" w:space="0"/>
            </w:tcBorders>
            <w:shd w:val="clear" w:color="auto" w:fill="auto"/>
            <w:noWrap/>
            <w:vAlign w:val="center"/>
          </w:tcPr>
          <w:p w14:paraId="1DC38B7D">
            <w:pPr>
              <w:widowControl/>
              <w:jc w:val="center"/>
              <w:rPr>
                <w:rFonts w:ascii="宋体" w:hAnsi="宋体" w:cs="宋体"/>
                <w:color w:val="000000"/>
                <w:kern w:val="0"/>
                <w:sz w:val="18"/>
                <w:szCs w:val="18"/>
              </w:rPr>
            </w:pPr>
            <w:r>
              <w:rPr>
                <w:rFonts w:hint="eastAsia" w:ascii="宋体" w:hAnsi="宋体" w:cs="宋体"/>
                <w:color w:val="000000"/>
                <w:kern w:val="0"/>
                <w:sz w:val="18"/>
                <w:szCs w:val="18"/>
              </w:rPr>
              <w:t>53.39%</w:t>
            </w:r>
          </w:p>
        </w:tc>
        <w:tc>
          <w:tcPr>
            <w:tcW w:w="1134" w:type="dxa"/>
            <w:tcBorders>
              <w:top w:val="nil"/>
              <w:left w:val="nil"/>
              <w:bottom w:val="single" w:color="auto" w:sz="8" w:space="0"/>
              <w:right w:val="single" w:color="auto" w:sz="8" w:space="0"/>
            </w:tcBorders>
            <w:shd w:val="clear" w:color="auto" w:fill="auto"/>
            <w:noWrap/>
            <w:vAlign w:val="center"/>
          </w:tcPr>
          <w:p w14:paraId="48E31BE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5.69 </w:t>
            </w:r>
          </w:p>
        </w:tc>
        <w:tc>
          <w:tcPr>
            <w:tcW w:w="1197" w:type="dxa"/>
            <w:tcBorders>
              <w:top w:val="nil"/>
              <w:left w:val="nil"/>
              <w:bottom w:val="single" w:color="auto" w:sz="8" w:space="0"/>
              <w:right w:val="single" w:color="auto" w:sz="8" w:space="0"/>
            </w:tcBorders>
            <w:shd w:val="clear" w:color="auto" w:fill="auto"/>
            <w:noWrap/>
            <w:vAlign w:val="center"/>
          </w:tcPr>
          <w:p w14:paraId="0F89C0C2">
            <w:pPr>
              <w:widowControl/>
              <w:jc w:val="center"/>
              <w:rPr>
                <w:rFonts w:ascii="宋体" w:hAnsi="宋体" w:cs="宋体"/>
                <w:color w:val="000000"/>
                <w:kern w:val="0"/>
                <w:sz w:val="18"/>
                <w:szCs w:val="18"/>
              </w:rPr>
            </w:pPr>
            <w:r>
              <w:rPr>
                <w:rFonts w:hint="eastAsia" w:ascii="宋体" w:hAnsi="宋体" w:cs="宋体"/>
                <w:color w:val="000000"/>
                <w:kern w:val="0"/>
                <w:sz w:val="18"/>
                <w:szCs w:val="18"/>
              </w:rPr>
              <w:t>0.19%</w:t>
            </w:r>
          </w:p>
        </w:tc>
      </w:tr>
      <w:tr w14:paraId="74506C56">
        <w:tblPrEx>
          <w:tblCellMar>
            <w:top w:w="0" w:type="dxa"/>
            <w:left w:w="108" w:type="dxa"/>
            <w:bottom w:w="0" w:type="dxa"/>
            <w:right w:w="108" w:type="dxa"/>
          </w:tblCellMar>
        </w:tblPrEx>
        <w:trPr>
          <w:trHeight w:val="444" w:hRule="atLeast"/>
          <w:jc w:val="center"/>
        </w:trPr>
        <w:tc>
          <w:tcPr>
            <w:tcW w:w="1608" w:type="dxa"/>
            <w:tcBorders>
              <w:top w:val="nil"/>
              <w:left w:val="single" w:color="auto" w:sz="8" w:space="0"/>
              <w:bottom w:val="single" w:color="auto" w:sz="8" w:space="0"/>
              <w:right w:val="single" w:color="auto" w:sz="8" w:space="0"/>
            </w:tcBorders>
            <w:shd w:val="clear" w:color="auto" w:fill="auto"/>
            <w:vAlign w:val="center"/>
          </w:tcPr>
          <w:p w14:paraId="22293DC9">
            <w:pPr>
              <w:widowControl/>
              <w:jc w:val="center"/>
              <w:rPr>
                <w:rFonts w:ascii="宋体" w:hAnsi="宋体" w:cs="宋体"/>
                <w:color w:val="000000"/>
                <w:kern w:val="0"/>
                <w:sz w:val="18"/>
                <w:szCs w:val="18"/>
              </w:rPr>
            </w:pPr>
            <w:r>
              <w:rPr>
                <w:rFonts w:hint="eastAsia" w:ascii="宋体" w:hAnsi="宋体" w:cs="宋体"/>
                <w:color w:val="000000"/>
                <w:kern w:val="0"/>
                <w:sz w:val="18"/>
                <w:szCs w:val="18"/>
              </w:rPr>
              <w:t>有条件建设区</w:t>
            </w:r>
          </w:p>
        </w:tc>
        <w:tc>
          <w:tcPr>
            <w:tcW w:w="1116" w:type="dxa"/>
            <w:tcBorders>
              <w:top w:val="nil"/>
              <w:left w:val="nil"/>
              <w:bottom w:val="single" w:color="auto" w:sz="8" w:space="0"/>
              <w:right w:val="single" w:color="auto" w:sz="8" w:space="0"/>
            </w:tcBorders>
            <w:shd w:val="clear" w:color="auto" w:fill="auto"/>
            <w:vAlign w:val="center"/>
          </w:tcPr>
          <w:p w14:paraId="158BE3D2">
            <w:pPr>
              <w:widowControl/>
              <w:jc w:val="center"/>
              <w:rPr>
                <w:rFonts w:ascii="宋体" w:hAnsi="宋体" w:cs="宋体"/>
                <w:color w:val="000000"/>
                <w:kern w:val="0"/>
                <w:sz w:val="18"/>
                <w:szCs w:val="18"/>
              </w:rPr>
            </w:pPr>
            <w:r>
              <w:rPr>
                <w:rFonts w:hint="eastAsia" w:ascii="宋体" w:hAnsi="宋体" w:cs="宋体"/>
                <w:color w:val="000000"/>
                <w:kern w:val="0"/>
                <w:sz w:val="18"/>
                <w:szCs w:val="18"/>
              </w:rPr>
              <w:t>579.54</w:t>
            </w:r>
          </w:p>
        </w:tc>
        <w:tc>
          <w:tcPr>
            <w:tcW w:w="1139" w:type="dxa"/>
            <w:tcBorders>
              <w:top w:val="nil"/>
              <w:left w:val="nil"/>
              <w:bottom w:val="single" w:color="auto" w:sz="8" w:space="0"/>
              <w:right w:val="single" w:color="auto" w:sz="8" w:space="0"/>
            </w:tcBorders>
            <w:shd w:val="clear" w:color="auto" w:fill="auto"/>
            <w:noWrap/>
            <w:vAlign w:val="center"/>
          </w:tcPr>
          <w:p w14:paraId="04E9F219">
            <w:pPr>
              <w:widowControl/>
              <w:jc w:val="center"/>
              <w:rPr>
                <w:rFonts w:ascii="宋体" w:hAnsi="宋体" w:cs="宋体"/>
                <w:color w:val="000000"/>
                <w:kern w:val="0"/>
                <w:sz w:val="18"/>
                <w:szCs w:val="18"/>
              </w:rPr>
            </w:pPr>
            <w:r>
              <w:rPr>
                <w:rFonts w:hint="eastAsia" w:ascii="宋体" w:hAnsi="宋体" w:cs="宋体"/>
                <w:color w:val="000000"/>
                <w:kern w:val="0"/>
                <w:sz w:val="18"/>
                <w:szCs w:val="18"/>
              </w:rPr>
              <w:t>20.31%</w:t>
            </w:r>
          </w:p>
        </w:tc>
        <w:tc>
          <w:tcPr>
            <w:tcW w:w="1098" w:type="dxa"/>
            <w:tcBorders>
              <w:top w:val="single" w:color="auto" w:sz="4" w:space="0"/>
              <w:left w:val="single" w:color="auto" w:sz="4" w:space="0"/>
              <w:bottom w:val="single" w:color="auto" w:sz="8" w:space="0"/>
              <w:right w:val="single" w:color="auto" w:sz="4" w:space="0"/>
            </w:tcBorders>
            <w:shd w:val="clear" w:color="auto" w:fill="auto"/>
            <w:noWrap/>
            <w:vAlign w:val="center"/>
          </w:tcPr>
          <w:p w14:paraId="095E90FE">
            <w:pPr>
              <w:widowControl/>
              <w:jc w:val="center"/>
              <w:rPr>
                <w:rFonts w:ascii="宋体" w:hAnsi="宋体" w:cs="宋体"/>
                <w:color w:val="000000"/>
                <w:kern w:val="0"/>
                <w:sz w:val="18"/>
                <w:szCs w:val="18"/>
              </w:rPr>
            </w:pPr>
            <w:r>
              <w:rPr>
                <w:rFonts w:ascii="宋体" w:hAnsi="宋体" w:cs="宋体"/>
                <w:color w:val="000000"/>
                <w:kern w:val="0"/>
                <w:sz w:val="18"/>
                <w:szCs w:val="18"/>
              </w:rPr>
              <w:t xml:space="preserve">576.47 </w:t>
            </w:r>
          </w:p>
        </w:tc>
        <w:tc>
          <w:tcPr>
            <w:tcW w:w="1134" w:type="dxa"/>
            <w:tcBorders>
              <w:top w:val="nil"/>
              <w:left w:val="nil"/>
              <w:bottom w:val="single" w:color="auto" w:sz="8" w:space="0"/>
              <w:right w:val="single" w:color="auto" w:sz="8" w:space="0"/>
            </w:tcBorders>
            <w:shd w:val="clear" w:color="auto" w:fill="auto"/>
            <w:noWrap/>
            <w:vAlign w:val="center"/>
          </w:tcPr>
          <w:p w14:paraId="3743A083">
            <w:pPr>
              <w:widowControl/>
              <w:jc w:val="center"/>
              <w:rPr>
                <w:rFonts w:ascii="宋体" w:hAnsi="宋体" w:cs="宋体"/>
                <w:color w:val="000000"/>
                <w:kern w:val="0"/>
                <w:sz w:val="18"/>
                <w:szCs w:val="18"/>
              </w:rPr>
            </w:pPr>
            <w:r>
              <w:rPr>
                <w:rFonts w:hint="eastAsia" w:ascii="宋体" w:hAnsi="宋体" w:cs="宋体"/>
                <w:color w:val="000000"/>
                <w:kern w:val="0"/>
                <w:sz w:val="18"/>
                <w:szCs w:val="18"/>
              </w:rPr>
              <w:t>20.20%</w:t>
            </w:r>
          </w:p>
        </w:tc>
        <w:tc>
          <w:tcPr>
            <w:tcW w:w="1134" w:type="dxa"/>
            <w:tcBorders>
              <w:top w:val="nil"/>
              <w:left w:val="nil"/>
              <w:bottom w:val="single" w:color="auto" w:sz="8" w:space="0"/>
              <w:right w:val="single" w:color="auto" w:sz="8" w:space="0"/>
            </w:tcBorders>
            <w:shd w:val="clear" w:color="auto" w:fill="auto"/>
            <w:noWrap/>
            <w:vAlign w:val="center"/>
          </w:tcPr>
          <w:p w14:paraId="671ACED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-3.07 </w:t>
            </w:r>
          </w:p>
        </w:tc>
        <w:tc>
          <w:tcPr>
            <w:tcW w:w="1197" w:type="dxa"/>
            <w:tcBorders>
              <w:top w:val="nil"/>
              <w:left w:val="nil"/>
              <w:bottom w:val="single" w:color="auto" w:sz="8" w:space="0"/>
              <w:right w:val="single" w:color="auto" w:sz="8" w:space="0"/>
            </w:tcBorders>
            <w:shd w:val="clear" w:color="auto" w:fill="auto"/>
            <w:noWrap/>
            <w:vAlign w:val="center"/>
          </w:tcPr>
          <w:p w14:paraId="49F7CA3B">
            <w:pPr>
              <w:widowControl/>
              <w:jc w:val="center"/>
              <w:rPr>
                <w:rFonts w:ascii="宋体" w:hAnsi="宋体" w:cs="宋体"/>
                <w:color w:val="000000"/>
                <w:kern w:val="0"/>
                <w:sz w:val="18"/>
                <w:szCs w:val="18"/>
              </w:rPr>
            </w:pPr>
            <w:r>
              <w:rPr>
                <w:rFonts w:hint="eastAsia" w:ascii="宋体" w:hAnsi="宋体" w:cs="宋体"/>
                <w:color w:val="000000"/>
                <w:kern w:val="0"/>
                <w:sz w:val="18"/>
                <w:szCs w:val="18"/>
              </w:rPr>
              <w:t>-0.11%</w:t>
            </w:r>
          </w:p>
        </w:tc>
      </w:tr>
      <w:tr w14:paraId="415F83F5">
        <w:tblPrEx>
          <w:tblCellMar>
            <w:top w:w="0" w:type="dxa"/>
            <w:left w:w="108" w:type="dxa"/>
            <w:bottom w:w="0" w:type="dxa"/>
            <w:right w:w="108" w:type="dxa"/>
          </w:tblCellMar>
        </w:tblPrEx>
        <w:trPr>
          <w:trHeight w:val="300" w:hRule="atLeast"/>
          <w:jc w:val="center"/>
        </w:trPr>
        <w:tc>
          <w:tcPr>
            <w:tcW w:w="1608" w:type="dxa"/>
            <w:tcBorders>
              <w:top w:val="nil"/>
              <w:left w:val="single" w:color="auto" w:sz="8" w:space="0"/>
              <w:bottom w:val="single" w:color="auto" w:sz="8" w:space="0"/>
              <w:right w:val="single" w:color="auto" w:sz="8" w:space="0"/>
            </w:tcBorders>
            <w:shd w:val="clear" w:color="auto" w:fill="auto"/>
            <w:vAlign w:val="center"/>
          </w:tcPr>
          <w:p w14:paraId="64ED5F1E">
            <w:pPr>
              <w:widowControl/>
              <w:jc w:val="center"/>
              <w:rPr>
                <w:rFonts w:ascii="宋体" w:hAnsi="宋体" w:cs="宋体"/>
                <w:color w:val="000000"/>
                <w:kern w:val="0"/>
                <w:sz w:val="18"/>
                <w:szCs w:val="18"/>
              </w:rPr>
            </w:pPr>
            <w:r>
              <w:rPr>
                <w:rFonts w:hint="eastAsia" w:ascii="宋体" w:hAnsi="宋体" w:cs="宋体"/>
                <w:color w:val="000000"/>
                <w:kern w:val="0"/>
                <w:sz w:val="18"/>
                <w:szCs w:val="18"/>
              </w:rPr>
              <w:t>限制建设区</w:t>
            </w:r>
          </w:p>
        </w:tc>
        <w:tc>
          <w:tcPr>
            <w:tcW w:w="1116" w:type="dxa"/>
            <w:tcBorders>
              <w:top w:val="nil"/>
              <w:left w:val="nil"/>
              <w:bottom w:val="single" w:color="auto" w:sz="8" w:space="0"/>
              <w:right w:val="single" w:color="auto" w:sz="8" w:space="0"/>
            </w:tcBorders>
            <w:shd w:val="clear" w:color="auto" w:fill="auto"/>
            <w:vAlign w:val="center"/>
          </w:tcPr>
          <w:p w14:paraId="06BC6C2D">
            <w:pPr>
              <w:widowControl/>
              <w:jc w:val="center"/>
              <w:rPr>
                <w:rFonts w:ascii="宋体" w:hAnsi="宋体" w:cs="宋体"/>
                <w:color w:val="000000"/>
                <w:kern w:val="0"/>
                <w:sz w:val="18"/>
                <w:szCs w:val="18"/>
              </w:rPr>
            </w:pPr>
            <w:r>
              <w:rPr>
                <w:rFonts w:hint="eastAsia" w:ascii="宋体" w:hAnsi="宋体" w:cs="宋体"/>
                <w:color w:val="000000"/>
                <w:kern w:val="0"/>
                <w:sz w:val="18"/>
                <w:szCs w:val="18"/>
              </w:rPr>
              <w:t>756.33</w:t>
            </w:r>
          </w:p>
        </w:tc>
        <w:tc>
          <w:tcPr>
            <w:tcW w:w="1139" w:type="dxa"/>
            <w:tcBorders>
              <w:top w:val="nil"/>
              <w:left w:val="nil"/>
              <w:bottom w:val="single" w:color="auto" w:sz="8" w:space="0"/>
              <w:right w:val="single" w:color="auto" w:sz="8" w:space="0"/>
            </w:tcBorders>
            <w:shd w:val="clear" w:color="auto" w:fill="auto"/>
            <w:noWrap/>
            <w:vAlign w:val="center"/>
          </w:tcPr>
          <w:p w14:paraId="5ACB10FB">
            <w:pPr>
              <w:widowControl/>
              <w:jc w:val="center"/>
              <w:rPr>
                <w:rFonts w:ascii="宋体" w:hAnsi="宋体" w:cs="宋体"/>
                <w:color w:val="000000"/>
                <w:kern w:val="0"/>
                <w:sz w:val="18"/>
                <w:szCs w:val="18"/>
              </w:rPr>
            </w:pPr>
            <w:r>
              <w:rPr>
                <w:rFonts w:hint="eastAsia" w:ascii="宋体" w:hAnsi="宋体" w:cs="宋体"/>
                <w:color w:val="000000"/>
                <w:kern w:val="0"/>
                <w:sz w:val="18"/>
                <w:szCs w:val="18"/>
              </w:rPr>
              <w:t>26.50%</w:t>
            </w:r>
          </w:p>
        </w:tc>
        <w:tc>
          <w:tcPr>
            <w:tcW w:w="1098" w:type="dxa"/>
            <w:tcBorders>
              <w:top w:val="single" w:color="auto" w:sz="4" w:space="0"/>
              <w:left w:val="single" w:color="auto" w:sz="4" w:space="0"/>
              <w:bottom w:val="single" w:color="auto" w:sz="8" w:space="0"/>
              <w:right w:val="single" w:color="auto" w:sz="4" w:space="0"/>
            </w:tcBorders>
            <w:shd w:val="clear" w:color="auto" w:fill="auto"/>
            <w:noWrap/>
            <w:vAlign w:val="center"/>
          </w:tcPr>
          <w:p w14:paraId="4A873E32">
            <w:pPr>
              <w:widowControl/>
              <w:jc w:val="center"/>
              <w:rPr>
                <w:rFonts w:ascii="宋体" w:hAnsi="宋体" w:cs="宋体"/>
                <w:color w:val="000000"/>
                <w:kern w:val="0"/>
                <w:sz w:val="18"/>
                <w:szCs w:val="18"/>
              </w:rPr>
            </w:pPr>
            <w:r>
              <w:rPr>
                <w:rFonts w:ascii="宋体" w:hAnsi="宋体" w:cs="宋体"/>
                <w:color w:val="000000"/>
                <w:kern w:val="0"/>
                <w:sz w:val="18"/>
                <w:szCs w:val="18"/>
              </w:rPr>
              <w:t xml:space="preserve">753.71 </w:t>
            </w:r>
          </w:p>
        </w:tc>
        <w:tc>
          <w:tcPr>
            <w:tcW w:w="1134" w:type="dxa"/>
            <w:tcBorders>
              <w:top w:val="nil"/>
              <w:left w:val="nil"/>
              <w:bottom w:val="single" w:color="auto" w:sz="8" w:space="0"/>
              <w:right w:val="single" w:color="auto" w:sz="8" w:space="0"/>
            </w:tcBorders>
            <w:shd w:val="clear" w:color="auto" w:fill="auto"/>
            <w:noWrap/>
            <w:vAlign w:val="center"/>
          </w:tcPr>
          <w:p w14:paraId="6496E454">
            <w:pPr>
              <w:widowControl/>
              <w:jc w:val="center"/>
              <w:rPr>
                <w:rFonts w:ascii="宋体" w:hAnsi="宋体" w:cs="宋体"/>
                <w:color w:val="000000"/>
                <w:kern w:val="0"/>
                <w:sz w:val="18"/>
                <w:szCs w:val="18"/>
              </w:rPr>
            </w:pPr>
            <w:r>
              <w:rPr>
                <w:rFonts w:hint="eastAsia" w:ascii="宋体" w:hAnsi="宋体" w:cs="宋体"/>
                <w:color w:val="000000"/>
                <w:kern w:val="0"/>
                <w:sz w:val="18"/>
                <w:szCs w:val="18"/>
              </w:rPr>
              <w:t>26.41%</w:t>
            </w:r>
          </w:p>
        </w:tc>
        <w:tc>
          <w:tcPr>
            <w:tcW w:w="1134" w:type="dxa"/>
            <w:tcBorders>
              <w:top w:val="nil"/>
              <w:left w:val="nil"/>
              <w:bottom w:val="single" w:color="auto" w:sz="8" w:space="0"/>
              <w:right w:val="single" w:color="auto" w:sz="8" w:space="0"/>
            </w:tcBorders>
            <w:shd w:val="clear" w:color="auto" w:fill="auto"/>
            <w:noWrap/>
            <w:vAlign w:val="center"/>
          </w:tcPr>
          <w:p w14:paraId="0F58455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-2.62 </w:t>
            </w:r>
          </w:p>
        </w:tc>
        <w:tc>
          <w:tcPr>
            <w:tcW w:w="1197" w:type="dxa"/>
            <w:tcBorders>
              <w:top w:val="nil"/>
              <w:left w:val="nil"/>
              <w:bottom w:val="single" w:color="auto" w:sz="8" w:space="0"/>
              <w:right w:val="single" w:color="auto" w:sz="8" w:space="0"/>
            </w:tcBorders>
            <w:shd w:val="clear" w:color="auto" w:fill="auto"/>
            <w:noWrap/>
            <w:vAlign w:val="center"/>
          </w:tcPr>
          <w:p w14:paraId="15A09BA8">
            <w:pPr>
              <w:widowControl/>
              <w:jc w:val="center"/>
              <w:rPr>
                <w:rFonts w:ascii="宋体" w:hAnsi="宋体" w:cs="宋体"/>
                <w:color w:val="000000"/>
                <w:kern w:val="0"/>
                <w:sz w:val="18"/>
                <w:szCs w:val="18"/>
              </w:rPr>
            </w:pPr>
            <w:r>
              <w:rPr>
                <w:rFonts w:hint="eastAsia" w:ascii="宋体" w:hAnsi="宋体" w:cs="宋体"/>
                <w:color w:val="000000"/>
                <w:kern w:val="0"/>
                <w:sz w:val="18"/>
                <w:szCs w:val="18"/>
              </w:rPr>
              <w:t>-0.09%</w:t>
            </w:r>
          </w:p>
        </w:tc>
      </w:tr>
      <w:tr w14:paraId="4A8E32A5">
        <w:tblPrEx>
          <w:tblCellMar>
            <w:top w:w="0" w:type="dxa"/>
            <w:left w:w="108" w:type="dxa"/>
            <w:bottom w:w="0" w:type="dxa"/>
            <w:right w:w="108" w:type="dxa"/>
          </w:tblCellMar>
        </w:tblPrEx>
        <w:trPr>
          <w:trHeight w:val="300" w:hRule="atLeast"/>
          <w:jc w:val="center"/>
        </w:trPr>
        <w:tc>
          <w:tcPr>
            <w:tcW w:w="1608" w:type="dxa"/>
            <w:tcBorders>
              <w:top w:val="nil"/>
              <w:left w:val="single" w:color="auto" w:sz="8" w:space="0"/>
              <w:bottom w:val="single" w:color="auto" w:sz="8" w:space="0"/>
              <w:right w:val="single" w:color="auto" w:sz="8" w:space="0"/>
            </w:tcBorders>
            <w:shd w:val="clear" w:color="auto" w:fill="auto"/>
            <w:vAlign w:val="center"/>
          </w:tcPr>
          <w:p w14:paraId="5957D90E">
            <w:pPr>
              <w:widowControl/>
              <w:jc w:val="center"/>
              <w:rPr>
                <w:rFonts w:ascii="宋体" w:hAnsi="宋体" w:cs="宋体"/>
                <w:color w:val="000000"/>
                <w:kern w:val="0"/>
                <w:sz w:val="18"/>
                <w:szCs w:val="18"/>
              </w:rPr>
            </w:pPr>
            <w:r>
              <w:rPr>
                <w:rFonts w:hint="eastAsia" w:ascii="宋体" w:hAnsi="宋体" w:cs="宋体"/>
                <w:color w:val="000000"/>
                <w:kern w:val="0"/>
                <w:sz w:val="18"/>
                <w:szCs w:val="18"/>
              </w:rPr>
              <w:t>禁止建设区</w:t>
            </w:r>
          </w:p>
        </w:tc>
        <w:tc>
          <w:tcPr>
            <w:tcW w:w="1116" w:type="dxa"/>
            <w:tcBorders>
              <w:top w:val="nil"/>
              <w:left w:val="nil"/>
              <w:bottom w:val="single" w:color="auto" w:sz="8" w:space="0"/>
              <w:right w:val="single" w:color="auto" w:sz="8" w:space="0"/>
            </w:tcBorders>
            <w:shd w:val="clear" w:color="auto" w:fill="auto"/>
            <w:vAlign w:val="center"/>
          </w:tcPr>
          <w:p w14:paraId="6CA645A4">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139" w:type="dxa"/>
            <w:tcBorders>
              <w:top w:val="nil"/>
              <w:left w:val="nil"/>
              <w:bottom w:val="single" w:color="auto" w:sz="8" w:space="0"/>
              <w:right w:val="single" w:color="auto" w:sz="8" w:space="0"/>
            </w:tcBorders>
            <w:shd w:val="clear" w:color="auto" w:fill="auto"/>
            <w:noWrap/>
            <w:vAlign w:val="center"/>
          </w:tcPr>
          <w:p w14:paraId="1030C6E5">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98" w:type="dxa"/>
            <w:tcBorders>
              <w:top w:val="nil"/>
              <w:left w:val="nil"/>
              <w:bottom w:val="single" w:color="auto" w:sz="8" w:space="0"/>
              <w:right w:val="single" w:color="auto" w:sz="8" w:space="0"/>
            </w:tcBorders>
            <w:shd w:val="clear" w:color="auto" w:fill="auto"/>
            <w:noWrap/>
            <w:vAlign w:val="center"/>
          </w:tcPr>
          <w:p w14:paraId="4A99C632">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134" w:type="dxa"/>
            <w:tcBorders>
              <w:top w:val="nil"/>
              <w:left w:val="nil"/>
              <w:bottom w:val="single" w:color="auto" w:sz="8" w:space="0"/>
              <w:right w:val="single" w:color="auto" w:sz="8" w:space="0"/>
            </w:tcBorders>
            <w:shd w:val="clear" w:color="auto" w:fill="auto"/>
            <w:noWrap/>
            <w:vAlign w:val="center"/>
          </w:tcPr>
          <w:p w14:paraId="768EE23C">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34" w:type="dxa"/>
            <w:tcBorders>
              <w:top w:val="nil"/>
              <w:left w:val="nil"/>
              <w:bottom w:val="single" w:color="auto" w:sz="8" w:space="0"/>
              <w:right w:val="single" w:color="auto" w:sz="8" w:space="0"/>
            </w:tcBorders>
            <w:shd w:val="clear" w:color="auto" w:fill="auto"/>
            <w:noWrap/>
            <w:vAlign w:val="center"/>
          </w:tcPr>
          <w:p w14:paraId="57158A3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97" w:type="dxa"/>
            <w:tcBorders>
              <w:top w:val="nil"/>
              <w:left w:val="nil"/>
              <w:bottom w:val="single" w:color="auto" w:sz="8" w:space="0"/>
              <w:right w:val="single" w:color="auto" w:sz="8" w:space="0"/>
            </w:tcBorders>
            <w:shd w:val="clear" w:color="auto" w:fill="auto"/>
            <w:noWrap/>
            <w:vAlign w:val="center"/>
          </w:tcPr>
          <w:p w14:paraId="2733A112">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1A956F8A">
        <w:tblPrEx>
          <w:tblCellMar>
            <w:top w:w="0" w:type="dxa"/>
            <w:left w:w="108" w:type="dxa"/>
            <w:bottom w:w="0" w:type="dxa"/>
            <w:right w:w="108" w:type="dxa"/>
          </w:tblCellMar>
        </w:tblPrEx>
        <w:trPr>
          <w:trHeight w:val="300" w:hRule="atLeast"/>
          <w:jc w:val="center"/>
        </w:trPr>
        <w:tc>
          <w:tcPr>
            <w:tcW w:w="1608" w:type="dxa"/>
            <w:tcBorders>
              <w:top w:val="nil"/>
              <w:left w:val="single" w:color="auto" w:sz="8" w:space="0"/>
              <w:bottom w:val="single" w:color="auto" w:sz="8" w:space="0"/>
              <w:right w:val="single" w:color="auto" w:sz="8" w:space="0"/>
            </w:tcBorders>
            <w:shd w:val="clear" w:color="auto" w:fill="auto"/>
            <w:vAlign w:val="center"/>
          </w:tcPr>
          <w:p w14:paraId="474EDC9A">
            <w:pPr>
              <w:widowControl/>
              <w:jc w:val="center"/>
              <w:rPr>
                <w:rFonts w:ascii="宋体" w:hAnsi="宋体" w:cs="宋体"/>
                <w:color w:val="000000"/>
                <w:kern w:val="0"/>
                <w:sz w:val="18"/>
                <w:szCs w:val="18"/>
              </w:rPr>
            </w:pPr>
            <w:r>
              <w:rPr>
                <w:rFonts w:hint="eastAsia" w:ascii="宋体" w:hAnsi="宋体" w:cs="宋体"/>
                <w:color w:val="000000"/>
                <w:kern w:val="0"/>
                <w:sz w:val="18"/>
                <w:szCs w:val="18"/>
              </w:rPr>
              <w:t>总计</w:t>
            </w:r>
          </w:p>
        </w:tc>
        <w:tc>
          <w:tcPr>
            <w:tcW w:w="1116" w:type="dxa"/>
            <w:tcBorders>
              <w:top w:val="nil"/>
              <w:left w:val="nil"/>
              <w:bottom w:val="single" w:color="auto" w:sz="8" w:space="0"/>
              <w:right w:val="single" w:color="auto" w:sz="8" w:space="0"/>
            </w:tcBorders>
            <w:shd w:val="clear" w:color="auto" w:fill="auto"/>
            <w:vAlign w:val="center"/>
          </w:tcPr>
          <w:p w14:paraId="0A2BBF91">
            <w:pPr>
              <w:widowControl/>
              <w:jc w:val="center"/>
              <w:rPr>
                <w:rFonts w:ascii="宋体" w:hAnsi="宋体" w:cs="宋体"/>
                <w:color w:val="000000"/>
                <w:kern w:val="0"/>
                <w:sz w:val="18"/>
                <w:szCs w:val="18"/>
              </w:rPr>
            </w:pPr>
            <w:r>
              <w:rPr>
                <w:rFonts w:hint="eastAsia" w:ascii="宋体" w:hAnsi="宋体" w:cs="宋体"/>
                <w:color w:val="000000"/>
                <w:kern w:val="0"/>
                <w:sz w:val="18"/>
                <w:szCs w:val="18"/>
              </w:rPr>
              <w:t>2854.15</w:t>
            </w:r>
          </w:p>
        </w:tc>
        <w:tc>
          <w:tcPr>
            <w:tcW w:w="1139" w:type="dxa"/>
            <w:tcBorders>
              <w:top w:val="nil"/>
              <w:left w:val="nil"/>
              <w:bottom w:val="single" w:color="auto" w:sz="8" w:space="0"/>
              <w:right w:val="single" w:color="auto" w:sz="8" w:space="0"/>
            </w:tcBorders>
            <w:shd w:val="clear" w:color="auto" w:fill="auto"/>
            <w:noWrap/>
            <w:vAlign w:val="center"/>
          </w:tcPr>
          <w:p w14:paraId="3A5AD9B6">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098" w:type="dxa"/>
            <w:tcBorders>
              <w:top w:val="nil"/>
              <w:left w:val="nil"/>
              <w:bottom w:val="single" w:color="auto" w:sz="8" w:space="0"/>
              <w:right w:val="single" w:color="auto" w:sz="8" w:space="0"/>
            </w:tcBorders>
            <w:shd w:val="clear" w:color="auto" w:fill="auto"/>
            <w:vAlign w:val="center"/>
          </w:tcPr>
          <w:p w14:paraId="46D7D14C">
            <w:pPr>
              <w:widowControl/>
              <w:jc w:val="center"/>
              <w:rPr>
                <w:rFonts w:ascii="宋体" w:hAnsi="宋体" w:cs="宋体"/>
                <w:color w:val="000000"/>
                <w:kern w:val="0"/>
                <w:sz w:val="18"/>
                <w:szCs w:val="18"/>
              </w:rPr>
            </w:pPr>
            <w:r>
              <w:rPr>
                <w:rFonts w:hint="eastAsia" w:ascii="宋体" w:hAnsi="宋体" w:cs="宋体"/>
                <w:color w:val="000000"/>
                <w:kern w:val="0"/>
                <w:sz w:val="18"/>
                <w:szCs w:val="18"/>
              </w:rPr>
              <w:t>2854.15</w:t>
            </w:r>
          </w:p>
        </w:tc>
        <w:tc>
          <w:tcPr>
            <w:tcW w:w="1134" w:type="dxa"/>
            <w:tcBorders>
              <w:top w:val="nil"/>
              <w:left w:val="nil"/>
              <w:bottom w:val="single" w:color="auto" w:sz="8" w:space="0"/>
              <w:right w:val="single" w:color="auto" w:sz="8" w:space="0"/>
            </w:tcBorders>
            <w:shd w:val="clear" w:color="auto" w:fill="auto"/>
            <w:noWrap/>
            <w:vAlign w:val="center"/>
          </w:tcPr>
          <w:p w14:paraId="175895D6">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134" w:type="dxa"/>
            <w:tcBorders>
              <w:top w:val="nil"/>
              <w:left w:val="nil"/>
              <w:bottom w:val="single" w:color="auto" w:sz="8" w:space="0"/>
              <w:right w:val="single" w:color="auto" w:sz="8" w:space="0"/>
            </w:tcBorders>
            <w:shd w:val="clear" w:color="auto" w:fill="auto"/>
            <w:noWrap/>
            <w:vAlign w:val="center"/>
          </w:tcPr>
          <w:p w14:paraId="0492C39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97" w:type="dxa"/>
            <w:tcBorders>
              <w:top w:val="nil"/>
              <w:left w:val="nil"/>
              <w:bottom w:val="single" w:color="auto" w:sz="8" w:space="0"/>
              <w:right w:val="single" w:color="auto" w:sz="8" w:space="0"/>
            </w:tcBorders>
            <w:shd w:val="clear" w:color="auto" w:fill="auto"/>
            <w:noWrap/>
            <w:vAlign w:val="center"/>
          </w:tcPr>
          <w:p w14:paraId="3686B7C5">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bl>
    <w:p w14:paraId="48273131">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五、中心城区土地用途分区</w:t>
      </w:r>
    </w:p>
    <w:p w14:paraId="640210D5">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调整前，东川区中心城区基本农田保护区139.29公顷，占中心城区土地总面积的4.88%；一般农地区642.56公顷，占中心城区土地总面积的22.51%；城镇村建设用地区1441.48公顷，占中心城区土地总面积50.50%；独立工矿区76.81公顷，占中心城区土地总面积2.69%；风景旅游用地区66.31公顷，占中心城区土地总面积2.32%；林业用地区128.86公顷，占中心城区土地总面积4.51%；其他用地区236.66公顷，占中心城区土地总面积8.29%；低丘缓坡土地综合开发利用区122.20公顷，占中心城区土地总面积4.28%。</w:t>
      </w:r>
    </w:p>
    <w:p w14:paraId="356956BE">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调整后，东川区中心城区基本农田保护区</w:t>
      </w:r>
      <w:r>
        <w:rPr>
          <w:rFonts w:ascii="仿宋_GB2312" w:hAnsi="宋体" w:eastAsia="仿宋_GB2312"/>
          <w:kern w:val="0"/>
          <w:sz w:val="28"/>
          <w:szCs w:val="28"/>
        </w:rPr>
        <w:t>301.62</w:t>
      </w:r>
      <w:r>
        <w:rPr>
          <w:rFonts w:hint="eastAsia" w:ascii="仿宋_GB2312" w:hAnsi="宋体" w:eastAsia="仿宋_GB2312"/>
          <w:kern w:val="0"/>
          <w:sz w:val="28"/>
          <w:szCs w:val="28"/>
        </w:rPr>
        <w:t>公顷，占中心城区土地总面积的10.57%；一般农地区</w:t>
      </w:r>
      <w:r>
        <w:rPr>
          <w:rFonts w:ascii="仿宋_GB2312" w:hAnsi="宋体" w:eastAsia="仿宋_GB2312"/>
          <w:kern w:val="0"/>
          <w:sz w:val="28"/>
          <w:szCs w:val="28"/>
        </w:rPr>
        <w:t>486.08</w:t>
      </w:r>
      <w:r>
        <w:rPr>
          <w:rFonts w:hint="eastAsia" w:ascii="仿宋_GB2312" w:hAnsi="宋体" w:eastAsia="仿宋_GB2312"/>
          <w:kern w:val="0"/>
          <w:sz w:val="28"/>
          <w:szCs w:val="28"/>
        </w:rPr>
        <w:t>公顷，占中心城区土地总面积的17.03%；城镇村建设用地区</w:t>
      </w:r>
      <w:r>
        <w:rPr>
          <w:rFonts w:ascii="仿宋_GB2312" w:hAnsi="宋体" w:eastAsia="仿宋_GB2312"/>
          <w:kern w:val="0"/>
          <w:sz w:val="28"/>
          <w:szCs w:val="28"/>
        </w:rPr>
        <w:t>1455.85</w:t>
      </w:r>
      <w:r>
        <w:rPr>
          <w:rFonts w:hint="eastAsia" w:ascii="仿宋_GB2312" w:hAnsi="宋体" w:eastAsia="仿宋_GB2312"/>
          <w:kern w:val="0"/>
          <w:sz w:val="28"/>
          <w:szCs w:val="28"/>
        </w:rPr>
        <w:t>公顷，占中心城区土地总面积51.01%；独立工矿区</w:t>
      </w:r>
      <w:r>
        <w:rPr>
          <w:rFonts w:ascii="仿宋_GB2312" w:hAnsi="宋体" w:eastAsia="仿宋_GB2312"/>
          <w:kern w:val="0"/>
          <w:sz w:val="28"/>
          <w:szCs w:val="28"/>
        </w:rPr>
        <w:t>67.83</w:t>
      </w:r>
      <w:r>
        <w:rPr>
          <w:rFonts w:hint="eastAsia" w:ascii="仿宋_GB2312" w:hAnsi="宋体" w:eastAsia="仿宋_GB2312"/>
          <w:kern w:val="0"/>
          <w:sz w:val="28"/>
          <w:szCs w:val="28"/>
        </w:rPr>
        <w:t>公顷，占中心城区土地总面积2.38%；风景旅游用地区</w:t>
      </w:r>
      <w:r>
        <w:rPr>
          <w:rFonts w:ascii="仿宋_GB2312" w:hAnsi="宋体" w:eastAsia="仿宋_GB2312"/>
          <w:kern w:val="0"/>
          <w:sz w:val="28"/>
          <w:szCs w:val="28"/>
        </w:rPr>
        <w:t>63.99</w:t>
      </w:r>
      <w:r>
        <w:rPr>
          <w:rFonts w:hint="eastAsia" w:ascii="仿宋_GB2312" w:hAnsi="宋体" w:eastAsia="仿宋_GB2312"/>
          <w:kern w:val="0"/>
          <w:sz w:val="28"/>
          <w:szCs w:val="28"/>
        </w:rPr>
        <w:t>公顷，占中心城区土地总面积2.24%；林业用地区</w:t>
      </w:r>
      <w:r>
        <w:rPr>
          <w:rFonts w:ascii="仿宋_GB2312" w:hAnsi="宋体" w:eastAsia="仿宋_GB2312"/>
          <w:kern w:val="0"/>
          <w:sz w:val="28"/>
          <w:szCs w:val="28"/>
        </w:rPr>
        <w:t>128.65</w:t>
      </w:r>
      <w:r>
        <w:rPr>
          <w:rFonts w:hint="eastAsia" w:ascii="仿宋_GB2312" w:hAnsi="宋体" w:eastAsia="仿宋_GB2312"/>
          <w:kern w:val="0"/>
          <w:sz w:val="28"/>
          <w:szCs w:val="28"/>
        </w:rPr>
        <w:t>公顷，占中心城区土地总面积4.51%；其他用地区</w:t>
      </w:r>
      <w:r>
        <w:rPr>
          <w:rFonts w:ascii="仿宋_GB2312" w:hAnsi="宋体" w:eastAsia="仿宋_GB2312"/>
          <w:kern w:val="0"/>
          <w:sz w:val="28"/>
          <w:szCs w:val="28"/>
        </w:rPr>
        <w:t>350.13</w:t>
      </w:r>
      <w:r>
        <w:rPr>
          <w:rFonts w:hint="eastAsia" w:ascii="仿宋_GB2312" w:hAnsi="宋体" w:eastAsia="仿宋_GB2312"/>
          <w:kern w:val="0"/>
          <w:sz w:val="28"/>
          <w:szCs w:val="28"/>
        </w:rPr>
        <w:t>公顷，占中心城区土地总面积12.27%。</w:t>
      </w:r>
    </w:p>
    <w:p w14:paraId="1287EE7D">
      <w:pPr>
        <w:jc w:val="center"/>
        <w:outlineLvl w:val="4"/>
        <w:rPr>
          <w:rFonts w:ascii="宋体" w:hAnsi="宋体"/>
          <w:b/>
          <w:sz w:val="24"/>
        </w:rPr>
      </w:pPr>
      <w:r>
        <w:rPr>
          <w:rFonts w:hint="eastAsia" w:ascii="宋体" w:hAnsi="宋体"/>
          <w:b/>
          <w:sz w:val="24"/>
        </w:rPr>
        <w:t>表6-8  东川区中心城区调整前后土地用途分区对比情况表</w:t>
      </w:r>
    </w:p>
    <w:p w14:paraId="632B8FD0">
      <w:pPr>
        <w:spacing w:line="360" w:lineRule="auto"/>
        <w:ind w:firstLine="360" w:firstLineChars="200"/>
        <w:jc w:val="right"/>
        <w:rPr>
          <w:rFonts w:ascii="宋体" w:hAnsi="宋体"/>
          <w:color w:val="000000"/>
          <w:sz w:val="18"/>
          <w:szCs w:val="18"/>
        </w:rPr>
      </w:pPr>
      <w:r>
        <w:rPr>
          <w:rFonts w:hint="eastAsia" w:ascii="宋体" w:hAnsi="宋体"/>
          <w:color w:val="000000"/>
          <w:sz w:val="18"/>
          <w:szCs w:val="18"/>
        </w:rPr>
        <w:t>单位：公顷</w:t>
      </w:r>
    </w:p>
    <w:tbl>
      <w:tblPr>
        <w:tblStyle w:val="27"/>
        <w:tblW w:w="9510" w:type="dxa"/>
        <w:tblInd w:w="96" w:type="dxa"/>
        <w:tblLayout w:type="autofit"/>
        <w:tblCellMar>
          <w:top w:w="0" w:type="dxa"/>
          <w:left w:w="108" w:type="dxa"/>
          <w:bottom w:w="0" w:type="dxa"/>
          <w:right w:w="108" w:type="dxa"/>
        </w:tblCellMar>
      </w:tblPr>
      <w:tblGrid>
        <w:gridCol w:w="2736"/>
        <w:gridCol w:w="1245"/>
        <w:gridCol w:w="993"/>
        <w:gridCol w:w="1134"/>
        <w:gridCol w:w="1134"/>
        <w:gridCol w:w="1134"/>
        <w:gridCol w:w="1134"/>
      </w:tblGrid>
      <w:tr w14:paraId="5EE54964">
        <w:tblPrEx>
          <w:tblCellMar>
            <w:top w:w="0" w:type="dxa"/>
            <w:left w:w="108" w:type="dxa"/>
            <w:bottom w:w="0" w:type="dxa"/>
            <w:right w:w="108" w:type="dxa"/>
          </w:tblCellMar>
        </w:tblPrEx>
        <w:trPr>
          <w:trHeight w:val="284" w:hRule="atLeast"/>
        </w:trPr>
        <w:tc>
          <w:tcPr>
            <w:tcW w:w="2736" w:type="dxa"/>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14:paraId="066EEF58">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238" w:type="dxa"/>
            <w:gridSpan w:val="2"/>
            <w:tcBorders>
              <w:top w:val="single" w:color="auto" w:sz="8" w:space="0"/>
              <w:left w:val="nil"/>
              <w:bottom w:val="single" w:color="auto" w:sz="8" w:space="0"/>
              <w:right w:val="single" w:color="000000" w:sz="8" w:space="0"/>
            </w:tcBorders>
            <w:shd w:val="clear" w:color="auto" w:fill="auto"/>
            <w:vAlign w:val="center"/>
          </w:tcPr>
          <w:p w14:paraId="663C792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调整前</w:t>
            </w:r>
          </w:p>
        </w:tc>
        <w:tc>
          <w:tcPr>
            <w:tcW w:w="2268" w:type="dxa"/>
            <w:gridSpan w:val="2"/>
            <w:tcBorders>
              <w:top w:val="single" w:color="auto" w:sz="8" w:space="0"/>
              <w:left w:val="nil"/>
              <w:bottom w:val="single" w:color="auto" w:sz="8" w:space="0"/>
              <w:right w:val="single" w:color="000000" w:sz="8" w:space="0"/>
            </w:tcBorders>
            <w:shd w:val="clear" w:color="auto" w:fill="auto"/>
            <w:vAlign w:val="center"/>
          </w:tcPr>
          <w:p w14:paraId="11F9AFE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调整后</w:t>
            </w:r>
          </w:p>
        </w:tc>
        <w:tc>
          <w:tcPr>
            <w:tcW w:w="2268" w:type="dxa"/>
            <w:gridSpan w:val="2"/>
            <w:tcBorders>
              <w:top w:val="single" w:color="auto" w:sz="8" w:space="0"/>
              <w:left w:val="nil"/>
              <w:bottom w:val="single" w:color="auto" w:sz="8" w:space="0"/>
              <w:right w:val="single" w:color="000000" w:sz="8" w:space="0"/>
            </w:tcBorders>
            <w:shd w:val="clear" w:color="auto" w:fill="auto"/>
            <w:vAlign w:val="center"/>
          </w:tcPr>
          <w:p w14:paraId="50D0534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变化量</w:t>
            </w:r>
          </w:p>
        </w:tc>
      </w:tr>
      <w:tr w14:paraId="291E0D07">
        <w:tblPrEx>
          <w:tblCellMar>
            <w:top w:w="0" w:type="dxa"/>
            <w:left w:w="108" w:type="dxa"/>
            <w:bottom w:w="0" w:type="dxa"/>
            <w:right w:w="108" w:type="dxa"/>
          </w:tblCellMar>
        </w:tblPrEx>
        <w:trPr>
          <w:trHeight w:val="284" w:hRule="atLeast"/>
        </w:trPr>
        <w:tc>
          <w:tcPr>
            <w:tcW w:w="2736" w:type="dxa"/>
            <w:vMerge w:val="continue"/>
            <w:tcBorders>
              <w:top w:val="single" w:color="auto" w:sz="8" w:space="0"/>
              <w:left w:val="single" w:color="auto" w:sz="8" w:space="0"/>
              <w:bottom w:val="single" w:color="000000" w:sz="8" w:space="0"/>
              <w:right w:val="single" w:color="auto" w:sz="8" w:space="0"/>
            </w:tcBorders>
            <w:vAlign w:val="center"/>
          </w:tcPr>
          <w:p w14:paraId="2C2F0B52">
            <w:pPr>
              <w:widowControl/>
              <w:jc w:val="left"/>
              <w:rPr>
                <w:rFonts w:ascii="宋体" w:hAnsi="宋体" w:cs="宋体"/>
                <w:color w:val="000000"/>
                <w:kern w:val="0"/>
                <w:sz w:val="20"/>
                <w:szCs w:val="20"/>
              </w:rPr>
            </w:pPr>
          </w:p>
        </w:tc>
        <w:tc>
          <w:tcPr>
            <w:tcW w:w="1245" w:type="dxa"/>
            <w:tcBorders>
              <w:top w:val="nil"/>
              <w:left w:val="nil"/>
              <w:bottom w:val="single" w:color="auto" w:sz="8" w:space="0"/>
              <w:right w:val="single" w:color="auto" w:sz="8" w:space="0"/>
            </w:tcBorders>
            <w:shd w:val="clear" w:color="auto" w:fill="auto"/>
            <w:vAlign w:val="center"/>
          </w:tcPr>
          <w:p w14:paraId="28E658B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993" w:type="dxa"/>
            <w:tcBorders>
              <w:top w:val="nil"/>
              <w:left w:val="nil"/>
              <w:bottom w:val="single" w:color="auto" w:sz="8" w:space="0"/>
              <w:right w:val="single" w:color="auto" w:sz="8" w:space="0"/>
            </w:tcBorders>
            <w:shd w:val="clear" w:color="auto" w:fill="auto"/>
            <w:vAlign w:val="center"/>
          </w:tcPr>
          <w:p w14:paraId="2CABE3C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134" w:type="dxa"/>
            <w:tcBorders>
              <w:top w:val="nil"/>
              <w:left w:val="nil"/>
              <w:bottom w:val="single" w:color="auto" w:sz="8" w:space="0"/>
              <w:right w:val="single" w:color="auto" w:sz="8" w:space="0"/>
            </w:tcBorders>
            <w:shd w:val="clear" w:color="auto" w:fill="auto"/>
            <w:vAlign w:val="center"/>
          </w:tcPr>
          <w:p w14:paraId="2933477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134" w:type="dxa"/>
            <w:tcBorders>
              <w:top w:val="nil"/>
              <w:left w:val="nil"/>
              <w:bottom w:val="single" w:color="auto" w:sz="8" w:space="0"/>
              <w:right w:val="single" w:color="auto" w:sz="8" w:space="0"/>
            </w:tcBorders>
            <w:shd w:val="clear" w:color="auto" w:fill="auto"/>
            <w:vAlign w:val="center"/>
          </w:tcPr>
          <w:p w14:paraId="2C87C66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134" w:type="dxa"/>
            <w:tcBorders>
              <w:top w:val="nil"/>
              <w:left w:val="nil"/>
              <w:bottom w:val="single" w:color="auto" w:sz="8" w:space="0"/>
              <w:right w:val="single" w:color="auto" w:sz="8" w:space="0"/>
            </w:tcBorders>
            <w:shd w:val="clear" w:color="auto" w:fill="auto"/>
            <w:vAlign w:val="center"/>
          </w:tcPr>
          <w:p w14:paraId="1229021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134" w:type="dxa"/>
            <w:tcBorders>
              <w:top w:val="nil"/>
              <w:left w:val="nil"/>
              <w:bottom w:val="single" w:color="auto" w:sz="8" w:space="0"/>
              <w:right w:val="single" w:color="auto" w:sz="8" w:space="0"/>
            </w:tcBorders>
            <w:shd w:val="clear" w:color="auto" w:fill="auto"/>
            <w:vAlign w:val="center"/>
          </w:tcPr>
          <w:p w14:paraId="2642D11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r>
      <w:tr w14:paraId="2E7ADA04">
        <w:tblPrEx>
          <w:tblCellMar>
            <w:top w:w="0" w:type="dxa"/>
            <w:left w:w="108" w:type="dxa"/>
            <w:bottom w:w="0" w:type="dxa"/>
            <w:right w:w="108" w:type="dxa"/>
          </w:tblCellMar>
        </w:tblPrEx>
        <w:trPr>
          <w:trHeight w:val="284" w:hRule="atLeast"/>
        </w:trPr>
        <w:tc>
          <w:tcPr>
            <w:tcW w:w="2736" w:type="dxa"/>
            <w:tcBorders>
              <w:top w:val="nil"/>
              <w:left w:val="single" w:color="auto" w:sz="8" w:space="0"/>
              <w:bottom w:val="single" w:color="auto" w:sz="8" w:space="0"/>
              <w:right w:val="single" w:color="auto" w:sz="8" w:space="0"/>
            </w:tcBorders>
            <w:shd w:val="clear" w:color="auto" w:fill="auto"/>
            <w:vAlign w:val="center"/>
          </w:tcPr>
          <w:p w14:paraId="22AA4754">
            <w:pPr>
              <w:widowControl/>
              <w:jc w:val="center"/>
              <w:rPr>
                <w:rFonts w:ascii="宋体" w:hAnsi="宋体" w:cs="宋体"/>
                <w:color w:val="000000"/>
                <w:kern w:val="0"/>
                <w:sz w:val="18"/>
                <w:szCs w:val="18"/>
              </w:rPr>
            </w:pPr>
            <w:r>
              <w:rPr>
                <w:rFonts w:hint="eastAsia" w:ascii="宋体" w:hAnsi="宋体" w:cs="宋体"/>
                <w:color w:val="000000"/>
                <w:kern w:val="0"/>
                <w:sz w:val="18"/>
                <w:szCs w:val="18"/>
              </w:rPr>
              <w:t>基本农田保护区</w:t>
            </w:r>
          </w:p>
        </w:tc>
        <w:tc>
          <w:tcPr>
            <w:tcW w:w="1245" w:type="dxa"/>
            <w:tcBorders>
              <w:top w:val="nil"/>
              <w:left w:val="nil"/>
              <w:bottom w:val="single" w:color="auto" w:sz="8" w:space="0"/>
              <w:right w:val="single" w:color="auto" w:sz="8" w:space="0"/>
            </w:tcBorders>
            <w:shd w:val="clear" w:color="auto" w:fill="auto"/>
            <w:vAlign w:val="center"/>
          </w:tcPr>
          <w:p w14:paraId="6903806B">
            <w:pPr>
              <w:widowControl/>
              <w:jc w:val="center"/>
              <w:rPr>
                <w:rFonts w:ascii="宋体" w:hAnsi="宋体" w:cs="宋体"/>
                <w:color w:val="000000"/>
                <w:kern w:val="0"/>
                <w:sz w:val="18"/>
                <w:szCs w:val="18"/>
              </w:rPr>
            </w:pPr>
            <w:r>
              <w:rPr>
                <w:rFonts w:hint="eastAsia" w:ascii="宋体" w:hAnsi="宋体" w:cs="宋体"/>
                <w:color w:val="000000"/>
                <w:kern w:val="0"/>
                <w:sz w:val="18"/>
                <w:szCs w:val="18"/>
              </w:rPr>
              <w:t>139.29</w:t>
            </w:r>
          </w:p>
        </w:tc>
        <w:tc>
          <w:tcPr>
            <w:tcW w:w="993" w:type="dxa"/>
            <w:tcBorders>
              <w:top w:val="nil"/>
              <w:left w:val="nil"/>
              <w:bottom w:val="single" w:color="auto" w:sz="8" w:space="0"/>
              <w:right w:val="single" w:color="auto" w:sz="8" w:space="0"/>
            </w:tcBorders>
            <w:shd w:val="clear" w:color="auto" w:fill="auto"/>
            <w:noWrap/>
            <w:vAlign w:val="center"/>
          </w:tcPr>
          <w:p w14:paraId="515F2C97">
            <w:pPr>
              <w:widowControl/>
              <w:jc w:val="center"/>
              <w:rPr>
                <w:rFonts w:ascii="宋体" w:hAnsi="宋体" w:cs="宋体"/>
                <w:color w:val="000000"/>
                <w:kern w:val="0"/>
                <w:sz w:val="18"/>
                <w:szCs w:val="18"/>
              </w:rPr>
            </w:pPr>
            <w:r>
              <w:rPr>
                <w:rFonts w:hint="eastAsia" w:ascii="宋体" w:hAnsi="宋体" w:cs="宋体"/>
                <w:color w:val="000000"/>
                <w:kern w:val="0"/>
                <w:sz w:val="18"/>
                <w:szCs w:val="18"/>
              </w:rPr>
              <w:t>4.88%</w:t>
            </w:r>
          </w:p>
        </w:tc>
        <w:tc>
          <w:tcPr>
            <w:tcW w:w="1134" w:type="dxa"/>
            <w:tcBorders>
              <w:top w:val="nil"/>
              <w:left w:val="nil"/>
              <w:bottom w:val="single" w:color="auto" w:sz="8" w:space="0"/>
              <w:right w:val="single" w:color="auto" w:sz="8" w:space="0"/>
            </w:tcBorders>
            <w:shd w:val="clear" w:color="auto" w:fill="auto"/>
            <w:noWrap/>
            <w:vAlign w:val="center"/>
          </w:tcPr>
          <w:p w14:paraId="29CD8503">
            <w:pPr>
              <w:widowControl/>
              <w:jc w:val="center"/>
              <w:rPr>
                <w:rFonts w:ascii="宋体" w:hAnsi="宋体" w:cs="宋体"/>
                <w:color w:val="000000"/>
                <w:kern w:val="0"/>
                <w:sz w:val="18"/>
                <w:szCs w:val="18"/>
              </w:rPr>
            </w:pPr>
            <w:r>
              <w:rPr>
                <w:rFonts w:ascii="宋体" w:hAnsi="宋体" w:cs="宋体"/>
                <w:color w:val="000000"/>
                <w:kern w:val="0"/>
                <w:sz w:val="18"/>
                <w:szCs w:val="18"/>
              </w:rPr>
              <w:t xml:space="preserve">301.62 </w:t>
            </w:r>
          </w:p>
        </w:tc>
        <w:tc>
          <w:tcPr>
            <w:tcW w:w="1134" w:type="dxa"/>
            <w:tcBorders>
              <w:top w:val="nil"/>
              <w:left w:val="nil"/>
              <w:bottom w:val="single" w:color="auto" w:sz="8" w:space="0"/>
              <w:right w:val="single" w:color="auto" w:sz="8" w:space="0"/>
            </w:tcBorders>
            <w:shd w:val="clear" w:color="auto" w:fill="auto"/>
            <w:noWrap/>
            <w:vAlign w:val="center"/>
          </w:tcPr>
          <w:p w14:paraId="245F9F5D">
            <w:pPr>
              <w:widowControl/>
              <w:jc w:val="center"/>
              <w:rPr>
                <w:rFonts w:ascii="宋体" w:hAnsi="宋体" w:cs="宋体"/>
                <w:color w:val="000000"/>
                <w:kern w:val="0"/>
                <w:sz w:val="18"/>
                <w:szCs w:val="18"/>
              </w:rPr>
            </w:pPr>
            <w:r>
              <w:rPr>
                <w:rFonts w:hint="eastAsia" w:ascii="宋体" w:hAnsi="宋体" w:cs="宋体"/>
                <w:color w:val="000000"/>
                <w:kern w:val="0"/>
                <w:sz w:val="18"/>
                <w:szCs w:val="18"/>
              </w:rPr>
              <w:t>10.57%</w:t>
            </w:r>
          </w:p>
        </w:tc>
        <w:tc>
          <w:tcPr>
            <w:tcW w:w="1134" w:type="dxa"/>
            <w:tcBorders>
              <w:top w:val="nil"/>
              <w:left w:val="nil"/>
              <w:bottom w:val="single" w:color="auto" w:sz="8" w:space="0"/>
              <w:right w:val="single" w:color="auto" w:sz="8" w:space="0"/>
            </w:tcBorders>
            <w:shd w:val="clear" w:color="auto" w:fill="auto"/>
            <w:noWrap/>
            <w:vAlign w:val="center"/>
          </w:tcPr>
          <w:p w14:paraId="09ACB1E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162.33 </w:t>
            </w:r>
          </w:p>
        </w:tc>
        <w:tc>
          <w:tcPr>
            <w:tcW w:w="1134" w:type="dxa"/>
            <w:tcBorders>
              <w:top w:val="nil"/>
              <w:left w:val="nil"/>
              <w:bottom w:val="single" w:color="auto" w:sz="8" w:space="0"/>
              <w:right w:val="single" w:color="auto" w:sz="8" w:space="0"/>
            </w:tcBorders>
            <w:shd w:val="clear" w:color="auto" w:fill="auto"/>
            <w:noWrap/>
            <w:vAlign w:val="center"/>
          </w:tcPr>
          <w:p w14:paraId="3BBECC08">
            <w:pPr>
              <w:widowControl/>
              <w:jc w:val="center"/>
              <w:rPr>
                <w:rFonts w:ascii="宋体" w:hAnsi="宋体" w:cs="宋体"/>
                <w:color w:val="000000"/>
                <w:kern w:val="0"/>
                <w:sz w:val="18"/>
                <w:szCs w:val="18"/>
              </w:rPr>
            </w:pPr>
            <w:r>
              <w:rPr>
                <w:rFonts w:hint="eastAsia" w:ascii="宋体" w:hAnsi="宋体" w:cs="宋体"/>
                <w:color w:val="000000"/>
                <w:kern w:val="0"/>
                <w:sz w:val="18"/>
                <w:szCs w:val="18"/>
              </w:rPr>
              <w:t>5.69%</w:t>
            </w:r>
          </w:p>
        </w:tc>
      </w:tr>
      <w:tr w14:paraId="5A0B7A39">
        <w:tblPrEx>
          <w:tblCellMar>
            <w:top w:w="0" w:type="dxa"/>
            <w:left w:w="108" w:type="dxa"/>
            <w:bottom w:w="0" w:type="dxa"/>
            <w:right w:w="108" w:type="dxa"/>
          </w:tblCellMar>
        </w:tblPrEx>
        <w:trPr>
          <w:trHeight w:val="284" w:hRule="atLeast"/>
        </w:trPr>
        <w:tc>
          <w:tcPr>
            <w:tcW w:w="2736" w:type="dxa"/>
            <w:tcBorders>
              <w:top w:val="nil"/>
              <w:left w:val="single" w:color="auto" w:sz="8" w:space="0"/>
              <w:bottom w:val="single" w:color="auto" w:sz="8" w:space="0"/>
              <w:right w:val="single" w:color="auto" w:sz="8" w:space="0"/>
            </w:tcBorders>
            <w:shd w:val="clear" w:color="auto" w:fill="auto"/>
            <w:vAlign w:val="center"/>
          </w:tcPr>
          <w:p w14:paraId="5EAE010F">
            <w:pPr>
              <w:widowControl/>
              <w:jc w:val="center"/>
              <w:rPr>
                <w:rFonts w:ascii="宋体" w:hAnsi="宋体" w:cs="宋体"/>
                <w:color w:val="000000"/>
                <w:kern w:val="0"/>
                <w:sz w:val="18"/>
                <w:szCs w:val="18"/>
              </w:rPr>
            </w:pPr>
            <w:r>
              <w:rPr>
                <w:rFonts w:hint="eastAsia" w:ascii="宋体" w:hAnsi="宋体" w:cs="宋体"/>
                <w:color w:val="000000"/>
                <w:kern w:val="0"/>
                <w:sz w:val="18"/>
                <w:szCs w:val="18"/>
              </w:rPr>
              <w:t>一般农地区</w:t>
            </w:r>
          </w:p>
        </w:tc>
        <w:tc>
          <w:tcPr>
            <w:tcW w:w="1245" w:type="dxa"/>
            <w:tcBorders>
              <w:top w:val="nil"/>
              <w:left w:val="nil"/>
              <w:bottom w:val="single" w:color="auto" w:sz="8" w:space="0"/>
              <w:right w:val="single" w:color="auto" w:sz="8" w:space="0"/>
            </w:tcBorders>
            <w:shd w:val="clear" w:color="auto" w:fill="auto"/>
            <w:vAlign w:val="center"/>
          </w:tcPr>
          <w:p w14:paraId="3C0CE22B">
            <w:pPr>
              <w:widowControl/>
              <w:jc w:val="center"/>
              <w:rPr>
                <w:rFonts w:ascii="宋体" w:hAnsi="宋体" w:cs="宋体"/>
                <w:color w:val="000000"/>
                <w:kern w:val="0"/>
                <w:sz w:val="18"/>
                <w:szCs w:val="18"/>
              </w:rPr>
            </w:pPr>
            <w:r>
              <w:rPr>
                <w:rFonts w:hint="eastAsia" w:ascii="宋体" w:hAnsi="宋体" w:cs="宋体"/>
                <w:color w:val="000000"/>
                <w:kern w:val="0"/>
                <w:sz w:val="18"/>
                <w:szCs w:val="18"/>
              </w:rPr>
              <w:t>642.56</w:t>
            </w:r>
          </w:p>
        </w:tc>
        <w:tc>
          <w:tcPr>
            <w:tcW w:w="993" w:type="dxa"/>
            <w:tcBorders>
              <w:top w:val="nil"/>
              <w:left w:val="nil"/>
              <w:bottom w:val="single" w:color="auto" w:sz="8" w:space="0"/>
              <w:right w:val="single" w:color="auto" w:sz="8" w:space="0"/>
            </w:tcBorders>
            <w:shd w:val="clear" w:color="auto" w:fill="auto"/>
            <w:noWrap/>
            <w:vAlign w:val="center"/>
          </w:tcPr>
          <w:p w14:paraId="14A45B63">
            <w:pPr>
              <w:widowControl/>
              <w:jc w:val="center"/>
              <w:rPr>
                <w:rFonts w:ascii="宋体" w:hAnsi="宋体" w:cs="宋体"/>
                <w:color w:val="000000"/>
                <w:kern w:val="0"/>
                <w:sz w:val="18"/>
                <w:szCs w:val="18"/>
              </w:rPr>
            </w:pPr>
            <w:r>
              <w:rPr>
                <w:rFonts w:hint="eastAsia" w:ascii="宋体" w:hAnsi="宋体" w:cs="宋体"/>
                <w:color w:val="000000"/>
                <w:kern w:val="0"/>
                <w:sz w:val="18"/>
                <w:szCs w:val="18"/>
              </w:rPr>
              <w:t>22.51%</w:t>
            </w:r>
          </w:p>
        </w:tc>
        <w:tc>
          <w:tcPr>
            <w:tcW w:w="1134" w:type="dxa"/>
            <w:tcBorders>
              <w:top w:val="nil"/>
              <w:left w:val="nil"/>
              <w:bottom w:val="single" w:color="auto" w:sz="8" w:space="0"/>
              <w:right w:val="single" w:color="auto" w:sz="8" w:space="0"/>
            </w:tcBorders>
            <w:shd w:val="clear" w:color="auto" w:fill="auto"/>
            <w:noWrap/>
            <w:vAlign w:val="center"/>
          </w:tcPr>
          <w:p w14:paraId="4BCBF635">
            <w:pPr>
              <w:widowControl/>
              <w:jc w:val="center"/>
              <w:rPr>
                <w:rFonts w:ascii="宋体" w:hAnsi="宋体" w:cs="宋体"/>
                <w:color w:val="000000"/>
                <w:kern w:val="0"/>
                <w:sz w:val="18"/>
                <w:szCs w:val="18"/>
              </w:rPr>
            </w:pPr>
            <w:r>
              <w:rPr>
                <w:rFonts w:ascii="宋体" w:hAnsi="宋体" w:cs="宋体"/>
                <w:color w:val="000000"/>
                <w:kern w:val="0"/>
                <w:sz w:val="18"/>
                <w:szCs w:val="18"/>
              </w:rPr>
              <w:t xml:space="preserve">486.08 </w:t>
            </w:r>
          </w:p>
        </w:tc>
        <w:tc>
          <w:tcPr>
            <w:tcW w:w="1134" w:type="dxa"/>
            <w:tcBorders>
              <w:top w:val="nil"/>
              <w:left w:val="nil"/>
              <w:bottom w:val="single" w:color="auto" w:sz="8" w:space="0"/>
              <w:right w:val="single" w:color="auto" w:sz="8" w:space="0"/>
            </w:tcBorders>
            <w:shd w:val="clear" w:color="auto" w:fill="auto"/>
            <w:noWrap/>
            <w:vAlign w:val="center"/>
          </w:tcPr>
          <w:p w14:paraId="64707959">
            <w:pPr>
              <w:widowControl/>
              <w:jc w:val="center"/>
              <w:rPr>
                <w:rFonts w:ascii="宋体" w:hAnsi="宋体" w:cs="宋体"/>
                <w:color w:val="000000"/>
                <w:kern w:val="0"/>
                <w:sz w:val="18"/>
                <w:szCs w:val="18"/>
              </w:rPr>
            </w:pPr>
            <w:r>
              <w:rPr>
                <w:rFonts w:hint="eastAsia" w:ascii="宋体" w:hAnsi="宋体" w:cs="宋体"/>
                <w:color w:val="000000"/>
                <w:kern w:val="0"/>
                <w:sz w:val="18"/>
                <w:szCs w:val="18"/>
              </w:rPr>
              <w:t>17.03%</w:t>
            </w:r>
          </w:p>
        </w:tc>
        <w:tc>
          <w:tcPr>
            <w:tcW w:w="1134" w:type="dxa"/>
            <w:tcBorders>
              <w:top w:val="nil"/>
              <w:left w:val="nil"/>
              <w:bottom w:val="single" w:color="auto" w:sz="8" w:space="0"/>
              <w:right w:val="single" w:color="auto" w:sz="8" w:space="0"/>
            </w:tcBorders>
            <w:shd w:val="clear" w:color="auto" w:fill="auto"/>
            <w:noWrap/>
            <w:vAlign w:val="center"/>
          </w:tcPr>
          <w:p w14:paraId="17357F3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-156.48 </w:t>
            </w:r>
          </w:p>
        </w:tc>
        <w:tc>
          <w:tcPr>
            <w:tcW w:w="1134" w:type="dxa"/>
            <w:tcBorders>
              <w:top w:val="nil"/>
              <w:left w:val="nil"/>
              <w:bottom w:val="single" w:color="auto" w:sz="8" w:space="0"/>
              <w:right w:val="single" w:color="auto" w:sz="8" w:space="0"/>
            </w:tcBorders>
            <w:shd w:val="clear" w:color="auto" w:fill="auto"/>
            <w:noWrap/>
            <w:vAlign w:val="center"/>
          </w:tcPr>
          <w:p w14:paraId="33A2DCF8">
            <w:pPr>
              <w:widowControl/>
              <w:jc w:val="center"/>
              <w:rPr>
                <w:rFonts w:ascii="宋体" w:hAnsi="宋体" w:cs="宋体"/>
                <w:color w:val="000000"/>
                <w:kern w:val="0"/>
                <w:sz w:val="18"/>
                <w:szCs w:val="18"/>
              </w:rPr>
            </w:pPr>
            <w:r>
              <w:rPr>
                <w:rFonts w:hint="eastAsia" w:ascii="宋体" w:hAnsi="宋体" w:cs="宋体"/>
                <w:color w:val="000000"/>
                <w:kern w:val="0"/>
                <w:sz w:val="18"/>
                <w:szCs w:val="18"/>
              </w:rPr>
              <w:t>-5.48%</w:t>
            </w:r>
          </w:p>
        </w:tc>
      </w:tr>
      <w:tr w14:paraId="127B7BF8">
        <w:tblPrEx>
          <w:tblCellMar>
            <w:top w:w="0" w:type="dxa"/>
            <w:left w:w="108" w:type="dxa"/>
            <w:bottom w:w="0" w:type="dxa"/>
            <w:right w:w="108" w:type="dxa"/>
          </w:tblCellMar>
        </w:tblPrEx>
        <w:trPr>
          <w:trHeight w:val="284" w:hRule="atLeast"/>
        </w:trPr>
        <w:tc>
          <w:tcPr>
            <w:tcW w:w="2736" w:type="dxa"/>
            <w:tcBorders>
              <w:top w:val="nil"/>
              <w:left w:val="single" w:color="auto" w:sz="8" w:space="0"/>
              <w:bottom w:val="single" w:color="auto" w:sz="8" w:space="0"/>
              <w:right w:val="single" w:color="auto" w:sz="8" w:space="0"/>
            </w:tcBorders>
            <w:shd w:val="clear" w:color="auto" w:fill="auto"/>
            <w:vAlign w:val="center"/>
          </w:tcPr>
          <w:p w14:paraId="25C724EF">
            <w:pPr>
              <w:widowControl/>
              <w:jc w:val="center"/>
              <w:rPr>
                <w:rFonts w:ascii="宋体" w:hAnsi="宋体" w:cs="宋体"/>
                <w:color w:val="000000"/>
                <w:kern w:val="0"/>
                <w:sz w:val="18"/>
                <w:szCs w:val="18"/>
              </w:rPr>
            </w:pPr>
            <w:r>
              <w:rPr>
                <w:rFonts w:hint="eastAsia" w:ascii="宋体" w:hAnsi="宋体" w:cs="宋体"/>
                <w:color w:val="000000"/>
                <w:kern w:val="0"/>
                <w:sz w:val="18"/>
                <w:szCs w:val="18"/>
              </w:rPr>
              <w:t>城镇村建设用地区</w:t>
            </w:r>
          </w:p>
        </w:tc>
        <w:tc>
          <w:tcPr>
            <w:tcW w:w="1245" w:type="dxa"/>
            <w:tcBorders>
              <w:top w:val="nil"/>
              <w:left w:val="nil"/>
              <w:bottom w:val="single" w:color="auto" w:sz="8" w:space="0"/>
              <w:right w:val="single" w:color="auto" w:sz="8" w:space="0"/>
            </w:tcBorders>
            <w:shd w:val="clear" w:color="auto" w:fill="auto"/>
            <w:vAlign w:val="center"/>
          </w:tcPr>
          <w:p w14:paraId="63F2290F">
            <w:pPr>
              <w:widowControl/>
              <w:jc w:val="center"/>
              <w:rPr>
                <w:rFonts w:ascii="宋体" w:hAnsi="宋体" w:cs="宋体"/>
                <w:color w:val="000000"/>
                <w:kern w:val="0"/>
                <w:sz w:val="18"/>
                <w:szCs w:val="18"/>
              </w:rPr>
            </w:pPr>
            <w:r>
              <w:rPr>
                <w:rFonts w:hint="eastAsia" w:ascii="宋体" w:hAnsi="宋体" w:cs="宋体"/>
                <w:color w:val="000000"/>
                <w:kern w:val="0"/>
                <w:sz w:val="18"/>
                <w:szCs w:val="18"/>
              </w:rPr>
              <w:t>1441.48</w:t>
            </w:r>
          </w:p>
        </w:tc>
        <w:tc>
          <w:tcPr>
            <w:tcW w:w="993" w:type="dxa"/>
            <w:tcBorders>
              <w:top w:val="nil"/>
              <w:left w:val="nil"/>
              <w:bottom w:val="single" w:color="auto" w:sz="8" w:space="0"/>
              <w:right w:val="single" w:color="auto" w:sz="8" w:space="0"/>
            </w:tcBorders>
            <w:shd w:val="clear" w:color="auto" w:fill="auto"/>
            <w:noWrap/>
            <w:vAlign w:val="center"/>
          </w:tcPr>
          <w:p w14:paraId="496F935C">
            <w:pPr>
              <w:widowControl/>
              <w:jc w:val="center"/>
              <w:rPr>
                <w:rFonts w:ascii="宋体" w:hAnsi="宋体" w:cs="宋体"/>
                <w:color w:val="000000"/>
                <w:kern w:val="0"/>
                <w:sz w:val="18"/>
                <w:szCs w:val="18"/>
              </w:rPr>
            </w:pPr>
            <w:r>
              <w:rPr>
                <w:rFonts w:hint="eastAsia" w:ascii="宋体" w:hAnsi="宋体" w:cs="宋体"/>
                <w:color w:val="000000"/>
                <w:kern w:val="0"/>
                <w:sz w:val="18"/>
                <w:szCs w:val="18"/>
              </w:rPr>
              <w:t>50.50%</w:t>
            </w:r>
          </w:p>
        </w:tc>
        <w:tc>
          <w:tcPr>
            <w:tcW w:w="1134" w:type="dxa"/>
            <w:tcBorders>
              <w:top w:val="nil"/>
              <w:left w:val="nil"/>
              <w:bottom w:val="single" w:color="auto" w:sz="8" w:space="0"/>
              <w:right w:val="single" w:color="auto" w:sz="8" w:space="0"/>
            </w:tcBorders>
            <w:shd w:val="clear" w:color="auto" w:fill="auto"/>
            <w:noWrap/>
            <w:vAlign w:val="center"/>
          </w:tcPr>
          <w:p w14:paraId="6F5DD3A6">
            <w:pPr>
              <w:widowControl/>
              <w:jc w:val="center"/>
              <w:rPr>
                <w:rFonts w:ascii="宋体" w:hAnsi="宋体" w:cs="宋体"/>
                <w:color w:val="000000"/>
                <w:kern w:val="0"/>
                <w:sz w:val="18"/>
                <w:szCs w:val="18"/>
              </w:rPr>
            </w:pPr>
            <w:r>
              <w:rPr>
                <w:rFonts w:ascii="宋体" w:hAnsi="宋体" w:cs="宋体"/>
                <w:color w:val="000000"/>
                <w:kern w:val="0"/>
                <w:sz w:val="18"/>
                <w:szCs w:val="18"/>
              </w:rPr>
              <w:t xml:space="preserve">1455.85 </w:t>
            </w:r>
          </w:p>
        </w:tc>
        <w:tc>
          <w:tcPr>
            <w:tcW w:w="1134" w:type="dxa"/>
            <w:tcBorders>
              <w:top w:val="nil"/>
              <w:left w:val="nil"/>
              <w:bottom w:val="single" w:color="auto" w:sz="8" w:space="0"/>
              <w:right w:val="single" w:color="auto" w:sz="8" w:space="0"/>
            </w:tcBorders>
            <w:shd w:val="clear" w:color="auto" w:fill="auto"/>
            <w:noWrap/>
            <w:vAlign w:val="center"/>
          </w:tcPr>
          <w:p w14:paraId="026A3AE6">
            <w:pPr>
              <w:widowControl/>
              <w:jc w:val="center"/>
              <w:rPr>
                <w:rFonts w:ascii="宋体" w:hAnsi="宋体" w:cs="宋体"/>
                <w:color w:val="000000"/>
                <w:kern w:val="0"/>
                <w:sz w:val="18"/>
                <w:szCs w:val="18"/>
              </w:rPr>
            </w:pPr>
            <w:r>
              <w:rPr>
                <w:rFonts w:hint="eastAsia" w:ascii="宋体" w:hAnsi="宋体" w:cs="宋体"/>
                <w:color w:val="000000"/>
                <w:kern w:val="0"/>
                <w:sz w:val="18"/>
                <w:szCs w:val="18"/>
              </w:rPr>
              <w:t>51.01%</w:t>
            </w:r>
          </w:p>
        </w:tc>
        <w:tc>
          <w:tcPr>
            <w:tcW w:w="1134" w:type="dxa"/>
            <w:tcBorders>
              <w:top w:val="nil"/>
              <w:left w:val="nil"/>
              <w:bottom w:val="single" w:color="auto" w:sz="8" w:space="0"/>
              <w:right w:val="single" w:color="auto" w:sz="8" w:space="0"/>
            </w:tcBorders>
            <w:shd w:val="clear" w:color="auto" w:fill="auto"/>
            <w:noWrap/>
            <w:vAlign w:val="center"/>
          </w:tcPr>
          <w:p w14:paraId="1AB0392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14.37 </w:t>
            </w:r>
          </w:p>
        </w:tc>
        <w:tc>
          <w:tcPr>
            <w:tcW w:w="1134" w:type="dxa"/>
            <w:tcBorders>
              <w:top w:val="nil"/>
              <w:left w:val="nil"/>
              <w:bottom w:val="single" w:color="auto" w:sz="8" w:space="0"/>
              <w:right w:val="single" w:color="auto" w:sz="8" w:space="0"/>
            </w:tcBorders>
            <w:shd w:val="clear" w:color="auto" w:fill="auto"/>
            <w:noWrap/>
            <w:vAlign w:val="center"/>
          </w:tcPr>
          <w:p w14:paraId="0A49D6CE">
            <w:pPr>
              <w:widowControl/>
              <w:jc w:val="center"/>
              <w:rPr>
                <w:rFonts w:ascii="宋体" w:hAnsi="宋体" w:cs="宋体"/>
                <w:color w:val="000000"/>
                <w:kern w:val="0"/>
                <w:sz w:val="18"/>
                <w:szCs w:val="18"/>
              </w:rPr>
            </w:pPr>
            <w:r>
              <w:rPr>
                <w:rFonts w:hint="eastAsia" w:ascii="宋体" w:hAnsi="宋体" w:cs="宋体"/>
                <w:color w:val="000000"/>
                <w:kern w:val="0"/>
                <w:sz w:val="18"/>
                <w:szCs w:val="18"/>
              </w:rPr>
              <w:t>0.51%</w:t>
            </w:r>
          </w:p>
        </w:tc>
      </w:tr>
      <w:tr w14:paraId="2AB79840">
        <w:tblPrEx>
          <w:tblCellMar>
            <w:top w:w="0" w:type="dxa"/>
            <w:left w:w="108" w:type="dxa"/>
            <w:bottom w:w="0" w:type="dxa"/>
            <w:right w:w="108" w:type="dxa"/>
          </w:tblCellMar>
        </w:tblPrEx>
        <w:trPr>
          <w:trHeight w:val="284" w:hRule="atLeast"/>
        </w:trPr>
        <w:tc>
          <w:tcPr>
            <w:tcW w:w="2736" w:type="dxa"/>
            <w:tcBorders>
              <w:top w:val="nil"/>
              <w:left w:val="single" w:color="auto" w:sz="8" w:space="0"/>
              <w:bottom w:val="single" w:color="auto" w:sz="8" w:space="0"/>
              <w:right w:val="single" w:color="auto" w:sz="8" w:space="0"/>
            </w:tcBorders>
            <w:shd w:val="clear" w:color="auto" w:fill="auto"/>
            <w:vAlign w:val="center"/>
          </w:tcPr>
          <w:p w14:paraId="74FD1AE6">
            <w:pPr>
              <w:widowControl/>
              <w:jc w:val="center"/>
              <w:rPr>
                <w:rFonts w:ascii="宋体" w:hAnsi="宋体" w:cs="宋体"/>
                <w:color w:val="000000"/>
                <w:kern w:val="0"/>
                <w:sz w:val="18"/>
                <w:szCs w:val="18"/>
              </w:rPr>
            </w:pPr>
            <w:r>
              <w:rPr>
                <w:rFonts w:hint="eastAsia" w:ascii="宋体" w:hAnsi="宋体" w:cs="宋体"/>
                <w:color w:val="000000"/>
                <w:kern w:val="0"/>
                <w:sz w:val="18"/>
                <w:szCs w:val="18"/>
              </w:rPr>
              <w:t>独立工矿用地区</w:t>
            </w:r>
          </w:p>
        </w:tc>
        <w:tc>
          <w:tcPr>
            <w:tcW w:w="1245" w:type="dxa"/>
            <w:tcBorders>
              <w:top w:val="nil"/>
              <w:left w:val="nil"/>
              <w:bottom w:val="single" w:color="auto" w:sz="8" w:space="0"/>
              <w:right w:val="single" w:color="auto" w:sz="8" w:space="0"/>
            </w:tcBorders>
            <w:shd w:val="clear" w:color="auto" w:fill="auto"/>
            <w:vAlign w:val="center"/>
          </w:tcPr>
          <w:p w14:paraId="48D30084">
            <w:pPr>
              <w:widowControl/>
              <w:jc w:val="center"/>
              <w:rPr>
                <w:rFonts w:ascii="宋体" w:hAnsi="宋体" w:cs="宋体"/>
                <w:color w:val="000000"/>
                <w:kern w:val="0"/>
                <w:sz w:val="18"/>
                <w:szCs w:val="18"/>
              </w:rPr>
            </w:pPr>
            <w:r>
              <w:rPr>
                <w:rFonts w:hint="eastAsia" w:ascii="宋体" w:hAnsi="宋体" w:cs="宋体"/>
                <w:color w:val="000000"/>
                <w:kern w:val="0"/>
                <w:sz w:val="18"/>
                <w:szCs w:val="18"/>
              </w:rPr>
              <w:t>76.81</w:t>
            </w:r>
          </w:p>
        </w:tc>
        <w:tc>
          <w:tcPr>
            <w:tcW w:w="993" w:type="dxa"/>
            <w:tcBorders>
              <w:top w:val="nil"/>
              <w:left w:val="nil"/>
              <w:bottom w:val="single" w:color="auto" w:sz="8" w:space="0"/>
              <w:right w:val="single" w:color="auto" w:sz="8" w:space="0"/>
            </w:tcBorders>
            <w:shd w:val="clear" w:color="auto" w:fill="auto"/>
            <w:noWrap/>
            <w:vAlign w:val="center"/>
          </w:tcPr>
          <w:p w14:paraId="1A56669D">
            <w:pPr>
              <w:widowControl/>
              <w:jc w:val="center"/>
              <w:rPr>
                <w:rFonts w:ascii="宋体" w:hAnsi="宋体" w:cs="宋体"/>
                <w:color w:val="000000"/>
                <w:kern w:val="0"/>
                <w:sz w:val="18"/>
                <w:szCs w:val="18"/>
              </w:rPr>
            </w:pPr>
            <w:r>
              <w:rPr>
                <w:rFonts w:hint="eastAsia" w:ascii="宋体" w:hAnsi="宋体" w:cs="宋体"/>
                <w:color w:val="000000"/>
                <w:kern w:val="0"/>
                <w:sz w:val="18"/>
                <w:szCs w:val="18"/>
              </w:rPr>
              <w:t>2.69%</w:t>
            </w:r>
          </w:p>
        </w:tc>
        <w:tc>
          <w:tcPr>
            <w:tcW w:w="1134" w:type="dxa"/>
            <w:tcBorders>
              <w:top w:val="nil"/>
              <w:left w:val="nil"/>
              <w:bottom w:val="single" w:color="auto" w:sz="8" w:space="0"/>
              <w:right w:val="single" w:color="auto" w:sz="8" w:space="0"/>
            </w:tcBorders>
            <w:shd w:val="clear" w:color="auto" w:fill="auto"/>
            <w:noWrap/>
            <w:vAlign w:val="center"/>
          </w:tcPr>
          <w:p w14:paraId="08E2273A">
            <w:pPr>
              <w:widowControl/>
              <w:jc w:val="center"/>
              <w:rPr>
                <w:rFonts w:ascii="宋体" w:hAnsi="宋体" w:cs="宋体"/>
                <w:color w:val="000000"/>
                <w:kern w:val="0"/>
                <w:sz w:val="18"/>
                <w:szCs w:val="18"/>
              </w:rPr>
            </w:pPr>
            <w:r>
              <w:rPr>
                <w:rFonts w:ascii="宋体" w:hAnsi="宋体" w:cs="宋体"/>
                <w:color w:val="000000"/>
                <w:kern w:val="0"/>
                <w:sz w:val="18"/>
                <w:szCs w:val="18"/>
              </w:rPr>
              <w:t xml:space="preserve">67.83 </w:t>
            </w:r>
          </w:p>
        </w:tc>
        <w:tc>
          <w:tcPr>
            <w:tcW w:w="1134" w:type="dxa"/>
            <w:tcBorders>
              <w:top w:val="nil"/>
              <w:left w:val="nil"/>
              <w:bottom w:val="single" w:color="auto" w:sz="8" w:space="0"/>
              <w:right w:val="single" w:color="auto" w:sz="8" w:space="0"/>
            </w:tcBorders>
            <w:shd w:val="clear" w:color="auto" w:fill="auto"/>
            <w:noWrap/>
            <w:vAlign w:val="center"/>
          </w:tcPr>
          <w:p w14:paraId="68022A73">
            <w:pPr>
              <w:widowControl/>
              <w:jc w:val="center"/>
              <w:rPr>
                <w:rFonts w:ascii="宋体" w:hAnsi="宋体" w:cs="宋体"/>
                <w:color w:val="000000"/>
                <w:kern w:val="0"/>
                <w:sz w:val="18"/>
                <w:szCs w:val="18"/>
              </w:rPr>
            </w:pPr>
            <w:r>
              <w:rPr>
                <w:rFonts w:hint="eastAsia" w:ascii="宋体" w:hAnsi="宋体" w:cs="宋体"/>
                <w:color w:val="000000"/>
                <w:kern w:val="0"/>
                <w:sz w:val="18"/>
                <w:szCs w:val="18"/>
              </w:rPr>
              <w:t>2.38%</w:t>
            </w:r>
          </w:p>
        </w:tc>
        <w:tc>
          <w:tcPr>
            <w:tcW w:w="1134" w:type="dxa"/>
            <w:tcBorders>
              <w:top w:val="nil"/>
              <w:left w:val="nil"/>
              <w:bottom w:val="single" w:color="auto" w:sz="8" w:space="0"/>
              <w:right w:val="single" w:color="auto" w:sz="8" w:space="0"/>
            </w:tcBorders>
            <w:shd w:val="clear" w:color="auto" w:fill="auto"/>
            <w:noWrap/>
            <w:vAlign w:val="center"/>
          </w:tcPr>
          <w:p w14:paraId="2FC8564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-8.98 </w:t>
            </w:r>
          </w:p>
        </w:tc>
        <w:tc>
          <w:tcPr>
            <w:tcW w:w="1134" w:type="dxa"/>
            <w:tcBorders>
              <w:top w:val="nil"/>
              <w:left w:val="nil"/>
              <w:bottom w:val="single" w:color="auto" w:sz="8" w:space="0"/>
              <w:right w:val="single" w:color="auto" w:sz="8" w:space="0"/>
            </w:tcBorders>
            <w:shd w:val="clear" w:color="auto" w:fill="auto"/>
            <w:noWrap/>
            <w:vAlign w:val="center"/>
          </w:tcPr>
          <w:p w14:paraId="32C68EDC">
            <w:pPr>
              <w:widowControl/>
              <w:jc w:val="center"/>
              <w:rPr>
                <w:rFonts w:ascii="宋体" w:hAnsi="宋体" w:cs="宋体"/>
                <w:color w:val="000000"/>
                <w:kern w:val="0"/>
                <w:sz w:val="18"/>
                <w:szCs w:val="18"/>
              </w:rPr>
            </w:pPr>
            <w:r>
              <w:rPr>
                <w:rFonts w:hint="eastAsia" w:ascii="宋体" w:hAnsi="宋体" w:cs="宋体"/>
                <w:color w:val="000000"/>
                <w:kern w:val="0"/>
                <w:sz w:val="18"/>
                <w:szCs w:val="18"/>
              </w:rPr>
              <w:t>-0.31%</w:t>
            </w:r>
          </w:p>
        </w:tc>
      </w:tr>
      <w:tr w14:paraId="20EA3111">
        <w:tblPrEx>
          <w:tblCellMar>
            <w:top w:w="0" w:type="dxa"/>
            <w:left w:w="108" w:type="dxa"/>
            <w:bottom w:w="0" w:type="dxa"/>
            <w:right w:w="108" w:type="dxa"/>
          </w:tblCellMar>
        </w:tblPrEx>
        <w:trPr>
          <w:trHeight w:val="284" w:hRule="atLeast"/>
        </w:trPr>
        <w:tc>
          <w:tcPr>
            <w:tcW w:w="2736" w:type="dxa"/>
            <w:tcBorders>
              <w:top w:val="nil"/>
              <w:left w:val="single" w:color="auto" w:sz="8" w:space="0"/>
              <w:bottom w:val="single" w:color="auto" w:sz="8" w:space="0"/>
              <w:right w:val="single" w:color="auto" w:sz="8" w:space="0"/>
            </w:tcBorders>
            <w:shd w:val="clear" w:color="auto" w:fill="auto"/>
            <w:vAlign w:val="center"/>
          </w:tcPr>
          <w:p w14:paraId="674A830F">
            <w:pPr>
              <w:widowControl/>
              <w:jc w:val="center"/>
              <w:rPr>
                <w:rFonts w:ascii="宋体" w:hAnsi="宋体" w:cs="宋体"/>
                <w:color w:val="000000"/>
                <w:kern w:val="0"/>
                <w:sz w:val="18"/>
                <w:szCs w:val="18"/>
              </w:rPr>
            </w:pPr>
            <w:r>
              <w:rPr>
                <w:rFonts w:hint="eastAsia" w:ascii="宋体" w:hAnsi="宋体" w:cs="宋体"/>
                <w:color w:val="000000"/>
                <w:kern w:val="0"/>
                <w:sz w:val="18"/>
                <w:szCs w:val="18"/>
              </w:rPr>
              <w:t>风景旅游区</w:t>
            </w:r>
          </w:p>
        </w:tc>
        <w:tc>
          <w:tcPr>
            <w:tcW w:w="1245" w:type="dxa"/>
            <w:tcBorders>
              <w:top w:val="nil"/>
              <w:left w:val="nil"/>
              <w:bottom w:val="single" w:color="auto" w:sz="8" w:space="0"/>
              <w:right w:val="single" w:color="auto" w:sz="8" w:space="0"/>
            </w:tcBorders>
            <w:shd w:val="clear" w:color="auto" w:fill="auto"/>
            <w:vAlign w:val="center"/>
          </w:tcPr>
          <w:p w14:paraId="0707684A">
            <w:pPr>
              <w:widowControl/>
              <w:jc w:val="center"/>
              <w:rPr>
                <w:rFonts w:ascii="宋体" w:hAnsi="宋体" w:cs="宋体"/>
                <w:color w:val="000000"/>
                <w:kern w:val="0"/>
                <w:sz w:val="18"/>
                <w:szCs w:val="18"/>
              </w:rPr>
            </w:pPr>
            <w:r>
              <w:rPr>
                <w:rFonts w:hint="eastAsia" w:ascii="宋体" w:hAnsi="宋体" w:cs="宋体"/>
                <w:color w:val="000000"/>
                <w:kern w:val="0"/>
                <w:sz w:val="18"/>
                <w:szCs w:val="18"/>
              </w:rPr>
              <w:t>66.31</w:t>
            </w:r>
          </w:p>
        </w:tc>
        <w:tc>
          <w:tcPr>
            <w:tcW w:w="993" w:type="dxa"/>
            <w:tcBorders>
              <w:top w:val="nil"/>
              <w:left w:val="nil"/>
              <w:bottom w:val="single" w:color="auto" w:sz="8" w:space="0"/>
              <w:right w:val="single" w:color="auto" w:sz="8" w:space="0"/>
            </w:tcBorders>
            <w:shd w:val="clear" w:color="auto" w:fill="auto"/>
            <w:noWrap/>
            <w:vAlign w:val="center"/>
          </w:tcPr>
          <w:p w14:paraId="3C606A25">
            <w:pPr>
              <w:widowControl/>
              <w:jc w:val="center"/>
              <w:rPr>
                <w:rFonts w:ascii="宋体" w:hAnsi="宋体" w:cs="宋体"/>
                <w:color w:val="000000"/>
                <w:kern w:val="0"/>
                <w:sz w:val="18"/>
                <w:szCs w:val="18"/>
              </w:rPr>
            </w:pPr>
            <w:r>
              <w:rPr>
                <w:rFonts w:hint="eastAsia" w:ascii="宋体" w:hAnsi="宋体" w:cs="宋体"/>
                <w:color w:val="000000"/>
                <w:kern w:val="0"/>
                <w:sz w:val="18"/>
                <w:szCs w:val="18"/>
              </w:rPr>
              <w:t>2.32%</w:t>
            </w:r>
          </w:p>
        </w:tc>
        <w:tc>
          <w:tcPr>
            <w:tcW w:w="1134" w:type="dxa"/>
            <w:tcBorders>
              <w:top w:val="nil"/>
              <w:left w:val="nil"/>
              <w:bottom w:val="single" w:color="auto" w:sz="8" w:space="0"/>
              <w:right w:val="single" w:color="auto" w:sz="8" w:space="0"/>
            </w:tcBorders>
            <w:shd w:val="clear" w:color="auto" w:fill="auto"/>
            <w:noWrap/>
            <w:vAlign w:val="center"/>
          </w:tcPr>
          <w:p w14:paraId="3221E4C0">
            <w:pPr>
              <w:widowControl/>
              <w:jc w:val="center"/>
              <w:rPr>
                <w:rFonts w:ascii="宋体" w:hAnsi="宋体" w:cs="宋体"/>
                <w:color w:val="000000"/>
                <w:kern w:val="0"/>
                <w:sz w:val="18"/>
                <w:szCs w:val="18"/>
              </w:rPr>
            </w:pPr>
            <w:r>
              <w:rPr>
                <w:rFonts w:ascii="宋体" w:hAnsi="宋体" w:cs="宋体"/>
                <w:color w:val="000000"/>
                <w:kern w:val="0"/>
                <w:sz w:val="18"/>
                <w:szCs w:val="18"/>
              </w:rPr>
              <w:t xml:space="preserve">63.99 </w:t>
            </w:r>
          </w:p>
        </w:tc>
        <w:tc>
          <w:tcPr>
            <w:tcW w:w="1134" w:type="dxa"/>
            <w:tcBorders>
              <w:top w:val="nil"/>
              <w:left w:val="nil"/>
              <w:bottom w:val="single" w:color="auto" w:sz="8" w:space="0"/>
              <w:right w:val="single" w:color="auto" w:sz="8" w:space="0"/>
            </w:tcBorders>
            <w:shd w:val="clear" w:color="auto" w:fill="auto"/>
            <w:noWrap/>
            <w:vAlign w:val="center"/>
          </w:tcPr>
          <w:p w14:paraId="1BE303C2">
            <w:pPr>
              <w:widowControl/>
              <w:jc w:val="center"/>
              <w:rPr>
                <w:rFonts w:ascii="宋体" w:hAnsi="宋体" w:cs="宋体"/>
                <w:color w:val="000000"/>
                <w:kern w:val="0"/>
                <w:sz w:val="18"/>
                <w:szCs w:val="18"/>
              </w:rPr>
            </w:pPr>
            <w:r>
              <w:rPr>
                <w:rFonts w:hint="eastAsia" w:ascii="宋体" w:hAnsi="宋体" w:cs="宋体"/>
                <w:color w:val="000000"/>
                <w:kern w:val="0"/>
                <w:sz w:val="18"/>
                <w:szCs w:val="18"/>
              </w:rPr>
              <w:t>2.24%</w:t>
            </w:r>
          </w:p>
        </w:tc>
        <w:tc>
          <w:tcPr>
            <w:tcW w:w="1134" w:type="dxa"/>
            <w:tcBorders>
              <w:top w:val="nil"/>
              <w:left w:val="nil"/>
              <w:bottom w:val="single" w:color="auto" w:sz="8" w:space="0"/>
              <w:right w:val="single" w:color="auto" w:sz="8" w:space="0"/>
            </w:tcBorders>
            <w:shd w:val="clear" w:color="auto" w:fill="auto"/>
            <w:noWrap/>
            <w:vAlign w:val="center"/>
          </w:tcPr>
          <w:p w14:paraId="097F237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-2.32 </w:t>
            </w:r>
          </w:p>
        </w:tc>
        <w:tc>
          <w:tcPr>
            <w:tcW w:w="1134" w:type="dxa"/>
            <w:tcBorders>
              <w:top w:val="nil"/>
              <w:left w:val="nil"/>
              <w:bottom w:val="single" w:color="auto" w:sz="8" w:space="0"/>
              <w:right w:val="single" w:color="auto" w:sz="8" w:space="0"/>
            </w:tcBorders>
            <w:shd w:val="clear" w:color="auto" w:fill="auto"/>
            <w:noWrap/>
            <w:vAlign w:val="center"/>
          </w:tcPr>
          <w:p w14:paraId="3AD1043A">
            <w:pPr>
              <w:widowControl/>
              <w:jc w:val="center"/>
              <w:rPr>
                <w:rFonts w:ascii="宋体" w:hAnsi="宋体" w:cs="宋体"/>
                <w:color w:val="000000"/>
                <w:kern w:val="0"/>
                <w:sz w:val="18"/>
                <w:szCs w:val="18"/>
              </w:rPr>
            </w:pPr>
            <w:r>
              <w:rPr>
                <w:rFonts w:hint="eastAsia" w:ascii="宋体" w:hAnsi="宋体" w:cs="宋体"/>
                <w:color w:val="000000"/>
                <w:kern w:val="0"/>
                <w:sz w:val="18"/>
                <w:szCs w:val="18"/>
              </w:rPr>
              <w:t>-0.08%</w:t>
            </w:r>
          </w:p>
        </w:tc>
      </w:tr>
      <w:tr w14:paraId="4ECE2D9C">
        <w:tblPrEx>
          <w:tblCellMar>
            <w:top w:w="0" w:type="dxa"/>
            <w:left w:w="108" w:type="dxa"/>
            <w:bottom w:w="0" w:type="dxa"/>
            <w:right w:w="108" w:type="dxa"/>
          </w:tblCellMar>
        </w:tblPrEx>
        <w:trPr>
          <w:trHeight w:val="284" w:hRule="atLeast"/>
        </w:trPr>
        <w:tc>
          <w:tcPr>
            <w:tcW w:w="2736" w:type="dxa"/>
            <w:tcBorders>
              <w:top w:val="nil"/>
              <w:left w:val="single" w:color="auto" w:sz="8" w:space="0"/>
              <w:bottom w:val="single" w:color="auto" w:sz="8" w:space="0"/>
              <w:right w:val="single" w:color="auto" w:sz="8" w:space="0"/>
            </w:tcBorders>
            <w:shd w:val="clear" w:color="auto" w:fill="auto"/>
            <w:vAlign w:val="center"/>
          </w:tcPr>
          <w:p w14:paraId="30B021F4">
            <w:pPr>
              <w:widowControl/>
              <w:jc w:val="center"/>
              <w:rPr>
                <w:rFonts w:ascii="宋体" w:hAnsi="宋体" w:cs="宋体"/>
                <w:color w:val="000000"/>
                <w:kern w:val="0"/>
                <w:sz w:val="18"/>
                <w:szCs w:val="18"/>
              </w:rPr>
            </w:pPr>
            <w:r>
              <w:rPr>
                <w:rFonts w:hint="eastAsia" w:ascii="宋体" w:hAnsi="宋体" w:cs="宋体"/>
                <w:color w:val="000000"/>
                <w:kern w:val="0"/>
                <w:sz w:val="18"/>
                <w:szCs w:val="18"/>
              </w:rPr>
              <w:t>低丘缓坡土地综合开发利用区</w:t>
            </w:r>
          </w:p>
        </w:tc>
        <w:tc>
          <w:tcPr>
            <w:tcW w:w="1245" w:type="dxa"/>
            <w:tcBorders>
              <w:top w:val="nil"/>
              <w:left w:val="nil"/>
              <w:bottom w:val="single" w:color="auto" w:sz="8" w:space="0"/>
              <w:right w:val="single" w:color="auto" w:sz="8" w:space="0"/>
            </w:tcBorders>
            <w:shd w:val="clear" w:color="auto" w:fill="auto"/>
            <w:vAlign w:val="center"/>
          </w:tcPr>
          <w:p w14:paraId="3F256223">
            <w:pPr>
              <w:widowControl/>
              <w:jc w:val="center"/>
              <w:rPr>
                <w:rFonts w:ascii="宋体" w:hAnsi="宋体" w:cs="宋体"/>
                <w:color w:val="000000"/>
                <w:kern w:val="0"/>
                <w:sz w:val="18"/>
                <w:szCs w:val="18"/>
              </w:rPr>
            </w:pPr>
            <w:r>
              <w:rPr>
                <w:rFonts w:hint="eastAsia" w:ascii="宋体" w:hAnsi="宋体" w:cs="宋体"/>
                <w:color w:val="000000"/>
                <w:kern w:val="0"/>
                <w:sz w:val="18"/>
                <w:szCs w:val="18"/>
              </w:rPr>
              <w:t>122.2</w:t>
            </w:r>
          </w:p>
        </w:tc>
        <w:tc>
          <w:tcPr>
            <w:tcW w:w="993" w:type="dxa"/>
            <w:tcBorders>
              <w:top w:val="nil"/>
              <w:left w:val="nil"/>
              <w:bottom w:val="single" w:color="auto" w:sz="8" w:space="0"/>
              <w:right w:val="single" w:color="auto" w:sz="8" w:space="0"/>
            </w:tcBorders>
            <w:shd w:val="clear" w:color="auto" w:fill="auto"/>
            <w:noWrap/>
            <w:vAlign w:val="center"/>
          </w:tcPr>
          <w:p w14:paraId="70B57345">
            <w:pPr>
              <w:widowControl/>
              <w:jc w:val="center"/>
              <w:rPr>
                <w:rFonts w:ascii="宋体" w:hAnsi="宋体" w:cs="宋体"/>
                <w:color w:val="000000"/>
                <w:kern w:val="0"/>
                <w:sz w:val="18"/>
                <w:szCs w:val="18"/>
              </w:rPr>
            </w:pPr>
            <w:r>
              <w:rPr>
                <w:rFonts w:hint="eastAsia" w:ascii="宋体" w:hAnsi="宋体" w:cs="宋体"/>
                <w:color w:val="000000"/>
                <w:kern w:val="0"/>
                <w:sz w:val="18"/>
                <w:szCs w:val="18"/>
              </w:rPr>
              <w:t>4.28%</w:t>
            </w:r>
          </w:p>
        </w:tc>
        <w:tc>
          <w:tcPr>
            <w:tcW w:w="1134" w:type="dxa"/>
            <w:tcBorders>
              <w:top w:val="nil"/>
              <w:left w:val="nil"/>
              <w:bottom w:val="single" w:color="auto" w:sz="8" w:space="0"/>
              <w:right w:val="single" w:color="auto" w:sz="8" w:space="0"/>
            </w:tcBorders>
            <w:shd w:val="clear" w:color="auto" w:fill="auto"/>
            <w:noWrap/>
            <w:vAlign w:val="center"/>
          </w:tcPr>
          <w:p w14:paraId="555B3C15">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134" w:type="dxa"/>
            <w:tcBorders>
              <w:top w:val="nil"/>
              <w:left w:val="nil"/>
              <w:bottom w:val="single" w:color="auto" w:sz="8" w:space="0"/>
              <w:right w:val="single" w:color="auto" w:sz="8" w:space="0"/>
            </w:tcBorders>
            <w:shd w:val="clear" w:color="auto" w:fill="auto"/>
            <w:noWrap/>
            <w:vAlign w:val="center"/>
          </w:tcPr>
          <w:p w14:paraId="275094A7">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34" w:type="dxa"/>
            <w:tcBorders>
              <w:top w:val="nil"/>
              <w:left w:val="nil"/>
              <w:bottom w:val="single" w:color="auto" w:sz="8" w:space="0"/>
              <w:right w:val="single" w:color="auto" w:sz="8" w:space="0"/>
            </w:tcBorders>
            <w:shd w:val="clear" w:color="auto" w:fill="auto"/>
            <w:noWrap/>
            <w:vAlign w:val="center"/>
          </w:tcPr>
          <w:p w14:paraId="0DA39E7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-122.20 </w:t>
            </w:r>
          </w:p>
        </w:tc>
        <w:tc>
          <w:tcPr>
            <w:tcW w:w="1134" w:type="dxa"/>
            <w:tcBorders>
              <w:top w:val="nil"/>
              <w:left w:val="nil"/>
              <w:bottom w:val="single" w:color="auto" w:sz="8" w:space="0"/>
              <w:right w:val="single" w:color="auto" w:sz="8" w:space="0"/>
            </w:tcBorders>
            <w:shd w:val="clear" w:color="auto" w:fill="auto"/>
            <w:noWrap/>
            <w:vAlign w:val="center"/>
          </w:tcPr>
          <w:p w14:paraId="03AFB2F9">
            <w:pPr>
              <w:widowControl/>
              <w:jc w:val="center"/>
              <w:rPr>
                <w:rFonts w:ascii="宋体" w:hAnsi="宋体" w:cs="宋体"/>
                <w:color w:val="000000"/>
                <w:kern w:val="0"/>
                <w:sz w:val="18"/>
                <w:szCs w:val="18"/>
              </w:rPr>
            </w:pPr>
            <w:r>
              <w:rPr>
                <w:rFonts w:hint="eastAsia" w:ascii="宋体" w:hAnsi="宋体" w:cs="宋体"/>
                <w:color w:val="000000"/>
                <w:kern w:val="0"/>
                <w:sz w:val="18"/>
                <w:szCs w:val="18"/>
              </w:rPr>
              <w:t>-4.28%</w:t>
            </w:r>
          </w:p>
        </w:tc>
      </w:tr>
      <w:tr w14:paraId="4CC60A33">
        <w:tblPrEx>
          <w:tblCellMar>
            <w:top w:w="0" w:type="dxa"/>
            <w:left w:w="108" w:type="dxa"/>
            <w:bottom w:w="0" w:type="dxa"/>
            <w:right w:w="108" w:type="dxa"/>
          </w:tblCellMar>
        </w:tblPrEx>
        <w:trPr>
          <w:trHeight w:val="284" w:hRule="atLeast"/>
        </w:trPr>
        <w:tc>
          <w:tcPr>
            <w:tcW w:w="2736" w:type="dxa"/>
            <w:tcBorders>
              <w:top w:val="nil"/>
              <w:left w:val="single" w:color="auto" w:sz="8" w:space="0"/>
              <w:bottom w:val="single" w:color="auto" w:sz="8" w:space="0"/>
              <w:right w:val="single" w:color="auto" w:sz="8" w:space="0"/>
            </w:tcBorders>
            <w:shd w:val="clear" w:color="auto" w:fill="auto"/>
            <w:vAlign w:val="center"/>
          </w:tcPr>
          <w:p w14:paraId="2FCDFEC4">
            <w:pPr>
              <w:widowControl/>
              <w:jc w:val="center"/>
              <w:rPr>
                <w:rFonts w:ascii="宋体" w:hAnsi="宋体" w:cs="宋体"/>
                <w:color w:val="000000"/>
                <w:kern w:val="0"/>
                <w:sz w:val="18"/>
                <w:szCs w:val="18"/>
              </w:rPr>
            </w:pPr>
            <w:r>
              <w:rPr>
                <w:rFonts w:hint="eastAsia" w:ascii="宋体" w:hAnsi="宋体" w:cs="宋体"/>
                <w:color w:val="000000"/>
                <w:kern w:val="0"/>
                <w:sz w:val="18"/>
                <w:szCs w:val="18"/>
              </w:rPr>
              <w:t>林业用地区</w:t>
            </w:r>
          </w:p>
        </w:tc>
        <w:tc>
          <w:tcPr>
            <w:tcW w:w="1245" w:type="dxa"/>
            <w:tcBorders>
              <w:top w:val="nil"/>
              <w:left w:val="nil"/>
              <w:bottom w:val="single" w:color="auto" w:sz="8" w:space="0"/>
              <w:right w:val="single" w:color="auto" w:sz="8" w:space="0"/>
            </w:tcBorders>
            <w:shd w:val="clear" w:color="auto" w:fill="auto"/>
            <w:vAlign w:val="center"/>
          </w:tcPr>
          <w:p w14:paraId="3D978EF0">
            <w:pPr>
              <w:widowControl/>
              <w:jc w:val="center"/>
              <w:rPr>
                <w:rFonts w:ascii="宋体" w:hAnsi="宋体" w:cs="宋体"/>
                <w:color w:val="000000"/>
                <w:kern w:val="0"/>
                <w:sz w:val="18"/>
                <w:szCs w:val="18"/>
              </w:rPr>
            </w:pPr>
            <w:r>
              <w:rPr>
                <w:rFonts w:hint="eastAsia" w:ascii="宋体" w:hAnsi="宋体" w:cs="宋体"/>
                <w:color w:val="000000"/>
                <w:kern w:val="0"/>
                <w:sz w:val="18"/>
                <w:szCs w:val="18"/>
              </w:rPr>
              <w:t>128.86</w:t>
            </w:r>
          </w:p>
        </w:tc>
        <w:tc>
          <w:tcPr>
            <w:tcW w:w="993" w:type="dxa"/>
            <w:tcBorders>
              <w:top w:val="nil"/>
              <w:left w:val="nil"/>
              <w:bottom w:val="single" w:color="auto" w:sz="8" w:space="0"/>
              <w:right w:val="single" w:color="auto" w:sz="8" w:space="0"/>
            </w:tcBorders>
            <w:shd w:val="clear" w:color="auto" w:fill="auto"/>
            <w:noWrap/>
            <w:vAlign w:val="center"/>
          </w:tcPr>
          <w:p w14:paraId="4FFBC8EE">
            <w:pPr>
              <w:widowControl/>
              <w:jc w:val="center"/>
              <w:rPr>
                <w:rFonts w:ascii="宋体" w:hAnsi="宋体" w:cs="宋体"/>
                <w:color w:val="000000"/>
                <w:kern w:val="0"/>
                <w:sz w:val="18"/>
                <w:szCs w:val="18"/>
              </w:rPr>
            </w:pPr>
            <w:r>
              <w:rPr>
                <w:rFonts w:hint="eastAsia" w:ascii="宋体" w:hAnsi="宋体" w:cs="宋体"/>
                <w:color w:val="000000"/>
                <w:kern w:val="0"/>
                <w:sz w:val="18"/>
                <w:szCs w:val="18"/>
              </w:rPr>
              <w:t>4.51%</w:t>
            </w:r>
          </w:p>
        </w:tc>
        <w:tc>
          <w:tcPr>
            <w:tcW w:w="1134" w:type="dxa"/>
            <w:tcBorders>
              <w:top w:val="nil"/>
              <w:left w:val="nil"/>
              <w:bottom w:val="single" w:color="auto" w:sz="8" w:space="0"/>
              <w:right w:val="single" w:color="auto" w:sz="8" w:space="0"/>
            </w:tcBorders>
            <w:shd w:val="clear" w:color="auto" w:fill="auto"/>
            <w:noWrap/>
            <w:vAlign w:val="center"/>
          </w:tcPr>
          <w:p w14:paraId="52609AF6">
            <w:pPr>
              <w:widowControl/>
              <w:jc w:val="center"/>
              <w:rPr>
                <w:rFonts w:ascii="宋体" w:hAnsi="宋体" w:cs="宋体"/>
                <w:color w:val="000000"/>
                <w:kern w:val="0"/>
                <w:sz w:val="18"/>
                <w:szCs w:val="18"/>
              </w:rPr>
            </w:pPr>
            <w:r>
              <w:rPr>
                <w:rFonts w:ascii="宋体" w:hAnsi="宋体" w:cs="宋体"/>
                <w:color w:val="000000"/>
                <w:kern w:val="0"/>
                <w:sz w:val="18"/>
                <w:szCs w:val="18"/>
              </w:rPr>
              <w:t xml:space="preserve">128.65 </w:t>
            </w:r>
          </w:p>
        </w:tc>
        <w:tc>
          <w:tcPr>
            <w:tcW w:w="1134" w:type="dxa"/>
            <w:tcBorders>
              <w:top w:val="nil"/>
              <w:left w:val="nil"/>
              <w:bottom w:val="single" w:color="auto" w:sz="8" w:space="0"/>
              <w:right w:val="single" w:color="auto" w:sz="8" w:space="0"/>
            </w:tcBorders>
            <w:shd w:val="clear" w:color="auto" w:fill="auto"/>
            <w:noWrap/>
            <w:vAlign w:val="center"/>
          </w:tcPr>
          <w:p w14:paraId="36D1081A">
            <w:pPr>
              <w:widowControl/>
              <w:jc w:val="center"/>
              <w:rPr>
                <w:rFonts w:ascii="宋体" w:hAnsi="宋体" w:cs="宋体"/>
                <w:color w:val="000000"/>
                <w:kern w:val="0"/>
                <w:sz w:val="18"/>
                <w:szCs w:val="18"/>
              </w:rPr>
            </w:pPr>
            <w:r>
              <w:rPr>
                <w:rFonts w:hint="eastAsia" w:ascii="宋体" w:hAnsi="宋体" w:cs="宋体"/>
                <w:color w:val="000000"/>
                <w:kern w:val="0"/>
                <w:sz w:val="18"/>
                <w:szCs w:val="18"/>
              </w:rPr>
              <w:t>4.51%</w:t>
            </w:r>
          </w:p>
        </w:tc>
        <w:tc>
          <w:tcPr>
            <w:tcW w:w="1134" w:type="dxa"/>
            <w:tcBorders>
              <w:top w:val="nil"/>
              <w:left w:val="nil"/>
              <w:bottom w:val="single" w:color="auto" w:sz="8" w:space="0"/>
              <w:right w:val="single" w:color="auto" w:sz="8" w:space="0"/>
            </w:tcBorders>
            <w:shd w:val="clear" w:color="auto" w:fill="auto"/>
            <w:noWrap/>
            <w:vAlign w:val="center"/>
          </w:tcPr>
          <w:p w14:paraId="6FC1311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-0.21 </w:t>
            </w:r>
          </w:p>
        </w:tc>
        <w:tc>
          <w:tcPr>
            <w:tcW w:w="1134" w:type="dxa"/>
            <w:tcBorders>
              <w:top w:val="nil"/>
              <w:left w:val="nil"/>
              <w:bottom w:val="single" w:color="auto" w:sz="8" w:space="0"/>
              <w:right w:val="single" w:color="auto" w:sz="8" w:space="0"/>
            </w:tcBorders>
            <w:shd w:val="clear" w:color="auto" w:fill="auto"/>
            <w:noWrap/>
            <w:vAlign w:val="center"/>
          </w:tcPr>
          <w:p w14:paraId="40488F6C">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6C1A3A2F">
        <w:tblPrEx>
          <w:tblCellMar>
            <w:top w:w="0" w:type="dxa"/>
            <w:left w:w="108" w:type="dxa"/>
            <w:bottom w:w="0" w:type="dxa"/>
            <w:right w:w="108" w:type="dxa"/>
          </w:tblCellMar>
        </w:tblPrEx>
        <w:trPr>
          <w:trHeight w:val="284" w:hRule="atLeast"/>
        </w:trPr>
        <w:tc>
          <w:tcPr>
            <w:tcW w:w="2736" w:type="dxa"/>
            <w:tcBorders>
              <w:top w:val="nil"/>
              <w:left w:val="single" w:color="auto" w:sz="8" w:space="0"/>
              <w:bottom w:val="single" w:color="auto" w:sz="8" w:space="0"/>
              <w:right w:val="single" w:color="auto" w:sz="8" w:space="0"/>
            </w:tcBorders>
            <w:shd w:val="clear" w:color="auto" w:fill="auto"/>
            <w:vAlign w:val="center"/>
          </w:tcPr>
          <w:p w14:paraId="530D61E0">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其他用地区</w:t>
            </w:r>
          </w:p>
        </w:tc>
        <w:tc>
          <w:tcPr>
            <w:tcW w:w="1245" w:type="dxa"/>
            <w:tcBorders>
              <w:top w:val="nil"/>
              <w:left w:val="nil"/>
              <w:bottom w:val="single" w:color="auto" w:sz="8" w:space="0"/>
              <w:right w:val="single" w:color="auto" w:sz="8" w:space="0"/>
            </w:tcBorders>
            <w:shd w:val="clear" w:color="auto" w:fill="auto"/>
            <w:vAlign w:val="center"/>
          </w:tcPr>
          <w:p w14:paraId="353A7116">
            <w:pPr>
              <w:widowControl/>
              <w:jc w:val="center"/>
              <w:rPr>
                <w:rFonts w:ascii="宋体" w:hAnsi="宋体" w:cs="宋体"/>
                <w:color w:val="000000"/>
                <w:kern w:val="0"/>
                <w:sz w:val="18"/>
                <w:szCs w:val="18"/>
              </w:rPr>
            </w:pPr>
            <w:r>
              <w:rPr>
                <w:rFonts w:hint="eastAsia" w:ascii="宋体" w:hAnsi="宋体" w:cs="宋体"/>
                <w:color w:val="000000"/>
                <w:kern w:val="0"/>
                <w:sz w:val="18"/>
                <w:szCs w:val="18"/>
              </w:rPr>
              <w:t>236.66</w:t>
            </w:r>
          </w:p>
        </w:tc>
        <w:tc>
          <w:tcPr>
            <w:tcW w:w="993" w:type="dxa"/>
            <w:tcBorders>
              <w:top w:val="nil"/>
              <w:left w:val="nil"/>
              <w:bottom w:val="single" w:color="auto" w:sz="8" w:space="0"/>
              <w:right w:val="single" w:color="auto" w:sz="8" w:space="0"/>
            </w:tcBorders>
            <w:shd w:val="clear" w:color="auto" w:fill="auto"/>
            <w:noWrap/>
            <w:vAlign w:val="center"/>
          </w:tcPr>
          <w:p w14:paraId="27C59075">
            <w:pPr>
              <w:widowControl/>
              <w:jc w:val="center"/>
              <w:rPr>
                <w:rFonts w:ascii="宋体" w:hAnsi="宋体" w:cs="宋体"/>
                <w:color w:val="000000"/>
                <w:kern w:val="0"/>
                <w:sz w:val="18"/>
                <w:szCs w:val="18"/>
              </w:rPr>
            </w:pPr>
            <w:r>
              <w:rPr>
                <w:rFonts w:hint="eastAsia" w:ascii="宋体" w:hAnsi="宋体" w:cs="宋体"/>
                <w:color w:val="000000"/>
                <w:kern w:val="0"/>
                <w:sz w:val="18"/>
                <w:szCs w:val="18"/>
              </w:rPr>
              <w:t>8.29%</w:t>
            </w:r>
          </w:p>
        </w:tc>
        <w:tc>
          <w:tcPr>
            <w:tcW w:w="1134" w:type="dxa"/>
            <w:tcBorders>
              <w:top w:val="nil"/>
              <w:left w:val="nil"/>
              <w:bottom w:val="single" w:color="auto" w:sz="8" w:space="0"/>
              <w:right w:val="single" w:color="auto" w:sz="8" w:space="0"/>
            </w:tcBorders>
            <w:shd w:val="clear" w:color="auto" w:fill="auto"/>
            <w:noWrap/>
            <w:vAlign w:val="center"/>
          </w:tcPr>
          <w:p w14:paraId="3F895F21">
            <w:pPr>
              <w:widowControl/>
              <w:jc w:val="center"/>
              <w:rPr>
                <w:rFonts w:ascii="宋体" w:hAnsi="宋体" w:cs="宋体"/>
                <w:color w:val="000000"/>
                <w:kern w:val="0"/>
                <w:sz w:val="18"/>
                <w:szCs w:val="18"/>
              </w:rPr>
            </w:pPr>
            <w:r>
              <w:rPr>
                <w:rFonts w:ascii="宋体" w:hAnsi="宋体" w:cs="宋体"/>
                <w:color w:val="000000"/>
                <w:kern w:val="0"/>
                <w:sz w:val="18"/>
                <w:szCs w:val="18"/>
              </w:rPr>
              <w:t xml:space="preserve">350.13 </w:t>
            </w:r>
          </w:p>
        </w:tc>
        <w:tc>
          <w:tcPr>
            <w:tcW w:w="1134" w:type="dxa"/>
            <w:tcBorders>
              <w:top w:val="nil"/>
              <w:left w:val="nil"/>
              <w:bottom w:val="single" w:color="auto" w:sz="8" w:space="0"/>
              <w:right w:val="single" w:color="auto" w:sz="8" w:space="0"/>
            </w:tcBorders>
            <w:shd w:val="clear" w:color="auto" w:fill="auto"/>
            <w:noWrap/>
            <w:vAlign w:val="center"/>
          </w:tcPr>
          <w:p w14:paraId="2E6C8148">
            <w:pPr>
              <w:widowControl/>
              <w:jc w:val="center"/>
              <w:rPr>
                <w:rFonts w:ascii="宋体" w:hAnsi="宋体" w:cs="宋体"/>
                <w:color w:val="000000"/>
                <w:kern w:val="0"/>
                <w:sz w:val="18"/>
                <w:szCs w:val="18"/>
              </w:rPr>
            </w:pPr>
            <w:r>
              <w:rPr>
                <w:rFonts w:hint="eastAsia" w:ascii="宋体" w:hAnsi="宋体" w:cs="宋体"/>
                <w:color w:val="000000"/>
                <w:kern w:val="0"/>
                <w:sz w:val="18"/>
                <w:szCs w:val="18"/>
              </w:rPr>
              <w:t>12.27%</w:t>
            </w:r>
          </w:p>
        </w:tc>
        <w:tc>
          <w:tcPr>
            <w:tcW w:w="1134" w:type="dxa"/>
            <w:tcBorders>
              <w:top w:val="nil"/>
              <w:left w:val="nil"/>
              <w:bottom w:val="single" w:color="auto" w:sz="8" w:space="0"/>
              <w:right w:val="single" w:color="auto" w:sz="8" w:space="0"/>
            </w:tcBorders>
            <w:shd w:val="clear" w:color="auto" w:fill="auto"/>
            <w:noWrap/>
            <w:vAlign w:val="center"/>
          </w:tcPr>
          <w:p w14:paraId="413CA3A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113.47 </w:t>
            </w:r>
          </w:p>
        </w:tc>
        <w:tc>
          <w:tcPr>
            <w:tcW w:w="1134" w:type="dxa"/>
            <w:tcBorders>
              <w:top w:val="nil"/>
              <w:left w:val="nil"/>
              <w:bottom w:val="single" w:color="auto" w:sz="8" w:space="0"/>
              <w:right w:val="single" w:color="auto" w:sz="8" w:space="0"/>
            </w:tcBorders>
            <w:shd w:val="clear" w:color="auto" w:fill="auto"/>
            <w:noWrap/>
            <w:vAlign w:val="center"/>
          </w:tcPr>
          <w:p w14:paraId="6C3DBFC0">
            <w:pPr>
              <w:widowControl/>
              <w:jc w:val="center"/>
              <w:rPr>
                <w:rFonts w:ascii="宋体" w:hAnsi="宋体" w:cs="宋体"/>
                <w:color w:val="000000"/>
                <w:kern w:val="0"/>
                <w:sz w:val="18"/>
                <w:szCs w:val="18"/>
              </w:rPr>
            </w:pPr>
            <w:r>
              <w:rPr>
                <w:rFonts w:hint="eastAsia" w:ascii="宋体" w:hAnsi="宋体" w:cs="宋体"/>
                <w:color w:val="000000"/>
                <w:kern w:val="0"/>
                <w:sz w:val="18"/>
                <w:szCs w:val="18"/>
              </w:rPr>
              <w:t>3.98%</w:t>
            </w:r>
          </w:p>
        </w:tc>
      </w:tr>
      <w:tr w14:paraId="19FCF991">
        <w:tblPrEx>
          <w:tblCellMar>
            <w:top w:w="0" w:type="dxa"/>
            <w:left w:w="108" w:type="dxa"/>
            <w:bottom w:w="0" w:type="dxa"/>
            <w:right w:w="108" w:type="dxa"/>
          </w:tblCellMar>
        </w:tblPrEx>
        <w:trPr>
          <w:trHeight w:val="284" w:hRule="atLeast"/>
        </w:trPr>
        <w:tc>
          <w:tcPr>
            <w:tcW w:w="2736" w:type="dxa"/>
            <w:tcBorders>
              <w:top w:val="nil"/>
              <w:left w:val="single" w:color="auto" w:sz="8" w:space="0"/>
              <w:bottom w:val="single" w:color="auto" w:sz="8" w:space="0"/>
              <w:right w:val="single" w:color="auto" w:sz="8" w:space="0"/>
            </w:tcBorders>
            <w:shd w:val="clear" w:color="auto" w:fill="auto"/>
            <w:vAlign w:val="center"/>
          </w:tcPr>
          <w:p w14:paraId="773EC08F">
            <w:pPr>
              <w:widowControl/>
              <w:jc w:val="center"/>
              <w:rPr>
                <w:rFonts w:ascii="宋体" w:hAnsi="宋体" w:cs="宋体"/>
                <w:color w:val="000000"/>
                <w:kern w:val="0"/>
                <w:sz w:val="18"/>
                <w:szCs w:val="18"/>
              </w:rPr>
            </w:pPr>
            <w:r>
              <w:rPr>
                <w:rFonts w:hint="eastAsia" w:ascii="宋体" w:hAnsi="宋体" w:cs="宋体"/>
                <w:color w:val="000000"/>
                <w:kern w:val="0"/>
                <w:sz w:val="18"/>
                <w:szCs w:val="18"/>
              </w:rPr>
              <w:t>总计</w:t>
            </w:r>
          </w:p>
        </w:tc>
        <w:tc>
          <w:tcPr>
            <w:tcW w:w="1245" w:type="dxa"/>
            <w:tcBorders>
              <w:top w:val="nil"/>
              <w:left w:val="nil"/>
              <w:bottom w:val="single" w:color="auto" w:sz="8" w:space="0"/>
              <w:right w:val="single" w:color="auto" w:sz="8" w:space="0"/>
            </w:tcBorders>
            <w:shd w:val="clear" w:color="auto" w:fill="auto"/>
            <w:vAlign w:val="center"/>
          </w:tcPr>
          <w:p w14:paraId="40EC002A">
            <w:pPr>
              <w:widowControl/>
              <w:jc w:val="center"/>
              <w:rPr>
                <w:rFonts w:ascii="宋体" w:hAnsi="宋体" w:cs="宋体"/>
                <w:color w:val="000000"/>
                <w:kern w:val="0"/>
                <w:sz w:val="18"/>
                <w:szCs w:val="18"/>
              </w:rPr>
            </w:pPr>
            <w:r>
              <w:rPr>
                <w:rFonts w:hint="eastAsia" w:ascii="宋体" w:hAnsi="宋体" w:cs="宋体"/>
                <w:color w:val="000000"/>
                <w:kern w:val="0"/>
                <w:sz w:val="18"/>
                <w:szCs w:val="18"/>
              </w:rPr>
              <w:t>2854.15</w:t>
            </w:r>
          </w:p>
        </w:tc>
        <w:tc>
          <w:tcPr>
            <w:tcW w:w="993" w:type="dxa"/>
            <w:tcBorders>
              <w:top w:val="nil"/>
              <w:left w:val="nil"/>
              <w:bottom w:val="single" w:color="auto" w:sz="8" w:space="0"/>
              <w:right w:val="single" w:color="auto" w:sz="8" w:space="0"/>
            </w:tcBorders>
            <w:shd w:val="clear" w:color="auto" w:fill="auto"/>
            <w:noWrap/>
            <w:vAlign w:val="center"/>
          </w:tcPr>
          <w:p w14:paraId="4F8040D2">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134" w:type="dxa"/>
            <w:tcBorders>
              <w:top w:val="nil"/>
              <w:left w:val="nil"/>
              <w:bottom w:val="single" w:color="auto" w:sz="8" w:space="0"/>
              <w:right w:val="single" w:color="auto" w:sz="8" w:space="0"/>
            </w:tcBorders>
            <w:shd w:val="clear" w:color="auto" w:fill="auto"/>
            <w:vAlign w:val="center"/>
          </w:tcPr>
          <w:p w14:paraId="3038CEEA">
            <w:pPr>
              <w:widowControl/>
              <w:jc w:val="center"/>
              <w:rPr>
                <w:rFonts w:ascii="宋体" w:hAnsi="宋体" w:cs="宋体"/>
                <w:color w:val="000000"/>
                <w:kern w:val="0"/>
                <w:sz w:val="18"/>
                <w:szCs w:val="18"/>
              </w:rPr>
            </w:pPr>
            <w:r>
              <w:rPr>
                <w:rFonts w:hint="eastAsia" w:ascii="宋体" w:hAnsi="宋体" w:cs="宋体"/>
                <w:color w:val="000000"/>
                <w:kern w:val="0"/>
                <w:sz w:val="18"/>
                <w:szCs w:val="18"/>
              </w:rPr>
              <w:t>2854.15</w:t>
            </w:r>
          </w:p>
        </w:tc>
        <w:tc>
          <w:tcPr>
            <w:tcW w:w="1134" w:type="dxa"/>
            <w:tcBorders>
              <w:top w:val="nil"/>
              <w:left w:val="nil"/>
              <w:bottom w:val="single" w:color="auto" w:sz="8" w:space="0"/>
              <w:right w:val="single" w:color="auto" w:sz="8" w:space="0"/>
            </w:tcBorders>
            <w:shd w:val="clear" w:color="auto" w:fill="auto"/>
            <w:noWrap/>
            <w:vAlign w:val="center"/>
          </w:tcPr>
          <w:p w14:paraId="2606BB99">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134" w:type="dxa"/>
            <w:tcBorders>
              <w:top w:val="nil"/>
              <w:left w:val="nil"/>
              <w:bottom w:val="single" w:color="auto" w:sz="8" w:space="0"/>
              <w:right w:val="single" w:color="auto" w:sz="8" w:space="0"/>
            </w:tcBorders>
            <w:shd w:val="clear" w:color="auto" w:fill="auto"/>
            <w:noWrap/>
            <w:vAlign w:val="center"/>
          </w:tcPr>
          <w:p w14:paraId="6DD1E58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34" w:type="dxa"/>
            <w:tcBorders>
              <w:top w:val="nil"/>
              <w:left w:val="nil"/>
              <w:bottom w:val="single" w:color="auto" w:sz="8" w:space="0"/>
              <w:right w:val="single" w:color="auto" w:sz="8" w:space="0"/>
            </w:tcBorders>
            <w:shd w:val="clear" w:color="auto" w:fill="auto"/>
            <w:noWrap/>
            <w:vAlign w:val="center"/>
          </w:tcPr>
          <w:p w14:paraId="3001C752">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bookmarkEnd w:id="131"/>
    </w:tbl>
    <w:p w14:paraId="59E17028">
      <w:pPr>
        <w:pStyle w:val="3"/>
        <w:jc w:val="center"/>
        <w:rPr>
          <w:b w:val="0"/>
          <w:color w:val="000000"/>
          <w:sz w:val="28"/>
          <w:szCs w:val="28"/>
        </w:rPr>
      </w:pPr>
      <w:bookmarkStart w:id="133" w:name="_Toc491074911"/>
      <w:r>
        <w:rPr>
          <w:rFonts w:hint="eastAsia"/>
          <w:b w:val="0"/>
          <w:color w:val="000000"/>
          <w:sz w:val="28"/>
          <w:szCs w:val="28"/>
        </w:rPr>
        <w:t>第四节  土地用途区</w:t>
      </w:r>
      <w:bookmarkEnd w:id="133"/>
    </w:p>
    <w:p w14:paraId="5588886D">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按照规划调整后确定的土地规划用途，按照《县级土地利用总体规划编制规程》和《云南省市县乡级土地利用总体规划调整完善技术指南》的要求，东川区对土地用途分区进行调整。调整要求为：</w:t>
      </w:r>
    </w:p>
    <w:p w14:paraId="2D207464">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1、土地用途区应尽量保持空间形态完整。</w:t>
      </w:r>
    </w:p>
    <w:p w14:paraId="3A7AB7C3">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2、城市开发边界、易地扶贫搬迁安置区、村镇发展预留用地区、城乡建设用地增减挂钩用地区内的有条件建设区，以及规划用途为城镇用地和农村居民点用地的地块土地用途区应划为城镇村建设用地区。</w:t>
      </w:r>
    </w:p>
    <w:p w14:paraId="0CCA2B70">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3、独立工矿区的范围，可依据其他独立建设用地和采矿用地地块适当扩大。</w:t>
      </w:r>
    </w:p>
    <w:p w14:paraId="0FDCEF10">
      <w:pPr>
        <w:widowControl/>
        <w:tabs>
          <w:tab w:val="left" w:pos="1950"/>
        </w:tabs>
        <w:adjustRightInd w:val="0"/>
        <w:snapToGrid w:val="0"/>
        <w:spacing w:line="360" w:lineRule="auto"/>
        <w:ind w:firstLine="561"/>
        <w:jc w:val="left"/>
        <w:rPr>
          <w:rFonts w:ascii="仿宋_GB2312" w:eastAsia="仿宋_GB2312"/>
          <w:sz w:val="28"/>
          <w:szCs w:val="28"/>
        </w:rPr>
      </w:pPr>
      <w:r>
        <w:rPr>
          <w:rFonts w:hint="eastAsia" w:ascii="仿宋_GB2312" w:hAnsi="宋体" w:eastAsia="仿宋_GB2312"/>
          <w:kern w:val="0"/>
          <w:sz w:val="28"/>
          <w:szCs w:val="28"/>
        </w:rPr>
        <w:t>4、生态环境安全控制区、自然与文化遗产保护区和风景旅游用地区应与生态保护红线相衔接。</w:t>
      </w:r>
    </w:p>
    <w:p w14:paraId="535962F6">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一、基本农田保护区</w:t>
      </w:r>
    </w:p>
    <w:p w14:paraId="43B8AF3E">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以东川区全域永久基本农田划定成果为依据，在区域内划定基本农田保护区23106.77公顷，其中铜都街道4485.71 公顷、阿旺镇4737.63公顷乌龙镇2878.93公顷汤丹镇2652.92公顷、拖布卡镇2494.26公顷、因民镇528.12公顷、红土地镇4730.67公顷、舍块乡598.54公顷。东川区基本农田保护区比调整前减少10485.46公顷，主要是由于基本农田保护指标、划定面积减少，减少的区域主要为城镇周边范围。</w:t>
      </w:r>
    </w:p>
    <w:p w14:paraId="69446A64">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二、一般农地区</w:t>
      </w:r>
    </w:p>
    <w:p w14:paraId="5224A4C2">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将区域内集中连片耕地、园地、直接为农业生产服务的农村道路、农田水利、农田防护林及其他农业设施用地划为一般农用地区，划定后东川区一般农地区调整为17438.91公顷，比调整前增加9009.80公顷，主要位于铜都街道、拖布卡镇和阿旺镇。</w:t>
      </w:r>
    </w:p>
    <w:p w14:paraId="054DFF6E">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三、城镇村建设用地区</w:t>
      </w:r>
    </w:p>
    <w:p w14:paraId="6FBF7334">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以城镇村建设用地较为集中的区域为中心，结合经批准的城市、建制镇、村庄和集镇建设规划适当扩大城镇村边沿作为城镇村建设用地区，包括了各乡镇新农村建设区域和东川区异地扶贫搬迁安置项目，划定后东川区城镇村建设用地区4433.97公顷，比调整前减少了176.04公顷。</w:t>
      </w:r>
    </w:p>
    <w:p w14:paraId="2139DCD1">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东川区城镇村建设用地区主要分布于中部河谷盆地区。从各类用地分布看，城镇用地集中于铜都、阿旺、乌龙4个镇；农村居民点用地在各乡（镇）均有分布。</w:t>
      </w:r>
    </w:p>
    <w:p w14:paraId="2D2D6EC7">
      <w:pPr>
        <w:pStyle w:val="4"/>
        <w:spacing w:before="0" w:after="0" w:line="480" w:lineRule="auto"/>
        <w:rPr>
          <w:rFonts w:ascii="仿宋_GB2312" w:hAnsi="宋体" w:eastAsia="仿宋_GB2312"/>
          <w:b w:val="0"/>
          <w:bCs w:val="0"/>
          <w:kern w:val="0"/>
          <w:sz w:val="28"/>
          <w:szCs w:val="28"/>
        </w:rPr>
      </w:pPr>
      <w:r>
        <w:rPr>
          <w:rFonts w:hint="eastAsia" w:ascii="Arial" w:hAnsi="Arial" w:eastAsia="黑体"/>
          <w:b w:val="0"/>
          <w:color w:val="000000"/>
          <w:sz w:val="28"/>
          <w:szCs w:val="28"/>
        </w:rPr>
        <w:t>四、独立工矿用地区</w:t>
      </w:r>
    </w:p>
    <w:p w14:paraId="05F836D4">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调整后，东川区内独立工矿用地989.31公顷，占全区土地总面积的0.53%，比调整前增加了379.19公顷，主要分布在铜都街道和汤丹镇。</w:t>
      </w:r>
    </w:p>
    <w:p w14:paraId="483335F4">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五、风景旅游区</w:t>
      </w:r>
    </w:p>
    <w:p w14:paraId="16A86528">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东川区风景旅游用地区面积为</w:t>
      </w:r>
      <w:r>
        <w:rPr>
          <w:rFonts w:ascii="仿宋_GB2312" w:hAnsi="宋体" w:eastAsia="仿宋_GB2312"/>
          <w:kern w:val="0"/>
          <w:sz w:val="28"/>
          <w:szCs w:val="28"/>
        </w:rPr>
        <w:t>125.12</w:t>
      </w:r>
      <w:r>
        <w:rPr>
          <w:rFonts w:hint="eastAsia" w:ascii="仿宋_GB2312" w:hAnsi="宋体" w:eastAsia="仿宋_GB2312"/>
          <w:kern w:val="0"/>
          <w:sz w:val="28"/>
          <w:szCs w:val="28"/>
        </w:rPr>
        <w:t>公顷，与调整前相比，减少了14.70公顷。东川区域范围内有各类景点50余处，旅游资源类型多样，特色鲜明。小江流域集中分布着东川绝大部分的泥石流沟；西部的拱王山片集中了东川的主要雪峰、森林等，自然环境优良，并与彝族发祥地文化相结合；中部的汤丹、西北部的因民、舍块等地为东川的主矿区，四大矿区及一些古采冶遗址均分布于该区；牯牛山片位于东川的东部，距市区直线距离约9公里，海拔高差2763.3米，是东川城区的天然屏风；南部的花石头则是一个以高原红土田园风光为特色的区域。</w:t>
      </w:r>
    </w:p>
    <w:p w14:paraId="19EA460F">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六、生态安全控制区</w:t>
      </w:r>
    </w:p>
    <w:p w14:paraId="532B16C1">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生态环境安全控制区主要包括分布于小江、小清河、乌龙小河、黄水篝沟及其主要支流两岸等具有水源涵养功能的地区。调整后，东川区内生态安全控制区10033.68公顷，比调整前减少了4.32公顷，主要是由于对水源保护区范围的重新核定等导致面积变化。</w:t>
      </w:r>
    </w:p>
    <w:p w14:paraId="6BFA6EDA">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七、林业用地区</w:t>
      </w:r>
    </w:p>
    <w:p w14:paraId="12B7DD31">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林业用地分布范围极广，在全区各乡（镇）均有较大面积分布。各种经济林地的布局是：核桃林布局于海拔1500-2000米的半山地带，主要在阿旺、红土地、乌龙、铜都、拖布卡等镇发展；板栗林主要布局于海拔1500-1700米的范围内，以阿旺、乌龙、拖布卡、因民等镇为主。划定后，东川区林业用地区64863.75公顷，占全区土地总面积的34.77%，比调整前增加了3058.08公顷。</w:t>
      </w:r>
    </w:p>
    <w:p w14:paraId="42EC196C">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八、其他用地区</w:t>
      </w:r>
    </w:p>
    <w:p w14:paraId="31CC22B1">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其他用地区主要以未利用地为主，主要分布于铜都、汤丹和阿旺。调整完善后东川区其他用地区调整为65578.30公顷，比调整完善前减少了793.94公顷，同时取消了其他用地区的低丘缓坡用地区。</w:t>
      </w:r>
    </w:p>
    <w:p w14:paraId="20B262FF">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1075C49C">
      <w:pPr>
        <w:widowControl/>
        <w:tabs>
          <w:tab w:val="left" w:pos="1950"/>
        </w:tabs>
        <w:adjustRightInd w:val="0"/>
        <w:snapToGrid w:val="0"/>
        <w:spacing w:line="360" w:lineRule="auto"/>
        <w:ind w:firstLine="561"/>
        <w:jc w:val="left"/>
        <w:rPr>
          <w:rFonts w:ascii="仿宋_GB2312" w:hAnsi="宋体" w:eastAsia="仿宋_GB2312"/>
          <w:kern w:val="0"/>
          <w:sz w:val="28"/>
          <w:szCs w:val="28"/>
        </w:rPr>
      </w:pPr>
    </w:p>
    <w:p w14:paraId="612E8A74">
      <w:pPr>
        <w:jc w:val="center"/>
        <w:outlineLvl w:val="4"/>
        <w:rPr>
          <w:rFonts w:ascii="宋体" w:hAnsi="宋体"/>
          <w:b/>
          <w:sz w:val="24"/>
        </w:rPr>
      </w:pPr>
      <w:r>
        <w:rPr>
          <w:rFonts w:hint="eastAsia" w:ascii="宋体" w:hAnsi="宋体"/>
          <w:b/>
          <w:sz w:val="24"/>
        </w:rPr>
        <w:t>表6-9  东川区土地用途分区面积表</w:t>
      </w:r>
    </w:p>
    <w:p w14:paraId="7763C859">
      <w:pPr>
        <w:spacing w:line="360" w:lineRule="auto"/>
        <w:ind w:firstLine="360" w:firstLineChars="200"/>
        <w:jc w:val="right"/>
        <w:rPr>
          <w:rFonts w:ascii="宋体" w:hAnsi="宋体"/>
          <w:color w:val="000000"/>
          <w:sz w:val="18"/>
          <w:szCs w:val="18"/>
        </w:rPr>
      </w:pPr>
      <w:r>
        <w:rPr>
          <w:rFonts w:hint="eastAsia" w:ascii="宋体" w:hAnsi="宋体"/>
          <w:color w:val="000000"/>
          <w:sz w:val="18"/>
          <w:szCs w:val="18"/>
        </w:rPr>
        <w:t>单位：公顷</w:t>
      </w:r>
    </w:p>
    <w:tbl>
      <w:tblPr>
        <w:tblStyle w:val="27"/>
        <w:tblW w:w="10862" w:type="dxa"/>
        <w:jc w:val="center"/>
        <w:tblLayout w:type="autofit"/>
        <w:tblCellMar>
          <w:top w:w="0" w:type="dxa"/>
          <w:left w:w="108" w:type="dxa"/>
          <w:bottom w:w="0" w:type="dxa"/>
          <w:right w:w="108" w:type="dxa"/>
        </w:tblCellMar>
      </w:tblPr>
      <w:tblGrid>
        <w:gridCol w:w="940"/>
        <w:gridCol w:w="1160"/>
        <w:gridCol w:w="1037"/>
        <w:gridCol w:w="992"/>
        <w:gridCol w:w="1026"/>
        <w:gridCol w:w="1026"/>
        <w:gridCol w:w="1160"/>
        <w:gridCol w:w="1160"/>
        <w:gridCol w:w="1085"/>
        <w:gridCol w:w="1276"/>
      </w:tblGrid>
      <w:tr w14:paraId="030FF104">
        <w:tblPrEx>
          <w:tblCellMar>
            <w:top w:w="0" w:type="dxa"/>
            <w:left w:w="108" w:type="dxa"/>
            <w:bottom w:w="0" w:type="dxa"/>
            <w:right w:w="108" w:type="dxa"/>
          </w:tblCellMar>
        </w:tblPrEx>
        <w:trPr>
          <w:trHeight w:val="312" w:hRule="atLeast"/>
          <w:jc w:val="center"/>
        </w:trPr>
        <w:tc>
          <w:tcPr>
            <w:tcW w:w="9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35A419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行政区</w:t>
            </w:r>
          </w:p>
        </w:tc>
        <w:tc>
          <w:tcPr>
            <w:tcW w:w="11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6CA09E">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一般农地区</w:t>
            </w:r>
          </w:p>
        </w:tc>
        <w:tc>
          <w:tcPr>
            <w:tcW w:w="10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BA1DE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基本农田</w:t>
            </w:r>
          </w:p>
          <w:p w14:paraId="779342CD">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保护区</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40196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城镇村建设用地区</w:t>
            </w:r>
          </w:p>
        </w:tc>
        <w:tc>
          <w:tcPr>
            <w:tcW w:w="10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6DA79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独立</w:t>
            </w:r>
          </w:p>
          <w:p w14:paraId="08772E1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工矿区</w:t>
            </w:r>
          </w:p>
        </w:tc>
        <w:tc>
          <w:tcPr>
            <w:tcW w:w="10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36B22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风景旅</w:t>
            </w:r>
          </w:p>
          <w:p w14:paraId="7A55210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游用地</w:t>
            </w:r>
          </w:p>
        </w:tc>
        <w:tc>
          <w:tcPr>
            <w:tcW w:w="11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92AC77">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生态环境安全控制区</w:t>
            </w:r>
          </w:p>
        </w:tc>
        <w:tc>
          <w:tcPr>
            <w:tcW w:w="11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8D4AF03">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林业用地区</w:t>
            </w:r>
          </w:p>
        </w:tc>
        <w:tc>
          <w:tcPr>
            <w:tcW w:w="1085" w:type="dxa"/>
            <w:vMerge w:val="restart"/>
            <w:tcBorders>
              <w:top w:val="single" w:color="auto" w:sz="4" w:space="0"/>
              <w:left w:val="single" w:color="auto" w:sz="4" w:space="0"/>
              <w:bottom w:val="single" w:color="000000" w:sz="4" w:space="0"/>
              <w:right w:val="nil"/>
            </w:tcBorders>
            <w:shd w:val="clear" w:color="auto" w:fill="auto"/>
            <w:vAlign w:val="center"/>
          </w:tcPr>
          <w:p w14:paraId="598B0C0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其他</w:t>
            </w:r>
          </w:p>
          <w:p w14:paraId="340986A8">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用地区</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A2B30D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合计</w:t>
            </w:r>
          </w:p>
        </w:tc>
      </w:tr>
      <w:tr w14:paraId="632F45AA">
        <w:tblPrEx>
          <w:tblCellMar>
            <w:top w:w="0" w:type="dxa"/>
            <w:left w:w="108" w:type="dxa"/>
            <w:bottom w:w="0" w:type="dxa"/>
            <w:right w:w="108" w:type="dxa"/>
          </w:tblCellMar>
        </w:tblPrEx>
        <w:trPr>
          <w:trHeight w:val="312" w:hRule="atLeast"/>
          <w:jc w:val="center"/>
        </w:trPr>
        <w:tc>
          <w:tcPr>
            <w:tcW w:w="940" w:type="dxa"/>
            <w:vMerge w:val="continue"/>
            <w:tcBorders>
              <w:top w:val="single" w:color="auto" w:sz="4" w:space="0"/>
              <w:left w:val="single" w:color="auto" w:sz="4" w:space="0"/>
              <w:bottom w:val="single" w:color="auto" w:sz="4" w:space="0"/>
              <w:right w:val="single" w:color="auto" w:sz="4" w:space="0"/>
            </w:tcBorders>
            <w:vAlign w:val="center"/>
          </w:tcPr>
          <w:p w14:paraId="104AEB10">
            <w:pPr>
              <w:widowControl/>
              <w:jc w:val="center"/>
              <w:rPr>
                <w:rFonts w:ascii="宋体" w:hAnsi="宋体" w:cs="宋体"/>
                <w:color w:val="000000"/>
                <w:kern w:val="0"/>
                <w:sz w:val="18"/>
                <w:szCs w:val="18"/>
              </w:rPr>
            </w:pPr>
          </w:p>
        </w:tc>
        <w:tc>
          <w:tcPr>
            <w:tcW w:w="1160" w:type="dxa"/>
            <w:vMerge w:val="continue"/>
            <w:tcBorders>
              <w:top w:val="single" w:color="auto" w:sz="4" w:space="0"/>
              <w:left w:val="single" w:color="auto" w:sz="4" w:space="0"/>
              <w:bottom w:val="single" w:color="auto" w:sz="4" w:space="0"/>
              <w:right w:val="single" w:color="auto" w:sz="4" w:space="0"/>
            </w:tcBorders>
            <w:vAlign w:val="center"/>
          </w:tcPr>
          <w:p w14:paraId="124C5E20">
            <w:pPr>
              <w:widowControl/>
              <w:jc w:val="center"/>
              <w:rPr>
                <w:rFonts w:ascii="宋体" w:hAnsi="宋体" w:cs="宋体"/>
                <w:color w:val="000000"/>
                <w:kern w:val="0"/>
                <w:sz w:val="18"/>
                <w:szCs w:val="18"/>
              </w:rPr>
            </w:pPr>
          </w:p>
        </w:tc>
        <w:tc>
          <w:tcPr>
            <w:tcW w:w="1037" w:type="dxa"/>
            <w:vMerge w:val="continue"/>
            <w:tcBorders>
              <w:top w:val="single" w:color="auto" w:sz="4" w:space="0"/>
              <w:left w:val="single" w:color="auto" w:sz="4" w:space="0"/>
              <w:bottom w:val="single" w:color="auto" w:sz="4" w:space="0"/>
              <w:right w:val="single" w:color="auto" w:sz="4" w:space="0"/>
            </w:tcBorders>
            <w:vAlign w:val="center"/>
          </w:tcPr>
          <w:p w14:paraId="374EA3DA">
            <w:pPr>
              <w:widowControl/>
              <w:jc w:val="center"/>
              <w:rPr>
                <w:rFonts w:ascii="宋体" w:hAnsi="宋体" w:cs="宋体"/>
                <w:color w:val="000000"/>
                <w:kern w:val="0"/>
                <w:sz w:val="18"/>
                <w:szCs w:val="18"/>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31ADAAC1">
            <w:pPr>
              <w:widowControl/>
              <w:jc w:val="center"/>
              <w:rPr>
                <w:rFonts w:ascii="宋体" w:hAnsi="宋体" w:cs="宋体"/>
                <w:color w:val="000000"/>
                <w:kern w:val="0"/>
                <w:sz w:val="18"/>
                <w:szCs w:val="18"/>
              </w:rPr>
            </w:pPr>
          </w:p>
        </w:tc>
        <w:tc>
          <w:tcPr>
            <w:tcW w:w="1026" w:type="dxa"/>
            <w:vMerge w:val="continue"/>
            <w:tcBorders>
              <w:top w:val="single" w:color="auto" w:sz="4" w:space="0"/>
              <w:left w:val="single" w:color="auto" w:sz="4" w:space="0"/>
              <w:bottom w:val="single" w:color="auto" w:sz="4" w:space="0"/>
              <w:right w:val="single" w:color="auto" w:sz="4" w:space="0"/>
            </w:tcBorders>
            <w:vAlign w:val="center"/>
          </w:tcPr>
          <w:p w14:paraId="6BA3DB19">
            <w:pPr>
              <w:widowControl/>
              <w:jc w:val="center"/>
              <w:rPr>
                <w:rFonts w:ascii="宋体" w:hAnsi="宋体" w:cs="宋体"/>
                <w:color w:val="000000"/>
                <w:kern w:val="0"/>
                <w:sz w:val="18"/>
                <w:szCs w:val="18"/>
              </w:rPr>
            </w:pPr>
          </w:p>
        </w:tc>
        <w:tc>
          <w:tcPr>
            <w:tcW w:w="1026" w:type="dxa"/>
            <w:vMerge w:val="continue"/>
            <w:tcBorders>
              <w:top w:val="single" w:color="auto" w:sz="4" w:space="0"/>
              <w:left w:val="single" w:color="auto" w:sz="4" w:space="0"/>
              <w:bottom w:val="single" w:color="auto" w:sz="4" w:space="0"/>
              <w:right w:val="single" w:color="auto" w:sz="4" w:space="0"/>
            </w:tcBorders>
            <w:vAlign w:val="center"/>
          </w:tcPr>
          <w:p w14:paraId="40365E28">
            <w:pPr>
              <w:widowControl/>
              <w:jc w:val="center"/>
              <w:rPr>
                <w:rFonts w:ascii="宋体" w:hAnsi="宋体" w:cs="宋体"/>
                <w:color w:val="000000"/>
                <w:kern w:val="0"/>
                <w:sz w:val="18"/>
                <w:szCs w:val="18"/>
              </w:rPr>
            </w:pPr>
          </w:p>
        </w:tc>
        <w:tc>
          <w:tcPr>
            <w:tcW w:w="1160" w:type="dxa"/>
            <w:vMerge w:val="continue"/>
            <w:tcBorders>
              <w:top w:val="single" w:color="auto" w:sz="4" w:space="0"/>
              <w:left w:val="single" w:color="auto" w:sz="4" w:space="0"/>
              <w:bottom w:val="single" w:color="auto" w:sz="4" w:space="0"/>
              <w:right w:val="single" w:color="auto" w:sz="4" w:space="0"/>
            </w:tcBorders>
            <w:vAlign w:val="center"/>
          </w:tcPr>
          <w:p w14:paraId="447F9C68">
            <w:pPr>
              <w:widowControl/>
              <w:jc w:val="center"/>
              <w:rPr>
                <w:rFonts w:ascii="宋体" w:hAnsi="宋体" w:cs="宋体"/>
                <w:color w:val="000000"/>
                <w:kern w:val="0"/>
                <w:sz w:val="18"/>
                <w:szCs w:val="18"/>
              </w:rPr>
            </w:pPr>
          </w:p>
        </w:tc>
        <w:tc>
          <w:tcPr>
            <w:tcW w:w="1160" w:type="dxa"/>
            <w:vMerge w:val="continue"/>
            <w:tcBorders>
              <w:top w:val="single" w:color="auto" w:sz="4" w:space="0"/>
              <w:left w:val="single" w:color="auto" w:sz="4" w:space="0"/>
              <w:bottom w:val="single" w:color="auto" w:sz="4" w:space="0"/>
              <w:right w:val="single" w:color="auto" w:sz="4" w:space="0"/>
            </w:tcBorders>
            <w:vAlign w:val="center"/>
          </w:tcPr>
          <w:p w14:paraId="53B679CA">
            <w:pPr>
              <w:widowControl/>
              <w:jc w:val="center"/>
              <w:rPr>
                <w:rFonts w:ascii="宋体" w:hAnsi="宋体" w:cs="宋体"/>
                <w:color w:val="000000"/>
                <w:kern w:val="0"/>
                <w:sz w:val="18"/>
                <w:szCs w:val="18"/>
              </w:rPr>
            </w:pPr>
          </w:p>
        </w:tc>
        <w:tc>
          <w:tcPr>
            <w:tcW w:w="1085" w:type="dxa"/>
            <w:vMerge w:val="continue"/>
            <w:tcBorders>
              <w:top w:val="single" w:color="auto" w:sz="4" w:space="0"/>
              <w:left w:val="single" w:color="auto" w:sz="4" w:space="0"/>
              <w:bottom w:val="single" w:color="000000" w:sz="4" w:space="0"/>
              <w:right w:val="nil"/>
            </w:tcBorders>
            <w:vAlign w:val="center"/>
          </w:tcPr>
          <w:p w14:paraId="741E9B18">
            <w:pPr>
              <w:widowControl/>
              <w:jc w:val="center"/>
              <w:rPr>
                <w:rFonts w:ascii="宋体" w:hAnsi="宋体" w:cs="宋体"/>
                <w:color w:val="000000"/>
                <w:kern w:val="0"/>
                <w:sz w:val="18"/>
                <w:szCs w:val="18"/>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40A740FC">
            <w:pPr>
              <w:widowControl/>
              <w:jc w:val="center"/>
              <w:rPr>
                <w:rFonts w:ascii="宋体" w:hAnsi="宋体" w:cs="宋体"/>
                <w:color w:val="000000"/>
                <w:kern w:val="0"/>
                <w:sz w:val="18"/>
                <w:szCs w:val="18"/>
              </w:rPr>
            </w:pPr>
          </w:p>
        </w:tc>
      </w:tr>
      <w:tr w14:paraId="07DB3AC8">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6386857A">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160" w:type="dxa"/>
            <w:tcBorders>
              <w:top w:val="nil"/>
              <w:left w:val="nil"/>
              <w:bottom w:val="single" w:color="auto" w:sz="4" w:space="0"/>
              <w:right w:val="single" w:color="auto" w:sz="4" w:space="0"/>
            </w:tcBorders>
            <w:shd w:val="clear" w:color="auto" w:fill="auto"/>
            <w:noWrap/>
            <w:vAlign w:val="center"/>
          </w:tcPr>
          <w:p w14:paraId="4BD78DB2">
            <w:pPr>
              <w:widowControl/>
              <w:jc w:val="center"/>
              <w:rPr>
                <w:rFonts w:ascii="宋体" w:hAnsi="宋体" w:cs="宋体"/>
                <w:color w:val="000000"/>
                <w:kern w:val="0"/>
                <w:sz w:val="18"/>
                <w:szCs w:val="18"/>
              </w:rPr>
            </w:pPr>
            <w:r>
              <w:rPr>
                <w:rFonts w:hint="eastAsia" w:ascii="宋体" w:hAnsi="宋体" w:cs="宋体"/>
                <w:color w:val="000000"/>
                <w:kern w:val="0"/>
                <w:sz w:val="18"/>
                <w:szCs w:val="18"/>
              </w:rPr>
              <w:t>2573.03</w:t>
            </w:r>
          </w:p>
        </w:tc>
        <w:tc>
          <w:tcPr>
            <w:tcW w:w="1037" w:type="dxa"/>
            <w:tcBorders>
              <w:top w:val="nil"/>
              <w:left w:val="nil"/>
              <w:bottom w:val="single" w:color="auto" w:sz="4" w:space="0"/>
              <w:right w:val="single" w:color="auto" w:sz="4" w:space="0"/>
            </w:tcBorders>
            <w:shd w:val="clear" w:color="auto" w:fill="auto"/>
            <w:noWrap/>
            <w:vAlign w:val="center"/>
          </w:tcPr>
          <w:p w14:paraId="58F45692">
            <w:pPr>
              <w:widowControl/>
              <w:jc w:val="center"/>
              <w:rPr>
                <w:rFonts w:ascii="宋体" w:hAnsi="宋体" w:cs="宋体"/>
                <w:color w:val="000000"/>
                <w:kern w:val="0"/>
                <w:sz w:val="18"/>
                <w:szCs w:val="18"/>
              </w:rPr>
            </w:pPr>
            <w:r>
              <w:rPr>
                <w:rFonts w:hint="eastAsia" w:ascii="宋体" w:hAnsi="宋体" w:cs="宋体"/>
                <w:color w:val="000000"/>
                <w:kern w:val="0"/>
                <w:sz w:val="18"/>
                <w:szCs w:val="18"/>
              </w:rPr>
              <w:t>4737.63</w:t>
            </w:r>
          </w:p>
        </w:tc>
        <w:tc>
          <w:tcPr>
            <w:tcW w:w="992" w:type="dxa"/>
            <w:tcBorders>
              <w:top w:val="nil"/>
              <w:left w:val="nil"/>
              <w:bottom w:val="single" w:color="auto" w:sz="4" w:space="0"/>
              <w:right w:val="single" w:color="auto" w:sz="4" w:space="0"/>
            </w:tcBorders>
            <w:shd w:val="clear" w:color="auto" w:fill="auto"/>
            <w:noWrap/>
            <w:vAlign w:val="center"/>
          </w:tcPr>
          <w:p w14:paraId="16F9CFB0">
            <w:pPr>
              <w:widowControl/>
              <w:jc w:val="center"/>
              <w:rPr>
                <w:rFonts w:ascii="宋体" w:hAnsi="宋体" w:cs="宋体"/>
                <w:color w:val="000000"/>
                <w:kern w:val="0"/>
                <w:sz w:val="18"/>
                <w:szCs w:val="18"/>
              </w:rPr>
            </w:pPr>
            <w:r>
              <w:rPr>
                <w:rFonts w:hint="eastAsia" w:ascii="宋体" w:hAnsi="宋体" w:cs="宋体"/>
                <w:color w:val="000000"/>
                <w:kern w:val="0"/>
                <w:sz w:val="18"/>
                <w:szCs w:val="18"/>
              </w:rPr>
              <w:t>466.34</w:t>
            </w:r>
          </w:p>
        </w:tc>
        <w:tc>
          <w:tcPr>
            <w:tcW w:w="1026" w:type="dxa"/>
            <w:tcBorders>
              <w:top w:val="nil"/>
              <w:left w:val="nil"/>
              <w:bottom w:val="single" w:color="auto" w:sz="4" w:space="0"/>
              <w:right w:val="single" w:color="auto" w:sz="4" w:space="0"/>
            </w:tcBorders>
            <w:shd w:val="clear" w:color="auto" w:fill="auto"/>
            <w:noWrap/>
            <w:vAlign w:val="center"/>
          </w:tcPr>
          <w:p w14:paraId="1D6336CE">
            <w:pPr>
              <w:widowControl/>
              <w:jc w:val="center"/>
              <w:rPr>
                <w:rFonts w:ascii="宋体" w:hAnsi="宋体" w:cs="宋体"/>
                <w:color w:val="000000"/>
                <w:kern w:val="0"/>
                <w:sz w:val="18"/>
                <w:szCs w:val="18"/>
              </w:rPr>
            </w:pPr>
            <w:r>
              <w:rPr>
                <w:rFonts w:hint="eastAsia" w:ascii="宋体" w:hAnsi="宋体" w:cs="宋体"/>
                <w:color w:val="000000"/>
                <w:kern w:val="0"/>
                <w:sz w:val="18"/>
                <w:szCs w:val="18"/>
              </w:rPr>
              <w:t>35.93</w:t>
            </w:r>
          </w:p>
        </w:tc>
        <w:tc>
          <w:tcPr>
            <w:tcW w:w="1026" w:type="dxa"/>
            <w:tcBorders>
              <w:top w:val="nil"/>
              <w:left w:val="nil"/>
              <w:bottom w:val="single" w:color="auto" w:sz="4" w:space="0"/>
              <w:right w:val="single" w:color="auto" w:sz="4" w:space="0"/>
            </w:tcBorders>
            <w:shd w:val="clear" w:color="auto" w:fill="auto"/>
            <w:noWrap/>
            <w:vAlign w:val="center"/>
          </w:tcPr>
          <w:p w14:paraId="620AEC4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6.29 </w:t>
            </w:r>
          </w:p>
        </w:tc>
        <w:tc>
          <w:tcPr>
            <w:tcW w:w="1160" w:type="dxa"/>
            <w:tcBorders>
              <w:top w:val="nil"/>
              <w:left w:val="nil"/>
              <w:bottom w:val="single" w:color="auto" w:sz="4" w:space="0"/>
              <w:right w:val="single" w:color="auto" w:sz="4" w:space="0"/>
            </w:tcBorders>
            <w:shd w:val="clear" w:color="auto" w:fill="auto"/>
            <w:noWrap/>
            <w:vAlign w:val="center"/>
          </w:tcPr>
          <w:p w14:paraId="47CE70C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tcBorders>
              <w:top w:val="nil"/>
              <w:left w:val="nil"/>
              <w:bottom w:val="single" w:color="auto" w:sz="4" w:space="0"/>
              <w:right w:val="single" w:color="auto" w:sz="4" w:space="0"/>
            </w:tcBorders>
            <w:shd w:val="clear" w:color="auto" w:fill="auto"/>
            <w:noWrap/>
            <w:vAlign w:val="center"/>
          </w:tcPr>
          <w:p w14:paraId="537D5457">
            <w:pPr>
              <w:widowControl/>
              <w:jc w:val="center"/>
              <w:rPr>
                <w:rFonts w:ascii="宋体" w:hAnsi="宋体" w:cs="宋体"/>
                <w:color w:val="000000"/>
                <w:kern w:val="0"/>
                <w:sz w:val="18"/>
                <w:szCs w:val="18"/>
              </w:rPr>
            </w:pPr>
            <w:r>
              <w:rPr>
                <w:rFonts w:hint="eastAsia" w:ascii="宋体" w:hAnsi="宋体" w:cs="宋体"/>
                <w:color w:val="000000"/>
                <w:kern w:val="0"/>
                <w:sz w:val="18"/>
                <w:szCs w:val="18"/>
              </w:rPr>
              <w:t>9428.52</w:t>
            </w:r>
          </w:p>
        </w:tc>
        <w:tc>
          <w:tcPr>
            <w:tcW w:w="1085" w:type="dxa"/>
            <w:tcBorders>
              <w:top w:val="nil"/>
              <w:left w:val="nil"/>
              <w:bottom w:val="single" w:color="auto" w:sz="4" w:space="0"/>
              <w:right w:val="nil"/>
            </w:tcBorders>
            <w:shd w:val="clear" w:color="auto" w:fill="auto"/>
            <w:noWrap/>
            <w:vAlign w:val="center"/>
          </w:tcPr>
          <w:p w14:paraId="587B282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10231.88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73081393">
            <w:pPr>
              <w:widowControl/>
              <w:jc w:val="center"/>
              <w:rPr>
                <w:rFonts w:ascii="宋体" w:hAnsi="宋体" w:cs="宋体"/>
                <w:color w:val="000000"/>
                <w:kern w:val="0"/>
                <w:sz w:val="18"/>
                <w:szCs w:val="18"/>
              </w:rPr>
            </w:pPr>
            <w:r>
              <w:rPr>
                <w:rFonts w:hint="eastAsia" w:ascii="宋体" w:hAnsi="宋体" w:cs="宋体"/>
                <w:color w:val="000000"/>
                <w:kern w:val="0"/>
                <w:sz w:val="18"/>
                <w:szCs w:val="18"/>
              </w:rPr>
              <w:t>27479.62</w:t>
            </w:r>
          </w:p>
        </w:tc>
      </w:tr>
      <w:tr w14:paraId="737721AD">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1103CA1A">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160" w:type="dxa"/>
            <w:tcBorders>
              <w:top w:val="nil"/>
              <w:left w:val="nil"/>
              <w:bottom w:val="single" w:color="auto" w:sz="4" w:space="0"/>
              <w:right w:val="single" w:color="auto" w:sz="4" w:space="0"/>
            </w:tcBorders>
            <w:shd w:val="clear" w:color="auto" w:fill="auto"/>
            <w:noWrap/>
            <w:vAlign w:val="center"/>
          </w:tcPr>
          <w:p w14:paraId="570ABA17">
            <w:pPr>
              <w:widowControl/>
              <w:jc w:val="center"/>
              <w:rPr>
                <w:rFonts w:ascii="宋体" w:hAnsi="宋体" w:cs="宋体"/>
                <w:color w:val="000000"/>
                <w:kern w:val="0"/>
                <w:sz w:val="18"/>
                <w:szCs w:val="18"/>
              </w:rPr>
            </w:pPr>
            <w:r>
              <w:rPr>
                <w:rFonts w:hint="eastAsia" w:ascii="宋体" w:hAnsi="宋体" w:cs="宋体"/>
                <w:color w:val="000000"/>
                <w:kern w:val="0"/>
                <w:sz w:val="18"/>
                <w:szCs w:val="18"/>
              </w:rPr>
              <w:t>5554.75</w:t>
            </w:r>
          </w:p>
        </w:tc>
        <w:tc>
          <w:tcPr>
            <w:tcW w:w="1037" w:type="dxa"/>
            <w:tcBorders>
              <w:top w:val="nil"/>
              <w:left w:val="nil"/>
              <w:bottom w:val="single" w:color="auto" w:sz="4" w:space="0"/>
              <w:right w:val="single" w:color="auto" w:sz="4" w:space="0"/>
            </w:tcBorders>
            <w:shd w:val="clear" w:color="auto" w:fill="auto"/>
            <w:noWrap/>
            <w:vAlign w:val="center"/>
          </w:tcPr>
          <w:p w14:paraId="735A3389">
            <w:pPr>
              <w:widowControl/>
              <w:jc w:val="center"/>
              <w:rPr>
                <w:rFonts w:ascii="宋体" w:hAnsi="宋体" w:cs="宋体"/>
                <w:color w:val="000000"/>
                <w:kern w:val="0"/>
                <w:sz w:val="18"/>
                <w:szCs w:val="18"/>
              </w:rPr>
            </w:pPr>
            <w:r>
              <w:rPr>
                <w:rFonts w:hint="eastAsia" w:ascii="宋体" w:hAnsi="宋体" w:cs="宋体"/>
                <w:color w:val="000000"/>
                <w:kern w:val="0"/>
                <w:sz w:val="18"/>
                <w:szCs w:val="18"/>
              </w:rPr>
              <w:t>4485.71</w:t>
            </w:r>
          </w:p>
        </w:tc>
        <w:tc>
          <w:tcPr>
            <w:tcW w:w="992" w:type="dxa"/>
            <w:tcBorders>
              <w:top w:val="nil"/>
              <w:left w:val="nil"/>
              <w:bottom w:val="single" w:color="auto" w:sz="4" w:space="0"/>
              <w:right w:val="single" w:color="auto" w:sz="4" w:space="0"/>
            </w:tcBorders>
            <w:shd w:val="clear" w:color="auto" w:fill="auto"/>
            <w:noWrap/>
            <w:vAlign w:val="center"/>
          </w:tcPr>
          <w:p w14:paraId="1223B6AB">
            <w:pPr>
              <w:widowControl/>
              <w:jc w:val="center"/>
              <w:rPr>
                <w:rFonts w:ascii="宋体" w:hAnsi="宋体" w:cs="宋体"/>
                <w:color w:val="000000"/>
                <w:kern w:val="0"/>
                <w:sz w:val="18"/>
                <w:szCs w:val="18"/>
              </w:rPr>
            </w:pPr>
            <w:r>
              <w:rPr>
                <w:rFonts w:hint="eastAsia" w:ascii="宋体" w:hAnsi="宋体" w:cs="宋体"/>
                <w:color w:val="000000"/>
                <w:kern w:val="0"/>
                <w:sz w:val="18"/>
                <w:szCs w:val="18"/>
              </w:rPr>
              <w:t>1905.14</w:t>
            </w:r>
          </w:p>
        </w:tc>
        <w:tc>
          <w:tcPr>
            <w:tcW w:w="1026" w:type="dxa"/>
            <w:tcBorders>
              <w:top w:val="nil"/>
              <w:left w:val="nil"/>
              <w:bottom w:val="single" w:color="auto" w:sz="4" w:space="0"/>
              <w:right w:val="single" w:color="auto" w:sz="4" w:space="0"/>
            </w:tcBorders>
            <w:shd w:val="clear" w:color="auto" w:fill="auto"/>
            <w:noWrap/>
            <w:vAlign w:val="center"/>
          </w:tcPr>
          <w:p w14:paraId="1CAA7090">
            <w:pPr>
              <w:widowControl/>
              <w:jc w:val="center"/>
              <w:rPr>
                <w:rFonts w:ascii="宋体" w:hAnsi="宋体" w:cs="宋体"/>
                <w:color w:val="000000"/>
                <w:kern w:val="0"/>
                <w:sz w:val="18"/>
                <w:szCs w:val="18"/>
              </w:rPr>
            </w:pPr>
            <w:r>
              <w:rPr>
                <w:rFonts w:hint="eastAsia" w:ascii="宋体" w:hAnsi="宋体" w:cs="宋体"/>
                <w:color w:val="000000"/>
                <w:kern w:val="0"/>
                <w:sz w:val="18"/>
                <w:szCs w:val="18"/>
              </w:rPr>
              <w:t>440.11</w:t>
            </w:r>
          </w:p>
        </w:tc>
        <w:tc>
          <w:tcPr>
            <w:tcW w:w="1026" w:type="dxa"/>
            <w:tcBorders>
              <w:top w:val="nil"/>
              <w:left w:val="nil"/>
              <w:bottom w:val="single" w:color="auto" w:sz="4" w:space="0"/>
              <w:right w:val="single" w:color="auto" w:sz="4" w:space="0"/>
            </w:tcBorders>
            <w:shd w:val="clear" w:color="auto" w:fill="auto"/>
            <w:noWrap/>
            <w:vAlign w:val="center"/>
          </w:tcPr>
          <w:p w14:paraId="4F42397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85.41 </w:t>
            </w:r>
          </w:p>
        </w:tc>
        <w:tc>
          <w:tcPr>
            <w:tcW w:w="1160" w:type="dxa"/>
            <w:tcBorders>
              <w:top w:val="nil"/>
              <w:left w:val="nil"/>
              <w:bottom w:val="single" w:color="auto" w:sz="4" w:space="0"/>
              <w:right w:val="single" w:color="auto" w:sz="4" w:space="0"/>
            </w:tcBorders>
            <w:shd w:val="clear" w:color="auto" w:fill="auto"/>
            <w:noWrap/>
            <w:vAlign w:val="center"/>
          </w:tcPr>
          <w:p w14:paraId="78A38AA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tcBorders>
              <w:top w:val="nil"/>
              <w:left w:val="nil"/>
              <w:bottom w:val="single" w:color="auto" w:sz="4" w:space="0"/>
              <w:right w:val="single" w:color="auto" w:sz="4" w:space="0"/>
            </w:tcBorders>
            <w:shd w:val="clear" w:color="auto" w:fill="auto"/>
            <w:noWrap/>
            <w:vAlign w:val="center"/>
          </w:tcPr>
          <w:p w14:paraId="670A31B2">
            <w:pPr>
              <w:widowControl/>
              <w:jc w:val="center"/>
              <w:rPr>
                <w:rFonts w:ascii="宋体" w:hAnsi="宋体" w:cs="宋体"/>
                <w:color w:val="000000"/>
                <w:kern w:val="0"/>
                <w:sz w:val="18"/>
                <w:szCs w:val="18"/>
              </w:rPr>
            </w:pPr>
            <w:r>
              <w:rPr>
                <w:rFonts w:hint="eastAsia" w:ascii="宋体" w:hAnsi="宋体" w:cs="宋体"/>
                <w:color w:val="000000"/>
                <w:kern w:val="0"/>
                <w:sz w:val="18"/>
                <w:szCs w:val="18"/>
              </w:rPr>
              <w:t>7847.17</w:t>
            </w:r>
          </w:p>
        </w:tc>
        <w:tc>
          <w:tcPr>
            <w:tcW w:w="1085" w:type="dxa"/>
            <w:tcBorders>
              <w:top w:val="nil"/>
              <w:left w:val="nil"/>
              <w:bottom w:val="single" w:color="auto" w:sz="4" w:space="0"/>
              <w:right w:val="nil"/>
            </w:tcBorders>
            <w:shd w:val="clear" w:color="auto" w:fill="auto"/>
            <w:noWrap/>
            <w:vAlign w:val="center"/>
          </w:tcPr>
          <w:p w14:paraId="2F7CB39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15583.40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020094AA">
            <w:pPr>
              <w:widowControl/>
              <w:jc w:val="center"/>
              <w:rPr>
                <w:rFonts w:ascii="宋体" w:hAnsi="宋体" w:cs="宋体"/>
                <w:color w:val="000000"/>
                <w:kern w:val="0"/>
                <w:sz w:val="18"/>
                <w:szCs w:val="18"/>
              </w:rPr>
            </w:pPr>
            <w:r>
              <w:rPr>
                <w:rFonts w:hint="eastAsia" w:ascii="宋体" w:hAnsi="宋体" w:cs="宋体"/>
                <w:color w:val="000000"/>
                <w:kern w:val="0"/>
                <w:sz w:val="18"/>
                <w:szCs w:val="18"/>
              </w:rPr>
              <w:t>35901.69</w:t>
            </w:r>
          </w:p>
        </w:tc>
      </w:tr>
      <w:tr w14:paraId="4A6BB62B">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6655B53D">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160" w:type="dxa"/>
            <w:tcBorders>
              <w:top w:val="nil"/>
              <w:left w:val="nil"/>
              <w:bottom w:val="single" w:color="auto" w:sz="4" w:space="0"/>
              <w:right w:val="single" w:color="auto" w:sz="4" w:space="0"/>
            </w:tcBorders>
            <w:shd w:val="clear" w:color="auto" w:fill="auto"/>
            <w:noWrap/>
            <w:vAlign w:val="center"/>
          </w:tcPr>
          <w:p w14:paraId="71C7EC07">
            <w:pPr>
              <w:widowControl/>
              <w:jc w:val="center"/>
              <w:rPr>
                <w:rFonts w:ascii="宋体" w:hAnsi="宋体" w:cs="宋体"/>
                <w:color w:val="000000"/>
                <w:kern w:val="0"/>
                <w:sz w:val="18"/>
                <w:szCs w:val="18"/>
              </w:rPr>
            </w:pPr>
            <w:r>
              <w:rPr>
                <w:rFonts w:hint="eastAsia" w:ascii="宋体" w:hAnsi="宋体" w:cs="宋体"/>
                <w:color w:val="000000"/>
                <w:kern w:val="0"/>
                <w:sz w:val="18"/>
                <w:szCs w:val="18"/>
              </w:rPr>
              <w:t>1493.44</w:t>
            </w:r>
          </w:p>
        </w:tc>
        <w:tc>
          <w:tcPr>
            <w:tcW w:w="1037" w:type="dxa"/>
            <w:tcBorders>
              <w:top w:val="nil"/>
              <w:left w:val="nil"/>
              <w:bottom w:val="single" w:color="auto" w:sz="4" w:space="0"/>
              <w:right w:val="single" w:color="auto" w:sz="4" w:space="0"/>
            </w:tcBorders>
            <w:shd w:val="clear" w:color="auto" w:fill="auto"/>
            <w:noWrap/>
            <w:vAlign w:val="center"/>
          </w:tcPr>
          <w:p w14:paraId="394E87E3">
            <w:pPr>
              <w:widowControl/>
              <w:jc w:val="center"/>
              <w:rPr>
                <w:rFonts w:ascii="宋体" w:hAnsi="宋体" w:cs="宋体"/>
                <w:color w:val="000000"/>
                <w:kern w:val="0"/>
                <w:sz w:val="18"/>
                <w:szCs w:val="18"/>
              </w:rPr>
            </w:pPr>
            <w:r>
              <w:rPr>
                <w:rFonts w:hint="eastAsia" w:ascii="宋体" w:hAnsi="宋体" w:cs="宋体"/>
                <w:color w:val="000000"/>
                <w:kern w:val="0"/>
                <w:sz w:val="18"/>
                <w:szCs w:val="18"/>
              </w:rPr>
              <w:t>2878.93</w:t>
            </w:r>
          </w:p>
        </w:tc>
        <w:tc>
          <w:tcPr>
            <w:tcW w:w="992" w:type="dxa"/>
            <w:tcBorders>
              <w:top w:val="nil"/>
              <w:left w:val="nil"/>
              <w:bottom w:val="single" w:color="auto" w:sz="4" w:space="0"/>
              <w:right w:val="single" w:color="auto" w:sz="4" w:space="0"/>
            </w:tcBorders>
            <w:shd w:val="clear" w:color="auto" w:fill="auto"/>
            <w:noWrap/>
            <w:vAlign w:val="center"/>
          </w:tcPr>
          <w:p w14:paraId="0D02908C">
            <w:pPr>
              <w:widowControl/>
              <w:jc w:val="center"/>
              <w:rPr>
                <w:rFonts w:ascii="宋体" w:hAnsi="宋体" w:cs="宋体"/>
                <w:color w:val="000000"/>
                <w:kern w:val="0"/>
                <w:sz w:val="18"/>
                <w:szCs w:val="18"/>
              </w:rPr>
            </w:pPr>
            <w:r>
              <w:rPr>
                <w:rFonts w:hint="eastAsia" w:ascii="宋体" w:hAnsi="宋体" w:cs="宋体"/>
                <w:color w:val="000000"/>
                <w:kern w:val="0"/>
                <w:sz w:val="18"/>
                <w:szCs w:val="18"/>
              </w:rPr>
              <w:t>419.48</w:t>
            </w:r>
          </w:p>
        </w:tc>
        <w:tc>
          <w:tcPr>
            <w:tcW w:w="1026" w:type="dxa"/>
            <w:tcBorders>
              <w:top w:val="nil"/>
              <w:left w:val="nil"/>
              <w:bottom w:val="single" w:color="auto" w:sz="4" w:space="0"/>
              <w:right w:val="single" w:color="auto" w:sz="4" w:space="0"/>
            </w:tcBorders>
            <w:shd w:val="clear" w:color="auto" w:fill="auto"/>
            <w:noWrap/>
            <w:vAlign w:val="center"/>
          </w:tcPr>
          <w:p w14:paraId="270FD0A2">
            <w:pPr>
              <w:widowControl/>
              <w:jc w:val="center"/>
              <w:rPr>
                <w:rFonts w:ascii="宋体" w:hAnsi="宋体" w:cs="宋体"/>
                <w:color w:val="000000"/>
                <w:kern w:val="0"/>
                <w:sz w:val="18"/>
                <w:szCs w:val="18"/>
              </w:rPr>
            </w:pPr>
            <w:r>
              <w:rPr>
                <w:rFonts w:hint="eastAsia" w:ascii="宋体" w:hAnsi="宋体" w:cs="宋体"/>
                <w:color w:val="000000"/>
                <w:kern w:val="0"/>
                <w:sz w:val="18"/>
                <w:szCs w:val="18"/>
              </w:rPr>
              <w:t>1.01</w:t>
            </w:r>
          </w:p>
        </w:tc>
        <w:tc>
          <w:tcPr>
            <w:tcW w:w="1026" w:type="dxa"/>
            <w:tcBorders>
              <w:top w:val="nil"/>
              <w:left w:val="nil"/>
              <w:bottom w:val="single" w:color="auto" w:sz="4" w:space="0"/>
              <w:right w:val="single" w:color="auto" w:sz="4" w:space="0"/>
            </w:tcBorders>
            <w:shd w:val="clear" w:color="auto" w:fill="auto"/>
            <w:noWrap/>
            <w:vAlign w:val="center"/>
          </w:tcPr>
          <w:p w14:paraId="69C8D5F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2.63 </w:t>
            </w:r>
          </w:p>
        </w:tc>
        <w:tc>
          <w:tcPr>
            <w:tcW w:w="1160" w:type="dxa"/>
            <w:tcBorders>
              <w:top w:val="nil"/>
              <w:left w:val="nil"/>
              <w:bottom w:val="single" w:color="auto" w:sz="4" w:space="0"/>
              <w:right w:val="single" w:color="auto" w:sz="4" w:space="0"/>
            </w:tcBorders>
            <w:shd w:val="clear" w:color="auto" w:fill="auto"/>
            <w:noWrap/>
            <w:vAlign w:val="center"/>
          </w:tcPr>
          <w:p w14:paraId="444BC5C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tcBorders>
              <w:top w:val="nil"/>
              <w:left w:val="nil"/>
              <w:bottom w:val="single" w:color="auto" w:sz="4" w:space="0"/>
              <w:right w:val="single" w:color="auto" w:sz="4" w:space="0"/>
            </w:tcBorders>
            <w:shd w:val="clear" w:color="auto" w:fill="auto"/>
            <w:noWrap/>
            <w:vAlign w:val="center"/>
          </w:tcPr>
          <w:p w14:paraId="5AB16E95">
            <w:pPr>
              <w:widowControl/>
              <w:jc w:val="center"/>
              <w:rPr>
                <w:rFonts w:ascii="宋体" w:hAnsi="宋体" w:cs="宋体"/>
                <w:color w:val="000000"/>
                <w:kern w:val="0"/>
                <w:sz w:val="18"/>
                <w:szCs w:val="18"/>
              </w:rPr>
            </w:pPr>
            <w:r>
              <w:rPr>
                <w:rFonts w:hint="eastAsia" w:ascii="宋体" w:hAnsi="宋体" w:cs="宋体"/>
                <w:color w:val="000000"/>
                <w:kern w:val="0"/>
                <w:sz w:val="18"/>
                <w:szCs w:val="18"/>
              </w:rPr>
              <w:t>3727.2</w:t>
            </w:r>
          </w:p>
        </w:tc>
        <w:tc>
          <w:tcPr>
            <w:tcW w:w="1085" w:type="dxa"/>
            <w:tcBorders>
              <w:top w:val="nil"/>
              <w:left w:val="nil"/>
              <w:bottom w:val="single" w:color="auto" w:sz="4" w:space="0"/>
              <w:right w:val="nil"/>
            </w:tcBorders>
            <w:shd w:val="clear" w:color="auto" w:fill="auto"/>
            <w:noWrap/>
            <w:vAlign w:val="center"/>
          </w:tcPr>
          <w:p w14:paraId="6B4DF4D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4639.51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05CAF050">
            <w:pPr>
              <w:widowControl/>
              <w:jc w:val="center"/>
              <w:rPr>
                <w:rFonts w:ascii="宋体" w:hAnsi="宋体" w:cs="宋体"/>
                <w:color w:val="000000"/>
                <w:kern w:val="0"/>
                <w:sz w:val="18"/>
                <w:szCs w:val="18"/>
              </w:rPr>
            </w:pPr>
            <w:r>
              <w:rPr>
                <w:rFonts w:hint="eastAsia" w:ascii="宋体" w:hAnsi="宋体" w:cs="宋体"/>
                <w:color w:val="000000"/>
                <w:kern w:val="0"/>
                <w:sz w:val="18"/>
                <w:szCs w:val="18"/>
              </w:rPr>
              <w:t>13162.2</w:t>
            </w:r>
          </w:p>
        </w:tc>
      </w:tr>
      <w:tr w14:paraId="1E95EAAF">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591B2D98">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160" w:type="dxa"/>
            <w:tcBorders>
              <w:top w:val="nil"/>
              <w:left w:val="nil"/>
              <w:bottom w:val="single" w:color="auto" w:sz="4" w:space="0"/>
              <w:right w:val="single" w:color="auto" w:sz="4" w:space="0"/>
            </w:tcBorders>
            <w:shd w:val="clear" w:color="auto" w:fill="auto"/>
            <w:noWrap/>
            <w:vAlign w:val="center"/>
          </w:tcPr>
          <w:p w14:paraId="69BD7DE2">
            <w:pPr>
              <w:widowControl/>
              <w:jc w:val="center"/>
              <w:rPr>
                <w:rFonts w:ascii="宋体" w:hAnsi="宋体" w:cs="宋体"/>
                <w:color w:val="000000"/>
                <w:kern w:val="0"/>
                <w:sz w:val="18"/>
                <w:szCs w:val="18"/>
              </w:rPr>
            </w:pPr>
            <w:r>
              <w:rPr>
                <w:rFonts w:hint="eastAsia" w:ascii="宋体" w:hAnsi="宋体" w:cs="宋体"/>
                <w:color w:val="000000"/>
                <w:kern w:val="0"/>
                <w:sz w:val="18"/>
                <w:szCs w:val="18"/>
              </w:rPr>
              <w:t>2388.4</w:t>
            </w:r>
          </w:p>
        </w:tc>
        <w:tc>
          <w:tcPr>
            <w:tcW w:w="1037" w:type="dxa"/>
            <w:tcBorders>
              <w:top w:val="nil"/>
              <w:left w:val="nil"/>
              <w:bottom w:val="single" w:color="auto" w:sz="4" w:space="0"/>
              <w:right w:val="single" w:color="auto" w:sz="4" w:space="0"/>
            </w:tcBorders>
            <w:shd w:val="clear" w:color="auto" w:fill="auto"/>
            <w:noWrap/>
            <w:vAlign w:val="center"/>
          </w:tcPr>
          <w:p w14:paraId="1F002131">
            <w:pPr>
              <w:widowControl/>
              <w:jc w:val="center"/>
              <w:rPr>
                <w:rFonts w:ascii="宋体" w:hAnsi="宋体" w:cs="宋体"/>
                <w:color w:val="000000"/>
                <w:kern w:val="0"/>
                <w:sz w:val="18"/>
                <w:szCs w:val="18"/>
              </w:rPr>
            </w:pPr>
            <w:r>
              <w:rPr>
                <w:rFonts w:hint="eastAsia" w:ascii="宋体" w:hAnsi="宋体" w:cs="宋体"/>
                <w:color w:val="000000"/>
                <w:kern w:val="0"/>
                <w:sz w:val="18"/>
                <w:szCs w:val="18"/>
              </w:rPr>
              <w:t>4730.67</w:t>
            </w:r>
          </w:p>
        </w:tc>
        <w:tc>
          <w:tcPr>
            <w:tcW w:w="992" w:type="dxa"/>
            <w:tcBorders>
              <w:top w:val="nil"/>
              <w:left w:val="nil"/>
              <w:bottom w:val="single" w:color="auto" w:sz="4" w:space="0"/>
              <w:right w:val="single" w:color="auto" w:sz="4" w:space="0"/>
            </w:tcBorders>
            <w:shd w:val="clear" w:color="auto" w:fill="auto"/>
            <w:noWrap/>
            <w:vAlign w:val="center"/>
          </w:tcPr>
          <w:p w14:paraId="503B20A2">
            <w:pPr>
              <w:widowControl/>
              <w:jc w:val="center"/>
              <w:rPr>
                <w:rFonts w:ascii="宋体" w:hAnsi="宋体" w:cs="宋体"/>
                <w:color w:val="000000"/>
                <w:kern w:val="0"/>
                <w:sz w:val="18"/>
                <w:szCs w:val="18"/>
              </w:rPr>
            </w:pPr>
            <w:r>
              <w:rPr>
                <w:rFonts w:hint="eastAsia" w:ascii="宋体" w:hAnsi="宋体" w:cs="宋体"/>
                <w:color w:val="000000"/>
                <w:kern w:val="0"/>
                <w:sz w:val="18"/>
                <w:szCs w:val="18"/>
              </w:rPr>
              <w:t>384.68</w:t>
            </w:r>
          </w:p>
        </w:tc>
        <w:tc>
          <w:tcPr>
            <w:tcW w:w="1026" w:type="dxa"/>
            <w:tcBorders>
              <w:top w:val="nil"/>
              <w:left w:val="nil"/>
              <w:bottom w:val="single" w:color="auto" w:sz="4" w:space="0"/>
              <w:right w:val="single" w:color="auto" w:sz="4" w:space="0"/>
            </w:tcBorders>
            <w:shd w:val="clear" w:color="auto" w:fill="auto"/>
            <w:noWrap/>
            <w:vAlign w:val="center"/>
          </w:tcPr>
          <w:p w14:paraId="56DAD18C">
            <w:pPr>
              <w:widowControl/>
              <w:jc w:val="center"/>
              <w:rPr>
                <w:rFonts w:ascii="宋体" w:hAnsi="宋体" w:cs="宋体"/>
                <w:color w:val="000000"/>
                <w:kern w:val="0"/>
                <w:sz w:val="18"/>
                <w:szCs w:val="18"/>
              </w:rPr>
            </w:pPr>
            <w:r>
              <w:rPr>
                <w:rFonts w:hint="eastAsia" w:ascii="宋体" w:hAnsi="宋体" w:cs="宋体"/>
                <w:color w:val="000000"/>
                <w:kern w:val="0"/>
                <w:sz w:val="18"/>
                <w:szCs w:val="18"/>
              </w:rPr>
              <w:t>33.2</w:t>
            </w:r>
          </w:p>
        </w:tc>
        <w:tc>
          <w:tcPr>
            <w:tcW w:w="1026" w:type="dxa"/>
            <w:tcBorders>
              <w:top w:val="nil"/>
              <w:left w:val="nil"/>
              <w:bottom w:val="single" w:color="auto" w:sz="4" w:space="0"/>
              <w:right w:val="single" w:color="auto" w:sz="4" w:space="0"/>
            </w:tcBorders>
            <w:shd w:val="clear" w:color="auto" w:fill="auto"/>
            <w:noWrap/>
            <w:vAlign w:val="center"/>
          </w:tcPr>
          <w:p w14:paraId="7C6AC66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27.89 </w:t>
            </w:r>
          </w:p>
        </w:tc>
        <w:tc>
          <w:tcPr>
            <w:tcW w:w="1160" w:type="dxa"/>
            <w:tcBorders>
              <w:top w:val="nil"/>
              <w:left w:val="nil"/>
              <w:bottom w:val="single" w:color="auto" w:sz="4" w:space="0"/>
              <w:right w:val="single" w:color="auto" w:sz="4" w:space="0"/>
            </w:tcBorders>
            <w:shd w:val="clear" w:color="auto" w:fill="auto"/>
            <w:noWrap/>
            <w:vAlign w:val="center"/>
          </w:tcPr>
          <w:p w14:paraId="3AAA5D1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2617.64 </w:t>
            </w:r>
          </w:p>
        </w:tc>
        <w:tc>
          <w:tcPr>
            <w:tcW w:w="1160" w:type="dxa"/>
            <w:tcBorders>
              <w:top w:val="nil"/>
              <w:left w:val="nil"/>
              <w:bottom w:val="single" w:color="auto" w:sz="4" w:space="0"/>
              <w:right w:val="single" w:color="auto" w:sz="4" w:space="0"/>
            </w:tcBorders>
            <w:shd w:val="clear" w:color="auto" w:fill="auto"/>
            <w:noWrap/>
            <w:vAlign w:val="center"/>
          </w:tcPr>
          <w:p w14:paraId="618E6BEE">
            <w:pPr>
              <w:widowControl/>
              <w:jc w:val="center"/>
              <w:rPr>
                <w:rFonts w:ascii="宋体" w:hAnsi="宋体" w:cs="宋体"/>
                <w:color w:val="000000"/>
                <w:kern w:val="0"/>
                <w:sz w:val="18"/>
                <w:szCs w:val="18"/>
              </w:rPr>
            </w:pPr>
            <w:r>
              <w:rPr>
                <w:rFonts w:hint="eastAsia" w:ascii="宋体" w:hAnsi="宋体" w:cs="宋体"/>
                <w:color w:val="000000"/>
                <w:kern w:val="0"/>
                <w:sz w:val="18"/>
                <w:szCs w:val="18"/>
              </w:rPr>
              <w:t>14098.44</w:t>
            </w:r>
          </w:p>
        </w:tc>
        <w:tc>
          <w:tcPr>
            <w:tcW w:w="1085" w:type="dxa"/>
            <w:tcBorders>
              <w:top w:val="nil"/>
              <w:left w:val="nil"/>
              <w:bottom w:val="single" w:color="auto" w:sz="4" w:space="0"/>
              <w:right w:val="nil"/>
            </w:tcBorders>
            <w:shd w:val="clear" w:color="auto" w:fill="auto"/>
            <w:noWrap/>
            <w:vAlign w:val="center"/>
          </w:tcPr>
          <w:p w14:paraId="560350D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5918.26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6AAF296B">
            <w:pPr>
              <w:widowControl/>
              <w:jc w:val="center"/>
              <w:rPr>
                <w:rFonts w:ascii="宋体" w:hAnsi="宋体" w:cs="宋体"/>
                <w:color w:val="000000"/>
                <w:kern w:val="0"/>
                <w:sz w:val="18"/>
                <w:szCs w:val="18"/>
              </w:rPr>
            </w:pPr>
            <w:r>
              <w:rPr>
                <w:rFonts w:hint="eastAsia" w:ascii="宋体" w:hAnsi="宋体" w:cs="宋体"/>
                <w:color w:val="000000"/>
                <w:kern w:val="0"/>
                <w:sz w:val="18"/>
                <w:szCs w:val="18"/>
              </w:rPr>
              <w:t>30199.18</w:t>
            </w:r>
          </w:p>
        </w:tc>
      </w:tr>
      <w:tr w14:paraId="6E7186B3">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207B851A">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160" w:type="dxa"/>
            <w:tcBorders>
              <w:top w:val="nil"/>
              <w:left w:val="nil"/>
              <w:bottom w:val="single" w:color="auto" w:sz="4" w:space="0"/>
              <w:right w:val="single" w:color="auto" w:sz="4" w:space="0"/>
            </w:tcBorders>
            <w:shd w:val="clear" w:color="auto" w:fill="auto"/>
            <w:noWrap/>
            <w:vAlign w:val="center"/>
          </w:tcPr>
          <w:p w14:paraId="075A5A4D">
            <w:pPr>
              <w:widowControl/>
              <w:jc w:val="center"/>
              <w:rPr>
                <w:rFonts w:ascii="宋体" w:hAnsi="宋体" w:cs="宋体"/>
                <w:color w:val="000000"/>
                <w:kern w:val="0"/>
                <w:sz w:val="18"/>
                <w:szCs w:val="18"/>
              </w:rPr>
            </w:pPr>
            <w:r>
              <w:rPr>
                <w:rFonts w:hint="eastAsia" w:ascii="宋体" w:hAnsi="宋体" w:cs="宋体"/>
                <w:color w:val="000000"/>
                <w:kern w:val="0"/>
                <w:sz w:val="18"/>
                <w:szCs w:val="18"/>
              </w:rPr>
              <w:t>1972.82</w:t>
            </w:r>
          </w:p>
        </w:tc>
        <w:tc>
          <w:tcPr>
            <w:tcW w:w="1037" w:type="dxa"/>
            <w:tcBorders>
              <w:top w:val="nil"/>
              <w:left w:val="nil"/>
              <w:bottom w:val="single" w:color="auto" w:sz="4" w:space="0"/>
              <w:right w:val="single" w:color="auto" w:sz="4" w:space="0"/>
            </w:tcBorders>
            <w:shd w:val="clear" w:color="auto" w:fill="auto"/>
            <w:noWrap/>
            <w:vAlign w:val="center"/>
          </w:tcPr>
          <w:p w14:paraId="2116C79F">
            <w:pPr>
              <w:widowControl/>
              <w:jc w:val="center"/>
              <w:rPr>
                <w:rFonts w:ascii="宋体" w:hAnsi="宋体" w:cs="宋体"/>
                <w:color w:val="000000"/>
                <w:kern w:val="0"/>
                <w:sz w:val="18"/>
                <w:szCs w:val="18"/>
              </w:rPr>
            </w:pPr>
            <w:r>
              <w:rPr>
                <w:rFonts w:hint="eastAsia" w:ascii="宋体" w:hAnsi="宋体" w:cs="宋体"/>
                <w:color w:val="000000"/>
                <w:kern w:val="0"/>
                <w:sz w:val="18"/>
                <w:szCs w:val="18"/>
              </w:rPr>
              <w:t>2652.92</w:t>
            </w:r>
          </w:p>
        </w:tc>
        <w:tc>
          <w:tcPr>
            <w:tcW w:w="992" w:type="dxa"/>
            <w:tcBorders>
              <w:top w:val="nil"/>
              <w:left w:val="nil"/>
              <w:bottom w:val="single" w:color="auto" w:sz="4" w:space="0"/>
              <w:right w:val="single" w:color="auto" w:sz="4" w:space="0"/>
            </w:tcBorders>
            <w:shd w:val="clear" w:color="auto" w:fill="auto"/>
            <w:noWrap/>
            <w:vAlign w:val="center"/>
          </w:tcPr>
          <w:p w14:paraId="30684287">
            <w:pPr>
              <w:widowControl/>
              <w:jc w:val="center"/>
              <w:rPr>
                <w:rFonts w:ascii="宋体" w:hAnsi="宋体" w:cs="宋体"/>
                <w:color w:val="000000"/>
                <w:kern w:val="0"/>
                <w:sz w:val="18"/>
                <w:szCs w:val="18"/>
              </w:rPr>
            </w:pPr>
            <w:r>
              <w:rPr>
                <w:rFonts w:hint="eastAsia" w:ascii="宋体" w:hAnsi="宋体" w:cs="宋体"/>
                <w:color w:val="000000"/>
                <w:kern w:val="0"/>
                <w:sz w:val="18"/>
                <w:szCs w:val="18"/>
              </w:rPr>
              <w:t>559.76</w:t>
            </w:r>
          </w:p>
        </w:tc>
        <w:tc>
          <w:tcPr>
            <w:tcW w:w="1026" w:type="dxa"/>
            <w:tcBorders>
              <w:top w:val="nil"/>
              <w:left w:val="nil"/>
              <w:bottom w:val="single" w:color="auto" w:sz="4" w:space="0"/>
              <w:right w:val="single" w:color="auto" w:sz="4" w:space="0"/>
            </w:tcBorders>
            <w:shd w:val="clear" w:color="auto" w:fill="auto"/>
            <w:noWrap/>
            <w:vAlign w:val="center"/>
          </w:tcPr>
          <w:p w14:paraId="213791B1">
            <w:pPr>
              <w:widowControl/>
              <w:jc w:val="center"/>
              <w:rPr>
                <w:rFonts w:ascii="宋体" w:hAnsi="宋体" w:cs="宋体"/>
                <w:color w:val="000000"/>
                <w:kern w:val="0"/>
                <w:sz w:val="18"/>
                <w:szCs w:val="18"/>
              </w:rPr>
            </w:pPr>
            <w:r>
              <w:rPr>
                <w:rFonts w:hint="eastAsia" w:ascii="宋体" w:hAnsi="宋体" w:cs="宋体"/>
                <w:color w:val="000000"/>
                <w:kern w:val="0"/>
                <w:sz w:val="18"/>
                <w:szCs w:val="18"/>
              </w:rPr>
              <w:t>313.12</w:t>
            </w:r>
          </w:p>
        </w:tc>
        <w:tc>
          <w:tcPr>
            <w:tcW w:w="1026" w:type="dxa"/>
            <w:tcBorders>
              <w:top w:val="nil"/>
              <w:left w:val="nil"/>
              <w:bottom w:val="single" w:color="auto" w:sz="4" w:space="0"/>
              <w:right w:val="single" w:color="auto" w:sz="4" w:space="0"/>
            </w:tcBorders>
            <w:shd w:val="clear" w:color="auto" w:fill="auto"/>
            <w:noWrap/>
            <w:vAlign w:val="center"/>
          </w:tcPr>
          <w:p w14:paraId="3D52133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2.90 </w:t>
            </w:r>
          </w:p>
        </w:tc>
        <w:tc>
          <w:tcPr>
            <w:tcW w:w="1160" w:type="dxa"/>
            <w:tcBorders>
              <w:top w:val="nil"/>
              <w:left w:val="nil"/>
              <w:bottom w:val="single" w:color="auto" w:sz="4" w:space="0"/>
              <w:right w:val="single" w:color="auto" w:sz="4" w:space="0"/>
            </w:tcBorders>
            <w:shd w:val="clear" w:color="auto" w:fill="auto"/>
            <w:noWrap/>
            <w:vAlign w:val="center"/>
          </w:tcPr>
          <w:p w14:paraId="1F47F72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96.64 </w:t>
            </w:r>
          </w:p>
        </w:tc>
        <w:tc>
          <w:tcPr>
            <w:tcW w:w="1160" w:type="dxa"/>
            <w:tcBorders>
              <w:top w:val="nil"/>
              <w:left w:val="nil"/>
              <w:bottom w:val="single" w:color="auto" w:sz="4" w:space="0"/>
              <w:right w:val="single" w:color="auto" w:sz="4" w:space="0"/>
            </w:tcBorders>
            <w:shd w:val="clear" w:color="auto" w:fill="auto"/>
            <w:noWrap/>
            <w:vAlign w:val="center"/>
          </w:tcPr>
          <w:p w14:paraId="6BBFEB05">
            <w:pPr>
              <w:widowControl/>
              <w:jc w:val="center"/>
              <w:rPr>
                <w:rFonts w:ascii="宋体" w:hAnsi="宋体" w:cs="宋体"/>
                <w:color w:val="000000"/>
                <w:kern w:val="0"/>
                <w:sz w:val="18"/>
                <w:szCs w:val="18"/>
              </w:rPr>
            </w:pPr>
            <w:r>
              <w:rPr>
                <w:rFonts w:hint="eastAsia" w:ascii="宋体" w:hAnsi="宋体" w:cs="宋体"/>
                <w:color w:val="000000"/>
                <w:kern w:val="0"/>
                <w:sz w:val="18"/>
                <w:szCs w:val="18"/>
              </w:rPr>
              <w:t>10904.6</w:t>
            </w:r>
          </w:p>
        </w:tc>
        <w:tc>
          <w:tcPr>
            <w:tcW w:w="1085" w:type="dxa"/>
            <w:tcBorders>
              <w:top w:val="nil"/>
              <w:left w:val="nil"/>
              <w:bottom w:val="single" w:color="auto" w:sz="4" w:space="0"/>
              <w:right w:val="nil"/>
            </w:tcBorders>
            <w:shd w:val="clear" w:color="auto" w:fill="auto"/>
            <w:noWrap/>
            <w:vAlign w:val="center"/>
          </w:tcPr>
          <w:p w14:paraId="522B4FD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12648.49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18898490">
            <w:pPr>
              <w:widowControl/>
              <w:jc w:val="center"/>
              <w:rPr>
                <w:rFonts w:ascii="宋体" w:hAnsi="宋体" w:cs="宋体"/>
                <w:color w:val="000000"/>
                <w:kern w:val="0"/>
                <w:sz w:val="18"/>
                <w:szCs w:val="18"/>
              </w:rPr>
            </w:pPr>
            <w:r>
              <w:rPr>
                <w:rFonts w:hint="eastAsia" w:ascii="宋体" w:hAnsi="宋体" w:cs="宋体"/>
                <w:color w:val="000000"/>
                <w:kern w:val="0"/>
                <w:sz w:val="18"/>
                <w:szCs w:val="18"/>
              </w:rPr>
              <w:t>29151.25</w:t>
            </w:r>
          </w:p>
        </w:tc>
      </w:tr>
      <w:tr w14:paraId="1BB4AE43">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582CBE00">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160" w:type="dxa"/>
            <w:tcBorders>
              <w:top w:val="nil"/>
              <w:left w:val="nil"/>
              <w:bottom w:val="single" w:color="auto" w:sz="4" w:space="0"/>
              <w:right w:val="single" w:color="auto" w:sz="4" w:space="0"/>
            </w:tcBorders>
            <w:shd w:val="clear" w:color="auto" w:fill="auto"/>
            <w:noWrap/>
            <w:vAlign w:val="center"/>
          </w:tcPr>
          <w:p w14:paraId="67AA29C8">
            <w:pPr>
              <w:widowControl/>
              <w:jc w:val="center"/>
              <w:rPr>
                <w:rFonts w:ascii="宋体" w:hAnsi="宋体" w:cs="宋体"/>
                <w:color w:val="000000"/>
                <w:kern w:val="0"/>
                <w:sz w:val="18"/>
                <w:szCs w:val="18"/>
              </w:rPr>
            </w:pPr>
            <w:r>
              <w:rPr>
                <w:rFonts w:hint="eastAsia" w:ascii="宋体" w:hAnsi="宋体" w:cs="宋体"/>
                <w:color w:val="000000"/>
                <w:kern w:val="0"/>
                <w:sz w:val="18"/>
                <w:szCs w:val="18"/>
              </w:rPr>
              <w:t>2156.91</w:t>
            </w:r>
          </w:p>
        </w:tc>
        <w:tc>
          <w:tcPr>
            <w:tcW w:w="1037" w:type="dxa"/>
            <w:tcBorders>
              <w:top w:val="nil"/>
              <w:left w:val="nil"/>
              <w:bottom w:val="single" w:color="auto" w:sz="4" w:space="0"/>
              <w:right w:val="single" w:color="auto" w:sz="4" w:space="0"/>
            </w:tcBorders>
            <w:shd w:val="clear" w:color="auto" w:fill="auto"/>
            <w:noWrap/>
            <w:vAlign w:val="center"/>
          </w:tcPr>
          <w:p w14:paraId="21AC3FA9">
            <w:pPr>
              <w:widowControl/>
              <w:jc w:val="center"/>
              <w:rPr>
                <w:rFonts w:ascii="宋体" w:hAnsi="宋体" w:cs="宋体"/>
                <w:color w:val="000000"/>
                <w:kern w:val="0"/>
                <w:sz w:val="18"/>
                <w:szCs w:val="18"/>
              </w:rPr>
            </w:pPr>
            <w:r>
              <w:rPr>
                <w:rFonts w:hint="eastAsia" w:ascii="宋体" w:hAnsi="宋体" w:cs="宋体"/>
                <w:color w:val="000000"/>
                <w:kern w:val="0"/>
                <w:sz w:val="18"/>
                <w:szCs w:val="18"/>
              </w:rPr>
              <w:t>2494.26</w:t>
            </w:r>
          </w:p>
        </w:tc>
        <w:tc>
          <w:tcPr>
            <w:tcW w:w="992" w:type="dxa"/>
            <w:tcBorders>
              <w:top w:val="nil"/>
              <w:left w:val="nil"/>
              <w:bottom w:val="single" w:color="auto" w:sz="4" w:space="0"/>
              <w:right w:val="single" w:color="auto" w:sz="4" w:space="0"/>
            </w:tcBorders>
            <w:shd w:val="clear" w:color="auto" w:fill="auto"/>
            <w:noWrap/>
            <w:vAlign w:val="center"/>
          </w:tcPr>
          <w:p w14:paraId="083BD1F8">
            <w:pPr>
              <w:widowControl/>
              <w:jc w:val="center"/>
              <w:rPr>
                <w:rFonts w:ascii="宋体" w:hAnsi="宋体" w:cs="宋体"/>
                <w:color w:val="000000"/>
                <w:kern w:val="0"/>
                <w:sz w:val="18"/>
                <w:szCs w:val="18"/>
              </w:rPr>
            </w:pPr>
            <w:r>
              <w:rPr>
                <w:rFonts w:hint="eastAsia" w:ascii="宋体" w:hAnsi="宋体" w:cs="宋体"/>
                <w:color w:val="000000"/>
                <w:kern w:val="0"/>
                <w:sz w:val="18"/>
                <w:szCs w:val="18"/>
              </w:rPr>
              <w:t>462.67</w:t>
            </w:r>
          </w:p>
        </w:tc>
        <w:tc>
          <w:tcPr>
            <w:tcW w:w="1026" w:type="dxa"/>
            <w:tcBorders>
              <w:top w:val="nil"/>
              <w:left w:val="nil"/>
              <w:bottom w:val="single" w:color="auto" w:sz="4" w:space="0"/>
              <w:right w:val="single" w:color="auto" w:sz="4" w:space="0"/>
            </w:tcBorders>
            <w:shd w:val="clear" w:color="auto" w:fill="auto"/>
            <w:noWrap/>
            <w:vAlign w:val="center"/>
          </w:tcPr>
          <w:p w14:paraId="36893146">
            <w:pPr>
              <w:widowControl/>
              <w:jc w:val="center"/>
              <w:rPr>
                <w:rFonts w:ascii="宋体" w:hAnsi="宋体" w:cs="宋体"/>
                <w:color w:val="000000"/>
                <w:kern w:val="0"/>
                <w:sz w:val="18"/>
                <w:szCs w:val="18"/>
              </w:rPr>
            </w:pPr>
            <w:r>
              <w:rPr>
                <w:rFonts w:hint="eastAsia" w:ascii="宋体" w:hAnsi="宋体" w:cs="宋体"/>
                <w:color w:val="000000"/>
                <w:kern w:val="0"/>
                <w:sz w:val="18"/>
                <w:szCs w:val="18"/>
              </w:rPr>
              <w:t>22.17</w:t>
            </w:r>
          </w:p>
        </w:tc>
        <w:tc>
          <w:tcPr>
            <w:tcW w:w="1026" w:type="dxa"/>
            <w:tcBorders>
              <w:top w:val="nil"/>
              <w:left w:val="nil"/>
              <w:bottom w:val="single" w:color="auto" w:sz="4" w:space="0"/>
              <w:right w:val="single" w:color="auto" w:sz="4" w:space="0"/>
            </w:tcBorders>
            <w:shd w:val="clear" w:color="auto" w:fill="auto"/>
            <w:noWrap/>
            <w:vAlign w:val="center"/>
          </w:tcPr>
          <w:p w14:paraId="2D650AD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tcBorders>
              <w:top w:val="nil"/>
              <w:left w:val="nil"/>
              <w:bottom w:val="single" w:color="auto" w:sz="4" w:space="0"/>
              <w:right w:val="single" w:color="auto" w:sz="4" w:space="0"/>
            </w:tcBorders>
            <w:shd w:val="clear" w:color="auto" w:fill="auto"/>
            <w:noWrap/>
            <w:vAlign w:val="center"/>
          </w:tcPr>
          <w:p w14:paraId="50541A1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75.14 </w:t>
            </w:r>
          </w:p>
        </w:tc>
        <w:tc>
          <w:tcPr>
            <w:tcW w:w="1160" w:type="dxa"/>
            <w:tcBorders>
              <w:top w:val="nil"/>
              <w:left w:val="nil"/>
              <w:bottom w:val="single" w:color="auto" w:sz="4" w:space="0"/>
              <w:right w:val="single" w:color="auto" w:sz="4" w:space="0"/>
            </w:tcBorders>
            <w:shd w:val="clear" w:color="auto" w:fill="auto"/>
            <w:noWrap/>
            <w:vAlign w:val="center"/>
          </w:tcPr>
          <w:p w14:paraId="01D512AE">
            <w:pPr>
              <w:widowControl/>
              <w:jc w:val="center"/>
              <w:rPr>
                <w:rFonts w:ascii="宋体" w:hAnsi="宋体" w:cs="宋体"/>
                <w:color w:val="000000"/>
                <w:kern w:val="0"/>
                <w:sz w:val="18"/>
                <w:szCs w:val="18"/>
              </w:rPr>
            </w:pPr>
            <w:r>
              <w:rPr>
                <w:rFonts w:hint="eastAsia" w:ascii="宋体" w:hAnsi="宋体" w:cs="宋体"/>
                <w:color w:val="000000"/>
                <w:kern w:val="0"/>
                <w:sz w:val="18"/>
                <w:szCs w:val="18"/>
              </w:rPr>
              <w:t>5270.26</w:t>
            </w:r>
          </w:p>
        </w:tc>
        <w:tc>
          <w:tcPr>
            <w:tcW w:w="1085" w:type="dxa"/>
            <w:tcBorders>
              <w:top w:val="nil"/>
              <w:left w:val="nil"/>
              <w:bottom w:val="single" w:color="auto" w:sz="4" w:space="0"/>
              <w:right w:val="nil"/>
            </w:tcBorders>
            <w:shd w:val="clear" w:color="auto" w:fill="auto"/>
            <w:noWrap/>
            <w:vAlign w:val="center"/>
          </w:tcPr>
          <w:p w14:paraId="098A3D0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8911.73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2EF33DFA">
            <w:pPr>
              <w:widowControl/>
              <w:jc w:val="center"/>
              <w:rPr>
                <w:rFonts w:ascii="宋体" w:hAnsi="宋体" w:cs="宋体"/>
                <w:color w:val="000000"/>
                <w:kern w:val="0"/>
                <w:sz w:val="18"/>
                <w:szCs w:val="18"/>
              </w:rPr>
            </w:pPr>
            <w:r>
              <w:rPr>
                <w:rFonts w:hint="eastAsia" w:ascii="宋体" w:hAnsi="宋体" w:cs="宋体"/>
                <w:color w:val="000000"/>
                <w:kern w:val="0"/>
                <w:sz w:val="18"/>
                <w:szCs w:val="18"/>
              </w:rPr>
              <w:t>19393.14</w:t>
            </w:r>
          </w:p>
        </w:tc>
      </w:tr>
      <w:tr w14:paraId="7BCB2FEB">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02482AAB">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160" w:type="dxa"/>
            <w:tcBorders>
              <w:top w:val="nil"/>
              <w:left w:val="nil"/>
              <w:bottom w:val="single" w:color="auto" w:sz="4" w:space="0"/>
              <w:right w:val="single" w:color="auto" w:sz="4" w:space="0"/>
            </w:tcBorders>
            <w:shd w:val="clear" w:color="auto" w:fill="auto"/>
            <w:noWrap/>
            <w:vAlign w:val="center"/>
          </w:tcPr>
          <w:p w14:paraId="4C73ACC8">
            <w:pPr>
              <w:widowControl/>
              <w:jc w:val="center"/>
              <w:rPr>
                <w:rFonts w:ascii="宋体" w:hAnsi="宋体" w:cs="宋体"/>
                <w:color w:val="000000"/>
                <w:kern w:val="0"/>
                <w:sz w:val="18"/>
                <w:szCs w:val="18"/>
              </w:rPr>
            </w:pPr>
            <w:r>
              <w:rPr>
                <w:rFonts w:hint="eastAsia" w:ascii="宋体" w:hAnsi="宋体" w:cs="宋体"/>
                <w:color w:val="000000"/>
                <w:kern w:val="0"/>
                <w:sz w:val="18"/>
                <w:szCs w:val="18"/>
              </w:rPr>
              <w:t>542.38</w:t>
            </w:r>
          </w:p>
        </w:tc>
        <w:tc>
          <w:tcPr>
            <w:tcW w:w="1037" w:type="dxa"/>
            <w:tcBorders>
              <w:top w:val="nil"/>
              <w:left w:val="nil"/>
              <w:bottom w:val="single" w:color="auto" w:sz="4" w:space="0"/>
              <w:right w:val="single" w:color="auto" w:sz="4" w:space="0"/>
            </w:tcBorders>
            <w:shd w:val="clear" w:color="auto" w:fill="auto"/>
            <w:noWrap/>
            <w:vAlign w:val="center"/>
          </w:tcPr>
          <w:p w14:paraId="309FED32">
            <w:pPr>
              <w:widowControl/>
              <w:jc w:val="center"/>
              <w:rPr>
                <w:rFonts w:ascii="宋体" w:hAnsi="宋体" w:cs="宋体"/>
                <w:color w:val="000000"/>
                <w:kern w:val="0"/>
                <w:sz w:val="18"/>
                <w:szCs w:val="18"/>
              </w:rPr>
            </w:pPr>
            <w:r>
              <w:rPr>
                <w:rFonts w:hint="eastAsia" w:ascii="宋体" w:hAnsi="宋体" w:cs="宋体"/>
                <w:color w:val="000000"/>
                <w:kern w:val="0"/>
                <w:sz w:val="18"/>
                <w:szCs w:val="18"/>
              </w:rPr>
              <w:t>528.12</w:t>
            </w:r>
          </w:p>
        </w:tc>
        <w:tc>
          <w:tcPr>
            <w:tcW w:w="992" w:type="dxa"/>
            <w:tcBorders>
              <w:top w:val="nil"/>
              <w:left w:val="nil"/>
              <w:bottom w:val="single" w:color="auto" w:sz="4" w:space="0"/>
              <w:right w:val="single" w:color="auto" w:sz="4" w:space="0"/>
            </w:tcBorders>
            <w:shd w:val="clear" w:color="auto" w:fill="auto"/>
            <w:noWrap/>
            <w:vAlign w:val="center"/>
          </w:tcPr>
          <w:p w14:paraId="79C75E64">
            <w:pPr>
              <w:widowControl/>
              <w:jc w:val="center"/>
              <w:rPr>
                <w:rFonts w:ascii="宋体" w:hAnsi="宋体" w:cs="宋体"/>
                <w:color w:val="000000"/>
                <w:kern w:val="0"/>
                <w:sz w:val="18"/>
                <w:szCs w:val="18"/>
              </w:rPr>
            </w:pPr>
            <w:r>
              <w:rPr>
                <w:rFonts w:hint="eastAsia" w:ascii="宋体" w:hAnsi="宋体" w:cs="宋体"/>
                <w:color w:val="000000"/>
                <w:kern w:val="0"/>
                <w:sz w:val="18"/>
                <w:szCs w:val="18"/>
              </w:rPr>
              <w:t>142.36</w:t>
            </w:r>
          </w:p>
        </w:tc>
        <w:tc>
          <w:tcPr>
            <w:tcW w:w="1026" w:type="dxa"/>
            <w:tcBorders>
              <w:top w:val="nil"/>
              <w:left w:val="nil"/>
              <w:bottom w:val="single" w:color="auto" w:sz="4" w:space="0"/>
              <w:right w:val="single" w:color="auto" w:sz="4" w:space="0"/>
            </w:tcBorders>
            <w:shd w:val="clear" w:color="auto" w:fill="auto"/>
            <w:noWrap/>
            <w:vAlign w:val="center"/>
          </w:tcPr>
          <w:p w14:paraId="69E7FDD5">
            <w:pPr>
              <w:widowControl/>
              <w:jc w:val="center"/>
              <w:rPr>
                <w:rFonts w:ascii="宋体" w:hAnsi="宋体" w:cs="宋体"/>
                <w:color w:val="000000"/>
                <w:kern w:val="0"/>
                <w:sz w:val="18"/>
                <w:szCs w:val="18"/>
              </w:rPr>
            </w:pPr>
            <w:r>
              <w:rPr>
                <w:rFonts w:hint="eastAsia" w:ascii="宋体" w:hAnsi="宋体" w:cs="宋体"/>
                <w:color w:val="000000"/>
                <w:kern w:val="0"/>
                <w:sz w:val="18"/>
                <w:szCs w:val="18"/>
              </w:rPr>
              <w:t>116.05</w:t>
            </w:r>
          </w:p>
        </w:tc>
        <w:tc>
          <w:tcPr>
            <w:tcW w:w="1026" w:type="dxa"/>
            <w:tcBorders>
              <w:top w:val="nil"/>
              <w:left w:val="nil"/>
              <w:bottom w:val="single" w:color="auto" w:sz="4" w:space="0"/>
              <w:right w:val="single" w:color="auto" w:sz="4" w:space="0"/>
            </w:tcBorders>
            <w:shd w:val="clear" w:color="auto" w:fill="auto"/>
            <w:noWrap/>
            <w:vAlign w:val="center"/>
          </w:tcPr>
          <w:p w14:paraId="203AECF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tcBorders>
              <w:top w:val="nil"/>
              <w:left w:val="nil"/>
              <w:bottom w:val="single" w:color="auto" w:sz="4" w:space="0"/>
              <w:right w:val="single" w:color="auto" w:sz="4" w:space="0"/>
            </w:tcBorders>
            <w:shd w:val="clear" w:color="auto" w:fill="auto"/>
            <w:noWrap/>
            <w:vAlign w:val="center"/>
          </w:tcPr>
          <w:p w14:paraId="319A8F5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187.48 </w:t>
            </w:r>
          </w:p>
        </w:tc>
        <w:tc>
          <w:tcPr>
            <w:tcW w:w="1160" w:type="dxa"/>
            <w:tcBorders>
              <w:top w:val="nil"/>
              <w:left w:val="nil"/>
              <w:bottom w:val="single" w:color="auto" w:sz="4" w:space="0"/>
              <w:right w:val="single" w:color="auto" w:sz="4" w:space="0"/>
            </w:tcBorders>
            <w:shd w:val="clear" w:color="auto" w:fill="auto"/>
            <w:noWrap/>
            <w:vAlign w:val="center"/>
          </w:tcPr>
          <w:p w14:paraId="49933CC4">
            <w:pPr>
              <w:widowControl/>
              <w:jc w:val="center"/>
              <w:rPr>
                <w:rFonts w:ascii="宋体" w:hAnsi="宋体" w:cs="宋体"/>
                <w:color w:val="000000"/>
                <w:kern w:val="0"/>
                <w:sz w:val="18"/>
                <w:szCs w:val="18"/>
              </w:rPr>
            </w:pPr>
            <w:r>
              <w:rPr>
                <w:rFonts w:hint="eastAsia" w:ascii="宋体" w:hAnsi="宋体" w:cs="宋体"/>
                <w:color w:val="000000"/>
                <w:kern w:val="0"/>
                <w:sz w:val="18"/>
                <w:szCs w:val="18"/>
              </w:rPr>
              <w:t>7366.14</w:t>
            </w:r>
          </w:p>
        </w:tc>
        <w:tc>
          <w:tcPr>
            <w:tcW w:w="1085" w:type="dxa"/>
            <w:tcBorders>
              <w:top w:val="nil"/>
              <w:left w:val="nil"/>
              <w:bottom w:val="single" w:color="auto" w:sz="4" w:space="0"/>
              <w:right w:val="nil"/>
            </w:tcBorders>
            <w:shd w:val="clear" w:color="auto" w:fill="auto"/>
            <w:noWrap/>
            <w:vAlign w:val="center"/>
          </w:tcPr>
          <w:p w14:paraId="2A898CB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5634.05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0FAD51F6">
            <w:pPr>
              <w:widowControl/>
              <w:jc w:val="center"/>
              <w:rPr>
                <w:rFonts w:ascii="宋体" w:hAnsi="宋体" w:cs="宋体"/>
                <w:color w:val="000000"/>
                <w:kern w:val="0"/>
                <w:sz w:val="18"/>
                <w:szCs w:val="18"/>
              </w:rPr>
            </w:pPr>
            <w:r>
              <w:rPr>
                <w:rFonts w:hint="eastAsia" w:ascii="宋体" w:hAnsi="宋体" w:cs="宋体"/>
                <w:color w:val="000000"/>
                <w:kern w:val="0"/>
                <w:sz w:val="18"/>
                <w:szCs w:val="18"/>
              </w:rPr>
              <w:t>14516.58</w:t>
            </w:r>
          </w:p>
        </w:tc>
      </w:tr>
      <w:tr w14:paraId="1B3ED422">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212494E8">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160" w:type="dxa"/>
            <w:tcBorders>
              <w:top w:val="nil"/>
              <w:left w:val="nil"/>
              <w:bottom w:val="single" w:color="auto" w:sz="4" w:space="0"/>
              <w:right w:val="single" w:color="auto" w:sz="4" w:space="0"/>
            </w:tcBorders>
            <w:shd w:val="clear" w:color="auto" w:fill="auto"/>
            <w:noWrap/>
            <w:vAlign w:val="center"/>
          </w:tcPr>
          <w:p w14:paraId="1B3B9D13">
            <w:pPr>
              <w:widowControl/>
              <w:jc w:val="center"/>
              <w:rPr>
                <w:rFonts w:ascii="宋体" w:hAnsi="宋体" w:cs="宋体"/>
                <w:color w:val="000000"/>
                <w:kern w:val="0"/>
                <w:sz w:val="18"/>
                <w:szCs w:val="18"/>
              </w:rPr>
            </w:pPr>
            <w:r>
              <w:rPr>
                <w:rFonts w:hint="eastAsia" w:ascii="宋体" w:hAnsi="宋体" w:cs="宋体"/>
                <w:color w:val="000000"/>
                <w:kern w:val="0"/>
                <w:sz w:val="18"/>
                <w:szCs w:val="18"/>
              </w:rPr>
              <w:t>758.18</w:t>
            </w:r>
          </w:p>
        </w:tc>
        <w:tc>
          <w:tcPr>
            <w:tcW w:w="1037" w:type="dxa"/>
            <w:tcBorders>
              <w:top w:val="nil"/>
              <w:left w:val="nil"/>
              <w:bottom w:val="single" w:color="auto" w:sz="4" w:space="0"/>
              <w:right w:val="single" w:color="auto" w:sz="4" w:space="0"/>
            </w:tcBorders>
            <w:shd w:val="clear" w:color="auto" w:fill="auto"/>
            <w:noWrap/>
            <w:vAlign w:val="center"/>
          </w:tcPr>
          <w:p w14:paraId="08013E35">
            <w:pPr>
              <w:widowControl/>
              <w:jc w:val="center"/>
              <w:rPr>
                <w:rFonts w:ascii="宋体" w:hAnsi="宋体" w:cs="宋体"/>
                <w:color w:val="000000"/>
                <w:kern w:val="0"/>
                <w:sz w:val="18"/>
                <w:szCs w:val="18"/>
              </w:rPr>
            </w:pPr>
            <w:r>
              <w:rPr>
                <w:rFonts w:hint="eastAsia" w:ascii="宋体" w:hAnsi="宋体" w:cs="宋体"/>
                <w:color w:val="000000"/>
                <w:kern w:val="0"/>
                <w:sz w:val="18"/>
                <w:szCs w:val="18"/>
              </w:rPr>
              <w:t>598.54</w:t>
            </w:r>
          </w:p>
        </w:tc>
        <w:tc>
          <w:tcPr>
            <w:tcW w:w="992" w:type="dxa"/>
            <w:tcBorders>
              <w:top w:val="nil"/>
              <w:left w:val="nil"/>
              <w:bottom w:val="single" w:color="auto" w:sz="4" w:space="0"/>
              <w:right w:val="single" w:color="auto" w:sz="4" w:space="0"/>
            </w:tcBorders>
            <w:shd w:val="clear" w:color="auto" w:fill="auto"/>
            <w:noWrap/>
            <w:vAlign w:val="center"/>
          </w:tcPr>
          <w:p w14:paraId="4BB8F813">
            <w:pPr>
              <w:widowControl/>
              <w:jc w:val="center"/>
              <w:rPr>
                <w:rFonts w:ascii="宋体" w:hAnsi="宋体" w:cs="宋体"/>
                <w:color w:val="000000"/>
                <w:kern w:val="0"/>
                <w:sz w:val="18"/>
                <w:szCs w:val="18"/>
              </w:rPr>
            </w:pPr>
            <w:r>
              <w:rPr>
                <w:rFonts w:hint="eastAsia" w:ascii="宋体" w:hAnsi="宋体" w:cs="宋体"/>
                <w:color w:val="000000"/>
                <w:kern w:val="0"/>
                <w:sz w:val="18"/>
                <w:szCs w:val="18"/>
              </w:rPr>
              <w:t>93.54</w:t>
            </w:r>
          </w:p>
        </w:tc>
        <w:tc>
          <w:tcPr>
            <w:tcW w:w="1026" w:type="dxa"/>
            <w:tcBorders>
              <w:top w:val="nil"/>
              <w:left w:val="nil"/>
              <w:bottom w:val="single" w:color="auto" w:sz="4" w:space="0"/>
              <w:right w:val="single" w:color="auto" w:sz="4" w:space="0"/>
            </w:tcBorders>
            <w:shd w:val="clear" w:color="auto" w:fill="auto"/>
            <w:noWrap/>
            <w:vAlign w:val="center"/>
          </w:tcPr>
          <w:p w14:paraId="6863316F">
            <w:pPr>
              <w:widowControl/>
              <w:jc w:val="center"/>
              <w:rPr>
                <w:rFonts w:ascii="宋体" w:hAnsi="宋体" w:cs="宋体"/>
                <w:color w:val="000000"/>
                <w:kern w:val="0"/>
                <w:sz w:val="18"/>
                <w:szCs w:val="18"/>
              </w:rPr>
            </w:pPr>
            <w:r>
              <w:rPr>
                <w:rFonts w:hint="eastAsia" w:ascii="宋体" w:hAnsi="宋体" w:cs="宋体"/>
                <w:color w:val="000000"/>
                <w:kern w:val="0"/>
                <w:sz w:val="18"/>
                <w:szCs w:val="18"/>
              </w:rPr>
              <w:t>27.72</w:t>
            </w:r>
          </w:p>
        </w:tc>
        <w:tc>
          <w:tcPr>
            <w:tcW w:w="1026" w:type="dxa"/>
            <w:tcBorders>
              <w:top w:val="nil"/>
              <w:left w:val="nil"/>
              <w:bottom w:val="single" w:color="auto" w:sz="4" w:space="0"/>
              <w:right w:val="single" w:color="auto" w:sz="4" w:space="0"/>
            </w:tcBorders>
            <w:shd w:val="clear" w:color="auto" w:fill="auto"/>
            <w:noWrap/>
            <w:vAlign w:val="center"/>
          </w:tcPr>
          <w:p w14:paraId="68945EE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tcBorders>
              <w:top w:val="nil"/>
              <w:left w:val="nil"/>
              <w:bottom w:val="single" w:color="auto" w:sz="4" w:space="0"/>
              <w:right w:val="single" w:color="auto" w:sz="4" w:space="0"/>
            </w:tcBorders>
            <w:shd w:val="clear" w:color="auto" w:fill="auto"/>
            <w:noWrap/>
            <w:vAlign w:val="center"/>
          </w:tcPr>
          <w:p w14:paraId="53E41BA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1197.64 </w:t>
            </w:r>
          </w:p>
        </w:tc>
        <w:tc>
          <w:tcPr>
            <w:tcW w:w="1160" w:type="dxa"/>
            <w:tcBorders>
              <w:top w:val="nil"/>
              <w:left w:val="nil"/>
              <w:bottom w:val="single" w:color="auto" w:sz="4" w:space="0"/>
              <w:right w:val="single" w:color="auto" w:sz="4" w:space="0"/>
            </w:tcBorders>
            <w:shd w:val="clear" w:color="auto" w:fill="auto"/>
            <w:noWrap/>
            <w:vAlign w:val="center"/>
          </w:tcPr>
          <w:p w14:paraId="0EB8D4E0">
            <w:pPr>
              <w:widowControl/>
              <w:jc w:val="center"/>
              <w:rPr>
                <w:rFonts w:ascii="宋体" w:hAnsi="宋体" w:cs="宋体"/>
                <w:color w:val="000000"/>
                <w:kern w:val="0"/>
                <w:sz w:val="18"/>
                <w:szCs w:val="18"/>
              </w:rPr>
            </w:pPr>
            <w:r>
              <w:rPr>
                <w:rFonts w:hint="eastAsia" w:ascii="宋体" w:hAnsi="宋体" w:cs="宋体"/>
                <w:color w:val="000000"/>
                <w:kern w:val="0"/>
                <w:sz w:val="18"/>
                <w:szCs w:val="18"/>
              </w:rPr>
              <w:t>6221.41</w:t>
            </w:r>
          </w:p>
        </w:tc>
        <w:tc>
          <w:tcPr>
            <w:tcW w:w="1085" w:type="dxa"/>
            <w:tcBorders>
              <w:top w:val="nil"/>
              <w:left w:val="nil"/>
              <w:bottom w:val="single" w:color="auto" w:sz="4" w:space="0"/>
              <w:right w:val="nil"/>
            </w:tcBorders>
            <w:shd w:val="clear" w:color="auto" w:fill="auto"/>
            <w:noWrap/>
            <w:vAlign w:val="center"/>
          </w:tcPr>
          <w:p w14:paraId="6D903BF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7869.11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1ECDA0D0">
            <w:pPr>
              <w:widowControl/>
              <w:jc w:val="center"/>
              <w:rPr>
                <w:rFonts w:ascii="宋体" w:hAnsi="宋体" w:cs="宋体"/>
                <w:color w:val="000000"/>
                <w:kern w:val="0"/>
                <w:sz w:val="18"/>
                <w:szCs w:val="18"/>
              </w:rPr>
            </w:pPr>
            <w:r>
              <w:rPr>
                <w:rFonts w:hint="eastAsia" w:ascii="宋体" w:hAnsi="宋体" w:cs="宋体"/>
                <w:color w:val="000000"/>
                <w:kern w:val="0"/>
                <w:sz w:val="18"/>
                <w:szCs w:val="18"/>
              </w:rPr>
              <w:t>16766.14</w:t>
            </w:r>
          </w:p>
        </w:tc>
      </w:tr>
      <w:tr w14:paraId="19A817B2">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221DB063">
            <w:pPr>
              <w:widowControl/>
              <w:jc w:val="center"/>
              <w:rPr>
                <w:rFonts w:ascii="宋体" w:hAnsi="宋体" w:cs="宋体"/>
                <w:color w:val="000000"/>
                <w:kern w:val="0"/>
                <w:sz w:val="18"/>
                <w:szCs w:val="18"/>
              </w:rPr>
            </w:pPr>
            <w:r>
              <w:rPr>
                <w:rFonts w:hint="eastAsia" w:ascii="宋体" w:hAnsi="宋体" w:cs="宋体"/>
                <w:color w:val="000000"/>
                <w:kern w:val="0"/>
                <w:sz w:val="18"/>
                <w:szCs w:val="18"/>
              </w:rPr>
              <w:t>总计</w:t>
            </w:r>
          </w:p>
        </w:tc>
        <w:tc>
          <w:tcPr>
            <w:tcW w:w="1160" w:type="dxa"/>
            <w:tcBorders>
              <w:top w:val="nil"/>
              <w:left w:val="nil"/>
              <w:bottom w:val="single" w:color="auto" w:sz="4" w:space="0"/>
              <w:right w:val="single" w:color="auto" w:sz="4" w:space="0"/>
            </w:tcBorders>
            <w:shd w:val="clear" w:color="auto" w:fill="auto"/>
            <w:noWrap/>
            <w:vAlign w:val="center"/>
          </w:tcPr>
          <w:p w14:paraId="1E56AC7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17438.91 </w:t>
            </w:r>
          </w:p>
        </w:tc>
        <w:tc>
          <w:tcPr>
            <w:tcW w:w="1037" w:type="dxa"/>
            <w:tcBorders>
              <w:top w:val="nil"/>
              <w:left w:val="nil"/>
              <w:bottom w:val="single" w:color="auto" w:sz="4" w:space="0"/>
              <w:right w:val="single" w:color="auto" w:sz="4" w:space="0"/>
            </w:tcBorders>
            <w:shd w:val="clear" w:color="auto" w:fill="auto"/>
            <w:noWrap/>
            <w:vAlign w:val="center"/>
          </w:tcPr>
          <w:p w14:paraId="04B7AA7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23106.77 </w:t>
            </w:r>
          </w:p>
        </w:tc>
        <w:tc>
          <w:tcPr>
            <w:tcW w:w="992" w:type="dxa"/>
            <w:tcBorders>
              <w:top w:val="nil"/>
              <w:left w:val="nil"/>
              <w:bottom w:val="single" w:color="auto" w:sz="4" w:space="0"/>
              <w:right w:val="single" w:color="auto" w:sz="4" w:space="0"/>
            </w:tcBorders>
            <w:shd w:val="clear" w:color="auto" w:fill="auto"/>
            <w:noWrap/>
            <w:vAlign w:val="center"/>
          </w:tcPr>
          <w:p w14:paraId="4981236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4433.97 </w:t>
            </w:r>
          </w:p>
        </w:tc>
        <w:tc>
          <w:tcPr>
            <w:tcW w:w="1026" w:type="dxa"/>
            <w:tcBorders>
              <w:top w:val="nil"/>
              <w:left w:val="nil"/>
              <w:bottom w:val="single" w:color="auto" w:sz="4" w:space="0"/>
              <w:right w:val="single" w:color="auto" w:sz="4" w:space="0"/>
            </w:tcBorders>
            <w:shd w:val="clear" w:color="auto" w:fill="auto"/>
            <w:noWrap/>
            <w:vAlign w:val="center"/>
          </w:tcPr>
          <w:p w14:paraId="695BC9A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989.31 </w:t>
            </w:r>
          </w:p>
        </w:tc>
        <w:tc>
          <w:tcPr>
            <w:tcW w:w="1026" w:type="dxa"/>
            <w:tcBorders>
              <w:top w:val="nil"/>
              <w:left w:val="nil"/>
              <w:bottom w:val="single" w:color="auto" w:sz="4" w:space="0"/>
              <w:right w:val="single" w:color="auto" w:sz="4" w:space="0"/>
            </w:tcBorders>
            <w:shd w:val="clear" w:color="auto" w:fill="auto"/>
            <w:noWrap/>
            <w:vAlign w:val="center"/>
          </w:tcPr>
          <w:p w14:paraId="4DABFD5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125.12 </w:t>
            </w:r>
          </w:p>
        </w:tc>
        <w:tc>
          <w:tcPr>
            <w:tcW w:w="1160" w:type="dxa"/>
            <w:tcBorders>
              <w:top w:val="nil"/>
              <w:left w:val="nil"/>
              <w:bottom w:val="single" w:color="auto" w:sz="4" w:space="0"/>
              <w:right w:val="single" w:color="auto" w:sz="4" w:space="0"/>
            </w:tcBorders>
            <w:shd w:val="clear" w:color="auto" w:fill="auto"/>
            <w:noWrap/>
            <w:vAlign w:val="center"/>
          </w:tcPr>
          <w:p w14:paraId="3F47A1A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10033.68 </w:t>
            </w:r>
          </w:p>
        </w:tc>
        <w:tc>
          <w:tcPr>
            <w:tcW w:w="1160" w:type="dxa"/>
            <w:tcBorders>
              <w:top w:val="nil"/>
              <w:left w:val="nil"/>
              <w:bottom w:val="single" w:color="auto" w:sz="4" w:space="0"/>
              <w:right w:val="single" w:color="auto" w:sz="4" w:space="0"/>
            </w:tcBorders>
            <w:shd w:val="clear" w:color="auto" w:fill="auto"/>
            <w:noWrap/>
            <w:vAlign w:val="center"/>
          </w:tcPr>
          <w:p w14:paraId="1D44A14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64863.75 </w:t>
            </w:r>
          </w:p>
        </w:tc>
        <w:tc>
          <w:tcPr>
            <w:tcW w:w="1085" w:type="dxa"/>
            <w:tcBorders>
              <w:top w:val="nil"/>
              <w:left w:val="nil"/>
              <w:bottom w:val="single" w:color="auto" w:sz="4" w:space="0"/>
              <w:right w:val="nil"/>
            </w:tcBorders>
            <w:shd w:val="clear" w:color="auto" w:fill="auto"/>
            <w:noWrap/>
            <w:vAlign w:val="center"/>
          </w:tcPr>
          <w:p w14:paraId="3032F5F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65578.30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2C83EA95">
            <w:pPr>
              <w:widowControl/>
              <w:jc w:val="center"/>
              <w:rPr>
                <w:rFonts w:ascii="宋体" w:hAnsi="宋体" w:cs="宋体"/>
                <w:color w:val="000000"/>
                <w:kern w:val="0"/>
                <w:sz w:val="18"/>
                <w:szCs w:val="18"/>
              </w:rPr>
            </w:pPr>
            <w:r>
              <w:rPr>
                <w:rFonts w:hint="eastAsia" w:ascii="宋体" w:hAnsi="宋体" w:cs="宋体"/>
                <w:color w:val="000000"/>
                <w:kern w:val="0"/>
                <w:sz w:val="18"/>
                <w:szCs w:val="18"/>
              </w:rPr>
              <w:t>186569.81</w:t>
            </w:r>
          </w:p>
        </w:tc>
      </w:tr>
    </w:tbl>
    <w:p w14:paraId="27513BFF">
      <w:pPr>
        <w:jc w:val="center"/>
        <w:outlineLvl w:val="4"/>
        <w:rPr>
          <w:rFonts w:ascii="宋体" w:hAnsi="宋体"/>
          <w:b/>
          <w:sz w:val="24"/>
        </w:rPr>
      </w:pPr>
      <w:r>
        <w:rPr>
          <w:rFonts w:hint="eastAsia" w:ascii="宋体" w:hAnsi="宋体"/>
          <w:b/>
          <w:sz w:val="24"/>
        </w:rPr>
        <w:t>表6-10  东川区调整前后土地用途分区对比情况表</w:t>
      </w:r>
    </w:p>
    <w:p w14:paraId="0FDC3D92">
      <w:pPr>
        <w:spacing w:line="360" w:lineRule="auto"/>
        <w:ind w:firstLine="360" w:firstLineChars="200"/>
        <w:jc w:val="right"/>
        <w:rPr>
          <w:rFonts w:ascii="宋体" w:hAnsi="宋体"/>
          <w:color w:val="000000"/>
          <w:sz w:val="18"/>
          <w:szCs w:val="18"/>
        </w:rPr>
      </w:pPr>
      <w:r>
        <w:rPr>
          <w:rFonts w:hint="eastAsia" w:ascii="宋体" w:hAnsi="宋体"/>
          <w:color w:val="000000"/>
          <w:sz w:val="18"/>
          <w:szCs w:val="18"/>
        </w:rPr>
        <w:t>单位：公顷</w:t>
      </w:r>
    </w:p>
    <w:tbl>
      <w:tblPr>
        <w:tblStyle w:val="27"/>
        <w:tblW w:w="8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1260"/>
        <w:gridCol w:w="1026"/>
        <w:gridCol w:w="1206"/>
        <w:gridCol w:w="1026"/>
        <w:gridCol w:w="1026"/>
        <w:gridCol w:w="1260"/>
      </w:tblGrid>
      <w:tr w14:paraId="553C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23" w:type="dxa"/>
            <w:vMerge w:val="restart"/>
            <w:shd w:val="clear" w:color="auto" w:fill="auto"/>
            <w:noWrap/>
            <w:vAlign w:val="center"/>
          </w:tcPr>
          <w:p w14:paraId="06E29DB6">
            <w:pPr>
              <w:widowControl/>
              <w:jc w:val="center"/>
              <w:rPr>
                <w:rFonts w:ascii="宋体" w:hAnsi="宋体" w:cs="宋体"/>
                <w:color w:val="000000"/>
                <w:kern w:val="0"/>
                <w:sz w:val="22"/>
                <w:szCs w:val="22"/>
              </w:rPr>
            </w:pPr>
          </w:p>
        </w:tc>
        <w:tc>
          <w:tcPr>
            <w:tcW w:w="2286" w:type="dxa"/>
            <w:gridSpan w:val="2"/>
            <w:shd w:val="clear" w:color="auto" w:fill="auto"/>
            <w:vAlign w:val="center"/>
          </w:tcPr>
          <w:p w14:paraId="77B78FF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调整前</w:t>
            </w:r>
          </w:p>
        </w:tc>
        <w:tc>
          <w:tcPr>
            <w:tcW w:w="2232" w:type="dxa"/>
            <w:gridSpan w:val="2"/>
            <w:shd w:val="clear" w:color="auto" w:fill="auto"/>
            <w:vAlign w:val="center"/>
          </w:tcPr>
          <w:p w14:paraId="100605D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调整后</w:t>
            </w:r>
          </w:p>
        </w:tc>
        <w:tc>
          <w:tcPr>
            <w:tcW w:w="2286" w:type="dxa"/>
            <w:gridSpan w:val="2"/>
            <w:shd w:val="clear" w:color="auto" w:fill="auto"/>
            <w:vAlign w:val="center"/>
          </w:tcPr>
          <w:p w14:paraId="622C516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变化量</w:t>
            </w:r>
          </w:p>
        </w:tc>
      </w:tr>
      <w:tr w14:paraId="0A24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23" w:type="dxa"/>
            <w:vMerge w:val="continue"/>
            <w:vAlign w:val="center"/>
          </w:tcPr>
          <w:p w14:paraId="1A62176E">
            <w:pPr>
              <w:widowControl/>
              <w:jc w:val="center"/>
              <w:rPr>
                <w:rFonts w:ascii="宋体" w:hAnsi="宋体" w:cs="宋体"/>
                <w:color w:val="000000"/>
                <w:kern w:val="0"/>
                <w:sz w:val="22"/>
                <w:szCs w:val="22"/>
              </w:rPr>
            </w:pPr>
          </w:p>
        </w:tc>
        <w:tc>
          <w:tcPr>
            <w:tcW w:w="1260" w:type="dxa"/>
            <w:shd w:val="clear" w:color="auto" w:fill="auto"/>
            <w:vAlign w:val="center"/>
          </w:tcPr>
          <w:p w14:paraId="771F749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026" w:type="dxa"/>
            <w:shd w:val="clear" w:color="auto" w:fill="auto"/>
            <w:vAlign w:val="center"/>
          </w:tcPr>
          <w:p w14:paraId="54E4159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206" w:type="dxa"/>
            <w:shd w:val="clear" w:color="auto" w:fill="auto"/>
            <w:vAlign w:val="center"/>
          </w:tcPr>
          <w:p w14:paraId="6DA481F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026" w:type="dxa"/>
            <w:shd w:val="clear" w:color="auto" w:fill="auto"/>
            <w:vAlign w:val="center"/>
          </w:tcPr>
          <w:p w14:paraId="57EA2B6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026" w:type="dxa"/>
            <w:shd w:val="clear" w:color="auto" w:fill="auto"/>
            <w:vAlign w:val="center"/>
          </w:tcPr>
          <w:p w14:paraId="69E241E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260" w:type="dxa"/>
            <w:shd w:val="clear" w:color="auto" w:fill="auto"/>
            <w:vAlign w:val="center"/>
          </w:tcPr>
          <w:p w14:paraId="5AAAC8A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r>
      <w:tr w14:paraId="01A2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23" w:type="dxa"/>
            <w:shd w:val="clear" w:color="auto" w:fill="auto"/>
            <w:vAlign w:val="center"/>
          </w:tcPr>
          <w:p w14:paraId="58FB41F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基本农田保护区</w:t>
            </w:r>
          </w:p>
        </w:tc>
        <w:tc>
          <w:tcPr>
            <w:tcW w:w="1260" w:type="dxa"/>
            <w:shd w:val="clear" w:color="auto" w:fill="auto"/>
            <w:vAlign w:val="center"/>
          </w:tcPr>
          <w:p w14:paraId="54FCFCDB">
            <w:pPr>
              <w:widowControl/>
              <w:jc w:val="center"/>
              <w:rPr>
                <w:rFonts w:ascii="宋体" w:hAnsi="宋体" w:cs="宋体"/>
                <w:color w:val="000000"/>
                <w:kern w:val="0"/>
                <w:sz w:val="18"/>
                <w:szCs w:val="18"/>
              </w:rPr>
            </w:pPr>
            <w:r>
              <w:rPr>
                <w:rFonts w:hint="eastAsia" w:ascii="宋体" w:hAnsi="宋体" w:cs="宋体"/>
                <w:color w:val="000000"/>
                <w:kern w:val="0"/>
                <w:sz w:val="18"/>
                <w:szCs w:val="18"/>
              </w:rPr>
              <w:t>33592.23</w:t>
            </w:r>
          </w:p>
        </w:tc>
        <w:tc>
          <w:tcPr>
            <w:tcW w:w="1026" w:type="dxa"/>
            <w:shd w:val="clear" w:color="auto" w:fill="auto"/>
            <w:noWrap/>
            <w:vAlign w:val="center"/>
          </w:tcPr>
          <w:p w14:paraId="4D7F0E40">
            <w:pPr>
              <w:widowControl/>
              <w:jc w:val="center"/>
              <w:rPr>
                <w:rFonts w:ascii="宋体" w:hAnsi="宋体" w:cs="宋体"/>
                <w:color w:val="000000"/>
                <w:kern w:val="0"/>
                <w:sz w:val="18"/>
                <w:szCs w:val="18"/>
              </w:rPr>
            </w:pPr>
            <w:r>
              <w:rPr>
                <w:rFonts w:hint="eastAsia" w:ascii="宋体" w:hAnsi="宋体" w:cs="宋体"/>
                <w:color w:val="000000"/>
                <w:kern w:val="0"/>
                <w:sz w:val="18"/>
                <w:szCs w:val="18"/>
              </w:rPr>
              <w:t>18.01%</w:t>
            </w:r>
          </w:p>
        </w:tc>
        <w:tc>
          <w:tcPr>
            <w:tcW w:w="1206" w:type="dxa"/>
            <w:shd w:val="clear" w:color="auto" w:fill="auto"/>
            <w:noWrap/>
            <w:vAlign w:val="center"/>
          </w:tcPr>
          <w:p w14:paraId="3E27186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23106.77 </w:t>
            </w:r>
          </w:p>
        </w:tc>
        <w:tc>
          <w:tcPr>
            <w:tcW w:w="1026" w:type="dxa"/>
            <w:shd w:val="clear" w:color="auto" w:fill="auto"/>
            <w:noWrap/>
            <w:vAlign w:val="center"/>
          </w:tcPr>
          <w:p w14:paraId="261C99E6">
            <w:pPr>
              <w:widowControl/>
              <w:jc w:val="center"/>
              <w:rPr>
                <w:rFonts w:ascii="宋体" w:hAnsi="宋体" w:cs="宋体"/>
                <w:color w:val="000000"/>
                <w:kern w:val="0"/>
                <w:sz w:val="18"/>
                <w:szCs w:val="18"/>
              </w:rPr>
            </w:pPr>
            <w:r>
              <w:rPr>
                <w:rFonts w:hint="eastAsia" w:ascii="宋体" w:hAnsi="宋体" w:cs="宋体"/>
                <w:color w:val="000000"/>
                <w:kern w:val="0"/>
                <w:sz w:val="18"/>
                <w:szCs w:val="18"/>
              </w:rPr>
              <w:t>12.39%</w:t>
            </w:r>
          </w:p>
        </w:tc>
        <w:tc>
          <w:tcPr>
            <w:tcW w:w="1026" w:type="dxa"/>
            <w:shd w:val="clear" w:color="auto" w:fill="auto"/>
            <w:noWrap/>
            <w:vAlign w:val="center"/>
          </w:tcPr>
          <w:p w14:paraId="3ACF7D5F">
            <w:pPr>
              <w:widowControl/>
              <w:jc w:val="center"/>
              <w:rPr>
                <w:rFonts w:ascii="宋体" w:hAnsi="宋体" w:cs="宋体"/>
                <w:color w:val="000000"/>
                <w:kern w:val="0"/>
                <w:sz w:val="18"/>
                <w:szCs w:val="18"/>
              </w:rPr>
            </w:pPr>
            <w:r>
              <w:rPr>
                <w:rFonts w:hint="eastAsia" w:ascii="宋体" w:hAnsi="宋体" w:cs="宋体"/>
                <w:color w:val="000000"/>
                <w:kern w:val="0"/>
                <w:sz w:val="18"/>
                <w:szCs w:val="18"/>
              </w:rPr>
              <w:t>-10485.46</w:t>
            </w:r>
          </w:p>
        </w:tc>
        <w:tc>
          <w:tcPr>
            <w:tcW w:w="1260" w:type="dxa"/>
            <w:shd w:val="clear" w:color="auto" w:fill="auto"/>
            <w:noWrap/>
            <w:vAlign w:val="center"/>
          </w:tcPr>
          <w:p w14:paraId="581BE130">
            <w:pPr>
              <w:widowControl/>
              <w:jc w:val="center"/>
              <w:rPr>
                <w:rFonts w:ascii="宋体" w:hAnsi="宋体" w:cs="宋体"/>
                <w:color w:val="000000"/>
                <w:kern w:val="0"/>
                <w:sz w:val="18"/>
                <w:szCs w:val="18"/>
              </w:rPr>
            </w:pPr>
            <w:r>
              <w:rPr>
                <w:rFonts w:hint="eastAsia" w:ascii="宋体" w:hAnsi="宋体" w:cs="宋体"/>
                <w:color w:val="000000"/>
                <w:kern w:val="0"/>
                <w:sz w:val="18"/>
                <w:szCs w:val="18"/>
              </w:rPr>
              <w:t>-5.62%</w:t>
            </w:r>
          </w:p>
        </w:tc>
      </w:tr>
      <w:tr w14:paraId="5002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23" w:type="dxa"/>
            <w:shd w:val="clear" w:color="auto" w:fill="auto"/>
            <w:vAlign w:val="center"/>
          </w:tcPr>
          <w:p w14:paraId="72959CC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一般农地区</w:t>
            </w:r>
          </w:p>
        </w:tc>
        <w:tc>
          <w:tcPr>
            <w:tcW w:w="1260" w:type="dxa"/>
            <w:shd w:val="clear" w:color="auto" w:fill="auto"/>
            <w:vAlign w:val="center"/>
          </w:tcPr>
          <w:p w14:paraId="174194EF">
            <w:pPr>
              <w:widowControl/>
              <w:jc w:val="center"/>
              <w:rPr>
                <w:rFonts w:ascii="宋体" w:hAnsi="宋体" w:cs="宋体"/>
                <w:color w:val="000000"/>
                <w:kern w:val="0"/>
                <w:sz w:val="18"/>
                <w:szCs w:val="18"/>
              </w:rPr>
            </w:pPr>
            <w:r>
              <w:rPr>
                <w:rFonts w:hint="eastAsia" w:ascii="宋体" w:hAnsi="宋体" w:cs="宋体"/>
                <w:color w:val="000000"/>
                <w:kern w:val="0"/>
                <w:sz w:val="18"/>
                <w:szCs w:val="18"/>
              </w:rPr>
              <w:t>8429.11</w:t>
            </w:r>
          </w:p>
        </w:tc>
        <w:tc>
          <w:tcPr>
            <w:tcW w:w="1026" w:type="dxa"/>
            <w:shd w:val="clear" w:color="auto" w:fill="auto"/>
            <w:noWrap/>
            <w:vAlign w:val="center"/>
          </w:tcPr>
          <w:p w14:paraId="5D7AFEAD">
            <w:pPr>
              <w:widowControl/>
              <w:jc w:val="center"/>
              <w:rPr>
                <w:rFonts w:ascii="宋体" w:hAnsi="宋体" w:cs="宋体"/>
                <w:color w:val="000000"/>
                <w:kern w:val="0"/>
                <w:sz w:val="18"/>
                <w:szCs w:val="18"/>
              </w:rPr>
            </w:pPr>
            <w:r>
              <w:rPr>
                <w:rFonts w:hint="eastAsia" w:ascii="宋体" w:hAnsi="宋体" w:cs="宋体"/>
                <w:color w:val="000000"/>
                <w:kern w:val="0"/>
                <w:sz w:val="18"/>
                <w:szCs w:val="18"/>
              </w:rPr>
              <w:t>4.52%</w:t>
            </w:r>
          </w:p>
        </w:tc>
        <w:tc>
          <w:tcPr>
            <w:tcW w:w="1206" w:type="dxa"/>
            <w:shd w:val="clear" w:color="auto" w:fill="auto"/>
            <w:noWrap/>
            <w:vAlign w:val="center"/>
          </w:tcPr>
          <w:p w14:paraId="1D7242B1">
            <w:pPr>
              <w:widowControl/>
              <w:jc w:val="center"/>
              <w:rPr>
                <w:rFonts w:ascii="宋体" w:hAnsi="宋体" w:cs="宋体"/>
                <w:color w:val="000000"/>
                <w:kern w:val="0"/>
                <w:sz w:val="18"/>
                <w:szCs w:val="18"/>
              </w:rPr>
            </w:pPr>
            <w:r>
              <w:rPr>
                <w:rFonts w:hint="eastAsia" w:ascii="宋体" w:hAnsi="宋体" w:cs="宋体"/>
                <w:color w:val="000000"/>
                <w:kern w:val="0"/>
                <w:sz w:val="18"/>
                <w:szCs w:val="18"/>
              </w:rPr>
              <w:t>17438.91</w:t>
            </w:r>
          </w:p>
        </w:tc>
        <w:tc>
          <w:tcPr>
            <w:tcW w:w="1026" w:type="dxa"/>
            <w:shd w:val="clear" w:color="auto" w:fill="auto"/>
            <w:noWrap/>
            <w:vAlign w:val="center"/>
          </w:tcPr>
          <w:p w14:paraId="2F4BBC60">
            <w:pPr>
              <w:widowControl/>
              <w:jc w:val="center"/>
              <w:rPr>
                <w:rFonts w:ascii="宋体" w:hAnsi="宋体" w:cs="宋体"/>
                <w:color w:val="000000"/>
                <w:kern w:val="0"/>
                <w:sz w:val="18"/>
                <w:szCs w:val="18"/>
              </w:rPr>
            </w:pPr>
            <w:r>
              <w:rPr>
                <w:rFonts w:hint="eastAsia" w:ascii="宋体" w:hAnsi="宋体" w:cs="宋体"/>
                <w:color w:val="000000"/>
                <w:kern w:val="0"/>
                <w:sz w:val="18"/>
                <w:szCs w:val="18"/>
              </w:rPr>
              <w:t>9.35%</w:t>
            </w:r>
          </w:p>
        </w:tc>
        <w:tc>
          <w:tcPr>
            <w:tcW w:w="1026" w:type="dxa"/>
            <w:shd w:val="clear" w:color="auto" w:fill="auto"/>
            <w:noWrap/>
            <w:vAlign w:val="center"/>
          </w:tcPr>
          <w:p w14:paraId="347116DF">
            <w:pPr>
              <w:widowControl/>
              <w:jc w:val="center"/>
              <w:rPr>
                <w:rFonts w:ascii="宋体" w:hAnsi="宋体" w:cs="宋体"/>
                <w:color w:val="000000"/>
                <w:kern w:val="0"/>
                <w:sz w:val="18"/>
                <w:szCs w:val="18"/>
              </w:rPr>
            </w:pPr>
            <w:r>
              <w:rPr>
                <w:rFonts w:hint="eastAsia" w:ascii="宋体" w:hAnsi="宋体" w:cs="宋体"/>
                <w:color w:val="000000"/>
                <w:kern w:val="0"/>
                <w:sz w:val="18"/>
                <w:szCs w:val="18"/>
              </w:rPr>
              <w:t>9009.80</w:t>
            </w:r>
          </w:p>
        </w:tc>
        <w:tc>
          <w:tcPr>
            <w:tcW w:w="1260" w:type="dxa"/>
            <w:shd w:val="clear" w:color="auto" w:fill="auto"/>
            <w:noWrap/>
            <w:vAlign w:val="center"/>
          </w:tcPr>
          <w:p w14:paraId="79DC743A">
            <w:pPr>
              <w:widowControl/>
              <w:jc w:val="center"/>
              <w:rPr>
                <w:rFonts w:ascii="宋体" w:hAnsi="宋体" w:cs="宋体"/>
                <w:color w:val="000000"/>
                <w:kern w:val="0"/>
                <w:sz w:val="18"/>
                <w:szCs w:val="18"/>
              </w:rPr>
            </w:pPr>
            <w:r>
              <w:rPr>
                <w:rFonts w:hint="eastAsia" w:ascii="宋体" w:hAnsi="宋体" w:cs="宋体"/>
                <w:color w:val="000000"/>
                <w:kern w:val="0"/>
                <w:sz w:val="18"/>
                <w:szCs w:val="18"/>
              </w:rPr>
              <w:t>4.83%</w:t>
            </w:r>
          </w:p>
        </w:tc>
      </w:tr>
      <w:tr w14:paraId="7EFC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23" w:type="dxa"/>
            <w:shd w:val="clear" w:color="auto" w:fill="auto"/>
            <w:vAlign w:val="center"/>
          </w:tcPr>
          <w:p w14:paraId="16480B5C">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城镇村建设用地区</w:t>
            </w:r>
          </w:p>
        </w:tc>
        <w:tc>
          <w:tcPr>
            <w:tcW w:w="1260" w:type="dxa"/>
            <w:shd w:val="clear" w:color="auto" w:fill="auto"/>
            <w:vAlign w:val="center"/>
          </w:tcPr>
          <w:p w14:paraId="4EE02827">
            <w:pPr>
              <w:widowControl/>
              <w:jc w:val="center"/>
              <w:rPr>
                <w:rFonts w:ascii="宋体" w:hAnsi="宋体" w:cs="宋体"/>
                <w:color w:val="000000"/>
                <w:kern w:val="0"/>
                <w:sz w:val="18"/>
                <w:szCs w:val="18"/>
              </w:rPr>
            </w:pPr>
            <w:r>
              <w:rPr>
                <w:rFonts w:hint="eastAsia" w:ascii="宋体" w:hAnsi="宋体" w:cs="宋体"/>
                <w:color w:val="000000"/>
                <w:kern w:val="0"/>
                <w:sz w:val="18"/>
                <w:szCs w:val="18"/>
              </w:rPr>
              <w:t>4610.01</w:t>
            </w:r>
          </w:p>
        </w:tc>
        <w:tc>
          <w:tcPr>
            <w:tcW w:w="1026" w:type="dxa"/>
            <w:shd w:val="clear" w:color="auto" w:fill="auto"/>
            <w:noWrap/>
            <w:vAlign w:val="center"/>
          </w:tcPr>
          <w:p w14:paraId="65083B65">
            <w:pPr>
              <w:widowControl/>
              <w:jc w:val="center"/>
              <w:rPr>
                <w:rFonts w:ascii="宋体" w:hAnsi="宋体" w:cs="宋体"/>
                <w:color w:val="000000"/>
                <w:kern w:val="0"/>
                <w:sz w:val="18"/>
                <w:szCs w:val="18"/>
              </w:rPr>
            </w:pPr>
            <w:r>
              <w:rPr>
                <w:rFonts w:hint="eastAsia" w:ascii="宋体" w:hAnsi="宋体" w:cs="宋体"/>
                <w:color w:val="000000"/>
                <w:kern w:val="0"/>
                <w:sz w:val="18"/>
                <w:szCs w:val="18"/>
              </w:rPr>
              <w:t>2.47%</w:t>
            </w:r>
          </w:p>
        </w:tc>
        <w:tc>
          <w:tcPr>
            <w:tcW w:w="1206" w:type="dxa"/>
            <w:shd w:val="clear" w:color="auto" w:fill="auto"/>
            <w:noWrap/>
            <w:vAlign w:val="center"/>
          </w:tcPr>
          <w:p w14:paraId="64A8D040">
            <w:pPr>
              <w:widowControl/>
              <w:jc w:val="center"/>
              <w:rPr>
                <w:rFonts w:ascii="宋体" w:hAnsi="宋体" w:cs="宋体"/>
                <w:color w:val="000000"/>
                <w:kern w:val="0"/>
                <w:sz w:val="18"/>
                <w:szCs w:val="18"/>
              </w:rPr>
            </w:pPr>
            <w:r>
              <w:rPr>
                <w:rFonts w:hint="eastAsia" w:ascii="宋体" w:hAnsi="宋体" w:cs="宋体"/>
                <w:color w:val="000000"/>
                <w:kern w:val="0"/>
                <w:sz w:val="18"/>
                <w:szCs w:val="18"/>
              </w:rPr>
              <w:t>4433.97</w:t>
            </w:r>
          </w:p>
        </w:tc>
        <w:tc>
          <w:tcPr>
            <w:tcW w:w="1026" w:type="dxa"/>
            <w:shd w:val="clear" w:color="auto" w:fill="auto"/>
            <w:noWrap/>
            <w:vAlign w:val="center"/>
          </w:tcPr>
          <w:p w14:paraId="50C8ECC0">
            <w:pPr>
              <w:widowControl/>
              <w:jc w:val="center"/>
              <w:rPr>
                <w:rFonts w:ascii="宋体" w:hAnsi="宋体" w:cs="宋体"/>
                <w:color w:val="000000"/>
                <w:kern w:val="0"/>
                <w:sz w:val="18"/>
                <w:szCs w:val="18"/>
              </w:rPr>
            </w:pPr>
            <w:r>
              <w:rPr>
                <w:rFonts w:hint="eastAsia" w:ascii="宋体" w:hAnsi="宋体" w:cs="宋体"/>
                <w:color w:val="000000"/>
                <w:kern w:val="0"/>
                <w:sz w:val="18"/>
                <w:szCs w:val="18"/>
              </w:rPr>
              <w:t>2.38%</w:t>
            </w:r>
          </w:p>
        </w:tc>
        <w:tc>
          <w:tcPr>
            <w:tcW w:w="1026" w:type="dxa"/>
            <w:shd w:val="clear" w:color="auto" w:fill="auto"/>
            <w:noWrap/>
            <w:vAlign w:val="center"/>
          </w:tcPr>
          <w:p w14:paraId="1B3C850D">
            <w:pPr>
              <w:widowControl/>
              <w:jc w:val="center"/>
              <w:rPr>
                <w:rFonts w:ascii="宋体" w:hAnsi="宋体" w:cs="宋体"/>
                <w:color w:val="000000"/>
                <w:kern w:val="0"/>
                <w:sz w:val="18"/>
                <w:szCs w:val="18"/>
              </w:rPr>
            </w:pPr>
            <w:r>
              <w:rPr>
                <w:rFonts w:hint="eastAsia" w:ascii="宋体" w:hAnsi="宋体" w:cs="宋体"/>
                <w:color w:val="000000"/>
                <w:kern w:val="0"/>
                <w:sz w:val="18"/>
                <w:szCs w:val="18"/>
              </w:rPr>
              <w:t>-176.04</w:t>
            </w:r>
          </w:p>
        </w:tc>
        <w:tc>
          <w:tcPr>
            <w:tcW w:w="1260" w:type="dxa"/>
            <w:shd w:val="clear" w:color="auto" w:fill="auto"/>
            <w:noWrap/>
            <w:vAlign w:val="center"/>
          </w:tcPr>
          <w:p w14:paraId="62DBF057">
            <w:pPr>
              <w:widowControl/>
              <w:jc w:val="center"/>
              <w:rPr>
                <w:rFonts w:ascii="宋体" w:hAnsi="宋体" w:cs="宋体"/>
                <w:color w:val="000000"/>
                <w:kern w:val="0"/>
                <w:sz w:val="18"/>
                <w:szCs w:val="18"/>
              </w:rPr>
            </w:pPr>
            <w:r>
              <w:rPr>
                <w:rFonts w:hint="eastAsia" w:ascii="宋体" w:hAnsi="宋体" w:cs="宋体"/>
                <w:color w:val="000000"/>
                <w:kern w:val="0"/>
                <w:sz w:val="18"/>
                <w:szCs w:val="18"/>
              </w:rPr>
              <w:t>-0.09%</w:t>
            </w:r>
          </w:p>
        </w:tc>
      </w:tr>
      <w:tr w14:paraId="7D70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23" w:type="dxa"/>
            <w:shd w:val="clear" w:color="auto" w:fill="auto"/>
            <w:vAlign w:val="center"/>
          </w:tcPr>
          <w:p w14:paraId="54D7ABC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独立工矿用地区</w:t>
            </w:r>
          </w:p>
        </w:tc>
        <w:tc>
          <w:tcPr>
            <w:tcW w:w="1260" w:type="dxa"/>
            <w:shd w:val="clear" w:color="auto" w:fill="auto"/>
            <w:vAlign w:val="center"/>
          </w:tcPr>
          <w:p w14:paraId="21FDDDDA">
            <w:pPr>
              <w:widowControl/>
              <w:jc w:val="center"/>
              <w:rPr>
                <w:rFonts w:ascii="宋体" w:hAnsi="宋体" w:cs="宋体"/>
                <w:color w:val="000000"/>
                <w:kern w:val="0"/>
                <w:sz w:val="18"/>
                <w:szCs w:val="18"/>
              </w:rPr>
            </w:pPr>
            <w:r>
              <w:rPr>
                <w:rFonts w:hint="eastAsia" w:ascii="宋体" w:hAnsi="宋体" w:cs="宋体"/>
                <w:color w:val="000000"/>
                <w:kern w:val="0"/>
                <w:sz w:val="18"/>
                <w:szCs w:val="18"/>
              </w:rPr>
              <w:t>610.12</w:t>
            </w:r>
          </w:p>
        </w:tc>
        <w:tc>
          <w:tcPr>
            <w:tcW w:w="1026" w:type="dxa"/>
            <w:shd w:val="clear" w:color="auto" w:fill="auto"/>
            <w:noWrap/>
            <w:vAlign w:val="center"/>
          </w:tcPr>
          <w:p w14:paraId="7DB1455E">
            <w:pPr>
              <w:widowControl/>
              <w:jc w:val="center"/>
              <w:rPr>
                <w:rFonts w:ascii="宋体" w:hAnsi="宋体" w:cs="宋体"/>
                <w:color w:val="000000"/>
                <w:kern w:val="0"/>
                <w:sz w:val="18"/>
                <w:szCs w:val="18"/>
              </w:rPr>
            </w:pPr>
            <w:r>
              <w:rPr>
                <w:rFonts w:hint="eastAsia" w:ascii="宋体" w:hAnsi="宋体" w:cs="宋体"/>
                <w:color w:val="000000"/>
                <w:kern w:val="0"/>
                <w:sz w:val="18"/>
                <w:szCs w:val="18"/>
              </w:rPr>
              <w:t>0.33%</w:t>
            </w:r>
          </w:p>
        </w:tc>
        <w:tc>
          <w:tcPr>
            <w:tcW w:w="1206" w:type="dxa"/>
            <w:shd w:val="clear" w:color="auto" w:fill="auto"/>
            <w:noWrap/>
            <w:vAlign w:val="center"/>
          </w:tcPr>
          <w:p w14:paraId="772E65D7">
            <w:pPr>
              <w:widowControl/>
              <w:jc w:val="center"/>
              <w:rPr>
                <w:rFonts w:ascii="宋体" w:hAnsi="宋体" w:cs="宋体"/>
                <w:color w:val="000000"/>
                <w:kern w:val="0"/>
                <w:sz w:val="18"/>
                <w:szCs w:val="18"/>
              </w:rPr>
            </w:pPr>
            <w:r>
              <w:rPr>
                <w:rFonts w:hint="eastAsia" w:ascii="宋体" w:hAnsi="宋体" w:cs="宋体"/>
                <w:color w:val="000000"/>
                <w:kern w:val="0"/>
                <w:sz w:val="18"/>
                <w:szCs w:val="18"/>
              </w:rPr>
              <w:t>989.31</w:t>
            </w:r>
          </w:p>
        </w:tc>
        <w:tc>
          <w:tcPr>
            <w:tcW w:w="1026" w:type="dxa"/>
            <w:shd w:val="clear" w:color="auto" w:fill="auto"/>
            <w:noWrap/>
            <w:vAlign w:val="center"/>
          </w:tcPr>
          <w:p w14:paraId="6353B2BF">
            <w:pPr>
              <w:widowControl/>
              <w:jc w:val="center"/>
              <w:rPr>
                <w:rFonts w:ascii="宋体" w:hAnsi="宋体" w:cs="宋体"/>
                <w:color w:val="000000"/>
                <w:kern w:val="0"/>
                <w:sz w:val="18"/>
                <w:szCs w:val="18"/>
              </w:rPr>
            </w:pPr>
            <w:r>
              <w:rPr>
                <w:rFonts w:hint="eastAsia" w:ascii="宋体" w:hAnsi="宋体" w:cs="宋体"/>
                <w:color w:val="000000"/>
                <w:kern w:val="0"/>
                <w:sz w:val="18"/>
                <w:szCs w:val="18"/>
              </w:rPr>
              <w:t>0.53%</w:t>
            </w:r>
          </w:p>
        </w:tc>
        <w:tc>
          <w:tcPr>
            <w:tcW w:w="1026" w:type="dxa"/>
            <w:shd w:val="clear" w:color="auto" w:fill="auto"/>
            <w:noWrap/>
            <w:vAlign w:val="center"/>
          </w:tcPr>
          <w:p w14:paraId="2F36E352">
            <w:pPr>
              <w:widowControl/>
              <w:jc w:val="center"/>
              <w:rPr>
                <w:rFonts w:ascii="宋体" w:hAnsi="宋体" w:cs="宋体"/>
                <w:color w:val="000000"/>
                <w:kern w:val="0"/>
                <w:sz w:val="18"/>
                <w:szCs w:val="18"/>
              </w:rPr>
            </w:pPr>
            <w:r>
              <w:rPr>
                <w:rFonts w:hint="eastAsia" w:ascii="宋体" w:hAnsi="宋体" w:cs="宋体"/>
                <w:color w:val="000000"/>
                <w:kern w:val="0"/>
                <w:sz w:val="18"/>
                <w:szCs w:val="18"/>
              </w:rPr>
              <w:t>379.19</w:t>
            </w:r>
          </w:p>
        </w:tc>
        <w:tc>
          <w:tcPr>
            <w:tcW w:w="1260" w:type="dxa"/>
            <w:shd w:val="clear" w:color="auto" w:fill="auto"/>
            <w:noWrap/>
            <w:vAlign w:val="center"/>
          </w:tcPr>
          <w:p w14:paraId="0F0B09B7">
            <w:pPr>
              <w:widowControl/>
              <w:jc w:val="center"/>
              <w:rPr>
                <w:rFonts w:ascii="宋体" w:hAnsi="宋体" w:cs="宋体"/>
                <w:color w:val="000000"/>
                <w:kern w:val="0"/>
                <w:sz w:val="18"/>
                <w:szCs w:val="18"/>
              </w:rPr>
            </w:pPr>
            <w:r>
              <w:rPr>
                <w:rFonts w:hint="eastAsia" w:ascii="宋体" w:hAnsi="宋体" w:cs="宋体"/>
                <w:color w:val="000000"/>
                <w:kern w:val="0"/>
                <w:sz w:val="18"/>
                <w:szCs w:val="18"/>
              </w:rPr>
              <w:t>0.20%</w:t>
            </w:r>
          </w:p>
        </w:tc>
      </w:tr>
      <w:tr w14:paraId="77D7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23" w:type="dxa"/>
            <w:shd w:val="clear" w:color="auto" w:fill="auto"/>
            <w:vAlign w:val="center"/>
          </w:tcPr>
          <w:p w14:paraId="55C72D8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风景旅游区</w:t>
            </w:r>
          </w:p>
        </w:tc>
        <w:tc>
          <w:tcPr>
            <w:tcW w:w="1260" w:type="dxa"/>
            <w:shd w:val="clear" w:color="auto" w:fill="auto"/>
            <w:vAlign w:val="center"/>
          </w:tcPr>
          <w:p w14:paraId="7990603F">
            <w:pPr>
              <w:widowControl/>
              <w:jc w:val="center"/>
              <w:rPr>
                <w:rFonts w:ascii="宋体" w:hAnsi="宋体" w:cs="宋体"/>
                <w:color w:val="000000"/>
                <w:kern w:val="0"/>
                <w:sz w:val="18"/>
                <w:szCs w:val="18"/>
              </w:rPr>
            </w:pPr>
            <w:r>
              <w:rPr>
                <w:rFonts w:hint="eastAsia" w:ascii="宋体" w:hAnsi="宋体" w:cs="宋体"/>
                <w:color w:val="000000"/>
                <w:kern w:val="0"/>
                <w:sz w:val="18"/>
                <w:szCs w:val="18"/>
              </w:rPr>
              <w:t>139.82</w:t>
            </w:r>
          </w:p>
        </w:tc>
        <w:tc>
          <w:tcPr>
            <w:tcW w:w="1026" w:type="dxa"/>
            <w:shd w:val="clear" w:color="auto" w:fill="auto"/>
            <w:noWrap/>
            <w:vAlign w:val="center"/>
          </w:tcPr>
          <w:p w14:paraId="233ACC0C">
            <w:pPr>
              <w:widowControl/>
              <w:jc w:val="center"/>
              <w:rPr>
                <w:rFonts w:ascii="宋体" w:hAnsi="宋体" w:cs="宋体"/>
                <w:color w:val="000000"/>
                <w:kern w:val="0"/>
                <w:sz w:val="18"/>
                <w:szCs w:val="18"/>
              </w:rPr>
            </w:pPr>
            <w:r>
              <w:rPr>
                <w:rFonts w:hint="eastAsia" w:ascii="宋体" w:hAnsi="宋体" w:cs="宋体"/>
                <w:color w:val="000000"/>
                <w:kern w:val="0"/>
                <w:sz w:val="18"/>
                <w:szCs w:val="18"/>
              </w:rPr>
              <w:t>0.07%</w:t>
            </w:r>
          </w:p>
        </w:tc>
        <w:tc>
          <w:tcPr>
            <w:tcW w:w="1206" w:type="dxa"/>
            <w:shd w:val="clear" w:color="auto" w:fill="auto"/>
            <w:noWrap/>
            <w:vAlign w:val="center"/>
          </w:tcPr>
          <w:p w14:paraId="66DDC876">
            <w:pPr>
              <w:widowControl/>
              <w:jc w:val="center"/>
              <w:rPr>
                <w:rFonts w:ascii="宋体" w:hAnsi="宋体" w:cs="宋体"/>
                <w:color w:val="000000"/>
                <w:kern w:val="0"/>
                <w:sz w:val="18"/>
                <w:szCs w:val="18"/>
              </w:rPr>
            </w:pPr>
            <w:r>
              <w:rPr>
                <w:rFonts w:hint="eastAsia" w:ascii="宋体" w:hAnsi="宋体" w:cs="宋体"/>
                <w:color w:val="000000"/>
                <w:kern w:val="0"/>
                <w:sz w:val="18"/>
                <w:szCs w:val="18"/>
              </w:rPr>
              <w:t>125.12</w:t>
            </w:r>
          </w:p>
        </w:tc>
        <w:tc>
          <w:tcPr>
            <w:tcW w:w="1026" w:type="dxa"/>
            <w:shd w:val="clear" w:color="auto" w:fill="auto"/>
            <w:noWrap/>
            <w:vAlign w:val="center"/>
          </w:tcPr>
          <w:p w14:paraId="1C44FC3F">
            <w:pPr>
              <w:widowControl/>
              <w:jc w:val="center"/>
              <w:rPr>
                <w:rFonts w:ascii="宋体" w:hAnsi="宋体" w:cs="宋体"/>
                <w:color w:val="000000"/>
                <w:kern w:val="0"/>
                <w:sz w:val="18"/>
                <w:szCs w:val="18"/>
              </w:rPr>
            </w:pPr>
            <w:r>
              <w:rPr>
                <w:rFonts w:hint="eastAsia" w:ascii="宋体" w:hAnsi="宋体" w:cs="宋体"/>
                <w:color w:val="000000"/>
                <w:kern w:val="0"/>
                <w:sz w:val="18"/>
                <w:szCs w:val="18"/>
              </w:rPr>
              <w:t>0.07%</w:t>
            </w:r>
          </w:p>
        </w:tc>
        <w:tc>
          <w:tcPr>
            <w:tcW w:w="1026" w:type="dxa"/>
            <w:shd w:val="clear" w:color="auto" w:fill="auto"/>
            <w:noWrap/>
            <w:vAlign w:val="center"/>
          </w:tcPr>
          <w:p w14:paraId="59DF7DEC">
            <w:pPr>
              <w:widowControl/>
              <w:jc w:val="center"/>
              <w:rPr>
                <w:rFonts w:ascii="宋体" w:hAnsi="宋体" w:cs="宋体"/>
                <w:color w:val="000000"/>
                <w:kern w:val="0"/>
                <w:sz w:val="18"/>
                <w:szCs w:val="18"/>
              </w:rPr>
            </w:pPr>
            <w:r>
              <w:rPr>
                <w:rFonts w:hint="eastAsia" w:ascii="宋体" w:hAnsi="宋体" w:cs="宋体"/>
                <w:color w:val="000000"/>
                <w:kern w:val="0"/>
                <w:sz w:val="18"/>
                <w:szCs w:val="18"/>
              </w:rPr>
              <w:t>-14.70</w:t>
            </w:r>
          </w:p>
        </w:tc>
        <w:tc>
          <w:tcPr>
            <w:tcW w:w="1260" w:type="dxa"/>
            <w:shd w:val="clear" w:color="auto" w:fill="auto"/>
            <w:noWrap/>
            <w:vAlign w:val="center"/>
          </w:tcPr>
          <w:p w14:paraId="18D98BE2">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35F5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23" w:type="dxa"/>
            <w:shd w:val="clear" w:color="auto" w:fill="auto"/>
            <w:vAlign w:val="center"/>
          </w:tcPr>
          <w:p w14:paraId="1243190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生态环境安全控制区</w:t>
            </w:r>
          </w:p>
        </w:tc>
        <w:tc>
          <w:tcPr>
            <w:tcW w:w="1260" w:type="dxa"/>
            <w:shd w:val="clear" w:color="auto" w:fill="auto"/>
            <w:vAlign w:val="center"/>
          </w:tcPr>
          <w:p w14:paraId="4FA7B65D">
            <w:pPr>
              <w:widowControl/>
              <w:jc w:val="center"/>
              <w:rPr>
                <w:rFonts w:ascii="宋体" w:hAnsi="宋体" w:cs="宋体"/>
                <w:color w:val="000000"/>
                <w:kern w:val="0"/>
                <w:sz w:val="18"/>
                <w:szCs w:val="18"/>
              </w:rPr>
            </w:pPr>
            <w:r>
              <w:rPr>
                <w:rFonts w:hint="eastAsia" w:ascii="宋体" w:hAnsi="宋体" w:cs="宋体"/>
                <w:color w:val="000000"/>
                <w:kern w:val="0"/>
                <w:sz w:val="18"/>
                <w:szCs w:val="18"/>
              </w:rPr>
              <w:t>10038</w:t>
            </w:r>
          </w:p>
        </w:tc>
        <w:tc>
          <w:tcPr>
            <w:tcW w:w="1026" w:type="dxa"/>
            <w:shd w:val="clear" w:color="auto" w:fill="auto"/>
            <w:noWrap/>
            <w:vAlign w:val="center"/>
          </w:tcPr>
          <w:p w14:paraId="0A0DB0BD">
            <w:pPr>
              <w:widowControl/>
              <w:jc w:val="center"/>
              <w:rPr>
                <w:rFonts w:ascii="宋体" w:hAnsi="宋体" w:cs="宋体"/>
                <w:color w:val="000000"/>
                <w:kern w:val="0"/>
                <w:sz w:val="18"/>
                <w:szCs w:val="18"/>
              </w:rPr>
            </w:pPr>
            <w:r>
              <w:rPr>
                <w:rFonts w:hint="eastAsia" w:ascii="宋体" w:hAnsi="宋体" w:cs="宋体"/>
                <w:color w:val="000000"/>
                <w:kern w:val="0"/>
                <w:sz w:val="18"/>
                <w:szCs w:val="18"/>
              </w:rPr>
              <w:t>5.38%</w:t>
            </w:r>
          </w:p>
        </w:tc>
        <w:tc>
          <w:tcPr>
            <w:tcW w:w="1206" w:type="dxa"/>
            <w:shd w:val="clear" w:color="auto" w:fill="auto"/>
            <w:noWrap/>
            <w:vAlign w:val="center"/>
          </w:tcPr>
          <w:p w14:paraId="7000B8DC">
            <w:pPr>
              <w:widowControl/>
              <w:jc w:val="center"/>
              <w:rPr>
                <w:rFonts w:ascii="宋体" w:hAnsi="宋体" w:cs="宋体"/>
                <w:color w:val="000000"/>
                <w:kern w:val="0"/>
                <w:sz w:val="18"/>
                <w:szCs w:val="18"/>
              </w:rPr>
            </w:pPr>
            <w:r>
              <w:rPr>
                <w:rFonts w:hint="eastAsia" w:ascii="宋体" w:hAnsi="宋体" w:cs="宋体"/>
                <w:color w:val="000000"/>
                <w:kern w:val="0"/>
                <w:sz w:val="18"/>
                <w:szCs w:val="18"/>
              </w:rPr>
              <w:t>10033.68</w:t>
            </w:r>
          </w:p>
        </w:tc>
        <w:tc>
          <w:tcPr>
            <w:tcW w:w="1026" w:type="dxa"/>
            <w:shd w:val="clear" w:color="auto" w:fill="auto"/>
            <w:noWrap/>
            <w:vAlign w:val="center"/>
          </w:tcPr>
          <w:p w14:paraId="0E318051">
            <w:pPr>
              <w:widowControl/>
              <w:jc w:val="center"/>
              <w:rPr>
                <w:rFonts w:ascii="宋体" w:hAnsi="宋体" w:cs="宋体"/>
                <w:color w:val="000000"/>
                <w:kern w:val="0"/>
                <w:sz w:val="18"/>
                <w:szCs w:val="18"/>
              </w:rPr>
            </w:pPr>
            <w:r>
              <w:rPr>
                <w:rFonts w:hint="eastAsia" w:ascii="宋体" w:hAnsi="宋体" w:cs="宋体"/>
                <w:color w:val="000000"/>
                <w:kern w:val="0"/>
                <w:sz w:val="18"/>
                <w:szCs w:val="18"/>
              </w:rPr>
              <w:t>5.38%</w:t>
            </w:r>
          </w:p>
        </w:tc>
        <w:tc>
          <w:tcPr>
            <w:tcW w:w="1026" w:type="dxa"/>
            <w:shd w:val="clear" w:color="auto" w:fill="auto"/>
            <w:noWrap/>
            <w:vAlign w:val="center"/>
          </w:tcPr>
          <w:p w14:paraId="1B775918">
            <w:pPr>
              <w:widowControl/>
              <w:jc w:val="center"/>
              <w:rPr>
                <w:rFonts w:ascii="宋体" w:hAnsi="宋体" w:cs="宋体"/>
                <w:color w:val="000000"/>
                <w:kern w:val="0"/>
                <w:sz w:val="18"/>
                <w:szCs w:val="18"/>
              </w:rPr>
            </w:pPr>
            <w:r>
              <w:rPr>
                <w:rFonts w:hint="eastAsia" w:ascii="宋体" w:hAnsi="宋体" w:cs="宋体"/>
                <w:color w:val="000000"/>
                <w:kern w:val="0"/>
                <w:sz w:val="18"/>
                <w:szCs w:val="18"/>
              </w:rPr>
              <w:t>-4.32</w:t>
            </w:r>
          </w:p>
        </w:tc>
        <w:tc>
          <w:tcPr>
            <w:tcW w:w="1260" w:type="dxa"/>
            <w:shd w:val="clear" w:color="auto" w:fill="auto"/>
            <w:noWrap/>
            <w:vAlign w:val="center"/>
          </w:tcPr>
          <w:p w14:paraId="7BA8DFAE">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60BF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23" w:type="dxa"/>
            <w:shd w:val="clear" w:color="auto" w:fill="auto"/>
            <w:vAlign w:val="center"/>
          </w:tcPr>
          <w:p w14:paraId="4912994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林业用地区</w:t>
            </w:r>
          </w:p>
        </w:tc>
        <w:tc>
          <w:tcPr>
            <w:tcW w:w="1260" w:type="dxa"/>
            <w:shd w:val="clear" w:color="auto" w:fill="auto"/>
            <w:vAlign w:val="center"/>
          </w:tcPr>
          <w:p w14:paraId="04FCB5DF">
            <w:pPr>
              <w:widowControl/>
              <w:jc w:val="center"/>
              <w:rPr>
                <w:rFonts w:ascii="宋体" w:hAnsi="宋体" w:cs="宋体"/>
                <w:color w:val="000000"/>
                <w:kern w:val="0"/>
                <w:sz w:val="18"/>
                <w:szCs w:val="18"/>
              </w:rPr>
            </w:pPr>
            <w:r>
              <w:rPr>
                <w:rFonts w:hint="eastAsia" w:ascii="宋体" w:hAnsi="宋体" w:cs="宋体"/>
                <w:color w:val="000000"/>
                <w:kern w:val="0"/>
                <w:sz w:val="18"/>
                <w:szCs w:val="18"/>
              </w:rPr>
              <w:t>61805.67</w:t>
            </w:r>
          </w:p>
        </w:tc>
        <w:tc>
          <w:tcPr>
            <w:tcW w:w="1026" w:type="dxa"/>
            <w:shd w:val="clear" w:color="auto" w:fill="auto"/>
            <w:noWrap/>
            <w:vAlign w:val="center"/>
          </w:tcPr>
          <w:p w14:paraId="4F810B29">
            <w:pPr>
              <w:widowControl/>
              <w:jc w:val="center"/>
              <w:rPr>
                <w:rFonts w:ascii="宋体" w:hAnsi="宋体" w:cs="宋体"/>
                <w:color w:val="000000"/>
                <w:kern w:val="0"/>
                <w:sz w:val="18"/>
                <w:szCs w:val="18"/>
              </w:rPr>
            </w:pPr>
            <w:r>
              <w:rPr>
                <w:rFonts w:hint="eastAsia" w:ascii="宋体" w:hAnsi="宋体" w:cs="宋体"/>
                <w:color w:val="000000"/>
                <w:kern w:val="0"/>
                <w:sz w:val="18"/>
                <w:szCs w:val="18"/>
              </w:rPr>
              <w:t>33.13%</w:t>
            </w:r>
          </w:p>
        </w:tc>
        <w:tc>
          <w:tcPr>
            <w:tcW w:w="1206" w:type="dxa"/>
            <w:shd w:val="clear" w:color="auto" w:fill="auto"/>
            <w:noWrap/>
            <w:vAlign w:val="center"/>
          </w:tcPr>
          <w:p w14:paraId="5B43D985">
            <w:pPr>
              <w:widowControl/>
              <w:jc w:val="center"/>
              <w:rPr>
                <w:rFonts w:ascii="宋体" w:hAnsi="宋体" w:cs="宋体"/>
                <w:color w:val="000000"/>
                <w:kern w:val="0"/>
                <w:sz w:val="18"/>
                <w:szCs w:val="18"/>
              </w:rPr>
            </w:pPr>
            <w:r>
              <w:rPr>
                <w:rFonts w:hint="eastAsia" w:ascii="宋体" w:hAnsi="宋体" w:cs="宋体"/>
                <w:color w:val="000000"/>
                <w:kern w:val="0"/>
                <w:sz w:val="18"/>
                <w:szCs w:val="18"/>
              </w:rPr>
              <w:t>64863.75</w:t>
            </w:r>
          </w:p>
        </w:tc>
        <w:tc>
          <w:tcPr>
            <w:tcW w:w="1026" w:type="dxa"/>
            <w:shd w:val="clear" w:color="auto" w:fill="auto"/>
            <w:noWrap/>
            <w:vAlign w:val="center"/>
          </w:tcPr>
          <w:p w14:paraId="382B2B66">
            <w:pPr>
              <w:widowControl/>
              <w:jc w:val="center"/>
              <w:rPr>
                <w:rFonts w:ascii="宋体" w:hAnsi="宋体" w:cs="宋体"/>
                <w:color w:val="000000"/>
                <w:kern w:val="0"/>
                <w:sz w:val="18"/>
                <w:szCs w:val="18"/>
              </w:rPr>
            </w:pPr>
            <w:r>
              <w:rPr>
                <w:rFonts w:hint="eastAsia" w:ascii="宋体" w:hAnsi="宋体" w:cs="宋体"/>
                <w:color w:val="000000"/>
                <w:kern w:val="0"/>
                <w:sz w:val="18"/>
                <w:szCs w:val="18"/>
              </w:rPr>
              <w:t>34.77%</w:t>
            </w:r>
          </w:p>
        </w:tc>
        <w:tc>
          <w:tcPr>
            <w:tcW w:w="1026" w:type="dxa"/>
            <w:shd w:val="clear" w:color="auto" w:fill="auto"/>
            <w:noWrap/>
            <w:vAlign w:val="center"/>
          </w:tcPr>
          <w:p w14:paraId="60A41803">
            <w:pPr>
              <w:widowControl/>
              <w:jc w:val="center"/>
              <w:rPr>
                <w:rFonts w:ascii="宋体" w:hAnsi="宋体" w:cs="宋体"/>
                <w:color w:val="000000"/>
                <w:kern w:val="0"/>
                <w:sz w:val="18"/>
                <w:szCs w:val="18"/>
              </w:rPr>
            </w:pPr>
            <w:r>
              <w:rPr>
                <w:rFonts w:hint="eastAsia" w:ascii="宋体" w:hAnsi="宋体" w:cs="宋体"/>
                <w:color w:val="000000"/>
                <w:kern w:val="0"/>
                <w:sz w:val="18"/>
                <w:szCs w:val="18"/>
              </w:rPr>
              <w:t>3058.08</w:t>
            </w:r>
          </w:p>
        </w:tc>
        <w:tc>
          <w:tcPr>
            <w:tcW w:w="1260" w:type="dxa"/>
            <w:shd w:val="clear" w:color="auto" w:fill="auto"/>
            <w:noWrap/>
            <w:vAlign w:val="center"/>
          </w:tcPr>
          <w:p w14:paraId="7A6E0452">
            <w:pPr>
              <w:widowControl/>
              <w:jc w:val="center"/>
              <w:rPr>
                <w:rFonts w:ascii="宋体" w:hAnsi="宋体" w:cs="宋体"/>
                <w:color w:val="000000"/>
                <w:kern w:val="0"/>
                <w:sz w:val="18"/>
                <w:szCs w:val="18"/>
              </w:rPr>
            </w:pPr>
            <w:r>
              <w:rPr>
                <w:rFonts w:hint="eastAsia" w:ascii="宋体" w:hAnsi="宋体" w:cs="宋体"/>
                <w:color w:val="000000"/>
                <w:kern w:val="0"/>
                <w:sz w:val="18"/>
                <w:szCs w:val="18"/>
              </w:rPr>
              <w:t>1.64%</w:t>
            </w:r>
          </w:p>
        </w:tc>
      </w:tr>
      <w:tr w14:paraId="20D6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23" w:type="dxa"/>
            <w:shd w:val="clear" w:color="auto" w:fill="auto"/>
            <w:vAlign w:val="center"/>
          </w:tcPr>
          <w:p w14:paraId="611EE1A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其他用地区</w:t>
            </w:r>
          </w:p>
        </w:tc>
        <w:tc>
          <w:tcPr>
            <w:tcW w:w="1260" w:type="dxa"/>
            <w:shd w:val="clear" w:color="auto" w:fill="auto"/>
            <w:vAlign w:val="center"/>
          </w:tcPr>
          <w:p w14:paraId="7CA061F6">
            <w:pPr>
              <w:widowControl/>
              <w:jc w:val="center"/>
              <w:rPr>
                <w:rFonts w:ascii="宋体" w:hAnsi="宋体" w:cs="宋体"/>
                <w:color w:val="000000"/>
                <w:kern w:val="0"/>
                <w:sz w:val="18"/>
                <w:szCs w:val="18"/>
              </w:rPr>
            </w:pPr>
            <w:r>
              <w:rPr>
                <w:rFonts w:hint="eastAsia" w:ascii="宋体" w:hAnsi="宋体" w:cs="宋体"/>
                <w:color w:val="000000"/>
                <w:kern w:val="0"/>
                <w:sz w:val="18"/>
                <w:szCs w:val="18"/>
              </w:rPr>
              <w:t>66413.01</w:t>
            </w:r>
          </w:p>
        </w:tc>
        <w:tc>
          <w:tcPr>
            <w:tcW w:w="1026" w:type="dxa"/>
            <w:shd w:val="clear" w:color="auto" w:fill="auto"/>
            <w:noWrap/>
            <w:vAlign w:val="center"/>
          </w:tcPr>
          <w:p w14:paraId="43B99A9F">
            <w:pPr>
              <w:widowControl/>
              <w:jc w:val="center"/>
              <w:rPr>
                <w:rFonts w:ascii="宋体" w:hAnsi="宋体" w:cs="宋体"/>
                <w:color w:val="000000"/>
                <w:kern w:val="0"/>
                <w:sz w:val="18"/>
                <w:szCs w:val="18"/>
              </w:rPr>
            </w:pPr>
            <w:r>
              <w:rPr>
                <w:rFonts w:hint="eastAsia" w:ascii="宋体" w:hAnsi="宋体" w:cs="宋体"/>
                <w:color w:val="000000"/>
                <w:kern w:val="0"/>
                <w:sz w:val="18"/>
                <w:szCs w:val="18"/>
              </w:rPr>
              <w:t>35.60%</w:t>
            </w:r>
          </w:p>
        </w:tc>
        <w:tc>
          <w:tcPr>
            <w:tcW w:w="1206" w:type="dxa"/>
            <w:shd w:val="clear" w:color="auto" w:fill="auto"/>
            <w:noWrap/>
            <w:vAlign w:val="center"/>
          </w:tcPr>
          <w:p w14:paraId="485AA391">
            <w:pPr>
              <w:widowControl/>
              <w:jc w:val="center"/>
              <w:rPr>
                <w:rFonts w:ascii="宋体" w:hAnsi="宋体" w:cs="宋体"/>
                <w:color w:val="000000"/>
                <w:kern w:val="0"/>
                <w:sz w:val="18"/>
                <w:szCs w:val="18"/>
              </w:rPr>
            </w:pPr>
            <w:r>
              <w:rPr>
                <w:rFonts w:hint="eastAsia" w:ascii="宋体" w:hAnsi="宋体" w:cs="宋体"/>
                <w:color w:val="000000"/>
                <w:kern w:val="0"/>
                <w:sz w:val="18"/>
                <w:szCs w:val="18"/>
              </w:rPr>
              <w:t>65619.07</w:t>
            </w:r>
          </w:p>
        </w:tc>
        <w:tc>
          <w:tcPr>
            <w:tcW w:w="1026" w:type="dxa"/>
            <w:shd w:val="clear" w:color="auto" w:fill="auto"/>
            <w:noWrap/>
            <w:vAlign w:val="center"/>
          </w:tcPr>
          <w:p w14:paraId="71AEFFA5">
            <w:pPr>
              <w:widowControl/>
              <w:jc w:val="center"/>
              <w:rPr>
                <w:rFonts w:ascii="宋体" w:hAnsi="宋体" w:cs="宋体"/>
                <w:color w:val="000000"/>
                <w:kern w:val="0"/>
                <w:sz w:val="18"/>
                <w:szCs w:val="18"/>
              </w:rPr>
            </w:pPr>
            <w:r>
              <w:rPr>
                <w:rFonts w:hint="eastAsia" w:ascii="宋体" w:hAnsi="宋体" w:cs="宋体"/>
                <w:color w:val="000000"/>
                <w:kern w:val="0"/>
                <w:sz w:val="18"/>
                <w:szCs w:val="18"/>
              </w:rPr>
              <w:t>35.17%</w:t>
            </w:r>
          </w:p>
        </w:tc>
        <w:tc>
          <w:tcPr>
            <w:tcW w:w="1026" w:type="dxa"/>
            <w:shd w:val="clear" w:color="auto" w:fill="auto"/>
            <w:noWrap/>
            <w:vAlign w:val="center"/>
          </w:tcPr>
          <w:p w14:paraId="0984BF45">
            <w:pPr>
              <w:widowControl/>
              <w:jc w:val="center"/>
              <w:rPr>
                <w:rFonts w:ascii="宋体" w:hAnsi="宋体" w:cs="宋体"/>
                <w:color w:val="000000"/>
                <w:kern w:val="0"/>
                <w:sz w:val="18"/>
                <w:szCs w:val="18"/>
              </w:rPr>
            </w:pPr>
            <w:r>
              <w:rPr>
                <w:rFonts w:hint="eastAsia" w:ascii="宋体" w:hAnsi="宋体" w:cs="宋体"/>
                <w:color w:val="000000"/>
                <w:kern w:val="0"/>
                <w:sz w:val="18"/>
                <w:szCs w:val="18"/>
              </w:rPr>
              <w:t>-793.94</w:t>
            </w:r>
          </w:p>
        </w:tc>
        <w:tc>
          <w:tcPr>
            <w:tcW w:w="1260" w:type="dxa"/>
            <w:shd w:val="clear" w:color="auto" w:fill="auto"/>
            <w:noWrap/>
            <w:vAlign w:val="center"/>
          </w:tcPr>
          <w:p w14:paraId="538CCB34">
            <w:pPr>
              <w:widowControl/>
              <w:jc w:val="center"/>
              <w:rPr>
                <w:rFonts w:ascii="宋体" w:hAnsi="宋体" w:cs="宋体"/>
                <w:color w:val="000000"/>
                <w:kern w:val="0"/>
                <w:sz w:val="18"/>
                <w:szCs w:val="18"/>
              </w:rPr>
            </w:pPr>
            <w:r>
              <w:rPr>
                <w:rFonts w:hint="eastAsia" w:ascii="宋体" w:hAnsi="宋体" w:cs="宋体"/>
                <w:color w:val="000000"/>
                <w:kern w:val="0"/>
                <w:sz w:val="18"/>
                <w:szCs w:val="18"/>
              </w:rPr>
              <w:t>-0.43%</w:t>
            </w:r>
          </w:p>
        </w:tc>
      </w:tr>
      <w:tr w14:paraId="5A96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23" w:type="dxa"/>
            <w:shd w:val="clear" w:color="auto" w:fill="auto"/>
            <w:vAlign w:val="center"/>
          </w:tcPr>
          <w:p w14:paraId="32F6398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总计</w:t>
            </w:r>
          </w:p>
        </w:tc>
        <w:tc>
          <w:tcPr>
            <w:tcW w:w="1260" w:type="dxa"/>
            <w:shd w:val="clear" w:color="auto" w:fill="auto"/>
            <w:vAlign w:val="center"/>
          </w:tcPr>
          <w:p w14:paraId="40628C49">
            <w:pPr>
              <w:widowControl/>
              <w:jc w:val="center"/>
              <w:rPr>
                <w:rFonts w:ascii="宋体" w:hAnsi="宋体" w:cs="宋体"/>
                <w:color w:val="000000"/>
                <w:kern w:val="0"/>
                <w:sz w:val="18"/>
                <w:szCs w:val="18"/>
              </w:rPr>
            </w:pPr>
            <w:r>
              <w:rPr>
                <w:rFonts w:hint="eastAsia" w:ascii="宋体" w:hAnsi="宋体" w:cs="宋体"/>
                <w:color w:val="000000"/>
                <w:kern w:val="0"/>
                <w:sz w:val="18"/>
                <w:szCs w:val="18"/>
              </w:rPr>
              <w:t>186569.81</w:t>
            </w:r>
          </w:p>
        </w:tc>
        <w:tc>
          <w:tcPr>
            <w:tcW w:w="1026" w:type="dxa"/>
            <w:shd w:val="clear" w:color="auto" w:fill="auto"/>
            <w:noWrap/>
            <w:vAlign w:val="center"/>
          </w:tcPr>
          <w:p w14:paraId="65B57E1A">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206" w:type="dxa"/>
            <w:shd w:val="clear" w:color="auto" w:fill="auto"/>
            <w:noWrap/>
            <w:vAlign w:val="center"/>
          </w:tcPr>
          <w:p w14:paraId="0C464031">
            <w:pPr>
              <w:widowControl/>
              <w:jc w:val="center"/>
              <w:rPr>
                <w:rFonts w:ascii="宋体" w:hAnsi="宋体" w:cs="宋体"/>
                <w:color w:val="000000"/>
                <w:kern w:val="0"/>
                <w:sz w:val="18"/>
                <w:szCs w:val="18"/>
              </w:rPr>
            </w:pPr>
            <w:r>
              <w:rPr>
                <w:rFonts w:hint="eastAsia" w:ascii="宋体" w:hAnsi="宋体" w:cs="宋体"/>
                <w:color w:val="000000"/>
                <w:kern w:val="0"/>
                <w:sz w:val="18"/>
                <w:szCs w:val="18"/>
              </w:rPr>
              <w:t>186569.81</w:t>
            </w:r>
          </w:p>
        </w:tc>
        <w:tc>
          <w:tcPr>
            <w:tcW w:w="1026" w:type="dxa"/>
            <w:shd w:val="clear" w:color="auto" w:fill="auto"/>
            <w:noWrap/>
            <w:vAlign w:val="center"/>
          </w:tcPr>
          <w:p w14:paraId="10FA1865">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026" w:type="dxa"/>
            <w:shd w:val="clear" w:color="auto" w:fill="auto"/>
            <w:noWrap/>
            <w:vAlign w:val="center"/>
          </w:tcPr>
          <w:p w14:paraId="6CDAA2FB">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260" w:type="dxa"/>
            <w:shd w:val="clear" w:color="auto" w:fill="auto"/>
            <w:noWrap/>
            <w:vAlign w:val="center"/>
          </w:tcPr>
          <w:p w14:paraId="1AC24C5B">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bl>
    <w:p w14:paraId="491BD6F8">
      <w:pPr>
        <w:pStyle w:val="3"/>
        <w:jc w:val="center"/>
        <w:rPr>
          <w:b w:val="0"/>
          <w:color w:val="000000"/>
          <w:sz w:val="28"/>
          <w:szCs w:val="28"/>
        </w:rPr>
      </w:pPr>
      <w:bookmarkStart w:id="134" w:name="_Toc491074912"/>
      <w:r>
        <w:rPr>
          <w:rFonts w:hint="eastAsia"/>
          <w:b w:val="0"/>
          <w:color w:val="000000"/>
          <w:sz w:val="28"/>
          <w:szCs w:val="28"/>
        </w:rPr>
        <w:t>第四节  建设用地空间管制分区</w:t>
      </w:r>
      <w:bookmarkEnd w:id="134"/>
    </w:p>
    <w:p w14:paraId="4419EE43">
      <w:pPr>
        <w:widowControl/>
        <w:tabs>
          <w:tab w:val="left" w:pos="1950"/>
        </w:tabs>
        <w:adjustRightInd w:val="0"/>
        <w:snapToGrid w:val="0"/>
        <w:spacing w:line="360" w:lineRule="auto"/>
        <w:ind w:firstLine="561"/>
        <w:jc w:val="left"/>
        <w:rPr>
          <w:rFonts w:ascii="仿宋_GB2312" w:hAnsi="宋体" w:eastAsia="仿宋_GB2312"/>
          <w:kern w:val="0"/>
          <w:sz w:val="28"/>
          <w:szCs w:val="28"/>
        </w:rPr>
      </w:pPr>
      <w:bookmarkStart w:id="135" w:name="_Toc471459548"/>
      <w:bookmarkStart w:id="136" w:name="_Toc471459491"/>
      <w:r>
        <w:rPr>
          <w:rFonts w:hint="eastAsia" w:ascii="仿宋_GB2312" w:hAnsi="宋体" w:eastAsia="仿宋_GB2312"/>
          <w:kern w:val="0"/>
          <w:sz w:val="28"/>
          <w:szCs w:val="28"/>
        </w:rPr>
        <w:t>为加强对城乡建设用地的空间管制，规范土地利用的空间秩序，限制城镇村的盲目扩张，促进形成集约、高效、协调、有序的土地利用格局，根据东川区土地利用现状及发展方向，合理划定城镇、村、工矿建设用地规模边界、扩展边界和禁止建设用地边界，确定城镇、村、工矿用地的允许建设区、有条件建设区、限制建设区、禁止建设区等空间管制分区。</w:t>
      </w:r>
    </w:p>
    <w:p w14:paraId="2A0BFEED">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一、允许建设区</w:t>
      </w:r>
      <w:bookmarkEnd w:id="135"/>
      <w:bookmarkEnd w:id="136"/>
    </w:p>
    <w:p w14:paraId="4211092A">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允许建设区以城乡建设用地规模边界为界限，城乡建设用地规模边界内所包含的范围均属允许建设区范围。该区是现状和规划期内新增城镇、工矿、村庄建设用地规划选址的区域，也是规划确定的城乡建设用地指标落实到空间上的预期用地区。以末期规划地类为依据，对于地块较为零散的城乡建设用地采用归并至周边地块，将规划末期集中连片程度较高的城乡建设用地划为允许建设用地区。</w:t>
      </w:r>
      <w:bookmarkStart w:id="137" w:name="_Toc266629890"/>
      <w:r>
        <w:rPr>
          <w:rFonts w:hint="eastAsia" w:ascii="仿宋_GB2312" w:hAnsi="宋体" w:eastAsia="仿宋_GB2312"/>
          <w:kern w:val="0"/>
          <w:sz w:val="28"/>
          <w:szCs w:val="28"/>
        </w:rPr>
        <w:t>调整后，该区土地总面积5385.42公顷，占全区土地总面积的2.89%，比调整前增加了166.42公顷。</w:t>
      </w:r>
    </w:p>
    <w:p w14:paraId="1380DB19">
      <w:pPr>
        <w:pStyle w:val="4"/>
        <w:spacing w:before="0" w:after="0" w:line="480" w:lineRule="auto"/>
        <w:rPr>
          <w:rFonts w:ascii="Arial" w:hAnsi="Arial" w:eastAsia="黑体"/>
          <w:b w:val="0"/>
          <w:color w:val="000000"/>
          <w:sz w:val="28"/>
          <w:szCs w:val="28"/>
        </w:rPr>
      </w:pPr>
      <w:bookmarkStart w:id="138" w:name="_Toc471459549"/>
      <w:bookmarkStart w:id="139" w:name="_Toc471459492"/>
      <w:r>
        <w:rPr>
          <w:rFonts w:hint="eastAsia" w:ascii="Arial" w:hAnsi="Arial" w:eastAsia="黑体"/>
          <w:b w:val="0"/>
          <w:color w:val="000000"/>
          <w:sz w:val="28"/>
          <w:szCs w:val="28"/>
        </w:rPr>
        <w:t>二、有条件建设区</w:t>
      </w:r>
      <w:bookmarkEnd w:id="137"/>
      <w:bookmarkEnd w:id="138"/>
      <w:bookmarkEnd w:id="139"/>
    </w:p>
    <w:p w14:paraId="4E8DDE29">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东川区有条件建设区是指城乡建设用地规模边界之外、扩展边界以内的范围。在不突破规划建设用地规模控制指标的前提下，区内土地可以用于规划建设用地区的布局调整。</w:t>
      </w:r>
    </w:p>
    <w:p w14:paraId="3BFC997A">
      <w:pPr>
        <w:ind w:firstLine="480"/>
        <w:rPr>
          <w:rFonts w:ascii="仿宋_GB2312" w:hAnsi="宋体" w:eastAsia="仿宋_GB2312"/>
          <w:kern w:val="0"/>
          <w:sz w:val="28"/>
          <w:szCs w:val="28"/>
        </w:rPr>
      </w:pPr>
      <w:r>
        <w:rPr>
          <w:rFonts w:hint="eastAsia" w:ascii="仿宋_GB2312" w:hAnsi="宋体" w:eastAsia="仿宋_GB2312"/>
          <w:kern w:val="0"/>
          <w:sz w:val="28"/>
          <w:szCs w:val="28"/>
        </w:rPr>
        <w:t>东川区有条件建设区主要分布在县城主城区、乡（镇）政府所在地等外围地区。结合低丘缓坡土地综合开发利用专项规划、城市总体规划等，将易地扶贫搬迁项目、低丘缓坡规划划区块、城镇发展区等划为条件建设用地区。</w:t>
      </w:r>
    </w:p>
    <w:p w14:paraId="62ECC052">
      <w:pPr>
        <w:ind w:firstLine="480"/>
        <w:rPr>
          <w:rFonts w:ascii="仿宋_GB2312" w:eastAsia="仿宋_GB2312"/>
          <w:sz w:val="28"/>
          <w:szCs w:val="28"/>
        </w:rPr>
      </w:pPr>
      <w:r>
        <w:rPr>
          <w:rFonts w:hint="eastAsia" w:ascii="仿宋_GB2312" w:hAnsi="宋体" w:eastAsia="仿宋_GB2312"/>
          <w:kern w:val="0"/>
          <w:sz w:val="28"/>
          <w:szCs w:val="28"/>
        </w:rPr>
        <w:t>调整后，东川区内有条件建设区1862.97公顷，占东川区辖区总面积的1.00%。比调整前增加83.16公顷。有条件建设区内，其中，属于村庄布点规划范围1705.02公顷，属于易地扶贫搬迁用地74.98公顷。</w:t>
      </w:r>
    </w:p>
    <w:p w14:paraId="37B43AF8">
      <w:pPr>
        <w:pStyle w:val="4"/>
        <w:spacing w:before="0" w:after="0" w:line="480" w:lineRule="auto"/>
        <w:rPr>
          <w:rFonts w:ascii="Arial" w:hAnsi="Arial" w:eastAsia="黑体"/>
          <w:b w:val="0"/>
          <w:color w:val="000000"/>
          <w:sz w:val="28"/>
          <w:szCs w:val="28"/>
        </w:rPr>
      </w:pPr>
      <w:bookmarkStart w:id="140" w:name="_Toc266629891"/>
      <w:bookmarkStart w:id="141" w:name="_Toc471459550"/>
      <w:bookmarkStart w:id="142" w:name="_Toc471459493"/>
      <w:r>
        <w:rPr>
          <w:rFonts w:hint="eastAsia" w:ascii="Arial" w:hAnsi="Arial" w:eastAsia="黑体"/>
          <w:b w:val="0"/>
          <w:color w:val="000000"/>
          <w:sz w:val="28"/>
          <w:szCs w:val="28"/>
        </w:rPr>
        <w:t>三、限制建设区</w:t>
      </w:r>
    </w:p>
    <w:p w14:paraId="678F08EA">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限制建设区是东川区除允许建设区、有条件建设区、禁止建设区之外的其他区域。区内土地主导用途为农业生产空间，是开展基本农田建设和农业发展，也是土地整理复垦的主要区域。区内限制城、镇、村建设，严格控制独立建设项目用地，该区土地面积169287.74公顷，占全区土地总面积的90.74%。比调整前减少了245.26公顷。</w:t>
      </w:r>
    </w:p>
    <w:p w14:paraId="6EADA0B2">
      <w:pPr>
        <w:pStyle w:val="4"/>
        <w:spacing w:before="0" w:after="0" w:line="480" w:lineRule="auto"/>
        <w:rPr>
          <w:rFonts w:ascii="Arial" w:hAnsi="Arial" w:eastAsia="黑体"/>
          <w:b w:val="0"/>
          <w:color w:val="000000"/>
          <w:sz w:val="28"/>
          <w:szCs w:val="28"/>
        </w:rPr>
      </w:pPr>
      <w:bookmarkStart w:id="143" w:name="_Toc471459494"/>
      <w:bookmarkStart w:id="144" w:name="_Toc266629892"/>
      <w:bookmarkStart w:id="145" w:name="_Toc471459551"/>
      <w:r>
        <w:rPr>
          <w:rFonts w:hint="eastAsia" w:ascii="Arial" w:hAnsi="Arial" w:eastAsia="黑体"/>
          <w:b w:val="0"/>
          <w:color w:val="000000"/>
          <w:sz w:val="28"/>
          <w:szCs w:val="28"/>
        </w:rPr>
        <w:t>四、</w:t>
      </w:r>
      <w:bookmarkEnd w:id="143"/>
      <w:bookmarkEnd w:id="144"/>
      <w:bookmarkEnd w:id="145"/>
      <w:r>
        <w:rPr>
          <w:rFonts w:hint="eastAsia" w:ascii="Arial" w:hAnsi="Arial" w:eastAsia="黑体"/>
          <w:b w:val="0"/>
          <w:color w:val="000000"/>
          <w:sz w:val="28"/>
          <w:szCs w:val="28"/>
        </w:rPr>
        <w:t>禁止建设区</w:t>
      </w:r>
      <w:bookmarkEnd w:id="140"/>
      <w:bookmarkEnd w:id="141"/>
      <w:bookmarkEnd w:id="142"/>
    </w:p>
    <w:p w14:paraId="1BA37475">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东川区的禁止建设区是指具有重要资源、生态、环境、历史文化价值，必须禁止各类建设开发的区域，主要包括大菜园等重点水源保护区的核心区、轿子雪山自然保护区</w:t>
      </w:r>
      <w:r>
        <w:rPr>
          <w:rFonts w:ascii="仿宋_GB2312" w:hAnsi="宋体" w:eastAsia="仿宋_GB2312"/>
          <w:kern w:val="0"/>
          <w:sz w:val="28"/>
          <w:szCs w:val="28"/>
        </w:rPr>
        <w:t>以及生态环境脆弱、集聚经济和人口条件不够好的天然林保护区</w:t>
      </w:r>
      <w:r>
        <w:rPr>
          <w:rFonts w:hint="eastAsia" w:ascii="仿宋_GB2312" w:hAnsi="宋体" w:eastAsia="仿宋_GB2312"/>
          <w:kern w:val="0"/>
          <w:sz w:val="28"/>
          <w:szCs w:val="28"/>
        </w:rPr>
        <w:t>、国家重点公益林保护区</w:t>
      </w:r>
      <w:r>
        <w:rPr>
          <w:rFonts w:ascii="仿宋_GB2312" w:hAnsi="宋体" w:eastAsia="仿宋_GB2312"/>
          <w:kern w:val="0"/>
          <w:sz w:val="28"/>
          <w:szCs w:val="28"/>
        </w:rPr>
        <w:t>和各种自然灾害频发地区</w:t>
      </w:r>
      <w:r>
        <w:rPr>
          <w:rFonts w:hint="eastAsia" w:ascii="仿宋_GB2312" w:hAnsi="宋体" w:eastAsia="仿宋_GB2312"/>
          <w:kern w:val="0"/>
          <w:sz w:val="28"/>
          <w:szCs w:val="28"/>
        </w:rPr>
        <w:t>。禁止建设区内土地的主导用途为生态与环境保护空间，严格禁止与主导功能不相符的各项建设。除法律法规另有规定外，调整完善后禁止建设用地边界不得调整，该区土地面积10033.68公顷，占全区土地总面积的5.38%。比调整前减少4.32公顷。</w:t>
      </w:r>
    </w:p>
    <w:p w14:paraId="1CE732BD">
      <w:pPr>
        <w:jc w:val="center"/>
        <w:outlineLvl w:val="4"/>
        <w:rPr>
          <w:rFonts w:ascii="宋体" w:hAnsi="宋体"/>
          <w:b/>
          <w:sz w:val="24"/>
        </w:rPr>
      </w:pPr>
      <w:r>
        <w:rPr>
          <w:rFonts w:hint="eastAsia" w:ascii="宋体" w:hAnsi="宋体"/>
          <w:b/>
          <w:sz w:val="24"/>
        </w:rPr>
        <w:t>表6-11  东川区调整前后建设用地空间管制分区对比情况表</w:t>
      </w:r>
    </w:p>
    <w:p w14:paraId="42935DC1">
      <w:pPr>
        <w:snapToGrid w:val="0"/>
        <w:spacing w:line="360" w:lineRule="auto"/>
        <w:ind w:firstLine="360" w:firstLineChars="200"/>
        <w:jc w:val="center"/>
        <w:rPr>
          <w:rFonts w:ascii="宋体" w:hAnsi="宋体"/>
          <w:color w:val="000000"/>
          <w:sz w:val="18"/>
          <w:szCs w:val="18"/>
        </w:rPr>
      </w:pPr>
      <w:r>
        <w:rPr>
          <w:rFonts w:hint="eastAsia" w:ascii="宋体" w:hAnsi="宋体"/>
          <w:color w:val="000000"/>
          <w:sz w:val="18"/>
          <w:szCs w:val="18"/>
        </w:rPr>
        <w:t xml:space="preserve">                                                                          单位：公顷</w:t>
      </w:r>
    </w:p>
    <w:tbl>
      <w:tblPr>
        <w:tblStyle w:val="27"/>
        <w:tblW w:w="8336" w:type="dxa"/>
        <w:jc w:val="center"/>
        <w:tblLayout w:type="autofit"/>
        <w:tblCellMar>
          <w:top w:w="0" w:type="dxa"/>
          <w:left w:w="108" w:type="dxa"/>
          <w:bottom w:w="0" w:type="dxa"/>
          <w:right w:w="108" w:type="dxa"/>
        </w:tblCellMar>
      </w:tblPr>
      <w:tblGrid>
        <w:gridCol w:w="1476"/>
        <w:gridCol w:w="1206"/>
        <w:gridCol w:w="1026"/>
        <w:gridCol w:w="1296"/>
        <w:gridCol w:w="1026"/>
        <w:gridCol w:w="1094"/>
        <w:gridCol w:w="1212"/>
      </w:tblGrid>
      <w:tr w14:paraId="4E39E84F">
        <w:tblPrEx>
          <w:tblCellMar>
            <w:top w:w="0" w:type="dxa"/>
            <w:left w:w="108" w:type="dxa"/>
            <w:bottom w:w="0" w:type="dxa"/>
            <w:right w:w="108" w:type="dxa"/>
          </w:tblCellMar>
        </w:tblPrEx>
        <w:trPr>
          <w:trHeight w:val="312" w:hRule="atLeast"/>
          <w:jc w:val="center"/>
        </w:trPr>
        <w:tc>
          <w:tcPr>
            <w:tcW w:w="1476" w:type="dxa"/>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14:paraId="4F0ABE38">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232" w:type="dxa"/>
            <w:gridSpan w:val="2"/>
            <w:tcBorders>
              <w:top w:val="single" w:color="auto" w:sz="8" w:space="0"/>
              <w:left w:val="nil"/>
              <w:bottom w:val="single" w:color="auto" w:sz="8" w:space="0"/>
              <w:right w:val="single" w:color="000000" w:sz="8" w:space="0"/>
            </w:tcBorders>
            <w:shd w:val="clear" w:color="auto" w:fill="auto"/>
            <w:vAlign w:val="center"/>
          </w:tcPr>
          <w:p w14:paraId="300AABF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调整前</w:t>
            </w:r>
          </w:p>
        </w:tc>
        <w:tc>
          <w:tcPr>
            <w:tcW w:w="2322" w:type="dxa"/>
            <w:gridSpan w:val="2"/>
            <w:tcBorders>
              <w:top w:val="single" w:color="auto" w:sz="8" w:space="0"/>
              <w:left w:val="nil"/>
              <w:bottom w:val="single" w:color="auto" w:sz="8" w:space="0"/>
              <w:right w:val="single" w:color="000000" w:sz="8" w:space="0"/>
            </w:tcBorders>
            <w:shd w:val="clear" w:color="auto" w:fill="auto"/>
            <w:vAlign w:val="center"/>
          </w:tcPr>
          <w:p w14:paraId="355B13B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调整后</w:t>
            </w:r>
          </w:p>
        </w:tc>
        <w:tc>
          <w:tcPr>
            <w:tcW w:w="2306" w:type="dxa"/>
            <w:gridSpan w:val="2"/>
            <w:tcBorders>
              <w:top w:val="single" w:color="auto" w:sz="8" w:space="0"/>
              <w:left w:val="nil"/>
              <w:bottom w:val="single" w:color="auto" w:sz="8" w:space="0"/>
              <w:right w:val="single" w:color="000000" w:sz="8" w:space="0"/>
            </w:tcBorders>
            <w:shd w:val="clear" w:color="auto" w:fill="auto"/>
            <w:vAlign w:val="center"/>
          </w:tcPr>
          <w:p w14:paraId="36466A6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变化量</w:t>
            </w:r>
          </w:p>
        </w:tc>
      </w:tr>
      <w:tr w14:paraId="01D15812">
        <w:tblPrEx>
          <w:tblCellMar>
            <w:top w:w="0" w:type="dxa"/>
            <w:left w:w="108" w:type="dxa"/>
            <w:bottom w:w="0" w:type="dxa"/>
            <w:right w:w="108" w:type="dxa"/>
          </w:tblCellMar>
        </w:tblPrEx>
        <w:trPr>
          <w:trHeight w:val="312" w:hRule="atLeast"/>
          <w:jc w:val="center"/>
        </w:trPr>
        <w:tc>
          <w:tcPr>
            <w:tcW w:w="1476" w:type="dxa"/>
            <w:vMerge w:val="continue"/>
            <w:tcBorders>
              <w:top w:val="single" w:color="auto" w:sz="8" w:space="0"/>
              <w:left w:val="single" w:color="auto" w:sz="8" w:space="0"/>
              <w:bottom w:val="single" w:color="000000" w:sz="8" w:space="0"/>
              <w:right w:val="single" w:color="auto" w:sz="8" w:space="0"/>
            </w:tcBorders>
            <w:vAlign w:val="center"/>
          </w:tcPr>
          <w:p w14:paraId="25454906">
            <w:pPr>
              <w:widowControl/>
              <w:jc w:val="left"/>
              <w:rPr>
                <w:rFonts w:ascii="宋体" w:hAnsi="宋体" w:cs="宋体"/>
                <w:color w:val="000000"/>
                <w:kern w:val="0"/>
                <w:szCs w:val="21"/>
              </w:rPr>
            </w:pPr>
          </w:p>
        </w:tc>
        <w:tc>
          <w:tcPr>
            <w:tcW w:w="1206" w:type="dxa"/>
            <w:tcBorders>
              <w:top w:val="nil"/>
              <w:left w:val="nil"/>
              <w:bottom w:val="single" w:color="auto" w:sz="8" w:space="0"/>
              <w:right w:val="single" w:color="auto" w:sz="8" w:space="0"/>
            </w:tcBorders>
            <w:shd w:val="clear" w:color="auto" w:fill="auto"/>
            <w:vAlign w:val="center"/>
          </w:tcPr>
          <w:p w14:paraId="4D691944">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026" w:type="dxa"/>
            <w:tcBorders>
              <w:top w:val="nil"/>
              <w:left w:val="nil"/>
              <w:bottom w:val="single" w:color="auto" w:sz="8" w:space="0"/>
              <w:right w:val="single" w:color="auto" w:sz="8" w:space="0"/>
            </w:tcBorders>
            <w:shd w:val="clear" w:color="auto" w:fill="auto"/>
            <w:vAlign w:val="center"/>
          </w:tcPr>
          <w:p w14:paraId="306024C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296" w:type="dxa"/>
            <w:tcBorders>
              <w:top w:val="nil"/>
              <w:left w:val="nil"/>
              <w:bottom w:val="single" w:color="auto" w:sz="8" w:space="0"/>
              <w:right w:val="single" w:color="auto" w:sz="8" w:space="0"/>
            </w:tcBorders>
            <w:shd w:val="clear" w:color="auto" w:fill="auto"/>
            <w:vAlign w:val="center"/>
          </w:tcPr>
          <w:p w14:paraId="2509078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026" w:type="dxa"/>
            <w:tcBorders>
              <w:top w:val="nil"/>
              <w:left w:val="nil"/>
              <w:bottom w:val="single" w:color="auto" w:sz="8" w:space="0"/>
              <w:right w:val="single" w:color="auto" w:sz="8" w:space="0"/>
            </w:tcBorders>
            <w:shd w:val="clear" w:color="auto" w:fill="auto"/>
            <w:vAlign w:val="center"/>
          </w:tcPr>
          <w:p w14:paraId="3FCE87C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094" w:type="dxa"/>
            <w:tcBorders>
              <w:top w:val="nil"/>
              <w:left w:val="nil"/>
              <w:bottom w:val="single" w:color="auto" w:sz="8" w:space="0"/>
              <w:right w:val="single" w:color="auto" w:sz="8" w:space="0"/>
            </w:tcBorders>
            <w:shd w:val="clear" w:color="auto" w:fill="auto"/>
            <w:vAlign w:val="center"/>
          </w:tcPr>
          <w:p w14:paraId="3535A61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212" w:type="dxa"/>
            <w:tcBorders>
              <w:top w:val="nil"/>
              <w:left w:val="nil"/>
              <w:bottom w:val="single" w:color="auto" w:sz="8" w:space="0"/>
              <w:right w:val="single" w:color="auto" w:sz="8" w:space="0"/>
            </w:tcBorders>
            <w:shd w:val="clear" w:color="auto" w:fill="auto"/>
            <w:vAlign w:val="center"/>
          </w:tcPr>
          <w:p w14:paraId="5F93731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r>
      <w:tr w14:paraId="2C786754">
        <w:tblPrEx>
          <w:tblCellMar>
            <w:top w:w="0" w:type="dxa"/>
            <w:left w:w="108" w:type="dxa"/>
            <w:bottom w:w="0" w:type="dxa"/>
            <w:right w:w="108" w:type="dxa"/>
          </w:tblCellMar>
        </w:tblPrEx>
        <w:trPr>
          <w:trHeight w:val="312" w:hRule="atLeast"/>
          <w:jc w:val="center"/>
        </w:trPr>
        <w:tc>
          <w:tcPr>
            <w:tcW w:w="1476" w:type="dxa"/>
            <w:tcBorders>
              <w:top w:val="nil"/>
              <w:left w:val="single" w:color="auto" w:sz="8" w:space="0"/>
              <w:bottom w:val="single" w:color="auto" w:sz="8" w:space="0"/>
              <w:right w:val="single" w:color="auto" w:sz="8" w:space="0"/>
            </w:tcBorders>
            <w:shd w:val="clear" w:color="auto" w:fill="auto"/>
            <w:vAlign w:val="center"/>
          </w:tcPr>
          <w:p w14:paraId="486CBD37">
            <w:pPr>
              <w:widowControl/>
              <w:jc w:val="center"/>
              <w:rPr>
                <w:rFonts w:ascii="宋体" w:hAnsi="宋体" w:cs="宋体"/>
                <w:color w:val="000000"/>
                <w:kern w:val="0"/>
                <w:sz w:val="18"/>
                <w:szCs w:val="18"/>
              </w:rPr>
            </w:pPr>
            <w:r>
              <w:rPr>
                <w:rFonts w:hint="eastAsia" w:ascii="宋体" w:hAnsi="宋体" w:cs="宋体"/>
                <w:color w:val="000000"/>
                <w:kern w:val="0"/>
                <w:sz w:val="18"/>
                <w:szCs w:val="18"/>
              </w:rPr>
              <w:t>允许建设区</w:t>
            </w:r>
          </w:p>
        </w:tc>
        <w:tc>
          <w:tcPr>
            <w:tcW w:w="1206" w:type="dxa"/>
            <w:tcBorders>
              <w:top w:val="nil"/>
              <w:left w:val="nil"/>
              <w:bottom w:val="single" w:color="auto" w:sz="8" w:space="0"/>
              <w:right w:val="single" w:color="auto" w:sz="8" w:space="0"/>
            </w:tcBorders>
            <w:shd w:val="clear" w:color="auto" w:fill="auto"/>
            <w:vAlign w:val="center"/>
          </w:tcPr>
          <w:p w14:paraId="5B7E7F8B">
            <w:pPr>
              <w:widowControl/>
              <w:jc w:val="center"/>
              <w:rPr>
                <w:rFonts w:ascii="宋体" w:hAnsi="宋体" w:cs="宋体"/>
                <w:color w:val="000000"/>
                <w:kern w:val="0"/>
                <w:sz w:val="18"/>
                <w:szCs w:val="18"/>
              </w:rPr>
            </w:pPr>
            <w:r>
              <w:rPr>
                <w:rFonts w:hint="eastAsia" w:ascii="宋体" w:hAnsi="宋体" w:cs="宋体"/>
                <w:color w:val="000000"/>
                <w:kern w:val="0"/>
                <w:sz w:val="18"/>
                <w:szCs w:val="18"/>
              </w:rPr>
              <w:t>5219</w:t>
            </w:r>
          </w:p>
        </w:tc>
        <w:tc>
          <w:tcPr>
            <w:tcW w:w="1026" w:type="dxa"/>
            <w:tcBorders>
              <w:top w:val="nil"/>
              <w:left w:val="nil"/>
              <w:bottom w:val="single" w:color="auto" w:sz="8" w:space="0"/>
              <w:right w:val="single" w:color="auto" w:sz="8" w:space="0"/>
            </w:tcBorders>
            <w:shd w:val="clear" w:color="auto" w:fill="auto"/>
            <w:noWrap/>
            <w:vAlign w:val="center"/>
          </w:tcPr>
          <w:p w14:paraId="08BA3A03">
            <w:pPr>
              <w:widowControl/>
              <w:jc w:val="center"/>
              <w:rPr>
                <w:rFonts w:ascii="宋体" w:hAnsi="宋体" w:cs="宋体"/>
                <w:color w:val="000000"/>
                <w:kern w:val="0"/>
                <w:sz w:val="18"/>
                <w:szCs w:val="18"/>
              </w:rPr>
            </w:pPr>
            <w:r>
              <w:rPr>
                <w:rFonts w:hint="eastAsia" w:ascii="宋体" w:hAnsi="宋体" w:cs="宋体"/>
                <w:color w:val="000000"/>
                <w:kern w:val="0"/>
                <w:sz w:val="18"/>
                <w:szCs w:val="18"/>
              </w:rPr>
              <w:t>2.80%</w:t>
            </w:r>
          </w:p>
        </w:tc>
        <w:tc>
          <w:tcPr>
            <w:tcW w:w="12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0D154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5385.42 </w:t>
            </w:r>
          </w:p>
        </w:tc>
        <w:tc>
          <w:tcPr>
            <w:tcW w:w="1026" w:type="dxa"/>
            <w:tcBorders>
              <w:top w:val="nil"/>
              <w:left w:val="nil"/>
              <w:bottom w:val="single" w:color="auto" w:sz="8" w:space="0"/>
              <w:right w:val="single" w:color="auto" w:sz="8" w:space="0"/>
            </w:tcBorders>
            <w:shd w:val="clear" w:color="auto" w:fill="auto"/>
            <w:noWrap/>
            <w:vAlign w:val="center"/>
          </w:tcPr>
          <w:p w14:paraId="235E81C5">
            <w:pPr>
              <w:widowControl/>
              <w:jc w:val="center"/>
              <w:rPr>
                <w:rFonts w:ascii="宋体" w:hAnsi="宋体" w:cs="宋体"/>
                <w:color w:val="000000"/>
                <w:kern w:val="0"/>
                <w:sz w:val="18"/>
                <w:szCs w:val="18"/>
              </w:rPr>
            </w:pPr>
            <w:r>
              <w:rPr>
                <w:rFonts w:hint="eastAsia" w:ascii="宋体" w:hAnsi="宋体" w:cs="宋体"/>
                <w:color w:val="000000"/>
                <w:kern w:val="0"/>
                <w:sz w:val="18"/>
                <w:szCs w:val="18"/>
              </w:rPr>
              <w:t>2.89%</w:t>
            </w:r>
          </w:p>
        </w:tc>
        <w:tc>
          <w:tcPr>
            <w:tcW w:w="1094" w:type="dxa"/>
            <w:tcBorders>
              <w:top w:val="nil"/>
              <w:left w:val="nil"/>
              <w:bottom w:val="single" w:color="auto" w:sz="8" w:space="0"/>
              <w:right w:val="single" w:color="auto" w:sz="8" w:space="0"/>
            </w:tcBorders>
            <w:shd w:val="clear" w:color="auto" w:fill="auto"/>
            <w:noWrap/>
            <w:vAlign w:val="center"/>
          </w:tcPr>
          <w:p w14:paraId="38245F0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166.42 </w:t>
            </w:r>
          </w:p>
        </w:tc>
        <w:tc>
          <w:tcPr>
            <w:tcW w:w="1212" w:type="dxa"/>
            <w:tcBorders>
              <w:top w:val="nil"/>
              <w:left w:val="nil"/>
              <w:bottom w:val="single" w:color="auto" w:sz="8" w:space="0"/>
              <w:right w:val="single" w:color="auto" w:sz="8" w:space="0"/>
            </w:tcBorders>
            <w:shd w:val="clear" w:color="auto" w:fill="auto"/>
            <w:noWrap/>
            <w:vAlign w:val="center"/>
          </w:tcPr>
          <w:p w14:paraId="6AA1DD66">
            <w:pPr>
              <w:widowControl/>
              <w:jc w:val="center"/>
              <w:rPr>
                <w:rFonts w:ascii="宋体" w:hAnsi="宋体" w:cs="宋体"/>
                <w:color w:val="000000"/>
                <w:kern w:val="0"/>
                <w:sz w:val="18"/>
                <w:szCs w:val="18"/>
              </w:rPr>
            </w:pPr>
            <w:r>
              <w:rPr>
                <w:rFonts w:hint="eastAsia" w:ascii="宋体" w:hAnsi="宋体" w:cs="宋体"/>
                <w:color w:val="000000"/>
                <w:kern w:val="0"/>
                <w:sz w:val="18"/>
                <w:szCs w:val="18"/>
              </w:rPr>
              <w:t>0.09%</w:t>
            </w:r>
          </w:p>
        </w:tc>
      </w:tr>
      <w:tr w14:paraId="78D66166">
        <w:tblPrEx>
          <w:tblCellMar>
            <w:top w:w="0" w:type="dxa"/>
            <w:left w:w="108" w:type="dxa"/>
            <w:bottom w:w="0" w:type="dxa"/>
            <w:right w:w="108" w:type="dxa"/>
          </w:tblCellMar>
        </w:tblPrEx>
        <w:trPr>
          <w:trHeight w:val="312" w:hRule="atLeast"/>
          <w:jc w:val="center"/>
        </w:trPr>
        <w:tc>
          <w:tcPr>
            <w:tcW w:w="1476" w:type="dxa"/>
            <w:tcBorders>
              <w:top w:val="nil"/>
              <w:left w:val="single" w:color="auto" w:sz="8" w:space="0"/>
              <w:bottom w:val="single" w:color="auto" w:sz="8" w:space="0"/>
              <w:right w:val="single" w:color="auto" w:sz="8" w:space="0"/>
            </w:tcBorders>
            <w:shd w:val="clear" w:color="auto" w:fill="auto"/>
            <w:vAlign w:val="center"/>
          </w:tcPr>
          <w:p w14:paraId="0C3DD72A">
            <w:pPr>
              <w:widowControl/>
              <w:jc w:val="center"/>
              <w:rPr>
                <w:rFonts w:ascii="宋体" w:hAnsi="宋体" w:cs="宋体"/>
                <w:color w:val="000000"/>
                <w:kern w:val="0"/>
                <w:sz w:val="18"/>
                <w:szCs w:val="18"/>
              </w:rPr>
            </w:pPr>
            <w:r>
              <w:rPr>
                <w:rFonts w:hint="eastAsia" w:ascii="宋体" w:hAnsi="宋体" w:cs="宋体"/>
                <w:color w:val="000000"/>
                <w:kern w:val="0"/>
                <w:sz w:val="18"/>
                <w:szCs w:val="18"/>
              </w:rPr>
              <w:t>有条件建设区</w:t>
            </w:r>
          </w:p>
        </w:tc>
        <w:tc>
          <w:tcPr>
            <w:tcW w:w="1206" w:type="dxa"/>
            <w:tcBorders>
              <w:top w:val="nil"/>
              <w:left w:val="nil"/>
              <w:bottom w:val="single" w:color="auto" w:sz="8" w:space="0"/>
              <w:right w:val="single" w:color="auto" w:sz="8" w:space="0"/>
            </w:tcBorders>
            <w:shd w:val="clear" w:color="auto" w:fill="auto"/>
            <w:vAlign w:val="center"/>
          </w:tcPr>
          <w:p w14:paraId="11C1C3FD">
            <w:pPr>
              <w:widowControl/>
              <w:jc w:val="center"/>
              <w:rPr>
                <w:rFonts w:ascii="宋体" w:hAnsi="宋体" w:cs="宋体"/>
                <w:color w:val="000000"/>
                <w:kern w:val="0"/>
                <w:sz w:val="18"/>
                <w:szCs w:val="18"/>
              </w:rPr>
            </w:pPr>
            <w:r>
              <w:rPr>
                <w:rFonts w:hint="eastAsia" w:ascii="宋体" w:hAnsi="宋体" w:cs="宋体"/>
                <w:color w:val="000000"/>
                <w:kern w:val="0"/>
                <w:sz w:val="18"/>
                <w:szCs w:val="18"/>
              </w:rPr>
              <w:t>1779.81</w:t>
            </w:r>
          </w:p>
        </w:tc>
        <w:tc>
          <w:tcPr>
            <w:tcW w:w="1026" w:type="dxa"/>
            <w:tcBorders>
              <w:top w:val="nil"/>
              <w:left w:val="nil"/>
              <w:bottom w:val="single" w:color="auto" w:sz="8" w:space="0"/>
              <w:right w:val="single" w:color="auto" w:sz="8" w:space="0"/>
            </w:tcBorders>
            <w:shd w:val="clear" w:color="auto" w:fill="auto"/>
            <w:noWrap/>
            <w:vAlign w:val="center"/>
          </w:tcPr>
          <w:p w14:paraId="18C8D19C">
            <w:pPr>
              <w:widowControl/>
              <w:jc w:val="center"/>
              <w:rPr>
                <w:rFonts w:ascii="宋体" w:hAnsi="宋体" w:cs="宋体"/>
                <w:color w:val="000000"/>
                <w:kern w:val="0"/>
                <w:sz w:val="18"/>
                <w:szCs w:val="18"/>
              </w:rPr>
            </w:pPr>
            <w:r>
              <w:rPr>
                <w:rFonts w:hint="eastAsia" w:ascii="宋体" w:hAnsi="宋体" w:cs="宋体"/>
                <w:color w:val="000000"/>
                <w:kern w:val="0"/>
                <w:sz w:val="18"/>
                <w:szCs w:val="18"/>
              </w:rPr>
              <w:t>0.95%</w:t>
            </w:r>
          </w:p>
        </w:tc>
        <w:tc>
          <w:tcPr>
            <w:tcW w:w="1296" w:type="dxa"/>
            <w:tcBorders>
              <w:top w:val="nil"/>
              <w:left w:val="single" w:color="auto" w:sz="4" w:space="0"/>
              <w:bottom w:val="single" w:color="auto" w:sz="4" w:space="0"/>
              <w:right w:val="single" w:color="auto" w:sz="4" w:space="0"/>
            </w:tcBorders>
            <w:shd w:val="clear" w:color="auto" w:fill="auto"/>
            <w:noWrap/>
            <w:vAlign w:val="center"/>
          </w:tcPr>
          <w:p w14:paraId="1E0C080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1862.97 </w:t>
            </w:r>
          </w:p>
        </w:tc>
        <w:tc>
          <w:tcPr>
            <w:tcW w:w="1026" w:type="dxa"/>
            <w:tcBorders>
              <w:top w:val="nil"/>
              <w:left w:val="nil"/>
              <w:bottom w:val="single" w:color="auto" w:sz="8" w:space="0"/>
              <w:right w:val="single" w:color="auto" w:sz="8" w:space="0"/>
            </w:tcBorders>
            <w:shd w:val="clear" w:color="auto" w:fill="auto"/>
            <w:noWrap/>
            <w:vAlign w:val="center"/>
          </w:tcPr>
          <w:p w14:paraId="4B4F66CD">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094" w:type="dxa"/>
            <w:tcBorders>
              <w:top w:val="nil"/>
              <w:left w:val="nil"/>
              <w:bottom w:val="single" w:color="auto" w:sz="8" w:space="0"/>
              <w:right w:val="single" w:color="auto" w:sz="8" w:space="0"/>
            </w:tcBorders>
            <w:shd w:val="clear" w:color="auto" w:fill="auto"/>
            <w:noWrap/>
            <w:vAlign w:val="center"/>
          </w:tcPr>
          <w:p w14:paraId="0D14144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83.16 </w:t>
            </w:r>
          </w:p>
        </w:tc>
        <w:tc>
          <w:tcPr>
            <w:tcW w:w="1212" w:type="dxa"/>
            <w:tcBorders>
              <w:top w:val="nil"/>
              <w:left w:val="nil"/>
              <w:bottom w:val="single" w:color="auto" w:sz="8" w:space="0"/>
              <w:right w:val="single" w:color="auto" w:sz="8" w:space="0"/>
            </w:tcBorders>
            <w:shd w:val="clear" w:color="auto" w:fill="auto"/>
            <w:noWrap/>
            <w:vAlign w:val="center"/>
          </w:tcPr>
          <w:p w14:paraId="14D1B0BE">
            <w:pPr>
              <w:widowControl/>
              <w:jc w:val="center"/>
              <w:rPr>
                <w:rFonts w:ascii="宋体" w:hAnsi="宋体" w:cs="宋体"/>
                <w:color w:val="000000"/>
                <w:kern w:val="0"/>
                <w:sz w:val="18"/>
                <w:szCs w:val="18"/>
              </w:rPr>
            </w:pPr>
            <w:r>
              <w:rPr>
                <w:rFonts w:hint="eastAsia" w:ascii="宋体" w:hAnsi="宋体" w:cs="宋体"/>
                <w:color w:val="000000"/>
                <w:kern w:val="0"/>
                <w:sz w:val="18"/>
                <w:szCs w:val="18"/>
              </w:rPr>
              <w:t>0.04%</w:t>
            </w:r>
          </w:p>
        </w:tc>
      </w:tr>
      <w:tr w14:paraId="268471EB">
        <w:tblPrEx>
          <w:tblCellMar>
            <w:top w:w="0" w:type="dxa"/>
            <w:left w:w="108" w:type="dxa"/>
            <w:bottom w:w="0" w:type="dxa"/>
            <w:right w:w="108" w:type="dxa"/>
          </w:tblCellMar>
        </w:tblPrEx>
        <w:trPr>
          <w:trHeight w:val="312" w:hRule="atLeast"/>
          <w:jc w:val="center"/>
        </w:trPr>
        <w:tc>
          <w:tcPr>
            <w:tcW w:w="1476" w:type="dxa"/>
            <w:tcBorders>
              <w:top w:val="nil"/>
              <w:left w:val="single" w:color="auto" w:sz="8" w:space="0"/>
              <w:bottom w:val="single" w:color="auto" w:sz="8" w:space="0"/>
              <w:right w:val="single" w:color="auto" w:sz="8" w:space="0"/>
            </w:tcBorders>
            <w:shd w:val="clear" w:color="auto" w:fill="auto"/>
            <w:vAlign w:val="center"/>
          </w:tcPr>
          <w:p w14:paraId="096EA0B3">
            <w:pPr>
              <w:widowControl/>
              <w:jc w:val="center"/>
              <w:rPr>
                <w:rFonts w:ascii="宋体" w:hAnsi="宋体" w:cs="宋体"/>
                <w:color w:val="000000"/>
                <w:kern w:val="0"/>
                <w:sz w:val="18"/>
                <w:szCs w:val="18"/>
              </w:rPr>
            </w:pPr>
            <w:r>
              <w:rPr>
                <w:rFonts w:hint="eastAsia" w:ascii="宋体" w:hAnsi="宋体" w:cs="宋体"/>
                <w:color w:val="000000"/>
                <w:kern w:val="0"/>
                <w:sz w:val="18"/>
                <w:szCs w:val="18"/>
              </w:rPr>
              <w:t>限制建设区</w:t>
            </w:r>
          </w:p>
        </w:tc>
        <w:tc>
          <w:tcPr>
            <w:tcW w:w="1206" w:type="dxa"/>
            <w:tcBorders>
              <w:top w:val="nil"/>
              <w:left w:val="nil"/>
              <w:bottom w:val="single" w:color="auto" w:sz="8" w:space="0"/>
              <w:right w:val="single" w:color="auto" w:sz="8" w:space="0"/>
            </w:tcBorders>
            <w:shd w:val="clear" w:color="auto" w:fill="auto"/>
            <w:vAlign w:val="center"/>
          </w:tcPr>
          <w:p w14:paraId="7A737266">
            <w:pPr>
              <w:widowControl/>
              <w:jc w:val="center"/>
              <w:rPr>
                <w:rFonts w:ascii="宋体" w:hAnsi="宋体" w:cs="宋体"/>
                <w:color w:val="000000"/>
                <w:kern w:val="0"/>
                <w:sz w:val="18"/>
                <w:szCs w:val="18"/>
              </w:rPr>
            </w:pPr>
            <w:r>
              <w:rPr>
                <w:rFonts w:hint="eastAsia" w:ascii="宋体" w:hAnsi="宋体" w:cs="宋体"/>
                <w:color w:val="000000"/>
                <w:kern w:val="0"/>
                <w:sz w:val="18"/>
                <w:szCs w:val="18"/>
              </w:rPr>
              <w:t>169533</w:t>
            </w:r>
          </w:p>
        </w:tc>
        <w:tc>
          <w:tcPr>
            <w:tcW w:w="1026" w:type="dxa"/>
            <w:tcBorders>
              <w:top w:val="nil"/>
              <w:left w:val="nil"/>
              <w:bottom w:val="single" w:color="auto" w:sz="8" w:space="0"/>
              <w:right w:val="single" w:color="auto" w:sz="8" w:space="0"/>
            </w:tcBorders>
            <w:shd w:val="clear" w:color="auto" w:fill="auto"/>
            <w:noWrap/>
            <w:vAlign w:val="center"/>
          </w:tcPr>
          <w:p w14:paraId="63C939A6">
            <w:pPr>
              <w:widowControl/>
              <w:jc w:val="center"/>
              <w:rPr>
                <w:rFonts w:ascii="宋体" w:hAnsi="宋体" w:cs="宋体"/>
                <w:color w:val="000000"/>
                <w:kern w:val="0"/>
                <w:sz w:val="18"/>
                <w:szCs w:val="18"/>
              </w:rPr>
            </w:pPr>
            <w:r>
              <w:rPr>
                <w:rFonts w:hint="eastAsia" w:ascii="宋体" w:hAnsi="宋体" w:cs="宋体"/>
                <w:color w:val="000000"/>
                <w:kern w:val="0"/>
                <w:sz w:val="18"/>
                <w:szCs w:val="18"/>
              </w:rPr>
              <w:t>90.87%</w:t>
            </w:r>
          </w:p>
        </w:tc>
        <w:tc>
          <w:tcPr>
            <w:tcW w:w="1296" w:type="dxa"/>
            <w:tcBorders>
              <w:top w:val="nil"/>
              <w:left w:val="single" w:color="auto" w:sz="4" w:space="0"/>
              <w:bottom w:val="single" w:color="auto" w:sz="4" w:space="0"/>
              <w:right w:val="single" w:color="auto" w:sz="4" w:space="0"/>
            </w:tcBorders>
            <w:shd w:val="clear" w:color="auto" w:fill="auto"/>
            <w:noWrap/>
            <w:vAlign w:val="center"/>
          </w:tcPr>
          <w:p w14:paraId="2392F8F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169287.74 </w:t>
            </w:r>
          </w:p>
        </w:tc>
        <w:tc>
          <w:tcPr>
            <w:tcW w:w="1026" w:type="dxa"/>
            <w:tcBorders>
              <w:top w:val="nil"/>
              <w:left w:val="nil"/>
              <w:bottom w:val="single" w:color="auto" w:sz="8" w:space="0"/>
              <w:right w:val="single" w:color="auto" w:sz="8" w:space="0"/>
            </w:tcBorders>
            <w:shd w:val="clear" w:color="auto" w:fill="auto"/>
            <w:noWrap/>
            <w:vAlign w:val="center"/>
          </w:tcPr>
          <w:p w14:paraId="7A16D9CB">
            <w:pPr>
              <w:widowControl/>
              <w:jc w:val="center"/>
              <w:rPr>
                <w:rFonts w:ascii="宋体" w:hAnsi="宋体" w:cs="宋体"/>
                <w:color w:val="000000"/>
                <w:kern w:val="0"/>
                <w:sz w:val="18"/>
                <w:szCs w:val="18"/>
              </w:rPr>
            </w:pPr>
            <w:r>
              <w:rPr>
                <w:rFonts w:hint="eastAsia" w:ascii="宋体" w:hAnsi="宋体" w:cs="宋体"/>
                <w:color w:val="000000"/>
                <w:kern w:val="0"/>
                <w:sz w:val="18"/>
                <w:szCs w:val="18"/>
              </w:rPr>
              <w:t>90.74%</w:t>
            </w:r>
          </w:p>
        </w:tc>
        <w:tc>
          <w:tcPr>
            <w:tcW w:w="1094" w:type="dxa"/>
            <w:tcBorders>
              <w:top w:val="nil"/>
              <w:left w:val="nil"/>
              <w:bottom w:val="single" w:color="auto" w:sz="8" w:space="0"/>
              <w:right w:val="single" w:color="auto" w:sz="8" w:space="0"/>
            </w:tcBorders>
            <w:shd w:val="clear" w:color="auto" w:fill="auto"/>
            <w:noWrap/>
            <w:vAlign w:val="center"/>
          </w:tcPr>
          <w:p w14:paraId="0D5BE9C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-245.26 </w:t>
            </w:r>
          </w:p>
        </w:tc>
        <w:tc>
          <w:tcPr>
            <w:tcW w:w="1212" w:type="dxa"/>
            <w:tcBorders>
              <w:top w:val="nil"/>
              <w:left w:val="nil"/>
              <w:bottom w:val="single" w:color="auto" w:sz="8" w:space="0"/>
              <w:right w:val="single" w:color="auto" w:sz="8" w:space="0"/>
            </w:tcBorders>
            <w:shd w:val="clear" w:color="auto" w:fill="auto"/>
            <w:noWrap/>
            <w:vAlign w:val="center"/>
          </w:tcPr>
          <w:p w14:paraId="3A6C8859">
            <w:pPr>
              <w:widowControl/>
              <w:jc w:val="center"/>
              <w:rPr>
                <w:rFonts w:ascii="宋体" w:hAnsi="宋体" w:cs="宋体"/>
                <w:color w:val="000000"/>
                <w:kern w:val="0"/>
                <w:sz w:val="18"/>
                <w:szCs w:val="18"/>
              </w:rPr>
            </w:pPr>
            <w:r>
              <w:rPr>
                <w:rFonts w:hint="eastAsia" w:ascii="宋体" w:hAnsi="宋体" w:cs="宋体"/>
                <w:color w:val="000000"/>
                <w:kern w:val="0"/>
                <w:sz w:val="18"/>
                <w:szCs w:val="18"/>
              </w:rPr>
              <w:t>-0.13%</w:t>
            </w:r>
          </w:p>
        </w:tc>
      </w:tr>
      <w:tr w14:paraId="750AE893">
        <w:tblPrEx>
          <w:tblCellMar>
            <w:top w:w="0" w:type="dxa"/>
            <w:left w:w="108" w:type="dxa"/>
            <w:bottom w:w="0" w:type="dxa"/>
            <w:right w:w="108" w:type="dxa"/>
          </w:tblCellMar>
        </w:tblPrEx>
        <w:trPr>
          <w:trHeight w:val="312" w:hRule="atLeast"/>
          <w:jc w:val="center"/>
        </w:trPr>
        <w:tc>
          <w:tcPr>
            <w:tcW w:w="1476" w:type="dxa"/>
            <w:tcBorders>
              <w:top w:val="nil"/>
              <w:left w:val="single" w:color="auto" w:sz="8" w:space="0"/>
              <w:bottom w:val="single" w:color="auto" w:sz="8" w:space="0"/>
              <w:right w:val="single" w:color="auto" w:sz="8" w:space="0"/>
            </w:tcBorders>
            <w:shd w:val="clear" w:color="auto" w:fill="auto"/>
            <w:vAlign w:val="center"/>
          </w:tcPr>
          <w:p w14:paraId="51A21D2F">
            <w:pPr>
              <w:widowControl/>
              <w:jc w:val="center"/>
              <w:rPr>
                <w:rFonts w:ascii="宋体" w:hAnsi="宋体" w:cs="宋体"/>
                <w:color w:val="000000"/>
                <w:kern w:val="0"/>
                <w:sz w:val="18"/>
                <w:szCs w:val="18"/>
              </w:rPr>
            </w:pPr>
            <w:r>
              <w:rPr>
                <w:rFonts w:hint="eastAsia" w:ascii="宋体" w:hAnsi="宋体" w:cs="宋体"/>
                <w:color w:val="000000"/>
                <w:kern w:val="0"/>
                <w:sz w:val="18"/>
                <w:szCs w:val="18"/>
              </w:rPr>
              <w:t>禁止建设区</w:t>
            </w:r>
          </w:p>
        </w:tc>
        <w:tc>
          <w:tcPr>
            <w:tcW w:w="1206" w:type="dxa"/>
            <w:tcBorders>
              <w:top w:val="nil"/>
              <w:left w:val="nil"/>
              <w:bottom w:val="single" w:color="auto" w:sz="8" w:space="0"/>
              <w:right w:val="single" w:color="auto" w:sz="8" w:space="0"/>
            </w:tcBorders>
            <w:shd w:val="clear" w:color="auto" w:fill="auto"/>
            <w:vAlign w:val="center"/>
          </w:tcPr>
          <w:p w14:paraId="4C43F34B">
            <w:pPr>
              <w:widowControl/>
              <w:jc w:val="center"/>
              <w:rPr>
                <w:rFonts w:ascii="宋体" w:hAnsi="宋体" w:cs="宋体"/>
                <w:color w:val="000000"/>
                <w:kern w:val="0"/>
                <w:sz w:val="18"/>
                <w:szCs w:val="18"/>
              </w:rPr>
            </w:pPr>
            <w:r>
              <w:rPr>
                <w:rFonts w:hint="eastAsia" w:ascii="宋体" w:hAnsi="宋体" w:cs="宋体"/>
                <w:color w:val="000000"/>
                <w:kern w:val="0"/>
                <w:sz w:val="18"/>
                <w:szCs w:val="18"/>
              </w:rPr>
              <w:t>10038</w:t>
            </w:r>
          </w:p>
        </w:tc>
        <w:tc>
          <w:tcPr>
            <w:tcW w:w="1026" w:type="dxa"/>
            <w:tcBorders>
              <w:top w:val="nil"/>
              <w:left w:val="nil"/>
              <w:bottom w:val="single" w:color="auto" w:sz="8" w:space="0"/>
              <w:right w:val="single" w:color="auto" w:sz="8" w:space="0"/>
            </w:tcBorders>
            <w:shd w:val="clear" w:color="auto" w:fill="auto"/>
            <w:noWrap/>
            <w:vAlign w:val="center"/>
          </w:tcPr>
          <w:p w14:paraId="3B72E485">
            <w:pPr>
              <w:widowControl/>
              <w:jc w:val="center"/>
              <w:rPr>
                <w:rFonts w:ascii="宋体" w:hAnsi="宋体" w:cs="宋体"/>
                <w:color w:val="000000"/>
                <w:kern w:val="0"/>
                <w:sz w:val="18"/>
                <w:szCs w:val="18"/>
              </w:rPr>
            </w:pPr>
            <w:r>
              <w:rPr>
                <w:rFonts w:hint="eastAsia" w:ascii="宋体" w:hAnsi="宋体" w:cs="宋体"/>
                <w:color w:val="000000"/>
                <w:kern w:val="0"/>
                <w:sz w:val="18"/>
                <w:szCs w:val="18"/>
              </w:rPr>
              <w:t>5.38%</w:t>
            </w:r>
          </w:p>
        </w:tc>
        <w:tc>
          <w:tcPr>
            <w:tcW w:w="1296" w:type="dxa"/>
            <w:tcBorders>
              <w:top w:val="nil"/>
              <w:left w:val="single" w:color="auto" w:sz="4" w:space="0"/>
              <w:bottom w:val="single" w:color="auto" w:sz="4" w:space="0"/>
              <w:right w:val="single" w:color="auto" w:sz="4" w:space="0"/>
            </w:tcBorders>
            <w:shd w:val="clear" w:color="auto" w:fill="auto"/>
            <w:noWrap/>
            <w:vAlign w:val="center"/>
          </w:tcPr>
          <w:p w14:paraId="1AFD752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10033.68 </w:t>
            </w:r>
          </w:p>
        </w:tc>
        <w:tc>
          <w:tcPr>
            <w:tcW w:w="1026" w:type="dxa"/>
            <w:tcBorders>
              <w:top w:val="nil"/>
              <w:left w:val="nil"/>
              <w:bottom w:val="single" w:color="auto" w:sz="8" w:space="0"/>
              <w:right w:val="single" w:color="auto" w:sz="8" w:space="0"/>
            </w:tcBorders>
            <w:shd w:val="clear" w:color="auto" w:fill="auto"/>
            <w:noWrap/>
            <w:vAlign w:val="center"/>
          </w:tcPr>
          <w:p w14:paraId="5D502C58">
            <w:pPr>
              <w:widowControl/>
              <w:jc w:val="center"/>
              <w:rPr>
                <w:rFonts w:ascii="宋体" w:hAnsi="宋体" w:cs="宋体"/>
                <w:color w:val="000000"/>
                <w:kern w:val="0"/>
                <w:sz w:val="18"/>
                <w:szCs w:val="18"/>
              </w:rPr>
            </w:pPr>
            <w:r>
              <w:rPr>
                <w:rFonts w:hint="eastAsia" w:ascii="宋体" w:hAnsi="宋体" w:cs="宋体"/>
                <w:color w:val="000000"/>
                <w:kern w:val="0"/>
                <w:sz w:val="18"/>
                <w:szCs w:val="18"/>
              </w:rPr>
              <w:t>5.38%</w:t>
            </w:r>
          </w:p>
        </w:tc>
        <w:tc>
          <w:tcPr>
            <w:tcW w:w="1094" w:type="dxa"/>
            <w:tcBorders>
              <w:top w:val="nil"/>
              <w:left w:val="nil"/>
              <w:bottom w:val="single" w:color="auto" w:sz="8" w:space="0"/>
              <w:right w:val="single" w:color="auto" w:sz="8" w:space="0"/>
            </w:tcBorders>
            <w:shd w:val="clear" w:color="auto" w:fill="auto"/>
            <w:noWrap/>
            <w:vAlign w:val="center"/>
          </w:tcPr>
          <w:p w14:paraId="055BDF0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-4.32 </w:t>
            </w:r>
          </w:p>
        </w:tc>
        <w:tc>
          <w:tcPr>
            <w:tcW w:w="1212" w:type="dxa"/>
            <w:tcBorders>
              <w:top w:val="nil"/>
              <w:left w:val="nil"/>
              <w:bottom w:val="single" w:color="auto" w:sz="8" w:space="0"/>
              <w:right w:val="single" w:color="auto" w:sz="8" w:space="0"/>
            </w:tcBorders>
            <w:shd w:val="clear" w:color="auto" w:fill="auto"/>
            <w:noWrap/>
            <w:vAlign w:val="center"/>
          </w:tcPr>
          <w:p w14:paraId="31A8F3BB">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r w14:paraId="743B125C">
        <w:tblPrEx>
          <w:tblCellMar>
            <w:top w:w="0" w:type="dxa"/>
            <w:left w:w="108" w:type="dxa"/>
            <w:bottom w:w="0" w:type="dxa"/>
            <w:right w:w="108" w:type="dxa"/>
          </w:tblCellMar>
        </w:tblPrEx>
        <w:trPr>
          <w:trHeight w:val="312" w:hRule="atLeast"/>
          <w:jc w:val="center"/>
        </w:trPr>
        <w:tc>
          <w:tcPr>
            <w:tcW w:w="1476" w:type="dxa"/>
            <w:tcBorders>
              <w:top w:val="nil"/>
              <w:left w:val="single" w:color="auto" w:sz="8" w:space="0"/>
              <w:bottom w:val="single" w:color="auto" w:sz="8" w:space="0"/>
              <w:right w:val="single" w:color="auto" w:sz="8" w:space="0"/>
            </w:tcBorders>
            <w:shd w:val="clear" w:color="auto" w:fill="auto"/>
            <w:vAlign w:val="center"/>
          </w:tcPr>
          <w:p w14:paraId="1F74DCEB">
            <w:pPr>
              <w:widowControl/>
              <w:jc w:val="center"/>
              <w:rPr>
                <w:rFonts w:ascii="宋体" w:hAnsi="宋体" w:cs="宋体"/>
                <w:color w:val="000000"/>
                <w:kern w:val="0"/>
                <w:sz w:val="18"/>
                <w:szCs w:val="18"/>
              </w:rPr>
            </w:pPr>
            <w:r>
              <w:rPr>
                <w:rFonts w:hint="eastAsia" w:ascii="宋体" w:hAnsi="宋体" w:cs="宋体"/>
                <w:color w:val="000000"/>
                <w:kern w:val="0"/>
                <w:sz w:val="18"/>
                <w:szCs w:val="18"/>
              </w:rPr>
              <w:t>总计</w:t>
            </w:r>
          </w:p>
        </w:tc>
        <w:tc>
          <w:tcPr>
            <w:tcW w:w="1206" w:type="dxa"/>
            <w:tcBorders>
              <w:top w:val="nil"/>
              <w:left w:val="nil"/>
              <w:bottom w:val="single" w:color="auto" w:sz="8" w:space="0"/>
              <w:right w:val="single" w:color="auto" w:sz="8" w:space="0"/>
            </w:tcBorders>
            <w:shd w:val="clear" w:color="auto" w:fill="auto"/>
            <w:vAlign w:val="center"/>
          </w:tcPr>
          <w:p w14:paraId="467DABF8">
            <w:pPr>
              <w:widowControl/>
              <w:jc w:val="center"/>
              <w:rPr>
                <w:rFonts w:ascii="宋体" w:hAnsi="宋体" w:cs="宋体"/>
                <w:color w:val="000000"/>
                <w:kern w:val="0"/>
                <w:sz w:val="18"/>
                <w:szCs w:val="18"/>
              </w:rPr>
            </w:pPr>
            <w:r>
              <w:rPr>
                <w:rFonts w:hint="eastAsia" w:ascii="宋体" w:hAnsi="宋体" w:cs="宋体"/>
                <w:color w:val="000000"/>
                <w:kern w:val="0"/>
                <w:sz w:val="18"/>
                <w:szCs w:val="18"/>
              </w:rPr>
              <w:t>186569.81</w:t>
            </w:r>
          </w:p>
        </w:tc>
        <w:tc>
          <w:tcPr>
            <w:tcW w:w="1026" w:type="dxa"/>
            <w:tcBorders>
              <w:top w:val="nil"/>
              <w:left w:val="nil"/>
              <w:bottom w:val="single" w:color="auto" w:sz="8" w:space="0"/>
              <w:right w:val="single" w:color="auto" w:sz="8" w:space="0"/>
            </w:tcBorders>
            <w:shd w:val="clear" w:color="auto" w:fill="auto"/>
            <w:noWrap/>
            <w:vAlign w:val="center"/>
          </w:tcPr>
          <w:p w14:paraId="5CCCE774">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296" w:type="dxa"/>
            <w:tcBorders>
              <w:top w:val="nil"/>
              <w:left w:val="nil"/>
              <w:bottom w:val="single" w:color="auto" w:sz="8" w:space="0"/>
              <w:right w:val="single" w:color="auto" w:sz="8" w:space="0"/>
            </w:tcBorders>
            <w:shd w:val="clear" w:color="auto" w:fill="auto"/>
            <w:noWrap/>
            <w:vAlign w:val="center"/>
          </w:tcPr>
          <w:p w14:paraId="03DCF04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186569.81 </w:t>
            </w:r>
          </w:p>
        </w:tc>
        <w:tc>
          <w:tcPr>
            <w:tcW w:w="1026" w:type="dxa"/>
            <w:tcBorders>
              <w:top w:val="nil"/>
              <w:left w:val="nil"/>
              <w:bottom w:val="single" w:color="auto" w:sz="8" w:space="0"/>
              <w:right w:val="single" w:color="auto" w:sz="8" w:space="0"/>
            </w:tcBorders>
            <w:shd w:val="clear" w:color="auto" w:fill="auto"/>
            <w:noWrap/>
            <w:vAlign w:val="center"/>
          </w:tcPr>
          <w:p w14:paraId="258ED315">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094" w:type="dxa"/>
            <w:tcBorders>
              <w:top w:val="nil"/>
              <w:left w:val="nil"/>
              <w:bottom w:val="single" w:color="auto" w:sz="8" w:space="0"/>
              <w:right w:val="single" w:color="auto" w:sz="8" w:space="0"/>
            </w:tcBorders>
            <w:shd w:val="clear" w:color="auto" w:fill="auto"/>
            <w:noWrap/>
            <w:vAlign w:val="center"/>
          </w:tcPr>
          <w:p w14:paraId="60B5275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12" w:type="dxa"/>
            <w:tcBorders>
              <w:top w:val="nil"/>
              <w:left w:val="nil"/>
              <w:bottom w:val="single" w:color="auto" w:sz="8" w:space="0"/>
              <w:right w:val="single" w:color="auto" w:sz="8" w:space="0"/>
            </w:tcBorders>
            <w:shd w:val="clear" w:color="auto" w:fill="auto"/>
            <w:noWrap/>
            <w:vAlign w:val="center"/>
          </w:tcPr>
          <w:p w14:paraId="45EECEBD">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bl>
    <w:p w14:paraId="23B8DF4C">
      <w:pPr>
        <w:jc w:val="center"/>
        <w:outlineLvl w:val="4"/>
        <w:rPr>
          <w:rFonts w:ascii="宋体" w:hAnsi="宋体"/>
          <w:b/>
          <w:sz w:val="24"/>
        </w:rPr>
      </w:pPr>
    </w:p>
    <w:p w14:paraId="7F31C291">
      <w:pPr>
        <w:jc w:val="center"/>
        <w:outlineLvl w:val="4"/>
        <w:rPr>
          <w:rFonts w:ascii="宋体" w:hAnsi="宋体"/>
          <w:b/>
          <w:sz w:val="24"/>
        </w:rPr>
      </w:pPr>
      <w:r>
        <w:rPr>
          <w:rFonts w:hint="eastAsia" w:ascii="宋体" w:hAnsi="宋体"/>
          <w:b/>
          <w:sz w:val="24"/>
        </w:rPr>
        <w:t>表6-12  东川区建设用地空间管制分区面积表</w:t>
      </w:r>
    </w:p>
    <w:p w14:paraId="6634FD66">
      <w:pPr>
        <w:snapToGrid w:val="0"/>
        <w:spacing w:line="360" w:lineRule="auto"/>
        <w:ind w:firstLine="360" w:firstLineChars="200"/>
        <w:jc w:val="center"/>
        <w:rPr>
          <w:rFonts w:ascii="宋体" w:hAnsi="宋体"/>
          <w:color w:val="000000"/>
          <w:sz w:val="18"/>
          <w:szCs w:val="18"/>
        </w:rPr>
      </w:pPr>
      <w:r>
        <w:rPr>
          <w:rFonts w:hint="eastAsia" w:ascii="宋体" w:hAnsi="宋体"/>
          <w:color w:val="000000"/>
          <w:sz w:val="18"/>
          <w:szCs w:val="18"/>
        </w:rPr>
        <w:t xml:space="preserve">                                                                      单位：公顷</w:t>
      </w:r>
    </w:p>
    <w:tbl>
      <w:tblPr>
        <w:tblStyle w:val="27"/>
        <w:tblW w:w="7977" w:type="dxa"/>
        <w:jc w:val="center"/>
        <w:tblLayout w:type="autofit"/>
        <w:tblCellMar>
          <w:top w:w="0" w:type="dxa"/>
          <w:left w:w="108" w:type="dxa"/>
          <w:bottom w:w="0" w:type="dxa"/>
          <w:right w:w="108" w:type="dxa"/>
        </w:tblCellMar>
      </w:tblPr>
      <w:tblGrid>
        <w:gridCol w:w="1300"/>
        <w:gridCol w:w="1300"/>
        <w:gridCol w:w="1481"/>
        <w:gridCol w:w="1300"/>
        <w:gridCol w:w="1300"/>
        <w:gridCol w:w="1296"/>
      </w:tblGrid>
      <w:tr w14:paraId="020C59F9">
        <w:tblPrEx>
          <w:tblCellMar>
            <w:top w:w="0" w:type="dxa"/>
            <w:left w:w="108" w:type="dxa"/>
            <w:bottom w:w="0" w:type="dxa"/>
            <w:right w:w="108" w:type="dxa"/>
          </w:tblCellMar>
        </w:tblPrEx>
        <w:trPr>
          <w:trHeight w:val="312" w:hRule="atLeast"/>
          <w:jc w:val="center"/>
        </w:trPr>
        <w:tc>
          <w:tcPr>
            <w:tcW w:w="13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D1E58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行政区名称</w:t>
            </w:r>
          </w:p>
        </w:tc>
        <w:tc>
          <w:tcPr>
            <w:tcW w:w="1300" w:type="dxa"/>
            <w:tcBorders>
              <w:top w:val="single" w:color="auto" w:sz="4" w:space="0"/>
              <w:left w:val="nil"/>
              <w:bottom w:val="single" w:color="auto" w:sz="4" w:space="0"/>
              <w:right w:val="single" w:color="auto" w:sz="4" w:space="0"/>
            </w:tcBorders>
            <w:shd w:val="clear" w:color="auto" w:fill="auto"/>
            <w:noWrap/>
            <w:vAlign w:val="center"/>
          </w:tcPr>
          <w:p w14:paraId="5BEF3AA9">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允许建设区</w:t>
            </w:r>
          </w:p>
        </w:tc>
        <w:tc>
          <w:tcPr>
            <w:tcW w:w="1481" w:type="dxa"/>
            <w:tcBorders>
              <w:top w:val="single" w:color="auto" w:sz="4" w:space="0"/>
              <w:left w:val="nil"/>
              <w:bottom w:val="single" w:color="auto" w:sz="4" w:space="0"/>
              <w:right w:val="single" w:color="auto" w:sz="4" w:space="0"/>
            </w:tcBorders>
            <w:shd w:val="clear" w:color="auto" w:fill="auto"/>
            <w:noWrap/>
            <w:vAlign w:val="center"/>
          </w:tcPr>
          <w:p w14:paraId="55C03A8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有条件建设区</w:t>
            </w:r>
          </w:p>
        </w:tc>
        <w:tc>
          <w:tcPr>
            <w:tcW w:w="1300" w:type="dxa"/>
            <w:tcBorders>
              <w:top w:val="single" w:color="auto" w:sz="4" w:space="0"/>
              <w:left w:val="nil"/>
              <w:bottom w:val="single" w:color="auto" w:sz="4" w:space="0"/>
              <w:right w:val="single" w:color="auto" w:sz="4" w:space="0"/>
            </w:tcBorders>
            <w:shd w:val="clear" w:color="auto" w:fill="auto"/>
            <w:noWrap/>
            <w:vAlign w:val="center"/>
          </w:tcPr>
          <w:p w14:paraId="1C69819B">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限制建设区</w:t>
            </w:r>
          </w:p>
        </w:tc>
        <w:tc>
          <w:tcPr>
            <w:tcW w:w="1300" w:type="dxa"/>
            <w:tcBorders>
              <w:top w:val="single" w:color="auto" w:sz="4" w:space="0"/>
              <w:left w:val="nil"/>
              <w:bottom w:val="single" w:color="auto" w:sz="4" w:space="0"/>
              <w:right w:val="single" w:color="auto" w:sz="4" w:space="0"/>
            </w:tcBorders>
            <w:shd w:val="clear" w:color="auto" w:fill="auto"/>
            <w:noWrap/>
            <w:vAlign w:val="center"/>
          </w:tcPr>
          <w:p w14:paraId="266D6BC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禁止建设区</w:t>
            </w:r>
          </w:p>
        </w:tc>
        <w:tc>
          <w:tcPr>
            <w:tcW w:w="1296" w:type="dxa"/>
            <w:tcBorders>
              <w:top w:val="single" w:color="auto" w:sz="4" w:space="0"/>
              <w:left w:val="nil"/>
              <w:bottom w:val="single" w:color="auto" w:sz="4" w:space="0"/>
              <w:right w:val="single" w:color="auto" w:sz="4" w:space="0"/>
            </w:tcBorders>
            <w:shd w:val="clear" w:color="auto" w:fill="auto"/>
            <w:noWrap/>
            <w:vAlign w:val="center"/>
          </w:tcPr>
          <w:p w14:paraId="3954FAE7">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总计</w:t>
            </w:r>
          </w:p>
        </w:tc>
      </w:tr>
      <w:tr w14:paraId="6344AFB6">
        <w:tblPrEx>
          <w:tblCellMar>
            <w:top w:w="0" w:type="dxa"/>
            <w:left w:w="108" w:type="dxa"/>
            <w:bottom w:w="0" w:type="dxa"/>
            <w:right w:w="108" w:type="dxa"/>
          </w:tblCellMar>
        </w:tblPrEx>
        <w:trPr>
          <w:trHeight w:val="312" w:hRule="atLeast"/>
          <w:jc w:val="center"/>
        </w:trPr>
        <w:tc>
          <w:tcPr>
            <w:tcW w:w="1300" w:type="dxa"/>
            <w:tcBorders>
              <w:top w:val="nil"/>
              <w:left w:val="single" w:color="auto" w:sz="4" w:space="0"/>
              <w:bottom w:val="single" w:color="auto" w:sz="4" w:space="0"/>
              <w:right w:val="single" w:color="auto" w:sz="4" w:space="0"/>
            </w:tcBorders>
            <w:shd w:val="clear" w:color="auto" w:fill="auto"/>
            <w:noWrap/>
            <w:vAlign w:val="center"/>
          </w:tcPr>
          <w:p w14:paraId="058277F4">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300" w:type="dxa"/>
            <w:tcBorders>
              <w:top w:val="nil"/>
              <w:left w:val="nil"/>
              <w:bottom w:val="single" w:color="auto" w:sz="4" w:space="0"/>
              <w:right w:val="single" w:color="auto" w:sz="4" w:space="0"/>
            </w:tcBorders>
            <w:shd w:val="clear" w:color="auto" w:fill="auto"/>
            <w:noWrap/>
            <w:vAlign w:val="center"/>
          </w:tcPr>
          <w:p w14:paraId="26BA992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494.70 </w:t>
            </w:r>
          </w:p>
        </w:tc>
        <w:tc>
          <w:tcPr>
            <w:tcW w:w="1481" w:type="dxa"/>
            <w:tcBorders>
              <w:top w:val="nil"/>
              <w:left w:val="nil"/>
              <w:bottom w:val="single" w:color="auto" w:sz="4" w:space="0"/>
              <w:right w:val="single" w:color="auto" w:sz="4" w:space="0"/>
            </w:tcBorders>
            <w:shd w:val="clear" w:color="auto" w:fill="auto"/>
            <w:noWrap/>
            <w:vAlign w:val="center"/>
          </w:tcPr>
          <w:p w14:paraId="584DD2F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36.77 </w:t>
            </w:r>
          </w:p>
        </w:tc>
        <w:tc>
          <w:tcPr>
            <w:tcW w:w="1300" w:type="dxa"/>
            <w:tcBorders>
              <w:top w:val="nil"/>
              <w:left w:val="nil"/>
              <w:bottom w:val="single" w:color="auto" w:sz="4" w:space="0"/>
              <w:right w:val="single" w:color="auto" w:sz="4" w:space="0"/>
            </w:tcBorders>
            <w:shd w:val="clear" w:color="auto" w:fill="auto"/>
            <w:noWrap/>
            <w:vAlign w:val="center"/>
          </w:tcPr>
          <w:p w14:paraId="68802B6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26948.14 </w:t>
            </w:r>
          </w:p>
        </w:tc>
        <w:tc>
          <w:tcPr>
            <w:tcW w:w="1300" w:type="dxa"/>
            <w:tcBorders>
              <w:top w:val="nil"/>
              <w:left w:val="nil"/>
              <w:bottom w:val="single" w:color="auto" w:sz="4" w:space="0"/>
              <w:right w:val="single" w:color="auto" w:sz="4" w:space="0"/>
            </w:tcBorders>
            <w:shd w:val="clear" w:color="auto" w:fill="auto"/>
            <w:noWrap/>
            <w:vAlign w:val="center"/>
          </w:tcPr>
          <w:p w14:paraId="5FA8CE5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96" w:type="dxa"/>
            <w:tcBorders>
              <w:top w:val="nil"/>
              <w:left w:val="nil"/>
              <w:bottom w:val="single" w:color="auto" w:sz="4" w:space="0"/>
              <w:right w:val="single" w:color="auto" w:sz="4" w:space="0"/>
            </w:tcBorders>
            <w:shd w:val="clear" w:color="auto" w:fill="auto"/>
            <w:noWrap/>
            <w:vAlign w:val="center"/>
          </w:tcPr>
          <w:p w14:paraId="2768180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27479.61 </w:t>
            </w:r>
          </w:p>
        </w:tc>
      </w:tr>
      <w:tr w14:paraId="7ED8A0C6">
        <w:tblPrEx>
          <w:tblCellMar>
            <w:top w:w="0" w:type="dxa"/>
            <w:left w:w="108" w:type="dxa"/>
            <w:bottom w:w="0" w:type="dxa"/>
            <w:right w:w="108" w:type="dxa"/>
          </w:tblCellMar>
        </w:tblPrEx>
        <w:trPr>
          <w:trHeight w:val="312" w:hRule="atLeast"/>
          <w:jc w:val="center"/>
        </w:trPr>
        <w:tc>
          <w:tcPr>
            <w:tcW w:w="1300" w:type="dxa"/>
            <w:tcBorders>
              <w:top w:val="nil"/>
              <w:left w:val="single" w:color="auto" w:sz="4" w:space="0"/>
              <w:bottom w:val="single" w:color="auto" w:sz="4" w:space="0"/>
              <w:right w:val="single" w:color="auto" w:sz="4" w:space="0"/>
            </w:tcBorders>
            <w:shd w:val="clear" w:color="auto" w:fill="auto"/>
            <w:noWrap/>
            <w:vAlign w:val="center"/>
          </w:tcPr>
          <w:p w14:paraId="2434247E">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300" w:type="dxa"/>
            <w:tcBorders>
              <w:top w:val="nil"/>
              <w:left w:val="nil"/>
              <w:bottom w:val="single" w:color="auto" w:sz="4" w:space="0"/>
              <w:right w:val="single" w:color="auto" w:sz="4" w:space="0"/>
            </w:tcBorders>
            <w:shd w:val="clear" w:color="auto" w:fill="auto"/>
            <w:noWrap/>
            <w:vAlign w:val="center"/>
          </w:tcPr>
          <w:p w14:paraId="4B0F413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2336.19 </w:t>
            </w:r>
          </w:p>
        </w:tc>
        <w:tc>
          <w:tcPr>
            <w:tcW w:w="1481" w:type="dxa"/>
            <w:tcBorders>
              <w:top w:val="nil"/>
              <w:left w:val="nil"/>
              <w:bottom w:val="single" w:color="auto" w:sz="4" w:space="0"/>
              <w:right w:val="single" w:color="auto" w:sz="4" w:space="0"/>
            </w:tcBorders>
            <w:shd w:val="clear" w:color="auto" w:fill="auto"/>
            <w:noWrap/>
            <w:vAlign w:val="center"/>
          </w:tcPr>
          <w:p w14:paraId="1866DA7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1173.97 </w:t>
            </w:r>
          </w:p>
        </w:tc>
        <w:tc>
          <w:tcPr>
            <w:tcW w:w="1300" w:type="dxa"/>
            <w:tcBorders>
              <w:top w:val="nil"/>
              <w:left w:val="nil"/>
              <w:bottom w:val="single" w:color="auto" w:sz="4" w:space="0"/>
              <w:right w:val="single" w:color="auto" w:sz="4" w:space="0"/>
            </w:tcBorders>
            <w:shd w:val="clear" w:color="auto" w:fill="auto"/>
            <w:noWrap/>
            <w:vAlign w:val="center"/>
          </w:tcPr>
          <w:p w14:paraId="607B5CE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32391.54 </w:t>
            </w:r>
          </w:p>
        </w:tc>
        <w:tc>
          <w:tcPr>
            <w:tcW w:w="1300" w:type="dxa"/>
            <w:tcBorders>
              <w:top w:val="nil"/>
              <w:left w:val="nil"/>
              <w:bottom w:val="single" w:color="auto" w:sz="4" w:space="0"/>
              <w:right w:val="single" w:color="auto" w:sz="4" w:space="0"/>
            </w:tcBorders>
            <w:shd w:val="clear" w:color="auto" w:fill="auto"/>
            <w:noWrap/>
            <w:vAlign w:val="center"/>
          </w:tcPr>
          <w:p w14:paraId="5B4AEE0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96" w:type="dxa"/>
            <w:tcBorders>
              <w:top w:val="nil"/>
              <w:left w:val="nil"/>
              <w:bottom w:val="single" w:color="auto" w:sz="4" w:space="0"/>
              <w:right w:val="single" w:color="auto" w:sz="4" w:space="0"/>
            </w:tcBorders>
            <w:shd w:val="clear" w:color="auto" w:fill="auto"/>
            <w:noWrap/>
            <w:vAlign w:val="center"/>
          </w:tcPr>
          <w:p w14:paraId="79A72BB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35901.69 </w:t>
            </w:r>
          </w:p>
        </w:tc>
      </w:tr>
      <w:tr w14:paraId="540B1E4A">
        <w:tblPrEx>
          <w:tblCellMar>
            <w:top w:w="0" w:type="dxa"/>
            <w:left w:w="108" w:type="dxa"/>
            <w:bottom w:w="0" w:type="dxa"/>
            <w:right w:w="108" w:type="dxa"/>
          </w:tblCellMar>
        </w:tblPrEx>
        <w:trPr>
          <w:trHeight w:val="312" w:hRule="atLeast"/>
          <w:jc w:val="center"/>
        </w:trPr>
        <w:tc>
          <w:tcPr>
            <w:tcW w:w="1300" w:type="dxa"/>
            <w:tcBorders>
              <w:top w:val="nil"/>
              <w:left w:val="single" w:color="auto" w:sz="4" w:space="0"/>
              <w:bottom w:val="single" w:color="auto" w:sz="4" w:space="0"/>
              <w:right w:val="single" w:color="auto" w:sz="4" w:space="0"/>
            </w:tcBorders>
            <w:shd w:val="clear" w:color="auto" w:fill="auto"/>
            <w:noWrap/>
            <w:vAlign w:val="center"/>
          </w:tcPr>
          <w:p w14:paraId="35A23EAE">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300" w:type="dxa"/>
            <w:tcBorders>
              <w:top w:val="nil"/>
              <w:left w:val="nil"/>
              <w:bottom w:val="single" w:color="auto" w:sz="4" w:space="0"/>
              <w:right w:val="single" w:color="auto" w:sz="4" w:space="0"/>
            </w:tcBorders>
            <w:shd w:val="clear" w:color="auto" w:fill="auto"/>
            <w:noWrap/>
            <w:vAlign w:val="center"/>
          </w:tcPr>
          <w:p w14:paraId="479FB37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419.11 </w:t>
            </w:r>
          </w:p>
        </w:tc>
        <w:tc>
          <w:tcPr>
            <w:tcW w:w="1481" w:type="dxa"/>
            <w:tcBorders>
              <w:top w:val="nil"/>
              <w:left w:val="nil"/>
              <w:bottom w:val="single" w:color="auto" w:sz="4" w:space="0"/>
              <w:right w:val="single" w:color="auto" w:sz="4" w:space="0"/>
            </w:tcBorders>
            <w:shd w:val="clear" w:color="auto" w:fill="auto"/>
            <w:noWrap/>
            <w:vAlign w:val="center"/>
          </w:tcPr>
          <w:p w14:paraId="450A6B1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216.18 </w:t>
            </w:r>
          </w:p>
        </w:tc>
        <w:tc>
          <w:tcPr>
            <w:tcW w:w="1300" w:type="dxa"/>
            <w:tcBorders>
              <w:top w:val="nil"/>
              <w:left w:val="nil"/>
              <w:bottom w:val="single" w:color="auto" w:sz="4" w:space="0"/>
              <w:right w:val="single" w:color="auto" w:sz="4" w:space="0"/>
            </w:tcBorders>
            <w:shd w:val="clear" w:color="auto" w:fill="auto"/>
            <w:noWrap/>
            <w:vAlign w:val="center"/>
          </w:tcPr>
          <w:p w14:paraId="5F1A989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12526.91 </w:t>
            </w:r>
          </w:p>
        </w:tc>
        <w:tc>
          <w:tcPr>
            <w:tcW w:w="1300" w:type="dxa"/>
            <w:tcBorders>
              <w:top w:val="nil"/>
              <w:left w:val="nil"/>
              <w:bottom w:val="single" w:color="auto" w:sz="4" w:space="0"/>
              <w:right w:val="single" w:color="auto" w:sz="4" w:space="0"/>
            </w:tcBorders>
            <w:shd w:val="clear" w:color="auto" w:fill="auto"/>
            <w:noWrap/>
            <w:vAlign w:val="center"/>
          </w:tcPr>
          <w:p w14:paraId="360A5ED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296" w:type="dxa"/>
            <w:tcBorders>
              <w:top w:val="nil"/>
              <w:left w:val="nil"/>
              <w:bottom w:val="single" w:color="auto" w:sz="4" w:space="0"/>
              <w:right w:val="single" w:color="auto" w:sz="4" w:space="0"/>
            </w:tcBorders>
            <w:shd w:val="clear" w:color="auto" w:fill="auto"/>
            <w:noWrap/>
            <w:vAlign w:val="center"/>
          </w:tcPr>
          <w:p w14:paraId="15EB500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13162.20 </w:t>
            </w:r>
          </w:p>
        </w:tc>
      </w:tr>
      <w:tr w14:paraId="61EEF77B">
        <w:tblPrEx>
          <w:tblCellMar>
            <w:top w:w="0" w:type="dxa"/>
            <w:left w:w="108" w:type="dxa"/>
            <w:bottom w:w="0" w:type="dxa"/>
            <w:right w:w="108" w:type="dxa"/>
          </w:tblCellMar>
        </w:tblPrEx>
        <w:trPr>
          <w:trHeight w:val="312" w:hRule="atLeast"/>
          <w:jc w:val="center"/>
        </w:trPr>
        <w:tc>
          <w:tcPr>
            <w:tcW w:w="1300" w:type="dxa"/>
            <w:tcBorders>
              <w:top w:val="nil"/>
              <w:left w:val="single" w:color="auto" w:sz="4" w:space="0"/>
              <w:bottom w:val="single" w:color="auto" w:sz="4" w:space="0"/>
              <w:right w:val="single" w:color="auto" w:sz="4" w:space="0"/>
            </w:tcBorders>
            <w:shd w:val="clear" w:color="auto" w:fill="auto"/>
            <w:noWrap/>
            <w:vAlign w:val="center"/>
          </w:tcPr>
          <w:p w14:paraId="6D9205FB">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300" w:type="dxa"/>
            <w:tcBorders>
              <w:top w:val="nil"/>
              <w:left w:val="nil"/>
              <w:bottom w:val="single" w:color="auto" w:sz="4" w:space="0"/>
              <w:right w:val="single" w:color="auto" w:sz="4" w:space="0"/>
            </w:tcBorders>
            <w:shd w:val="clear" w:color="auto" w:fill="auto"/>
            <w:noWrap/>
            <w:vAlign w:val="center"/>
          </w:tcPr>
          <w:p w14:paraId="31BC2F3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415.88 </w:t>
            </w:r>
          </w:p>
        </w:tc>
        <w:tc>
          <w:tcPr>
            <w:tcW w:w="1481" w:type="dxa"/>
            <w:tcBorders>
              <w:top w:val="nil"/>
              <w:left w:val="nil"/>
              <w:bottom w:val="single" w:color="auto" w:sz="4" w:space="0"/>
              <w:right w:val="single" w:color="auto" w:sz="4" w:space="0"/>
            </w:tcBorders>
            <w:shd w:val="clear" w:color="auto" w:fill="auto"/>
            <w:noWrap/>
            <w:vAlign w:val="center"/>
          </w:tcPr>
          <w:p w14:paraId="0045D5E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68.62 </w:t>
            </w:r>
          </w:p>
        </w:tc>
        <w:tc>
          <w:tcPr>
            <w:tcW w:w="1300" w:type="dxa"/>
            <w:tcBorders>
              <w:top w:val="nil"/>
              <w:left w:val="nil"/>
              <w:bottom w:val="single" w:color="auto" w:sz="4" w:space="0"/>
              <w:right w:val="single" w:color="auto" w:sz="4" w:space="0"/>
            </w:tcBorders>
            <w:shd w:val="clear" w:color="auto" w:fill="auto"/>
            <w:noWrap/>
            <w:vAlign w:val="center"/>
          </w:tcPr>
          <w:p w14:paraId="7699D1A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21952.16 </w:t>
            </w:r>
          </w:p>
        </w:tc>
        <w:tc>
          <w:tcPr>
            <w:tcW w:w="1300" w:type="dxa"/>
            <w:tcBorders>
              <w:top w:val="nil"/>
              <w:left w:val="nil"/>
              <w:bottom w:val="single" w:color="auto" w:sz="4" w:space="0"/>
              <w:right w:val="single" w:color="auto" w:sz="4" w:space="0"/>
            </w:tcBorders>
            <w:shd w:val="clear" w:color="auto" w:fill="auto"/>
            <w:noWrap/>
            <w:vAlign w:val="center"/>
          </w:tcPr>
          <w:p w14:paraId="6ECA398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7762.52 </w:t>
            </w:r>
          </w:p>
        </w:tc>
        <w:tc>
          <w:tcPr>
            <w:tcW w:w="1296" w:type="dxa"/>
            <w:tcBorders>
              <w:top w:val="nil"/>
              <w:left w:val="nil"/>
              <w:bottom w:val="single" w:color="auto" w:sz="4" w:space="0"/>
              <w:right w:val="single" w:color="auto" w:sz="4" w:space="0"/>
            </w:tcBorders>
            <w:shd w:val="clear" w:color="auto" w:fill="auto"/>
            <w:noWrap/>
            <w:vAlign w:val="center"/>
          </w:tcPr>
          <w:p w14:paraId="777E869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30199.18 </w:t>
            </w:r>
          </w:p>
        </w:tc>
      </w:tr>
      <w:tr w14:paraId="1B3F924F">
        <w:tblPrEx>
          <w:tblCellMar>
            <w:top w:w="0" w:type="dxa"/>
            <w:left w:w="108" w:type="dxa"/>
            <w:bottom w:w="0" w:type="dxa"/>
            <w:right w:w="108" w:type="dxa"/>
          </w:tblCellMar>
        </w:tblPrEx>
        <w:trPr>
          <w:trHeight w:val="312" w:hRule="atLeast"/>
          <w:jc w:val="center"/>
        </w:trPr>
        <w:tc>
          <w:tcPr>
            <w:tcW w:w="1300" w:type="dxa"/>
            <w:tcBorders>
              <w:top w:val="nil"/>
              <w:left w:val="single" w:color="auto" w:sz="4" w:space="0"/>
              <w:bottom w:val="single" w:color="auto" w:sz="4" w:space="0"/>
              <w:right w:val="single" w:color="auto" w:sz="4" w:space="0"/>
            </w:tcBorders>
            <w:shd w:val="clear" w:color="auto" w:fill="auto"/>
            <w:noWrap/>
            <w:vAlign w:val="center"/>
          </w:tcPr>
          <w:p w14:paraId="17E99235">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300" w:type="dxa"/>
            <w:tcBorders>
              <w:top w:val="nil"/>
              <w:left w:val="nil"/>
              <w:bottom w:val="single" w:color="auto" w:sz="4" w:space="0"/>
              <w:right w:val="single" w:color="auto" w:sz="4" w:space="0"/>
            </w:tcBorders>
            <w:shd w:val="clear" w:color="auto" w:fill="auto"/>
            <w:noWrap/>
            <w:vAlign w:val="center"/>
          </w:tcPr>
          <w:p w14:paraId="0D11CC7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870.00 </w:t>
            </w:r>
          </w:p>
        </w:tc>
        <w:tc>
          <w:tcPr>
            <w:tcW w:w="1481" w:type="dxa"/>
            <w:tcBorders>
              <w:top w:val="nil"/>
              <w:left w:val="nil"/>
              <w:bottom w:val="single" w:color="auto" w:sz="4" w:space="0"/>
              <w:right w:val="single" w:color="auto" w:sz="4" w:space="0"/>
            </w:tcBorders>
            <w:shd w:val="clear" w:color="auto" w:fill="auto"/>
            <w:noWrap/>
            <w:vAlign w:val="center"/>
          </w:tcPr>
          <w:p w14:paraId="700860D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149.07 </w:t>
            </w:r>
          </w:p>
        </w:tc>
        <w:tc>
          <w:tcPr>
            <w:tcW w:w="1300" w:type="dxa"/>
            <w:tcBorders>
              <w:top w:val="nil"/>
              <w:left w:val="nil"/>
              <w:bottom w:val="single" w:color="auto" w:sz="4" w:space="0"/>
              <w:right w:val="single" w:color="auto" w:sz="4" w:space="0"/>
            </w:tcBorders>
            <w:shd w:val="clear" w:color="auto" w:fill="auto"/>
            <w:noWrap/>
            <w:vAlign w:val="center"/>
          </w:tcPr>
          <w:p w14:paraId="613B7ED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28035.54 </w:t>
            </w:r>
          </w:p>
        </w:tc>
        <w:tc>
          <w:tcPr>
            <w:tcW w:w="1300" w:type="dxa"/>
            <w:tcBorders>
              <w:top w:val="nil"/>
              <w:left w:val="nil"/>
              <w:bottom w:val="single" w:color="auto" w:sz="4" w:space="0"/>
              <w:right w:val="single" w:color="auto" w:sz="4" w:space="0"/>
            </w:tcBorders>
            <w:shd w:val="clear" w:color="auto" w:fill="auto"/>
            <w:noWrap/>
            <w:vAlign w:val="center"/>
          </w:tcPr>
          <w:p w14:paraId="168E149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96.64 </w:t>
            </w:r>
          </w:p>
        </w:tc>
        <w:tc>
          <w:tcPr>
            <w:tcW w:w="1296" w:type="dxa"/>
            <w:tcBorders>
              <w:top w:val="nil"/>
              <w:left w:val="nil"/>
              <w:bottom w:val="single" w:color="auto" w:sz="4" w:space="0"/>
              <w:right w:val="single" w:color="auto" w:sz="4" w:space="0"/>
            </w:tcBorders>
            <w:shd w:val="clear" w:color="auto" w:fill="auto"/>
            <w:noWrap/>
            <w:vAlign w:val="center"/>
          </w:tcPr>
          <w:p w14:paraId="2E54C02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29151.25 </w:t>
            </w:r>
          </w:p>
        </w:tc>
      </w:tr>
      <w:tr w14:paraId="78C29EBA">
        <w:tblPrEx>
          <w:tblCellMar>
            <w:top w:w="0" w:type="dxa"/>
            <w:left w:w="108" w:type="dxa"/>
            <w:bottom w:w="0" w:type="dxa"/>
            <w:right w:w="108" w:type="dxa"/>
          </w:tblCellMar>
        </w:tblPrEx>
        <w:trPr>
          <w:trHeight w:val="312" w:hRule="atLeast"/>
          <w:jc w:val="center"/>
        </w:trPr>
        <w:tc>
          <w:tcPr>
            <w:tcW w:w="1300" w:type="dxa"/>
            <w:tcBorders>
              <w:top w:val="nil"/>
              <w:left w:val="single" w:color="auto" w:sz="4" w:space="0"/>
              <w:bottom w:val="single" w:color="auto" w:sz="4" w:space="0"/>
              <w:right w:val="single" w:color="auto" w:sz="4" w:space="0"/>
            </w:tcBorders>
            <w:shd w:val="clear" w:color="auto" w:fill="auto"/>
            <w:noWrap/>
            <w:vAlign w:val="center"/>
          </w:tcPr>
          <w:p w14:paraId="0FCB007A">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300" w:type="dxa"/>
            <w:tcBorders>
              <w:top w:val="nil"/>
              <w:left w:val="nil"/>
              <w:bottom w:val="single" w:color="auto" w:sz="4" w:space="0"/>
              <w:right w:val="single" w:color="auto" w:sz="4" w:space="0"/>
            </w:tcBorders>
            <w:shd w:val="clear" w:color="auto" w:fill="auto"/>
            <w:noWrap/>
            <w:vAlign w:val="center"/>
          </w:tcPr>
          <w:p w14:paraId="6D4F1CA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474.05 </w:t>
            </w:r>
          </w:p>
        </w:tc>
        <w:tc>
          <w:tcPr>
            <w:tcW w:w="1481" w:type="dxa"/>
            <w:tcBorders>
              <w:top w:val="nil"/>
              <w:left w:val="nil"/>
              <w:bottom w:val="single" w:color="auto" w:sz="4" w:space="0"/>
              <w:right w:val="single" w:color="auto" w:sz="4" w:space="0"/>
            </w:tcBorders>
            <w:shd w:val="clear" w:color="auto" w:fill="auto"/>
            <w:noWrap/>
            <w:vAlign w:val="center"/>
          </w:tcPr>
          <w:p w14:paraId="4CA988E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46.24 </w:t>
            </w:r>
          </w:p>
        </w:tc>
        <w:tc>
          <w:tcPr>
            <w:tcW w:w="1300" w:type="dxa"/>
            <w:tcBorders>
              <w:top w:val="nil"/>
              <w:left w:val="nil"/>
              <w:bottom w:val="single" w:color="auto" w:sz="4" w:space="0"/>
              <w:right w:val="single" w:color="auto" w:sz="4" w:space="0"/>
            </w:tcBorders>
            <w:shd w:val="clear" w:color="auto" w:fill="auto"/>
            <w:noWrap/>
            <w:vAlign w:val="center"/>
          </w:tcPr>
          <w:p w14:paraId="7052611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18797.72 </w:t>
            </w:r>
          </w:p>
        </w:tc>
        <w:tc>
          <w:tcPr>
            <w:tcW w:w="1300" w:type="dxa"/>
            <w:tcBorders>
              <w:top w:val="nil"/>
              <w:left w:val="nil"/>
              <w:bottom w:val="single" w:color="auto" w:sz="4" w:space="0"/>
              <w:right w:val="single" w:color="auto" w:sz="4" w:space="0"/>
            </w:tcBorders>
            <w:shd w:val="clear" w:color="auto" w:fill="auto"/>
            <w:noWrap/>
            <w:vAlign w:val="center"/>
          </w:tcPr>
          <w:p w14:paraId="5AEE425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75.14 </w:t>
            </w:r>
          </w:p>
        </w:tc>
        <w:tc>
          <w:tcPr>
            <w:tcW w:w="1296" w:type="dxa"/>
            <w:tcBorders>
              <w:top w:val="nil"/>
              <w:left w:val="nil"/>
              <w:bottom w:val="single" w:color="auto" w:sz="4" w:space="0"/>
              <w:right w:val="single" w:color="auto" w:sz="4" w:space="0"/>
            </w:tcBorders>
            <w:shd w:val="clear" w:color="auto" w:fill="auto"/>
            <w:noWrap/>
            <w:vAlign w:val="center"/>
          </w:tcPr>
          <w:p w14:paraId="34FB854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19393.15 </w:t>
            </w:r>
          </w:p>
        </w:tc>
      </w:tr>
      <w:tr w14:paraId="60E61A69">
        <w:tblPrEx>
          <w:tblCellMar>
            <w:top w:w="0" w:type="dxa"/>
            <w:left w:w="108" w:type="dxa"/>
            <w:bottom w:w="0" w:type="dxa"/>
            <w:right w:w="108" w:type="dxa"/>
          </w:tblCellMar>
        </w:tblPrEx>
        <w:trPr>
          <w:trHeight w:val="312" w:hRule="atLeast"/>
          <w:jc w:val="center"/>
        </w:trPr>
        <w:tc>
          <w:tcPr>
            <w:tcW w:w="1300" w:type="dxa"/>
            <w:tcBorders>
              <w:top w:val="nil"/>
              <w:left w:val="single" w:color="auto" w:sz="4" w:space="0"/>
              <w:bottom w:val="single" w:color="auto" w:sz="4" w:space="0"/>
              <w:right w:val="single" w:color="auto" w:sz="4" w:space="0"/>
            </w:tcBorders>
            <w:shd w:val="clear" w:color="auto" w:fill="auto"/>
            <w:noWrap/>
            <w:vAlign w:val="center"/>
          </w:tcPr>
          <w:p w14:paraId="4A4E9C35">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300" w:type="dxa"/>
            <w:tcBorders>
              <w:top w:val="nil"/>
              <w:left w:val="nil"/>
              <w:bottom w:val="single" w:color="auto" w:sz="4" w:space="0"/>
              <w:right w:val="single" w:color="auto" w:sz="4" w:space="0"/>
            </w:tcBorders>
            <w:shd w:val="clear" w:color="auto" w:fill="auto"/>
            <w:noWrap/>
            <w:vAlign w:val="center"/>
          </w:tcPr>
          <w:p w14:paraId="231EC0C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256.70 </w:t>
            </w:r>
          </w:p>
        </w:tc>
        <w:tc>
          <w:tcPr>
            <w:tcW w:w="1481" w:type="dxa"/>
            <w:tcBorders>
              <w:top w:val="nil"/>
              <w:left w:val="nil"/>
              <w:bottom w:val="single" w:color="auto" w:sz="4" w:space="0"/>
              <w:right w:val="single" w:color="auto" w:sz="4" w:space="0"/>
            </w:tcBorders>
            <w:shd w:val="clear" w:color="auto" w:fill="auto"/>
            <w:noWrap/>
            <w:vAlign w:val="center"/>
          </w:tcPr>
          <w:p w14:paraId="5132B26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167.20 </w:t>
            </w:r>
          </w:p>
        </w:tc>
        <w:tc>
          <w:tcPr>
            <w:tcW w:w="1300" w:type="dxa"/>
            <w:tcBorders>
              <w:top w:val="nil"/>
              <w:left w:val="nil"/>
              <w:bottom w:val="single" w:color="auto" w:sz="4" w:space="0"/>
              <w:right w:val="single" w:color="auto" w:sz="4" w:space="0"/>
            </w:tcBorders>
            <w:shd w:val="clear" w:color="auto" w:fill="auto"/>
            <w:noWrap/>
            <w:vAlign w:val="center"/>
          </w:tcPr>
          <w:p w14:paraId="032EB1D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13905.20 </w:t>
            </w:r>
          </w:p>
        </w:tc>
        <w:tc>
          <w:tcPr>
            <w:tcW w:w="1300" w:type="dxa"/>
            <w:tcBorders>
              <w:top w:val="nil"/>
              <w:left w:val="nil"/>
              <w:bottom w:val="single" w:color="auto" w:sz="4" w:space="0"/>
              <w:right w:val="single" w:color="auto" w:sz="4" w:space="0"/>
            </w:tcBorders>
            <w:shd w:val="clear" w:color="auto" w:fill="auto"/>
            <w:noWrap/>
            <w:vAlign w:val="center"/>
          </w:tcPr>
          <w:p w14:paraId="654A2BC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187.48 </w:t>
            </w:r>
          </w:p>
        </w:tc>
        <w:tc>
          <w:tcPr>
            <w:tcW w:w="1296" w:type="dxa"/>
            <w:tcBorders>
              <w:top w:val="nil"/>
              <w:left w:val="nil"/>
              <w:bottom w:val="single" w:color="auto" w:sz="4" w:space="0"/>
              <w:right w:val="single" w:color="auto" w:sz="4" w:space="0"/>
            </w:tcBorders>
            <w:shd w:val="clear" w:color="auto" w:fill="auto"/>
            <w:noWrap/>
            <w:vAlign w:val="center"/>
          </w:tcPr>
          <w:p w14:paraId="2A75EF3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14516.58 </w:t>
            </w:r>
          </w:p>
        </w:tc>
      </w:tr>
      <w:tr w14:paraId="01463D80">
        <w:tblPrEx>
          <w:tblCellMar>
            <w:top w:w="0" w:type="dxa"/>
            <w:left w:w="108" w:type="dxa"/>
            <w:bottom w:w="0" w:type="dxa"/>
            <w:right w:w="108" w:type="dxa"/>
          </w:tblCellMar>
        </w:tblPrEx>
        <w:trPr>
          <w:trHeight w:val="312" w:hRule="atLeast"/>
          <w:jc w:val="center"/>
        </w:trPr>
        <w:tc>
          <w:tcPr>
            <w:tcW w:w="1300" w:type="dxa"/>
            <w:tcBorders>
              <w:top w:val="nil"/>
              <w:left w:val="single" w:color="auto" w:sz="4" w:space="0"/>
              <w:bottom w:val="single" w:color="auto" w:sz="4" w:space="0"/>
              <w:right w:val="single" w:color="auto" w:sz="4" w:space="0"/>
            </w:tcBorders>
            <w:shd w:val="clear" w:color="auto" w:fill="auto"/>
            <w:noWrap/>
            <w:vAlign w:val="center"/>
          </w:tcPr>
          <w:p w14:paraId="12739A73">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300" w:type="dxa"/>
            <w:tcBorders>
              <w:top w:val="nil"/>
              <w:left w:val="nil"/>
              <w:bottom w:val="single" w:color="auto" w:sz="4" w:space="0"/>
              <w:right w:val="single" w:color="auto" w:sz="4" w:space="0"/>
            </w:tcBorders>
            <w:shd w:val="clear" w:color="auto" w:fill="auto"/>
            <w:noWrap/>
            <w:vAlign w:val="center"/>
          </w:tcPr>
          <w:p w14:paraId="365C148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118.79 </w:t>
            </w:r>
          </w:p>
        </w:tc>
        <w:tc>
          <w:tcPr>
            <w:tcW w:w="1481" w:type="dxa"/>
            <w:tcBorders>
              <w:top w:val="nil"/>
              <w:left w:val="nil"/>
              <w:bottom w:val="single" w:color="auto" w:sz="4" w:space="0"/>
              <w:right w:val="single" w:color="auto" w:sz="4" w:space="0"/>
            </w:tcBorders>
            <w:shd w:val="clear" w:color="auto" w:fill="auto"/>
            <w:noWrap/>
            <w:vAlign w:val="center"/>
          </w:tcPr>
          <w:p w14:paraId="5455B64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4.92 </w:t>
            </w:r>
          </w:p>
        </w:tc>
        <w:tc>
          <w:tcPr>
            <w:tcW w:w="1300" w:type="dxa"/>
            <w:tcBorders>
              <w:top w:val="nil"/>
              <w:left w:val="nil"/>
              <w:bottom w:val="single" w:color="auto" w:sz="4" w:space="0"/>
              <w:right w:val="single" w:color="auto" w:sz="4" w:space="0"/>
            </w:tcBorders>
            <w:shd w:val="clear" w:color="auto" w:fill="auto"/>
            <w:noWrap/>
            <w:vAlign w:val="center"/>
          </w:tcPr>
          <w:p w14:paraId="23E812E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14730.53 </w:t>
            </w:r>
          </w:p>
        </w:tc>
        <w:tc>
          <w:tcPr>
            <w:tcW w:w="1300" w:type="dxa"/>
            <w:tcBorders>
              <w:top w:val="nil"/>
              <w:left w:val="nil"/>
              <w:bottom w:val="single" w:color="auto" w:sz="4" w:space="0"/>
              <w:right w:val="single" w:color="auto" w:sz="4" w:space="0"/>
            </w:tcBorders>
            <w:shd w:val="clear" w:color="auto" w:fill="auto"/>
            <w:noWrap/>
            <w:vAlign w:val="center"/>
          </w:tcPr>
          <w:p w14:paraId="43E259D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1911.90 </w:t>
            </w:r>
          </w:p>
        </w:tc>
        <w:tc>
          <w:tcPr>
            <w:tcW w:w="1296" w:type="dxa"/>
            <w:tcBorders>
              <w:top w:val="nil"/>
              <w:left w:val="nil"/>
              <w:bottom w:val="single" w:color="auto" w:sz="4" w:space="0"/>
              <w:right w:val="single" w:color="auto" w:sz="4" w:space="0"/>
            </w:tcBorders>
            <w:shd w:val="clear" w:color="auto" w:fill="auto"/>
            <w:noWrap/>
            <w:vAlign w:val="center"/>
          </w:tcPr>
          <w:p w14:paraId="19FF9BD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16766.14 </w:t>
            </w:r>
          </w:p>
        </w:tc>
      </w:tr>
      <w:tr w14:paraId="1C500124">
        <w:tblPrEx>
          <w:tblCellMar>
            <w:top w:w="0" w:type="dxa"/>
            <w:left w:w="108" w:type="dxa"/>
            <w:bottom w:w="0" w:type="dxa"/>
            <w:right w:w="108" w:type="dxa"/>
          </w:tblCellMar>
        </w:tblPrEx>
        <w:trPr>
          <w:trHeight w:val="312" w:hRule="atLeast"/>
          <w:jc w:val="center"/>
        </w:trPr>
        <w:tc>
          <w:tcPr>
            <w:tcW w:w="1300" w:type="dxa"/>
            <w:tcBorders>
              <w:top w:val="nil"/>
              <w:left w:val="single" w:color="auto" w:sz="4" w:space="0"/>
              <w:bottom w:val="single" w:color="auto" w:sz="4" w:space="0"/>
              <w:right w:val="single" w:color="auto" w:sz="4" w:space="0"/>
            </w:tcBorders>
            <w:shd w:val="clear" w:color="auto" w:fill="auto"/>
            <w:noWrap/>
            <w:vAlign w:val="center"/>
          </w:tcPr>
          <w:p w14:paraId="2D96A84E">
            <w:pPr>
              <w:widowControl/>
              <w:jc w:val="center"/>
              <w:rPr>
                <w:rFonts w:ascii="宋体" w:hAnsi="宋体" w:cs="宋体"/>
                <w:color w:val="000000"/>
                <w:kern w:val="0"/>
                <w:sz w:val="18"/>
                <w:szCs w:val="18"/>
              </w:rPr>
            </w:pPr>
            <w:r>
              <w:rPr>
                <w:rFonts w:hint="eastAsia" w:ascii="宋体" w:hAnsi="宋体" w:cs="宋体"/>
                <w:color w:val="000000"/>
                <w:kern w:val="0"/>
                <w:sz w:val="18"/>
                <w:szCs w:val="18"/>
              </w:rPr>
              <w:t>总计</w:t>
            </w:r>
          </w:p>
        </w:tc>
        <w:tc>
          <w:tcPr>
            <w:tcW w:w="1300" w:type="dxa"/>
            <w:tcBorders>
              <w:top w:val="nil"/>
              <w:left w:val="nil"/>
              <w:bottom w:val="single" w:color="auto" w:sz="4" w:space="0"/>
              <w:right w:val="single" w:color="auto" w:sz="4" w:space="0"/>
            </w:tcBorders>
            <w:shd w:val="clear" w:color="auto" w:fill="auto"/>
            <w:noWrap/>
            <w:vAlign w:val="center"/>
          </w:tcPr>
          <w:p w14:paraId="7E7BDD7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5385.42 </w:t>
            </w:r>
          </w:p>
        </w:tc>
        <w:tc>
          <w:tcPr>
            <w:tcW w:w="1481" w:type="dxa"/>
            <w:tcBorders>
              <w:top w:val="nil"/>
              <w:left w:val="nil"/>
              <w:bottom w:val="single" w:color="auto" w:sz="4" w:space="0"/>
              <w:right w:val="single" w:color="auto" w:sz="4" w:space="0"/>
            </w:tcBorders>
            <w:shd w:val="clear" w:color="auto" w:fill="auto"/>
            <w:noWrap/>
            <w:vAlign w:val="center"/>
          </w:tcPr>
          <w:p w14:paraId="73C25B2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1862.97 </w:t>
            </w:r>
          </w:p>
        </w:tc>
        <w:tc>
          <w:tcPr>
            <w:tcW w:w="1300" w:type="dxa"/>
            <w:tcBorders>
              <w:top w:val="nil"/>
              <w:left w:val="nil"/>
              <w:bottom w:val="single" w:color="auto" w:sz="4" w:space="0"/>
              <w:right w:val="single" w:color="auto" w:sz="4" w:space="0"/>
            </w:tcBorders>
            <w:shd w:val="clear" w:color="auto" w:fill="auto"/>
            <w:noWrap/>
            <w:vAlign w:val="center"/>
          </w:tcPr>
          <w:p w14:paraId="1A4C24A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169287.74 </w:t>
            </w:r>
          </w:p>
        </w:tc>
        <w:tc>
          <w:tcPr>
            <w:tcW w:w="1300" w:type="dxa"/>
            <w:tcBorders>
              <w:top w:val="nil"/>
              <w:left w:val="nil"/>
              <w:bottom w:val="single" w:color="auto" w:sz="4" w:space="0"/>
              <w:right w:val="single" w:color="auto" w:sz="4" w:space="0"/>
            </w:tcBorders>
            <w:shd w:val="clear" w:color="auto" w:fill="auto"/>
            <w:noWrap/>
            <w:vAlign w:val="center"/>
          </w:tcPr>
          <w:p w14:paraId="2D62A6A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10033.68 </w:t>
            </w:r>
          </w:p>
        </w:tc>
        <w:tc>
          <w:tcPr>
            <w:tcW w:w="1296" w:type="dxa"/>
            <w:tcBorders>
              <w:top w:val="nil"/>
              <w:left w:val="nil"/>
              <w:bottom w:val="single" w:color="auto" w:sz="4" w:space="0"/>
              <w:right w:val="single" w:color="auto" w:sz="4" w:space="0"/>
            </w:tcBorders>
            <w:shd w:val="clear" w:color="auto" w:fill="auto"/>
            <w:noWrap/>
            <w:vAlign w:val="center"/>
          </w:tcPr>
          <w:p w14:paraId="49C1C27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186569.81 </w:t>
            </w:r>
          </w:p>
        </w:tc>
      </w:tr>
    </w:tbl>
    <w:p w14:paraId="046906D7">
      <w:pPr>
        <w:snapToGrid w:val="0"/>
        <w:spacing w:line="360" w:lineRule="auto"/>
        <w:ind w:firstLine="360" w:firstLineChars="200"/>
        <w:jc w:val="right"/>
        <w:rPr>
          <w:rFonts w:ascii="宋体" w:hAnsi="宋体"/>
          <w:color w:val="000000"/>
          <w:sz w:val="18"/>
          <w:szCs w:val="18"/>
        </w:rPr>
      </w:pPr>
    </w:p>
    <w:p w14:paraId="3EB36F73">
      <w:pPr>
        <w:snapToGrid w:val="0"/>
        <w:spacing w:line="360" w:lineRule="auto"/>
        <w:ind w:firstLine="560" w:firstLineChars="200"/>
        <w:rPr>
          <w:rFonts w:ascii="仿宋_GB2312" w:eastAsia="仿宋_GB2312"/>
          <w:sz w:val="28"/>
          <w:szCs w:val="28"/>
        </w:rPr>
      </w:pPr>
    </w:p>
    <w:p w14:paraId="1657BAC3">
      <w:pPr>
        <w:snapToGrid w:val="0"/>
        <w:spacing w:line="360" w:lineRule="auto"/>
        <w:ind w:firstLine="560" w:firstLineChars="200"/>
        <w:rPr>
          <w:rFonts w:ascii="仿宋_GB2312" w:eastAsia="仿宋_GB2312"/>
          <w:sz w:val="28"/>
          <w:szCs w:val="28"/>
        </w:rPr>
      </w:pPr>
    </w:p>
    <w:p w14:paraId="2C88F1DC">
      <w:pPr>
        <w:snapToGrid w:val="0"/>
        <w:spacing w:line="360" w:lineRule="auto"/>
        <w:ind w:firstLine="560" w:firstLineChars="200"/>
        <w:rPr>
          <w:rFonts w:ascii="仿宋_GB2312" w:eastAsia="仿宋_GB2312"/>
          <w:sz w:val="28"/>
          <w:szCs w:val="28"/>
        </w:rPr>
      </w:pPr>
    </w:p>
    <w:p w14:paraId="055A3076">
      <w:pPr>
        <w:snapToGrid w:val="0"/>
        <w:spacing w:line="360" w:lineRule="auto"/>
        <w:ind w:firstLine="560" w:firstLineChars="200"/>
        <w:rPr>
          <w:rFonts w:ascii="仿宋_GB2312" w:eastAsia="仿宋_GB2312"/>
          <w:sz w:val="28"/>
          <w:szCs w:val="28"/>
        </w:rPr>
      </w:pPr>
    </w:p>
    <w:p w14:paraId="3B71F44C">
      <w:pPr>
        <w:pStyle w:val="2"/>
        <w:spacing w:line="360" w:lineRule="auto"/>
        <w:jc w:val="center"/>
        <w:rPr>
          <w:rFonts w:ascii="黑体" w:eastAsia="黑体"/>
          <w:b w:val="0"/>
          <w:color w:val="000000"/>
          <w:sz w:val="32"/>
          <w:szCs w:val="32"/>
        </w:rPr>
      </w:pPr>
      <w:bookmarkStart w:id="146" w:name="_Toc491074913"/>
      <w:r>
        <w:rPr>
          <w:rFonts w:hint="eastAsia" w:ascii="黑体" w:eastAsia="黑体"/>
          <w:b w:val="0"/>
          <w:color w:val="000000"/>
          <w:sz w:val="32"/>
          <w:szCs w:val="32"/>
        </w:rPr>
        <w:t>第七章  成效分析</w:t>
      </w:r>
      <w:bookmarkEnd w:id="146"/>
    </w:p>
    <w:p w14:paraId="10B7AAA4">
      <w:pPr>
        <w:pStyle w:val="3"/>
        <w:jc w:val="center"/>
        <w:rPr>
          <w:b w:val="0"/>
          <w:color w:val="000000"/>
          <w:sz w:val="28"/>
          <w:szCs w:val="28"/>
        </w:rPr>
      </w:pPr>
      <w:bookmarkStart w:id="147" w:name="_Toc491074914"/>
      <w:r>
        <w:rPr>
          <w:rFonts w:hint="eastAsia"/>
          <w:b w:val="0"/>
          <w:color w:val="000000"/>
          <w:sz w:val="28"/>
          <w:szCs w:val="28"/>
        </w:rPr>
        <w:t>第</w:t>
      </w:r>
      <w:bookmarkStart w:id="148" w:name="_Toc248063109"/>
      <w:bookmarkStart w:id="149" w:name="_Toc233987199"/>
      <w:r>
        <w:rPr>
          <w:rFonts w:hint="eastAsia"/>
          <w:b w:val="0"/>
          <w:color w:val="000000"/>
          <w:sz w:val="28"/>
          <w:szCs w:val="28"/>
        </w:rPr>
        <w:t>一节  规划指标满足情况分析</w:t>
      </w:r>
      <w:bookmarkEnd w:id="147"/>
      <w:bookmarkEnd w:id="148"/>
    </w:p>
    <w:p w14:paraId="7FF3B11F">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东川区土地利用总体规划调整完善后，各项规划目标均满足上级下达指标要求，具体如下:</w:t>
      </w:r>
    </w:p>
    <w:p w14:paraId="71109757">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1、耕地保有量</w:t>
      </w:r>
    </w:p>
    <w:p w14:paraId="208BD971">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上级下达东川区耕地保有量指标29497公顷，调整完善后，东川区耕地总面积30403.78公顷，满足上级下达要求。</w:t>
      </w:r>
    </w:p>
    <w:p w14:paraId="3648A1C3">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2、基本农田保护面积</w:t>
      </w:r>
    </w:p>
    <w:p w14:paraId="500F838A">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上级下达东川区基本农田保护面积23066公顷，调整完善后，东川区基本农田保护面积落实23106.77公顷，满足上级下达要求。</w:t>
      </w:r>
    </w:p>
    <w:p w14:paraId="5F2EA065">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3、建设用地</w:t>
      </w:r>
    </w:p>
    <w:p w14:paraId="6020A9C3">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上级下达东川区建设用地总规模6156公顷，调整完善后，东川区建设用地落实6155.66公顷，满足上级下达要求。其中，上级下达东川区城乡建设用地规模5368.57公顷，东川区实际落实城乡建设用地规模5368.18公顷，满足上级下达要求；上级下达东川区城镇工矿用地规模1967.68公顷，东川区实际落实城镇工矿用地1956.31公顷，满足上级下达要求；上级下达东川区交通水利及其他建设用地规模787.28公顷，东川区实际落实交通水利及其他建设用地787.48公顷。</w:t>
      </w:r>
    </w:p>
    <w:p w14:paraId="4AEC6095">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上级下达东川区新增建设用地规模339.69公顷，东川区实际落实335.17公顷，满足上级下达要求。</w:t>
      </w:r>
    </w:p>
    <w:p w14:paraId="44066E2A">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4、新增建设用地占用农用地、新增建设用地占用耕地</w:t>
      </w:r>
    </w:p>
    <w:p w14:paraId="11BBF790">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上级下达东川区新增建设用地占用农用地规模322.71公顷，东川区实际落实266.47公顷。</w:t>
      </w:r>
    </w:p>
    <w:p w14:paraId="580F02FA">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上级下达东川区新增建设用地占用耕地规模203.32公顷，东川区实际落实170.93公顷，满足上级下达要求。</w:t>
      </w:r>
    </w:p>
    <w:p w14:paraId="5F63E0CB">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5、土地整治补充耕地规模</w:t>
      </w:r>
    </w:p>
    <w:p w14:paraId="4BC4A6DC">
      <w:pPr>
        <w:widowControl/>
        <w:tabs>
          <w:tab w:val="left" w:pos="1950"/>
        </w:tabs>
        <w:adjustRightInd w:val="0"/>
        <w:snapToGrid w:val="0"/>
        <w:spacing w:line="360" w:lineRule="auto"/>
        <w:ind w:firstLine="561"/>
        <w:jc w:val="left"/>
        <w:rPr>
          <w:rFonts w:ascii="仿宋_GB2312" w:eastAsia="仿宋_GB2312"/>
          <w:sz w:val="28"/>
          <w:szCs w:val="28"/>
        </w:rPr>
      </w:pPr>
      <w:r>
        <w:rPr>
          <w:rFonts w:hint="eastAsia" w:ascii="仿宋_GB2312" w:hAnsi="宋体" w:eastAsia="仿宋_GB2312"/>
          <w:kern w:val="0"/>
          <w:sz w:val="28"/>
          <w:szCs w:val="28"/>
        </w:rPr>
        <w:t>上级下达东川区土地整治补充耕地任务159.51公顷，东川区实际落实171.75公顷，满足上级下达要求。</w:t>
      </w:r>
    </w:p>
    <w:p w14:paraId="7FB15AA9">
      <w:pPr>
        <w:jc w:val="center"/>
        <w:outlineLvl w:val="4"/>
        <w:rPr>
          <w:rFonts w:ascii="宋体" w:hAnsi="宋体"/>
          <w:b/>
          <w:sz w:val="24"/>
        </w:rPr>
      </w:pPr>
      <w:r>
        <w:rPr>
          <w:rFonts w:hint="eastAsia" w:ascii="宋体" w:hAnsi="宋体"/>
          <w:b/>
          <w:sz w:val="24"/>
        </w:rPr>
        <w:t>表7-1 东川区主要控制指标及规划目标对比情况表</w:t>
      </w:r>
    </w:p>
    <w:p w14:paraId="29589C21">
      <w:pPr>
        <w:spacing w:line="360" w:lineRule="auto"/>
        <w:ind w:right="210" w:firstLine="360" w:firstLineChars="200"/>
        <w:jc w:val="right"/>
        <w:rPr>
          <w:rFonts w:ascii="宋体" w:hAnsi="宋体" w:cs="宋体"/>
          <w:color w:val="000000"/>
          <w:kern w:val="0"/>
          <w:sz w:val="18"/>
          <w:szCs w:val="18"/>
        </w:rPr>
      </w:pPr>
      <w:r>
        <w:rPr>
          <w:rFonts w:hint="eastAsia" w:ascii="宋体" w:hAnsi="宋体" w:cs="宋体"/>
          <w:color w:val="000000"/>
          <w:kern w:val="0"/>
          <w:sz w:val="18"/>
          <w:szCs w:val="18"/>
        </w:rPr>
        <w:t>单位：公顷、平方米/人</w:t>
      </w:r>
      <w:bookmarkEnd w:id="149"/>
    </w:p>
    <w:tbl>
      <w:tblPr>
        <w:tblStyle w:val="27"/>
        <w:tblW w:w="10397" w:type="dxa"/>
        <w:jc w:val="center"/>
        <w:tblLayout w:type="autofit"/>
        <w:tblCellMar>
          <w:top w:w="0" w:type="dxa"/>
          <w:left w:w="108" w:type="dxa"/>
          <w:bottom w:w="0" w:type="dxa"/>
          <w:right w:w="108" w:type="dxa"/>
        </w:tblCellMar>
      </w:tblPr>
      <w:tblGrid>
        <w:gridCol w:w="2357"/>
        <w:gridCol w:w="1791"/>
        <w:gridCol w:w="1300"/>
        <w:gridCol w:w="1791"/>
        <w:gridCol w:w="1119"/>
        <w:gridCol w:w="2039"/>
      </w:tblGrid>
      <w:tr w14:paraId="2100A5BA">
        <w:tblPrEx>
          <w:tblCellMar>
            <w:top w:w="0" w:type="dxa"/>
            <w:left w:w="108" w:type="dxa"/>
            <w:bottom w:w="0" w:type="dxa"/>
            <w:right w:w="108" w:type="dxa"/>
          </w:tblCellMar>
        </w:tblPrEx>
        <w:trPr>
          <w:trHeight w:val="288" w:hRule="atLeast"/>
          <w:jc w:val="center"/>
        </w:trPr>
        <w:tc>
          <w:tcPr>
            <w:tcW w:w="23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EE31E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指标名称</w:t>
            </w:r>
          </w:p>
        </w:tc>
        <w:tc>
          <w:tcPr>
            <w:tcW w:w="1791" w:type="dxa"/>
            <w:tcBorders>
              <w:top w:val="single" w:color="auto" w:sz="4" w:space="0"/>
              <w:left w:val="nil"/>
              <w:bottom w:val="single" w:color="auto" w:sz="4" w:space="0"/>
              <w:right w:val="single" w:color="auto" w:sz="4" w:space="0"/>
            </w:tcBorders>
            <w:shd w:val="clear" w:color="auto" w:fill="auto"/>
            <w:noWrap/>
            <w:vAlign w:val="center"/>
          </w:tcPr>
          <w:p w14:paraId="08A6826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上级下达规模</w:t>
            </w:r>
          </w:p>
        </w:tc>
        <w:tc>
          <w:tcPr>
            <w:tcW w:w="1300" w:type="dxa"/>
            <w:tcBorders>
              <w:top w:val="single" w:color="auto" w:sz="4" w:space="0"/>
              <w:left w:val="nil"/>
              <w:bottom w:val="single" w:color="auto" w:sz="4" w:space="0"/>
              <w:right w:val="single" w:color="auto" w:sz="4" w:space="0"/>
            </w:tcBorders>
            <w:shd w:val="clear" w:color="auto" w:fill="auto"/>
            <w:noWrap/>
            <w:vAlign w:val="center"/>
          </w:tcPr>
          <w:p w14:paraId="3A079C0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规划基期年</w:t>
            </w:r>
          </w:p>
        </w:tc>
        <w:tc>
          <w:tcPr>
            <w:tcW w:w="1791" w:type="dxa"/>
            <w:tcBorders>
              <w:top w:val="single" w:color="auto" w:sz="4" w:space="0"/>
              <w:left w:val="nil"/>
              <w:bottom w:val="single" w:color="auto" w:sz="4" w:space="0"/>
              <w:right w:val="single" w:color="auto" w:sz="4" w:space="0"/>
            </w:tcBorders>
            <w:shd w:val="clear" w:color="auto" w:fill="auto"/>
            <w:noWrap/>
            <w:vAlign w:val="center"/>
          </w:tcPr>
          <w:p w14:paraId="280A771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规划目标年</w:t>
            </w:r>
          </w:p>
        </w:tc>
        <w:tc>
          <w:tcPr>
            <w:tcW w:w="1119" w:type="dxa"/>
            <w:tcBorders>
              <w:top w:val="single" w:color="auto" w:sz="4" w:space="0"/>
              <w:left w:val="nil"/>
              <w:bottom w:val="single" w:color="auto" w:sz="4" w:space="0"/>
              <w:right w:val="single" w:color="auto" w:sz="4" w:space="0"/>
            </w:tcBorders>
            <w:shd w:val="clear" w:color="auto" w:fill="auto"/>
            <w:noWrap/>
            <w:vAlign w:val="center"/>
          </w:tcPr>
          <w:p w14:paraId="75FC081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指标属性</w:t>
            </w:r>
          </w:p>
        </w:tc>
        <w:tc>
          <w:tcPr>
            <w:tcW w:w="2039" w:type="dxa"/>
            <w:tcBorders>
              <w:top w:val="single" w:color="auto" w:sz="4" w:space="0"/>
              <w:left w:val="nil"/>
              <w:bottom w:val="single" w:color="auto" w:sz="4" w:space="0"/>
              <w:right w:val="single" w:color="auto" w:sz="4" w:space="0"/>
            </w:tcBorders>
            <w:shd w:val="clear" w:color="auto" w:fill="auto"/>
            <w:noWrap/>
            <w:vAlign w:val="center"/>
          </w:tcPr>
          <w:p w14:paraId="1CA3DEB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14:paraId="66931660">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58B8E7F3">
            <w:pPr>
              <w:widowControl/>
              <w:jc w:val="center"/>
              <w:rPr>
                <w:rFonts w:ascii="宋体" w:hAnsi="宋体" w:cs="宋体"/>
                <w:color w:val="000000"/>
                <w:kern w:val="0"/>
                <w:sz w:val="18"/>
                <w:szCs w:val="18"/>
              </w:rPr>
            </w:pPr>
            <w:r>
              <w:rPr>
                <w:rFonts w:hint="eastAsia" w:ascii="宋体" w:hAnsi="宋体" w:cs="宋体"/>
                <w:color w:val="000000"/>
                <w:kern w:val="0"/>
                <w:sz w:val="18"/>
                <w:szCs w:val="18"/>
              </w:rPr>
              <w:t>耕地保有量</w:t>
            </w:r>
          </w:p>
        </w:tc>
        <w:tc>
          <w:tcPr>
            <w:tcW w:w="1791" w:type="dxa"/>
            <w:tcBorders>
              <w:top w:val="nil"/>
              <w:left w:val="nil"/>
              <w:bottom w:val="single" w:color="auto" w:sz="4" w:space="0"/>
              <w:right w:val="single" w:color="auto" w:sz="4" w:space="0"/>
            </w:tcBorders>
            <w:shd w:val="clear" w:color="auto" w:fill="auto"/>
            <w:noWrap/>
            <w:vAlign w:val="center"/>
          </w:tcPr>
          <w:p w14:paraId="08F84E64">
            <w:pPr>
              <w:widowControl/>
              <w:jc w:val="center"/>
              <w:rPr>
                <w:rFonts w:ascii="宋体" w:hAnsi="宋体" w:cs="宋体"/>
                <w:color w:val="000000"/>
                <w:kern w:val="0"/>
                <w:sz w:val="18"/>
                <w:szCs w:val="18"/>
              </w:rPr>
            </w:pPr>
            <w:r>
              <w:rPr>
                <w:rFonts w:hint="eastAsia" w:ascii="宋体" w:hAnsi="宋体" w:cs="宋体"/>
                <w:color w:val="000000"/>
                <w:kern w:val="0"/>
                <w:sz w:val="18"/>
                <w:szCs w:val="18"/>
              </w:rPr>
              <w:t>29497</w:t>
            </w:r>
          </w:p>
        </w:tc>
        <w:tc>
          <w:tcPr>
            <w:tcW w:w="1300" w:type="dxa"/>
            <w:tcBorders>
              <w:top w:val="nil"/>
              <w:left w:val="nil"/>
              <w:bottom w:val="single" w:color="auto" w:sz="4" w:space="0"/>
              <w:right w:val="single" w:color="auto" w:sz="4" w:space="0"/>
            </w:tcBorders>
            <w:shd w:val="clear" w:color="auto" w:fill="auto"/>
            <w:noWrap/>
            <w:vAlign w:val="center"/>
          </w:tcPr>
          <w:p w14:paraId="0C950366">
            <w:pPr>
              <w:widowControl/>
              <w:jc w:val="center"/>
              <w:rPr>
                <w:rFonts w:ascii="宋体" w:hAnsi="宋体" w:cs="宋体"/>
                <w:color w:val="000000"/>
                <w:kern w:val="0"/>
                <w:sz w:val="18"/>
                <w:szCs w:val="18"/>
              </w:rPr>
            </w:pPr>
            <w:r>
              <w:rPr>
                <w:rFonts w:hint="eastAsia" w:ascii="宋体" w:hAnsi="宋体" w:cs="宋体"/>
                <w:color w:val="000000"/>
                <w:kern w:val="0"/>
                <w:sz w:val="18"/>
                <w:szCs w:val="18"/>
              </w:rPr>
              <w:t>32403.40</w:t>
            </w:r>
          </w:p>
        </w:tc>
        <w:tc>
          <w:tcPr>
            <w:tcW w:w="1791" w:type="dxa"/>
            <w:tcBorders>
              <w:top w:val="nil"/>
              <w:left w:val="nil"/>
              <w:bottom w:val="single" w:color="auto" w:sz="4" w:space="0"/>
              <w:right w:val="single" w:color="auto" w:sz="4" w:space="0"/>
            </w:tcBorders>
            <w:shd w:val="clear" w:color="auto" w:fill="auto"/>
            <w:noWrap/>
            <w:vAlign w:val="center"/>
          </w:tcPr>
          <w:p w14:paraId="0413DBA1">
            <w:pPr>
              <w:widowControl/>
              <w:jc w:val="center"/>
              <w:rPr>
                <w:rFonts w:ascii="宋体" w:hAnsi="宋体" w:cs="宋体"/>
                <w:color w:val="000000"/>
                <w:kern w:val="0"/>
                <w:sz w:val="18"/>
                <w:szCs w:val="18"/>
              </w:rPr>
            </w:pPr>
            <w:r>
              <w:rPr>
                <w:rFonts w:hint="eastAsia" w:ascii="宋体" w:hAnsi="宋体" w:cs="宋体"/>
                <w:color w:val="000000"/>
                <w:kern w:val="0"/>
                <w:sz w:val="18"/>
                <w:szCs w:val="18"/>
              </w:rPr>
              <w:t>30430.78</w:t>
            </w:r>
          </w:p>
        </w:tc>
        <w:tc>
          <w:tcPr>
            <w:tcW w:w="1119" w:type="dxa"/>
            <w:tcBorders>
              <w:top w:val="nil"/>
              <w:left w:val="nil"/>
              <w:bottom w:val="single" w:color="auto" w:sz="4" w:space="0"/>
              <w:right w:val="single" w:color="auto" w:sz="4" w:space="0"/>
            </w:tcBorders>
            <w:shd w:val="clear" w:color="auto" w:fill="auto"/>
            <w:noWrap/>
            <w:vAlign w:val="center"/>
          </w:tcPr>
          <w:p w14:paraId="2F59EDA7">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7687E98E">
            <w:pPr>
              <w:widowControl/>
              <w:jc w:val="center"/>
              <w:rPr>
                <w:rFonts w:ascii="宋体" w:hAnsi="宋体" w:cs="宋体"/>
                <w:color w:val="000000"/>
                <w:kern w:val="0"/>
                <w:sz w:val="22"/>
                <w:szCs w:val="22"/>
              </w:rPr>
            </w:pPr>
            <w:r>
              <w:rPr>
                <w:rFonts w:hint="eastAsia" w:ascii="宋体" w:hAnsi="宋体" w:cs="宋体"/>
                <w:color w:val="000000"/>
                <w:kern w:val="0"/>
                <w:sz w:val="18"/>
                <w:szCs w:val="18"/>
              </w:rPr>
              <w:t>包含预留的13公顷新增建设占用耕地</w:t>
            </w:r>
          </w:p>
        </w:tc>
      </w:tr>
      <w:tr w14:paraId="20A39B12">
        <w:tblPrEx>
          <w:tblCellMar>
            <w:top w:w="0" w:type="dxa"/>
            <w:left w:w="108" w:type="dxa"/>
            <w:bottom w:w="0" w:type="dxa"/>
            <w:right w:w="108" w:type="dxa"/>
          </w:tblCellMar>
        </w:tblPrEx>
        <w:trPr>
          <w:trHeight w:val="34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5B75BD1B">
            <w:pPr>
              <w:widowControl/>
              <w:jc w:val="center"/>
              <w:rPr>
                <w:rFonts w:ascii="宋体" w:hAnsi="宋体" w:cs="宋体"/>
                <w:color w:val="000000"/>
                <w:kern w:val="0"/>
                <w:sz w:val="18"/>
                <w:szCs w:val="18"/>
              </w:rPr>
            </w:pPr>
            <w:r>
              <w:rPr>
                <w:rFonts w:hint="eastAsia" w:ascii="宋体" w:hAnsi="宋体" w:cs="宋体"/>
                <w:color w:val="000000"/>
                <w:kern w:val="0"/>
                <w:sz w:val="18"/>
                <w:szCs w:val="18"/>
              </w:rPr>
              <w:t>基本农田保护面积</w:t>
            </w:r>
          </w:p>
        </w:tc>
        <w:tc>
          <w:tcPr>
            <w:tcW w:w="1791" w:type="dxa"/>
            <w:tcBorders>
              <w:top w:val="nil"/>
              <w:left w:val="nil"/>
              <w:bottom w:val="single" w:color="auto" w:sz="4" w:space="0"/>
              <w:right w:val="single" w:color="auto" w:sz="4" w:space="0"/>
            </w:tcBorders>
            <w:shd w:val="clear" w:color="auto" w:fill="auto"/>
            <w:vAlign w:val="center"/>
          </w:tcPr>
          <w:p w14:paraId="119F0327">
            <w:pPr>
              <w:widowControl/>
              <w:jc w:val="center"/>
              <w:rPr>
                <w:rFonts w:ascii="宋体" w:hAnsi="宋体" w:cs="宋体"/>
                <w:color w:val="000000"/>
                <w:kern w:val="0"/>
                <w:sz w:val="18"/>
                <w:szCs w:val="18"/>
              </w:rPr>
            </w:pPr>
            <w:r>
              <w:rPr>
                <w:rFonts w:hint="eastAsia" w:ascii="宋体" w:hAnsi="宋体" w:cs="宋体"/>
                <w:color w:val="000000"/>
                <w:kern w:val="0"/>
                <w:sz w:val="18"/>
                <w:szCs w:val="18"/>
              </w:rPr>
              <w:t>23066</w:t>
            </w:r>
          </w:p>
        </w:tc>
        <w:tc>
          <w:tcPr>
            <w:tcW w:w="1300" w:type="dxa"/>
            <w:tcBorders>
              <w:top w:val="nil"/>
              <w:left w:val="nil"/>
              <w:bottom w:val="single" w:color="auto" w:sz="4" w:space="0"/>
              <w:right w:val="single" w:color="auto" w:sz="4" w:space="0"/>
            </w:tcBorders>
            <w:shd w:val="clear" w:color="auto" w:fill="auto"/>
            <w:vAlign w:val="center"/>
          </w:tcPr>
          <w:p w14:paraId="1D0523EC">
            <w:pPr>
              <w:widowControl/>
              <w:jc w:val="center"/>
              <w:rPr>
                <w:rFonts w:ascii="宋体" w:hAnsi="宋体" w:cs="宋体"/>
                <w:color w:val="000000"/>
                <w:kern w:val="0"/>
                <w:sz w:val="18"/>
                <w:szCs w:val="18"/>
              </w:rPr>
            </w:pPr>
            <w:r>
              <w:rPr>
                <w:rFonts w:hint="eastAsia" w:ascii="宋体" w:hAnsi="宋体" w:cs="宋体"/>
                <w:color w:val="000000"/>
                <w:kern w:val="0"/>
                <w:sz w:val="18"/>
                <w:szCs w:val="18"/>
              </w:rPr>
              <w:t>26269.15</w:t>
            </w:r>
          </w:p>
        </w:tc>
        <w:tc>
          <w:tcPr>
            <w:tcW w:w="1791" w:type="dxa"/>
            <w:tcBorders>
              <w:top w:val="nil"/>
              <w:left w:val="nil"/>
              <w:bottom w:val="single" w:color="auto" w:sz="4" w:space="0"/>
              <w:right w:val="single" w:color="auto" w:sz="4" w:space="0"/>
            </w:tcBorders>
            <w:shd w:val="clear" w:color="auto" w:fill="auto"/>
            <w:noWrap/>
            <w:vAlign w:val="center"/>
          </w:tcPr>
          <w:p w14:paraId="3290BB0D">
            <w:pPr>
              <w:widowControl/>
              <w:jc w:val="center"/>
              <w:rPr>
                <w:rFonts w:ascii="宋体" w:hAnsi="宋体" w:cs="宋体"/>
                <w:color w:val="000000"/>
                <w:kern w:val="0"/>
                <w:sz w:val="18"/>
                <w:szCs w:val="18"/>
              </w:rPr>
            </w:pPr>
            <w:r>
              <w:rPr>
                <w:rFonts w:hint="eastAsia" w:ascii="宋体" w:hAnsi="宋体" w:cs="宋体"/>
                <w:color w:val="000000"/>
                <w:kern w:val="0"/>
                <w:sz w:val="18"/>
                <w:szCs w:val="18"/>
              </w:rPr>
              <w:t>23106.77</w:t>
            </w:r>
          </w:p>
        </w:tc>
        <w:tc>
          <w:tcPr>
            <w:tcW w:w="1119" w:type="dxa"/>
            <w:tcBorders>
              <w:top w:val="nil"/>
              <w:left w:val="nil"/>
              <w:bottom w:val="single" w:color="auto" w:sz="4" w:space="0"/>
              <w:right w:val="single" w:color="auto" w:sz="4" w:space="0"/>
            </w:tcBorders>
            <w:shd w:val="clear" w:color="auto" w:fill="auto"/>
            <w:noWrap/>
            <w:vAlign w:val="center"/>
          </w:tcPr>
          <w:p w14:paraId="089EDA4A">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3407C142">
            <w:pPr>
              <w:widowControl/>
              <w:jc w:val="center"/>
              <w:rPr>
                <w:rFonts w:ascii="宋体" w:hAnsi="宋体" w:cs="宋体"/>
                <w:color w:val="000000"/>
                <w:kern w:val="0"/>
                <w:sz w:val="22"/>
                <w:szCs w:val="22"/>
              </w:rPr>
            </w:pPr>
          </w:p>
        </w:tc>
      </w:tr>
      <w:tr w14:paraId="22C3EC73">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0675BE8A">
            <w:pPr>
              <w:widowControl/>
              <w:jc w:val="center"/>
              <w:rPr>
                <w:rFonts w:ascii="宋体" w:hAnsi="宋体" w:cs="宋体"/>
                <w:color w:val="000000"/>
                <w:kern w:val="0"/>
                <w:sz w:val="18"/>
                <w:szCs w:val="18"/>
              </w:rPr>
            </w:pPr>
            <w:r>
              <w:rPr>
                <w:rFonts w:hint="eastAsia" w:ascii="宋体" w:hAnsi="宋体" w:cs="宋体"/>
                <w:color w:val="000000"/>
                <w:kern w:val="0"/>
                <w:sz w:val="18"/>
                <w:szCs w:val="18"/>
              </w:rPr>
              <w:t>园地</w:t>
            </w:r>
          </w:p>
        </w:tc>
        <w:tc>
          <w:tcPr>
            <w:tcW w:w="1791" w:type="dxa"/>
            <w:tcBorders>
              <w:top w:val="nil"/>
              <w:left w:val="nil"/>
              <w:bottom w:val="single" w:color="auto" w:sz="4" w:space="0"/>
              <w:right w:val="single" w:color="auto" w:sz="4" w:space="0"/>
            </w:tcBorders>
            <w:shd w:val="clear" w:color="auto" w:fill="auto"/>
            <w:vAlign w:val="center"/>
          </w:tcPr>
          <w:p w14:paraId="4322588B">
            <w:pPr>
              <w:widowControl/>
              <w:jc w:val="center"/>
              <w:rPr>
                <w:rFonts w:ascii="宋体" w:hAnsi="宋体" w:cs="宋体"/>
                <w:color w:val="000000"/>
                <w:kern w:val="0"/>
                <w:sz w:val="18"/>
                <w:szCs w:val="18"/>
              </w:rPr>
            </w:pPr>
            <w:r>
              <w:rPr>
                <w:rFonts w:hint="eastAsia" w:ascii="宋体" w:hAnsi="宋体" w:cs="宋体"/>
                <w:color w:val="000000"/>
                <w:kern w:val="0"/>
                <w:sz w:val="18"/>
                <w:szCs w:val="18"/>
              </w:rPr>
              <w:t>1647.13</w:t>
            </w:r>
          </w:p>
        </w:tc>
        <w:tc>
          <w:tcPr>
            <w:tcW w:w="1300" w:type="dxa"/>
            <w:tcBorders>
              <w:top w:val="nil"/>
              <w:left w:val="nil"/>
              <w:bottom w:val="single" w:color="auto" w:sz="4" w:space="0"/>
              <w:right w:val="single" w:color="auto" w:sz="4" w:space="0"/>
            </w:tcBorders>
            <w:shd w:val="clear" w:color="auto" w:fill="auto"/>
            <w:noWrap/>
            <w:vAlign w:val="center"/>
          </w:tcPr>
          <w:p w14:paraId="3D6108D2">
            <w:pPr>
              <w:widowControl/>
              <w:jc w:val="center"/>
              <w:rPr>
                <w:rFonts w:ascii="宋体" w:hAnsi="宋体" w:cs="宋体"/>
                <w:color w:val="000000"/>
                <w:kern w:val="0"/>
                <w:sz w:val="18"/>
                <w:szCs w:val="18"/>
              </w:rPr>
            </w:pPr>
            <w:r>
              <w:rPr>
                <w:rFonts w:hint="eastAsia" w:ascii="宋体" w:hAnsi="宋体" w:cs="宋体"/>
                <w:color w:val="000000"/>
                <w:kern w:val="0"/>
                <w:sz w:val="18"/>
                <w:szCs w:val="18"/>
              </w:rPr>
              <w:t>1687.13</w:t>
            </w:r>
          </w:p>
        </w:tc>
        <w:tc>
          <w:tcPr>
            <w:tcW w:w="1791" w:type="dxa"/>
            <w:tcBorders>
              <w:top w:val="nil"/>
              <w:left w:val="nil"/>
              <w:bottom w:val="single" w:color="auto" w:sz="4" w:space="0"/>
              <w:right w:val="single" w:color="auto" w:sz="4" w:space="0"/>
            </w:tcBorders>
            <w:shd w:val="clear" w:color="auto" w:fill="auto"/>
            <w:noWrap/>
            <w:vAlign w:val="center"/>
          </w:tcPr>
          <w:p w14:paraId="21855FA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1646.68 </w:t>
            </w:r>
          </w:p>
        </w:tc>
        <w:tc>
          <w:tcPr>
            <w:tcW w:w="1119" w:type="dxa"/>
            <w:tcBorders>
              <w:top w:val="nil"/>
              <w:left w:val="nil"/>
              <w:bottom w:val="single" w:color="auto" w:sz="4" w:space="0"/>
              <w:right w:val="single" w:color="auto" w:sz="4" w:space="0"/>
            </w:tcBorders>
            <w:shd w:val="clear" w:color="auto" w:fill="auto"/>
            <w:noWrap/>
            <w:vAlign w:val="center"/>
          </w:tcPr>
          <w:p w14:paraId="60DD0ABD">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5C5EA79F">
            <w:pPr>
              <w:widowControl/>
              <w:jc w:val="center"/>
              <w:rPr>
                <w:rFonts w:ascii="宋体" w:hAnsi="宋体" w:cs="宋体"/>
                <w:color w:val="000000"/>
                <w:kern w:val="0"/>
                <w:sz w:val="22"/>
                <w:szCs w:val="22"/>
              </w:rPr>
            </w:pPr>
          </w:p>
        </w:tc>
      </w:tr>
      <w:tr w14:paraId="3B7B3EAE">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54909579">
            <w:pPr>
              <w:widowControl/>
              <w:jc w:val="center"/>
              <w:rPr>
                <w:rFonts w:ascii="宋体" w:hAnsi="宋体" w:cs="宋体"/>
                <w:color w:val="000000"/>
                <w:kern w:val="0"/>
                <w:sz w:val="18"/>
                <w:szCs w:val="18"/>
              </w:rPr>
            </w:pPr>
            <w:r>
              <w:rPr>
                <w:rFonts w:hint="eastAsia" w:ascii="宋体" w:hAnsi="宋体" w:cs="宋体"/>
                <w:color w:val="000000"/>
                <w:kern w:val="0"/>
                <w:sz w:val="18"/>
                <w:szCs w:val="18"/>
              </w:rPr>
              <w:t>林地</w:t>
            </w:r>
          </w:p>
        </w:tc>
        <w:tc>
          <w:tcPr>
            <w:tcW w:w="1791" w:type="dxa"/>
            <w:tcBorders>
              <w:top w:val="nil"/>
              <w:left w:val="nil"/>
              <w:bottom w:val="single" w:color="auto" w:sz="4" w:space="0"/>
              <w:right w:val="single" w:color="auto" w:sz="4" w:space="0"/>
            </w:tcBorders>
            <w:shd w:val="clear" w:color="auto" w:fill="auto"/>
            <w:vAlign w:val="center"/>
          </w:tcPr>
          <w:p w14:paraId="3C759A9C">
            <w:pPr>
              <w:widowControl/>
              <w:jc w:val="center"/>
              <w:rPr>
                <w:rFonts w:ascii="宋体" w:hAnsi="宋体" w:cs="宋体"/>
                <w:color w:val="000000"/>
                <w:kern w:val="0"/>
                <w:sz w:val="18"/>
                <w:szCs w:val="18"/>
              </w:rPr>
            </w:pPr>
            <w:r>
              <w:rPr>
                <w:rFonts w:hint="eastAsia" w:ascii="宋体" w:hAnsi="宋体" w:cs="宋体"/>
                <w:color w:val="000000"/>
                <w:kern w:val="0"/>
                <w:sz w:val="18"/>
                <w:szCs w:val="18"/>
              </w:rPr>
              <w:t>63057.64</w:t>
            </w:r>
          </w:p>
        </w:tc>
        <w:tc>
          <w:tcPr>
            <w:tcW w:w="1300" w:type="dxa"/>
            <w:tcBorders>
              <w:top w:val="nil"/>
              <w:left w:val="nil"/>
              <w:bottom w:val="single" w:color="auto" w:sz="4" w:space="0"/>
              <w:right w:val="single" w:color="auto" w:sz="4" w:space="0"/>
            </w:tcBorders>
            <w:shd w:val="clear" w:color="auto" w:fill="auto"/>
            <w:noWrap/>
            <w:vAlign w:val="center"/>
          </w:tcPr>
          <w:p w14:paraId="4E314AD0">
            <w:pPr>
              <w:widowControl/>
              <w:jc w:val="center"/>
              <w:rPr>
                <w:rFonts w:ascii="宋体" w:hAnsi="宋体" w:cs="宋体"/>
                <w:color w:val="000000"/>
                <w:kern w:val="0"/>
                <w:sz w:val="18"/>
                <w:szCs w:val="18"/>
              </w:rPr>
            </w:pPr>
            <w:r>
              <w:rPr>
                <w:rFonts w:hint="eastAsia" w:ascii="宋体" w:hAnsi="宋体" w:cs="宋体"/>
                <w:color w:val="000000"/>
                <w:kern w:val="0"/>
                <w:sz w:val="18"/>
                <w:szCs w:val="18"/>
              </w:rPr>
              <w:t>61455.93</w:t>
            </w:r>
          </w:p>
        </w:tc>
        <w:tc>
          <w:tcPr>
            <w:tcW w:w="1791" w:type="dxa"/>
            <w:tcBorders>
              <w:top w:val="nil"/>
              <w:left w:val="nil"/>
              <w:bottom w:val="single" w:color="auto" w:sz="4" w:space="0"/>
              <w:right w:val="single" w:color="auto" w:sz="4" w:space="0"/>
            </w:tcBorders>
            <w:shd w:val="clear" w:color="auto" w:fill="auto"/>
            <w:noWrap/>
            <w:vAlign w:val="center"/>
          </w:tcPr>
          <w:p w14:paraId="0AC7D28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63987.69 </w:t>
            </w:r>
          </w:p>
        </w:tc>
        <w:tc>
          <w:tcPr>
            <w:tcW w:w="1119" w:type="dxa"/>
            <w:tcBorders>
              <w:top w:val="nil"/>
              <w:left w:val="nil"/>
              <w:bottom w:val="single" w:color="auto" w:sz="4" w:space="0"/>
              <w:right w:val="single" w:color="auto" w:sz="4" w:space="0"/>
            </w:tcBorders>
            <w:shd w:val="clear" w:color="auto" w:fill="auto"/>
            <w:noWrap/>
            <w:vAlign w:val="center"/>
          </w:tcPr>
          <w:p w14:paraId="1DB89435">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3BFB5F5B">
            <w:pPr>
              <w:widowControl/>
              <w:jc w:val="center"/>
              <w:rPr>
                <w:rFonts w:ascii="宋体" w:hAnsi="宋体" w:cs="宋体"/>
                <w:color w:val="000000"/>
                <w:kern w:val="0"/>
                <w:sz w:val="22"/>
                <w:szCs w:val="22"/>
              </w:rPr>
            </w:pPr>
          </w:p>
        </w:tc>
      </w:tr>
      <w:tr w14:paraId="095B4C72">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1EAB1FF9">
            <w:pPr>
              <w:widowControl/>
              <w:jc w:val="center"/>
              <w:rPr>
                <w:rFonts w:ascii="宋体" w:hAnsi="宋体" w:cs="宋体"/>
                <w:color w:val="000000"/>
                <w:kern w:val="0"/>
                <w:sz w:val="18"/>
                <w:szCs w:val="18"/>
              </w:rPr>
            </w:pPr>
            <w:r>
              <w:rPr>
                <w:rFonts w:hint="eastAsia" w:ascii="宋体" w:hAnsi="宋体" w:cs="宋体"/>
                <w:color w:val="000000"/>
                <w:kern w:val="0"/>
                <w:sz w:val="18"/>
                <w:szCs w:val="18"/>
              </w:rPr>
              <w:t>草地</w:t>
            </w:r>
          </w:p>
        </w:tc>
        <w:tc>
          <w:tcPr>
            <w:tcW w:w="1791" w:type="dxa"/>
            <w:tcBorders>
              <w:top w:val="nil"/>
              <w:left w:val="nil"/>
              <w:bottom w:val="single" w:color="auto" w:sz="4" w:space="0"/>
              <w:right w:val="single" w:color="auto" w:sz="4" w:space="0"/>
            </w:tcBorders>
            <w:shd w:val="clear" w:color="auto" w:fill="auto"/>
            <w:vAlign w:val="center"/>
          </w:tcPr>
          <w:p w14:paraId="007EDBEF">
            <w:pPr>
              <w:widowControl/>
              <w:jc w:val="center"/>
              <w:rPr>
                <w:rFonts w:ascii="宋体" w:hAnsi="宋体" w:cs="宋体"/>
                <w:color w:val="000000"/>
                <w:kern w:val="0"/>
                <w:sz w:val="18"/>
                <w:szCs w:val="18"/>
              </w:rPr>
            </w:pPr>
            <w:r>
              <w:rPr>
                <w:rFonts w:hint="eastAsia" w:ascii="宋体" w:hAnsi="宋体" w:cs="宋体"/>
                <w:color w:val="000000"/>
                <w:kern w:val="0"/>
                <w:sz w:val="18"/>
                <w:szCs w:val="18"/>
              </w:rPr>
              <w:t>89.27</w:t>
            </w:r>
          </w:p>
        </w:tc>
        <w:tc>
          <w:tcPr>
            <w:tcW w:w="1300" w:type="dxa"/>
            <w:tcBorders>
              <w:top w:val="nil"/>
              <w:left w:val="nil"/>
              <w:bottom w:val="single" w:color="auto" w:sz="4" w:space="0"/>
              <w:right w:val="single" w:color="auto" w:sz="4" w:space="0"/>
            </w:tcBorders>
            <w:shd w:val="clear" w:color="auto" w:fill="auto"/>
            <w:noWrap/>
            <w:vAlign w:val="center"/>
          </w:tcPr>
          <w:p w14:paraId="3E4E69E4">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791" w:type="dxa"/>
            <w:tcBorders>
              <w:top w:val="nil"/>
              <w:left w:val="nil"/>
              <w:bottom w:val="single" w:color="auto" w:sz="4" w:space="0"/>
              <w:right w:val="single" w:color="auto" w:sz="4" w:space="0"/>
            </w:tcBorders>
            <w:shd w:val="clear" w:color="auto" w:fill="auto"/>
            <w:noWrap/>
            <w:vAlign w:val="center"/>
          </w:tcPr>
          <w:p w14:paraId="63EABEF8">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119" w:type="dxa"/>
            <w:tcBorders>
              <w:top w:val="nil"/>
              <w:left w:val="nil"/>
              <w:bottom w:val="single" w:color="auto" w:sz="4" w:space="0"/>
              <w:right w:val="single" w:color="auto" w:sz="4" w:space="0"/>
            </w:tcBorders>
            <w:shd w:val="clear" w:color="auto" w:fill="auto"/>
            <w:noWrap/>
            <w:vAlign w:val="center"/>
          </w:tcPr>
          <w:p w14:paraId="6A99C53C">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41D72208">
            <w:pPr>
              <w:widowControl/>
              <w:jc w:val="center"/>
              <w:rPr>
                <w:rFonts w:ascii="宋体" w:hAnsi="宋体" w:cs="宋体"/>
                <w:color w:val="000000"/>
                <w:kern w:val="0"/>
                <w:sz w:val="22"/>
                <w:szCs w:val="22"/>
              </w:rPr>
            </w:pPr>
          </w:p>
        </w:tc>
      </w:tr>
      <w:tr w14:paraId="063FF3FD">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5773CCF6">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建设用地总规模</w:t>
            </w:r>
          </w:p>
        </w:tc>
        <w:tc>
          <w:tcPr>
            <w:tcW w:w="1791" w:type="dxa"/>
            <w:tcBorders>
              <w:top w:val="nil"/>
              <w:left w:val="nil"/>
              <w:bottom w:val="single" w:color="auto" w:sz="4" w:space="0"/>
              <w:right w:val="single" w:color="auto" w:sz="4" w:space="0"/>
            </w:tcBorders>
            <w:shd w:val="clear" w:color="auto" w:fill="auto"/>
            <w:noWrap/>
            <w:vAlign w:val="center"/>
          </w:tcPr>
          <w:p w14:paraId="43407F9E">
            <w:pPr>
              <w:widowControl/>
              <w:jc w:val="center"/>
              <w:rPr>
                <w:rFonts w:ascii="宋体" w:hAnsi="宋体" w:cs="宋体"/>
                <w:color w:val="000000"/>
                <w:kern w:val="0"/>
                <w:sz w:val="18"/>
                <w:szCs w:val="18"/>
              </w:rPr>
            </w:pPr>
            <w:r>
              <w:rPr>
                <w:rFonts w:hint="eastAsia" w:ascii="宋体" w:hAnsi="宋体" w:cs="宋体"/>
                <w:color w:val="000000"/>
                <w:kern w:val="0"/>
                <w:sz w:val="18"/>
                <w:szCs w:val="18"/>
              </w:rPr>
              <w:t>6156</w:t>
            </w:r>
          </w:p>
        </w:tc>
        <w:tc>
          <w:tcPr>
            <w:tcW w:w="1300" w:type="dxa"/>
            <w:tcBorders>
              <w:top w:val="nil"/>
              <w:left w:val="nil"/>
              <w:bottom w:val="single" w:color="auto" w:sz="4" w:space="0"/>
              <w:right w:val="single" w:color="auto" w:sz="4" w:space="0"/>
            </w:tcBorders>
            <w:shd w:val="clear" w:color="auto" w:fill="auto"/>
            <w:noWrap/>
            <w:vAlign w:val="center"/>
          </w:tcPr>
          <w:p w14:paraId="20D50617">
            <w:pPr>
              <w:widowControl/>
              <w:jc w:val="center"/>
              <w:rPr>
                <w:rFonts w:ascii="宋体" w:hAnsi="宋体" w:cs="宋体"/>
                <w:color w:val="000000"/>
                <w:kern w:val="0"/>
                <w:sz w:val="18"/>
                <w:szCs w:val="18"/>
              </w:rPr>
            </w:pPr>
            <w:r>
              <w:rPr>
                <w:rFonts w:hint="eastAsia" w:ascii="宋体" w:hAnsi="宋体" w:cs="宋体"/>
                <w:color w:val="000000"/>
                <w:kern w:val="0"/>
                <w:sz w:val="18"/>
                <w:szCs w:val="18"/>
              </w:rPr>
              <w:t>5816.34</w:t>
            </w:r>
          </w:p>
        </w:tc>
        <w:tc>
          <w:tcPr>
            <w:tcW w:w="1791" w:type="dxa"/>
            <w:tcBorders>
              <w:top w:val="nil"/>
              <w:left w:val="nil"/>
              <w:bottom w:val="single" w:color="auto" w:sz="4" w:space="0"/>
              <w:right w:val="single" w:color="auto" w:sz="4" w:space="0"/>
            </w:tcBorders>
            <w:shd w:val="clear" w:color="auto" w:fill="auto"/>
            <w:noWrap/>
            <w:vAlign w:val="center"/>
          </w:tcPr>
          <w:p w14:paraId="62C20599">
            <w:pPr>
              <w:widowControl/>
              <w:jc w:val="center"/>
              <w:rPr>
                <w:rFonts w:ascii="宋体" w:hAnsi="宋体" w:cs="宋体"/>
                <w:color w:val="000000"/>
                <w:kern w:val="0"/>
                <w:sz w:val="18"/>
                <w:szCs w:val="18"/>
              </w:rPr>
            </w:pPr>
            <w:r>
              <w:rPr>
                <w:rFonts w:hint="eastAsia" w:ascii="宋体" w:hAnsi="宋体" w:cs="宋体"/>
                <w:color w:val="000000"/>
                <w:kern w:val="0"/>
                <w:sz w:val="18"/>
                <w:szCs w:val="18"/>
              </w:rPr>
              <w:t>6155.66</w:t>
            </w:r>
          </w:p>
        </w:tc>
        <w:tc>
          <w:tcPr>
            <w:tcW w:w="1119" w:type="dxa"/>
            <w:tcBorders>
              <w:top w:val="nil"/>
              <w:left w:val="nil"/>
              <w:bottom w:val="single" w:color="auto" w:sz="4" w:space="0"/>
              <w:right w:val="single" w:color="auto" w:sz="4" w:space="0"/>
            </w:tcBorders>
            <w:shd w:val="clear" w:color="auto" w:fill="auto"/>
            <w:noWrap/>
            <w:vAlign w:val="center"/>
          </w:tcPr>
          <w:p w14:paraId="108F5B0D">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78D1D169">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包含预留的15.65公顷城乡建设用地</w:t>
            </w:r>
          </w:p>
        </w:tc>
      </w:tr>
      <w:tr w14:paraId="2FA2016A">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4BB0DE10">
            <w:pPr>
              <w:widowControl/>
              <w:jc w:val="center"/>
              <w:rPr>
                <w:rFonts w:ascii="宋体" w:hAnsi="宋体" w:cs="宋体"/>
                <w:color w:val="000000"/>
                <w:kern w:val="0"/>
                <w:sz w:val="18"/>
                <w:szCs w:val="18"/>
              </w:rPr>
            </w:pPr>
            <w:r>
              <w:rPr>
                <w:rFonts w:hint="eastAsia" w:ascii="宋体" w:hAnsi="宋体" w:cs="宋体"/>
                <w:color w:val="000000"/>
                <w:kern w:val="0"/>
                <w:sz w:val="18"/>
                <w:szCs w:val="18"/>
              </w:rPr>
              <w:t>城乡建设用地规模</w:t>
            </w:r>
          </w:p>
        </w:tc>
        <w:tc>
          <w:tcPr>
            <w:tcW w:w="1791" w:type="dxa"/>
            <w:tcBorders>
              <w:top w:val="nil"/>
              <w:left w:val="nil"/>
              <w:bottom w:val="single" w:color="auto" w:sz="4" w:space="0"/>
              <w:right w:val="single" w:color="auto" w:sz="4" w:space="0"/>
            </w:tcBorders>
            <w:shd w:val="clear" w:color="auto" w:fill="auto"/>
            <w:vAlign w:val="center"/>
          </w:tcPr>
          <w:p w14:paraId="09402392">
            <w:pPr>
              <w:widowControl/>
              <w:jc w:val="center"/>
              <w:rPr>
                <w:rFonts w:ascii="宋体" w:hAnsi="宋体" w:cs="宋体"/>
                <w:color w:val="000000"/>
                <w:kern w:val="0"/>
                <w:sz w:val="18"/>
                <w:szCs w:val="18"/>
              </w:rPr>
            </w:pPr>
            <w:r>
              <w:rPr>
                <w:rFonts w:hint="eastAsia" w:ascii="宋体" w:hAnsi="宋体" w:cs="宋体"/>
                <w:color w:val="000000"/>
                <w:kern w:val="0"/>
                <w:sz w:val="18"/>
                <w:szCs w:val="18"/>
              </w:rPr>
              <w:t>5368.57</w:t>
            </w:r>
          </w:p>
        </w:tc>
        <w:tc>
          <w:tcPr>
            <w:tcW w:w="1300" w:type="dxa"/>
            <w:tcBorders>
              <w:top w:val="nil"/>
              <w:left w:val="nil"/>
              <w:bottom w:val="single" w:color="auto" w:sz="4" w:space="0"/>
              <w:right w:val="single" w:color="auto" w:sz="4" w:space="0"/>
            </w:tcBorders>
            <w:shd w:val="clear" w:color="auto" w:fill="auto"/>
            <w:noWrap/>
            <w:vAlign w:val="center"/>
          </w:tcPr>
          <w:p w14:paraId="51320162">
            <w:pPr>
              <w:widowControl/>
              <w:jc w:val="center"/>
              <w:rPr>
                <w:rFonts w:ascii="宋体" w:hAnsi="宋体" w:cs="宋体"/>
                <w:color w:val="000000"/>
                <w:kern w:val="0"/>
                <w:sz w:val="18"/>
                <w:szCs w:val="18"/>
              </w:rPr>
            </w:pPr>
            <w:r>
              <w:rPr>
                <w:rFonts w:hint="eastAsia" w:ascii="宋体" w:hAnsi="宋体" w:cs="宋体"/>
                <w:color w:val="000000"/>
                <w:kern w:val="0"/>
                <w:sz w:val="18"/>
                <w:szCs w:val="18"/>
              </w:rPr>
              <w:t>5055.73</w:t>
            </w:r>
          </w:p>
        </w:tc>
        <w:tc>
          <w:tcPr>
            <w:tcW w:w="1791" w:type="dxa"/>
            <w:tcBorders>
              <w:top w:val="nil"/>
              <w:left w:val="nil"/>
              <w:bottom w:val="single" w:color="auto" w:sz="4" w:space="0"/>
              <w:right w:val="single" w:color="auto" w:sz="4" w:space="0"/>
            </w:tcBorders>
            <w:shd w:val="clear" w:color="auto" w:fill="auto"/>
            <w:noWrap/>
            <w:vAlign w:val="center"/>
          </w:tcPr>
          <w:p w14:paraId="44B92F7F">
            <w:pPr>
              <w:widowControl/>
              <w:jc w:val="center"/>
              <w:rPr>
                <w:rFonts w:ascii="宋体" w:hAnsi="宋体" w:cs="宋体"/>
                <w:color w:val="000000"/>
                <w:kern w:val="0"/>
                <w:sz w:val="18"/>
                <w:szCs w:val="18"/>
              </w:rPr>
            </w:pPr>
            <w:r>
              <w:rPr>
                <w:rFonts w:hint="eastAsia" w:ascii="宋体" w:hAnsi="宋体" w:cs="宋体"/>
                <w:color w:val="000000"/>
                <w:kern w:val="0"/>
                <w:sz w:val="18"/>
                <w:szCs w:val="18"/>
              </w:rPr>
              <w:t>5368.18</w:t>
            </w:r>
          </w:p>
        </w:tc>
        <w:tc>
          <w:tcPr>
            <w:tcW w:w="1119" w:type="dxa"/>
            <w:tcBorders>
              <w:top w:val="nil"/>
              <w:left w:val="nil"/>
              <w:bottom w:val="single" w:color="auto" w:sz="4" w:space="0"/>
              <w:right w:val="single" w:color="auto" w:sz="4" w:space="0"/>
            </w:tcBorders>
            <w:shd w:val="clear" w:color="auto" w:fill="auto"/>
            <w:noWrap/>
            <w:vAlign w:val="center"/>
          </w:tcPr>
          <w:p w14:paraId="271AABDF">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0D49A885">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包含预留的15.65公顷城乡建设用地</w:t>
            </w:r>
          </w:p>
        </w:tc>
      </w:tr>
      <w:tr w14:paraId="22AA26E0">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594A1C10">
            <w:pPr>
              <w:widowControl/>
              <w:jc w:val="center"/>
              <w:rPr>
                <w:rFonts w:ascii="宋体" w:hAnsi="宋体" w:cs="宋体"/>
                <w:color w:val="000000"/>
                <w:kern w:val="0"/>
                <w:sz w:val="18"/>
                <w:szCs w:val="18"/>
              </w:rPr>
            </w:pPr>
            <w:r>
              <w:rPr>
                <w:rFonts w:hint="eastAsia" w:ascii="宋体" w:hAnsi="宋体" w:cs="宋体"/>
                <w:color w:val="000000"/>
                <w:kern w:val="0"/>
                <w:sz w:val="18"/>
                <w:szCs w:val="18"/>
              </w:rPr>
              <w:t>城镇工矿用地规模</w:t>
            </w:r>
          </w:p>
        </w:tc>
        <w:tc>
          <w:tcPr>
            <w:tcW w:w="1791" w:type="dxa"/>
            <w:tcBorders>
              <w:top w:val="nil"/>
              <w:left w:val="nil"/>
              <w:bottom w:val="single" w:color="auto" w:sz="4" w:space="0"/>
              <w:right w:val="single" w:color="auto" w:sz="4" w:space="0"/>
            </w:tcBorders>
            <w:shd w:val="clear" w:color="auto" w:fill="auto"/>
            <w:vAlign w:val="center"/>
          </w:tcPr>
          <w:p w14:paraId="1C7C839C">
            <w:pPr>
              <w:widowControl/>
              <w:jc w:val="center"/>
              <w:rPr>
                <w:rFonts w:ascii="宋体" w:hAnsi="宋体" w:cs="宋体"/>
                <w:color w:val="000000"/>
                <w:kern w:val="0"/>
                <w:sz w:val="18"/>
                <w:szCs w:val="18"/>
              </w:rPr>
            </w:pPr>
            <w:r>
              <w:rPr>
                <w:rFonts w:hint="eastAsia" w:ascii="宋体" w:hAnsi="宋体" w:cs="宋体"/>
                <w:color w:val="000000"/>
                <w:kern w:val="0"/>
                <w:sz w:val="18"/>
                <w:szCs w:val="18"/>
              </w:rPr>
              <w:t>1967.68</w:t>
            </w:r>
          </w:p>
        </w:tc>
        <w:tc>
          <w:tcPr>
            <w:tcW w:w="1300" w:type="dxa"/>
            <w:tcBorders>
              <w:top w:val="nil"/>
              <w:left w:val="nil"/>
              <w:bottom w:val="single" w:color="auto" w:sz="4" w:space="0"/>
              <w:right w:val="single" w:color="auto" w:sz="4" w:space="0"/>
            </w:tcBorders>
            <w:shd w:val="clear" w:color="auto" w:fill="auto"/>
            <w:noWrap/>
            <w:vAlign w:val="center"/>
          </w:tcPr>
          <w:p w14:paraId="2D9AA475">
            <w:pPr>
              <w:widowControl/>
              <w:jc w:val="center"/>
              <w:rPr>
                <w:rFonts w:ascii="宋体" w:hAnsi="宋体" w:cs="宋体"/>
                <w:color w:val="000000"/>
                <w:kern w:val="0"/>
                <w:sz w:val="18"/>
                <w:szCs w:val="18"/>
              </w:rPr>
            </w:pPr>
            <w:r>
              <w:rPr>
                <w:rFonts w:hint="eastAsia" w:ascii="宋体" w:hAnsi="宋体" w:cs="宋体"/>
                <w:color w:val="000000"/>
                <w:kern w:val="0"/>
                <w:sz w:val="18"/>
                <w:szCs w:val="18"/>
              </w:rPr>
              <w:t>1804.07</w:t>
            </w:r>
          </w:p>
        </w:tc>
        <w:tc>
          <w:tcPr>
            <w:tcW w:w="1791" w:type="dxa"/>
            <w:tcBorders>
              <w:top w:val="nil"/>
              <w:left w:val="nil"/>
              <w:bottom w:val="single" w:color="auto" w:sz="4" w:space="0"/>
              <w:right w:val="single" w:color="auto" w:sz="4" w:space="0"/>
            </w:tcBorders>
            <w:shd w:val="clear" w:color="auto" w:fill="auto"/>
            <w:noWrap/>
            <w:vAlign w:val="center"/>
          </w:tcPr>
          <w:p w14:paraId="11B43ECD">
            <w:pPr>
              <w:widowControl/>
              <w:jc w:val="center"/>
              <w:rPr>
                <w:rFonts w:ascii="宋体" w:hAnsi="宋体" w:cs="宋体"/>
                <w:color w:val="000000"/>
                <w:kern w:val="0"/>
                <w:sz w:val="18"/>
                <w:szCs w:val="18"/>
              </w:rPr>
            </w:pPr>
            <w:r>
              <w:rPr>
                <w:rFonts w:hint="eastAsia" w:ascii="宋体" w:hAnsi="宋体" w:cs="宋体"/>
                <w:color w:val="000000"/>
                <w:kern w:val="0"/>
                <w:sz w:val="18"/>
                <w:szCs w:val="18"/>
              </w:rPr>
              <w:t>1856.31</w:t>
            </w:r>
          </w:p>
        </w:tc>
        <w:tc>
          <w:tcPr>
            <w:tcW w:w="1119" w:type="dxa"/>
            <w:tcBorders>
              <w:top w:val="nil"/>
              <w:left w:val="nil"/>
              <w:bottom w:val="single" w:color="auto" w:sz="4" w:space="0"/>
              <w:right w:val="single" w:color="auto" w:sz="4" w:space="0"/>
            </w:tcBorders>
            <w:shd w:val="clear" w:color="auto" w:fill="auto"/>
            <w:noWrap/>
            <w:vAlign w:val="center"/>
          </w:tcPr>
          <w:p w14:paraId="1704D197">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78A6E23C">
            <w:pPr>
              <w:widowControl/>
              <w:jc w:val="center"/>
              <w:rPr>
                <w:rFonts w:ascii="宋体" w:hAnsi="宋体" w:cs="宋体"/>
                <w:color w:val="000000"/>
                <w:kern w:val="0"/>
                <w:sz w:val="22"/>
                <w:szCs w:val="22"/>
              </w:rPr>
            </w:pPr>
          </w:p>
        </w:tc>
      </w:tr>
      <w:tr w14:paraId="782AA81C">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7AFDC576">
            <w:pPr>
              <w:widowControl/>
              <w:jc w:val="center"/>
              <w:rPr>
                <w:rFonts w:ascii="宋体" w:hAnsi="宋体" w:cs="宋体"/>
                <w:color w:val="000000"/>
                <w:kern w:val="0"/>
                <w:sz w:val="18"/>
                <w:szCs w:val="18"/>
              </w:rPr>
            </w:pPr>
            <w:r>
              <w:rPr>
                <w:rFonts w:hint="eastAsia" w:ascii="宋体" w:hAnsi="宋体" w:cs="宋体"/>
                <w:color w:val="000000"/>
                <w:kern w:val="0"/>
                <w:sz w:val="18"/>
                <w:szCs w:val="18"/>
              </w:rPr>
              <w:t>城镇用地</w:t>
            </w:r>
          </w:p>
        </w:tc>
        <w:tc>
          <w:tcPr>
            <w:tcW w:w="1791" w:type="dxa"/>
            <w:tcBorders>
              <w:top w:val="nil"/>
              <w:left w:val="nil"/>
              <w:bottom w:val="single" w:color="auto" w:sz="4" w:space="0"/>
              <w:right w:val="single" w:color="auto" w:sz="4" w:space="0"/>
            </w:tcBorders>
            <w:shd w:val="clear" w:color="auto" w:fill="auto"/>
            <w:noWrap/>
            <w:vAlign w:val="center"/>
          </w:tcPr>
          <w:p w14:paraId="3A46B22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300" w:type="dxa"/>
            <w:tcBorders>
              <w:top w:val="nil"/>
              <w:left w:val="nil"/>
              <w:bottom w:val="single" w:color="auto" w:sz="4" w:space="0"/>
              <w:right w:val="single" w:color="auto" w:sz="4" w:space="0"/>
            </w:tcBorders>
            <w:shd w:val="clear" w:color="auto" w:fill="auto"/>
            <w:noWrap/>
            <w:vAlign w:val="center"/>
          </w:tcPr>
          <w:p w14:paraId="1B90D84E">
            <w:pPr>
              <w:widowControl/>
              <w:jc w:val="center"/>
              <w:rPr>
                <w:rFonts w:ascii="宋体" w:hAnsi="宋体" w:cs="宋体"/>
                <w:color w:val="000000"/>
                <w:kern w:val="0"/>
                <w:sz w:val="18"/>
                <w:szCs w:val="18"/>
              </w:rPr>
            </w:pPr>
            <w:r>
              <w:rPr>
                <w:rFonts w:hint="eastAsia" w:ascii="宋体" w:hAnsi="宋体" w:cs="宋体"/>
                <w:color w:val="000000"/>
                <w:kern w:val="0"/>
                <w:sz w:val="18"/>
                <w:szCs w:val="18"/>
              </w:rPr>
              <w:t>891.25</w:t>
            </w:r>
          </w:p>
        </w:tc>
        <w:tc>
          <w:tcPr>
            <w:tcW w:w="1791" w:type="dxa"/>
            <w:tcBorders>
              <w:top w:val="nil"/>
              <w:left w:val="nil"/>
              <w:bottom w:val="single" w:color="auto" w:sz="4" w:space="0"/>
              <w:right w:val="single" w:color="auto" w:sz="4" w:space="0"/>
            </w:tcBorders>
            <w:shd w:val="clear" w:color="auto" w:fill="auto"/>
            <w:noWrap/>
            <w:vAlign w:val="center"/>
          </w:tcPr>
          <w:p w14:paraId="159911BD">
            <w:pPr>
              <w:widowControl/>
              <w:jc w:val="center"/>
              <w:rPr>
                <w:rFonts w:ascii="宋体" w:hAnsi="宋体" w:cs="宋体"/>
                <w:color w:val="000000"/>
                <w:kern w:val="0"/>
                <w:sz w:val="18"/>
                <w:szCs w:val="18"/>
              </w:rPr>
            </w:pPr>
            <w:r>
              <w:rPr>
                <w:rFonts w:hint="eastAsia" w:ascii="宋体" w:hAnsi="宋体" w:cs="宋体"/>
                <w:color w:val="000000"/>
                <w:kern w:val="0"/>
                <w:sz w:val="18"/>
                <w:szCs w:val="18"/>
              </w:rPr>
              <w:t>992.04</w:t>
            </w:r>
          </w:p>
        </w:tc>
        <w:tc>
          <w:tcPr>
            <w:tcW w:w="1119" w:type="dxa"/>
            <w:tcBorders>
              <w:top w:val="nil"/>
              <w:left w:val="nil"/>
              <w:bottom w:val="single" w:color="auto" w:sz="4" w:space="0"/>
              <w:right w:val="single" w:color="auto" w:sz="4" w:space="0"/>
            </w:tcBorders>
            <w:shd w:val="clear" w:color="auto" w:fill="auto"/>
            <w:noWrap/>
            <w:vAlign w:val="center"/>
          </w:tcPr>
          <w:p w14:paraId="4EE76B54">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0FBE1C86">
            <w:pPr>
              <w:widowControl/>
              <w:jc w:val="center"/>
              <w:rPr>
                <w:rFonts w:ascii="宋体" w:hAnsi="宋体" w:cs="宋体"/>
                <w:color w:val="000000"/>
                <w:kern w:val="0"/>
                <w:sz w:val="22"/>
                <w:szCs w:val="22"/>
              </w:rPr>
            </w:pPr>
          </w:p>
        </w:tc>
      </w:tr>
      <w:tr w14:paraId="3683E330">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3E6D4974">
            <w:pPr>
              <w:widowControl/>
              <w:jc w:val="center"/>
              <w:rPr>
                <w:rFonts w:ascii="宋体" w:hAnsi="宋体" w:cs="宋体"/>
                <w:color w:val="000000"/>
                <w:kern w:val="0"/>
                <w:sz w:val="18"/>
                <w:szCs w:val="18"/>
              </w:rPr>
            </w:pPr>
            <w:r>
              <w:rPr>
                <w:rFonts w:hint="eastAsia" w:ascii="宋体" w:hAnsi="宋体" w:cs="宋体"/>
                <w:color w:val="000000"/>
                <w:kern w:val="0"/>
                <w:sz w:val="18"/>
                <w:szCs w:val="18"/>
              </w:rPr>
              <w:t>新增建设用地规模</w:t>
            </w:r>
          </w:p>
        </w:tc>
        <w:tc>
          <w:tcPr>
            <w:tcW w:w="1791" w:type="dxa"/>
            <w:tcBorders>
              <w:top w:val="nil"/>
              <w:left w:val="nil"/>
              <w:bottom w:val="single" w:color="auto" w:sz="4" w:space="0"/>
              <w:right w:val="single" w:color="auto" w:sz="4" w:space="0"/>
            </w:tcBorders>
            <w:shd w:val="clear" w:color="auto" w:fill="auto"/>
            <w:vAlign w:val="center"/>
          </w:tcPr>
          <w:p w14:paraId="7854FB73">
            <w:pPr>
              <w:widowControl/>
              <w:jc w:val="center"/>
              <w:rPr>
                <w:rFonts w:ascii="宋体" w:hAnsi="宋体" w:cs="宋体"/>
                <w:color w:val="000000"/>
                <w:kern w:val="0"/>
                <w:sz w:val="18"/>
                <w:szCs w:val="18"/>
              </w:rPr>
            </w:pPr>
            <w:r>
              <w:rPr>
                <w:rFonts w:hint="eastAsia" w:ascii="宋体" w:hAnsi="宋体" w:cs="宋体"/>
                <w:color w:val="000000"/>
                <w:kern w:val="0"/>
                <w:sz w:val="18"/>
                <w:szCs w:val="18"/>
              </w:rPr>
              <w:t>339.69</w:t>
            </w:r>
          </w:p>
        </w:tc>
        <w:tc>
          <w:tcPr>
            <w:tcW w:w="1300" w:type="dxa"/>
            <w:tcBorders>
              <w:top w:val="nil"/>
              <w:left w:val="nil"/>
              <w:bottom w:val="single" w:color="auto" w:sz="4" w:space="0"/>
              <w:right w:val="single" w:color="auto" w:sz="4" w:space="0"/>
            </w:tcBorders>
            <w:shd w:val="clear" w:color="auto" w:fill="auto"/>
            <w:noWrap/>
            <w:vAlign w:val="center"/>
          </w:tcPr>
          <w:p w14:paraId="7956354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791" w:type="dxa"/>
            <w:tcBorders>
              <w:top w:val="nil"/>
              <w:left w:val="nil"/>
              <w:bottom w:val="single" w:color="auto" w:sz="4" w:space="0"/>
              <w:right w:val="single" w:color="auto" w:sz="4" w:space="0"/>
            </w:tcBorders>
            <w:shd w:val="clear" w:color="auto" w:fill="auto"/>
            <w:noWrap/>
            <w:vAlign w:val="center"/>
          </w:tcPr>
          <w:p w14:paraId="2DBF3020">
            <w:pPr>
              <w:widowControl/>
              <w:jc w:val="center"/>
              <w:rPr>
                <w:rFonts w:ascii="宋体" w:hAnsi="宋体" w:cs="宋体"/>
                <w:color w:val="000000"/>
                <w:kern w:val="0"/>
                <w:sz w:val="18"/>
                <w:szCs w:val="18"/>
              </w:rPr>
            </w:pPr>
            <w:r>
              <w:rPr>
                <w:rFonts w:hint="eastAsia" w:ascii="宋体" w:hAnsi="宋体" w:cs="宋体"/>
                <w:color w:val="000000"/>
                <w:kern w:val="0"/>
                <w:sz w:val="18"/>
                <w:szCs w:val="18"/>
              </w:rPr>
              <w:t>335.17</w:t>
            </w:r>
          </w:p>
        </w:tc>
        <w:tc>
          <w:tcPr>
            <w:tcW w:w="1119" w:type="dxa"/>
            <w:tcBorders>
              <w:top w:val="nil"/>
              <w:left w:val="nil"/>
              <w:bottom w:val="single" w:color="auto" w:sz="4" w:space="0"/>
              <w:right w:val="single" w:color="auto" w:sz="4" w:space="0"/>
            </w:tcBorders>
            <w:shd w:val="clear" w:color="auto" w:fill="auto"/>
            <w:noWrap/>
            <w:vAlign w:val="center"/>
          </w:tcPr>
          <w:p w14:paraId="3227BF56">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002C884F">
            <w:pPr>
              <w:widowControl/>
              <w:jc w:val="center"/>
              <w:rPr>
                <w:rFonts w:ascii="宋体" w:hAnsi="宋体" w:cs="宋体"/>
                <w:color w:val="000000"/>
                <w:kern w:val="0"/>
                <w:sz w:val="22"/>
                <w:szCs w:val="22"/>
              </w:rPr>
            </w:pPr>
          </w:p>
        </w:tc>
      </w:tr>
      <w:tr w14:paraId="0B80D5D1">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5C1BECC5">
            <w:pPr>
              <w:widowControl/>
              <w:jc w:val="center"/>
              <w:rPr>
                <w:rFonts w:ascii="宋体" w:hAnsi="宋体" w:cs="宋体"/>
                <w:color w:val="000000"/>
                <w:kern w:val="0"/>
                <w:sz w:val="18"/>
                <w:szCs w:val="18"/>
              </w:rPr>
            </w:pPr>
            <w:r>
              <w:rPr>
                <w:rFonts w:hint="eastAsia" w:ascii="宋体" w:hAnsi="宋体" w:cs="宋体"/>
                <w:color w:val="000000"/>
                <w:kern w:val="0"/>
                <w:sz w:val="18"/>
                <w:szCs w:val="18"/>
              </w:rPr>
              <w:t>新增建设占用农用地规模</w:t>
            </w:r>
          </w:p>
        </w:tc>
        <w:tc>
          <w:tcPr>
            <w:tcW w:w="1791" w:type="dxa"/>
            <w:tcBorders>
              <w:top w:val="nil"/>
              <w:left w:val="nil"/>
              <w:bottom w:val="single" w:color="auto" w:sz="4" w:space="0"/>
              <w:right w:val="single" w:color="auto" w:sz="4" w:space="0"/>
            </w:tcBorders>
            <w:shd w:val="clear" w:color="auto" w:fill="auto"/>
            <w:vAlign w:val="center"/>
          </w:tcPr>
          <w:p w14:paraId="16311AAA">
            <w:pPr>
              <w:widowControl/>
              <w:jc w:val="center"/>
              <w:rPr>
                <w:rFonts w:ascii="宋体" w:hAnsi="宋体" w:cs="宋体"/>
                <w:color w:val="000000"/>
                <w:kern w:val="0"/>
                <w:sz w:val="18"/>
                <w:szCs w:val="18"/>
              </w:rPr>
            </w:pPr>
            <w:r>
              <w:rPr>
                <w:rFonts w:hint="eastAsia" w:ascii="宋体" w:hAnsi="宋体" w:cs="宋体"/>
                <w:color w:val="000000"/>
                <w:kern w:val="0"/>
                <w:sz w:val="18"/>
                <w:szCs w:val="18"/>
              </w:rPr>
              <w:t>322.71</w:t>
            </w:r>
          </w:p>
        </w:tc>
        <w:tc>
          <w:tcPr>
            <w:tcW w:w="1300" w:type="dxa"/>
            <w:tcBorders>
              <w:top w:val="nil"/>
              <w:left w:val="nil"/>
              <w:bottom w:val="single" w:color="auto" w:sz="4" w:space="0"/>
              <w:right w:val="single" w:color="auto" w:sz="4" w:space="0"/>
            </w:tcBorders>
            <w:shd w:val="clear" w:color="auto" w:fill="auto"/>
            <w:noWrap/>
            <w:vAlign w:val="center"/>
          </w:tcPr>
          <w:p w14:paraId="45CFDB1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791" w:type="dxa"/>
            <w:tcBorders>
              <w:top w:val="nil"/>
              <w:left w:val="nil"/>
              <w:bottom w:val="single" w:color="auto" w:sz="4" w:space="0"/>
              <w:right w:val="single" w:color="auto" w:sz="4" w:space="0"/>
            </w:tcBorders>
            <w:shd w:val="clear" w:color="auto" w:fill="auto"/>
            <w:noWrap/>
            <w:vAlign w:val="center"/>
          </w:tcPr>
          <w:p w14:paraId="1204139C">
            <w:pPr>
              <w:widowControl/>
              <w:jc w:val="center"/>
              <w:rPr>
                <w:rFonts w:ascii="宋体" w:hAnsi="宋体" w:cs="宋体"/>
                <w:color w:val="000000"/>
                <w:kern w:val="0"/>
                <w:sz w:val="18"/>
                <w:szCs w:val="18"/>
              </w:rPr>
            </w:pPr>
            <w:r>
              <w:rPr>
                <w:rFonts w:hint="eastAsia" w:ascii="宋体" w:hAnsi="宋体" w:cs="宋体"/>
                <w:color w:val="000000"/>
                <w:kern w:val="0"/>
                <w:sz w:val="18"/>
                <w:szCs w:val="18"/>
              </w:rPr>
              <w:t>266.47</w:t>
            </w:r>
          </w:p>
        </w:tc>
        <w:tc>
          <w:tcPr>
            <w:tcW w:w="1119" w:type="dxa"/>
            <w:tcBorders>
              <w:top w:val="nil"/>
              <w:left w:val="nil"/>
              <w:bottom w:val="single" w:color="auto" w:sz="4" w:space="0"/>
              <w:right w:val="single" w:color="auto" w:sz="4" w:space="0"/>
            </w:tcBorders>
            <w:shd w:val="clear" w:color="auto" w:fill="auto"/>
            <w:noWrap/>
            <w:vAlign w:val="center"/>
          </w:tcPr>
          <w:p w14:paraId="5D062774">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5EA3B387">
            <w:pPr>
              <w:widowControl/>
              <w:jc w:val="center"/>
              <w:rPr>
                <w:rFonts w:ascii="宋体" w:hAnsi="宋体" w:cs="宋体"/>
                <w:color w:val="000000"/>
                <w:kern w:val="0"/>
                <w:sz w:val="22"/>
                <w:szCs w:val="22"/>
              </w:rPr>
            </w:pPr>
            <w:r>
              <w:rPr>
                <w:rFonts w:hint="eastAsia" w:ascii="宋体" w:hAnsi="宋体" w:cs="宋体"/>
                <w:color w:val="000000"/>
                <w:kern w:val="0"/>
                <w:sz w:val="18"/>
                <w:szCs w:val="18"/>
              </w:rPr>
              <w:t>包含预留的15.65公顷新增建设占用农用地</w:t>
            </w:r>
          </w:p>
        </w:tc>
      </w:tr>
      <w:tr w14:paraId="118ADBC2">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35A16701">
            <w:pPr>
              <w:widowControl/>
              <w:jc w:val="center"/>
              <w:rPr>
                <w:rFonts w:ascii="宋体" w:hAnsi="宋体" w:cs="宋体"/>
                <w:color w:val="000000"/>
                <w:kern w:val="0"/>
                <w:sz w:val="18"/>
                <w:szCs w:val="18"/>
              </w:rPr>
            </w:pPr>
            <w:r>
              <w:rPr>
                <w:rFonts w:hint="eastAsia" w:ascii="宋体" w:hAnsi="宋体" w:cs="宋体"/>
                <w:color w:val="000000"/>
                <w:kern w:val="0"/>
                <w:sz w:val="18"/>
                <w:szCs w:val="18"/>
              </w:rPr>
              <w:t>新增建设占用耕地规模</w:t>
            </w:r>
          </w:p>
        </w:tc>
        <w:tc>
          <w:tcPr>
            <w:tcW w:w="1791" w:type="dxa"/>
            <w:tcBorders>
              <w:top w:val="nil"/>
              <w:left w:val="nil"/>
              <w:bottom w:val="single" w:color="auto" w:sz="4" w:space="0"/>
              <w:right w:val="single" w:color="auto" w:sz="4" w:space="0"/>
            </w:tcBorders>
            <w:shd w:val="clear" w:color="auto" w:fill="auto"/>
            <w:vAlign w:val="center"/>
          </w:tcPr>
          <w:p w14:paraId="74F72A2D">
            <w:pPr>
              <w:widowControl/>
              <w:jc w:val="center"/>
              <w:rPr>
                <w:rFonts w:ascii="宋体" w:hAnsi="宋体" w:cs="宋体"/>
                <w:color w:val="000000"/>
                <w:kern w:val="0"/>
                <w:sz w:val="18"/>
                <w:szCs w:val="18"/>
              </w:rPr>
            </w:pPr>
            <w:r>
              <w:rPr>
                <w:rFonts w:hint="eastAsia" w:ascii="宋体" w:hAnsi="宋体" w:cs="宋体"/>
                <w:color w:val="000000"/>
                <w:kern w:val="0"/>
                <w:sz w:val="18"/>
                <w:szCs w:val="18"/>
              </w:rPr>
              <w:t>203.32</w:t>
            </w:r>
          </w:p>
        </w:tc>
        <w:tc>
          <w:tcPr>
            <w:tcW w:w="1300" w:type="dxa"/>
            <w:tcBorders>
              <w:top w:val="nil"/>
              <w:left w:val="nil"/>
              <w:bottom w:val="single" w:color="auto" w:sz="4" w:space="0"/>
              <w:right w:val="single" w:color="auto" w:sz="4" w:space="0"/>
            </w:tcBorders>
            <w:shd w:val="clear" w:color="auto" w:fill="auto"/>
            <w:noWrap/>
            <w:vAlign w:val="center"/>
          </w:tcPr>
          <w:p w14:paraId="74E982F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791" w:type="dxa"/>
            <w:tcBorders>
              <w:top w:val="nil"/>
              <w:left w:val="nil"/>
              <w:bottom w:val="single" w:color="auto" w:sz="4" w:space="0"/>
              <w:right w:val="single" w:color="auto" w:sz="4" w:space="0"/>
            </w:tcBorders>
            <w:shd w:val="clear" w:color="auto" w:fill="auto"/>
            <w:noWrap/>
            <w:vAlign w:val="center"/>
          </w:tcPr>
          <w:p w14:paraId="6A94386F">
            <w:pPr>
              <w:widowControl/>
              <w:jc w:val="center"/>
              <w:rPr>
                <w:rFonts w:ascii="宋体" w:hAnsi="宋体" w:cs="宋体"/>
                <w:color w:val="000000"/>
                <w:kern w:val="0"/>
                <w:sz w:val="18"/>
                <w:szCs w:val="18"/>
              </w:rPr>
            </w:pPr>
            <w:r>
              <w:rPr>
                <w:rFonts w:hint="eastAsia" w:ascii="宋体" w:hAnsi="宋体" w:cs="宋体"/>
                <w:color w:val="000000"/>
                <w:kern w:val="0"/>
                <w:sz w:val="18"/>
                <w:szCs w:val="18"/>
              </w:rPr>
              <w:t>170.93</w:t>
            </w:r>
          </w:p>
        </w:tc>
        <w:tc>
          <w:tcPr>
            <w:tcW w:w="1119" w:type="dxa"/>
            <w:tcBorders>
              <w:top w:val="nil"/>
              <w:left w:val="nil"/>
              <w:bottom w:val="single" w:color="auto" w:sz="4" w:space="0"/>
              <w:right w:val="single" w:color="auto" w:sz="4" w:space="0"/>
            </w:tcBorders>
            <w:shd w:val="clear" w:color="auto" w:fill="auto"/>
            <w:noWrap/>
            <w:vAlign w:val="center"/>
          </w:tcPr>
          <w:p w14:paraId="25B696B6">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743750C1">
            <w:pPr>
              <w:widowControl/>
              <w:jc w:val="center"/>
              <w:rPr>
                <w:rFonts w:ascii="宋体" w:hAnsi="宋体" w:cs="宋体"/>
                <w:color w:val="000000"/>
                <w:kern w:val="0"/>
                <w:sz w:val="22"/>
                <w:szCs w:val="22"/>
              </w:rPr>
            </w:pPr>
            <w:r>
              <w:rPr>
                <w:rFonts w:hint="eastAsia" w:ascii="宋体" w:hAnsi="宋体" w:cs="宋体"/>
                <w:color w:val="000000"/>
                <w:kern w:val="0"/>
                <w:sz w:val="18"/>
                <w:szCs w:val="18"/>
              </w:rPr>
              <w:t>包含预留的13公顷新增建设占用耕地</w:t>
            </w:r>
          </w:p>
        </w:tc>
      </w:tr>
      <w:tr w14:paraId="0B564596">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7A55E16A">
            <w:pPr>
              <w:widowControl/>
              <w:jc w:val="center"/>
              <w:rPr>
                <w:rFonts w:ascii="宋体" w:hAnsi="宋体" w:cs="宋体"/>
                <w:color w:val="000000"/>
                <w:kern w:val="0"/>
                <w:sz w:val="18"/>
                <w:szCs w:val="18"/>
              </w:rPr>
            </w:pPr>
            <w:r>
              <w:rPr>
                <w:rFonts w:hint="eastAsia" w:ascii="宋体" w:hAnsi="宋体" w:cs="宋体"/>
                <w:color w:val="000000"/>
                <w:kern w:val="0"/>
                <w:sz w:val="18"/>
                <w:szCs w:val="18"/>
              </w:rPr>
              <w:t>土地整治补充耕地规模</w:t>
            </w:r>
          </w:p>
        </w:tc>
        <w:tc>
          <w:tcPr>
            <w:tcW w:w="1791" w:type="dxa"/>
            <w:tcBorders>
              <w:top w:val="nil"/>
              <w:left w:val="nil"/>
              <w:bottom w:val="single" w:color="auto" w:sz="4" w:space="0"/>
              <w:right w:val="single" w:color="auto" w:sz="4" w:space="0"/>
            </w:tcBorders>
            <w:shd w:val="clear" w:color="auto" w:fill="auto"/>
            <w:vAlign w:val="center"/>
          </w:tcPr>
          <w:p w14:paraId="583E9CCA">
            <w:pPr>
              <w:widowControl/>
              <w:jc w:val="center"/>
              <w:rPr>
                <w:rFonts w:ascii="宋体" w:hAnsi="宋体" w:cs="宋体"/>
                <w:color w:val="000000"/>
                <w:kern w:val="0"/>
                <w:sz w:val="18"/>
                <w:szCs w:val="18"/>
              </w:rPr>
            </w:pPr>
            <w:r>
              <w:rPr>
                <w:rFonts w:hint="eastAsia" w:ascii="宋体" w:hAnsi="宋体" w:cs="宋体"/>
                <w:color w:val="000000"/>
                <w:kern w:val="0"/>
                <w:sz w:val="18"/>
                <w:szCs w:val="18"/>
              </w:rPr>
              <w:t>159.51</w:t>
            </w:r>
          </w:p>
        </w:tc>
        <w:tc>
          <w:tcPr>
            <w:tcW w:w="1300" w:type="dxa"/>
            <w:tcBorders>
              <w:top w:val="nil"/>
              <w:left w:val="nil"/>
              <w:bottom w:val="single" w:color="auto" w:sz="4" w:space="0"/>
              <w:right w:val="single" w:color="auto" w:sz="4" w:space="0"/>
            </w:tcBorders>
            <w:shd w:val="clear" w:color="auto" w:fill="auto"/>
            <w:noWrap/>
            <w:vAlign w:val="center"/>
          </w:tcPr>
          <w:p w14:paraId="5AFFFB6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791" w:type="dxa"/>
            <w:tcBorders>
              <w:top w:val="nil"/>
              <w:left w:val="nil"/>
              <w:bottom w:val="single" w:color="auto" w:sz="4" w:space="0"/>
              <w:right w:val="single" w:color="auto" w:sz="4" w:space="0"/>
            </w:tcBorders>
            <w:shd w:val="clear" w:color="auto" w:fill="auto"/>
            <w:noWrap/>
            <w:vAlign w:val="center"/>
          </w:tcPr>
          <w:p w14:paraId="4D9EEDA4">
            <w:pPr>
              <w:widowControl/>
              <w:jc w:val="center"/>
              <w:rPr>
                <w:rFonts w:ascii="宋体" w:hAnsi="宋体" w:cs="宋体"/>
                <w:color w:val="000000"/>
                <w:kern w:val="0"/>
                <w:sz w:val="18"/>
                <w:szCs w:val="18"/>
              </w:rPr>
            </w:pPr>
            <w:r>
              <w:rPr>
                <w:rFonts w:hint="eastAsia" w:ascii="宋体" w:hAnsi="宋体" w:cs="宋体"/>
                <w:color w:val="000000"/>
                <w:kern w:val="0"/>
                <w:sz w:val="18"/>
                <w:szCs w:val="18"/>
              </w:rPr>
              <w:t>171.75</w:t>
            </w:r>
          </w:p>
        </w:tc>
        <w:tc>
          <w:tcPr>
            <w:tcW w:w="1119" w:type="dxa"/>
            <w:tcBorders>
              <w:top w:val="nil"/>
              <w:left w:val="nil"/>
              <w:bottom w:val="single" w:color="auto" w:sz="4" w:space="0"/>
              <w:right w:val="single" w:color="auto" w:sz="4" w:space="0"/>
            </w:tcBorders>
            <w:shd w:val="clear" w:color="auto" w:fill="auto"/>
            <w:noWrap/>
            <w:vAlign w:val="center"/>
          </w:tcPr>
          <w:p w14:paraId="45B1774F">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1C0FFAFB">
            <w:pPr>
              <w:widowControl/>
              <w:jc w:val="center"/>
              <w:rPr>
                <w:rFonts w:ascii="宋体" w:hAnsi="宋体" w:cs="宋体"/>
                <w:color w:val="000000"/>
                <w:kern w:val="0"/>
                <w:sz w:val="22"/>
                <w:szCs w:val="22"/>
              </w:rPr>
            </w:pPr>
          </w:p>
        </w:tc>
      </w:tr>
      <w:tr w14:paraId="1C28C6A2">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39E2DFB3">
            <w:pPr>
              <w:widowControl/>
              <w:jc w:val="center"/>
              <w:rPr>
                <w:rFonts w:ascii="宋体" w:hAnsi="宋体" w:cs="宋体"/>
                <w:color w:val="000000"/>
                <w:kern w:val="0"/>
                <w:sz w:val="18"/>
                <w:szCs w:val="18"/>
              </w:rPr>
            </w:pPr>
            <w:r>
              <w:rPr>
                <w:rFonts w:hint="eastAsia" w:ascii="宋体" w:hAnsi="宋体" w:cs="宋体"/>
                <w:color w:val="000000"/>
                <w:kern w:val="0"/>
                <w:sz w:val="18"/>
                <w:szCs w:val="18"/>
              </w:rPr>
              <w:t>坝区现状耕地划入基本农田比例</w:t>
            </w:r>
          </w:p>
        </w:tc>
        <w:tc>
          <w:tcPr>
            <w:tcW w:w="1791" w:type="dxa"/>
            <w:tcBorders>
              <w:top w:val="nil"/>
              <w:left w:val="nil"/>
              <w:bottom w:val="single" w:color="auto" w:sz="4" w:space="0"/>
              <w:right w:val="single" w:color="auto" w:sz="4" w:space="0"/>
            </w:tcBorders>
            <w:shd w:val="clear" w:color="auto" w:fill="auto"/>
            <w:noWrap/>
            <w:vAlign w:val="center"/>
          </w:tcPr>
          <w:p w14:paraId="34809D2D">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1300" w:type="dxa"/>
            <w:tcBorders>
              <w:top w:val="nil"/>
              <w:left w:val="nil"/>
              <w:bottom w:val="single" w:color="auto" w:sz="4" w:space="0"/>
              <w:right w:val="single" w:color="auto" w:sz="4" w:space="0"/>
            </w:tcBorders>
            <w:shd w:val="clear" w:color="auto" w:fill="auto"/>
            <w:noWrap/>
            <w:vAlign w:val="center"/>
          </w:tcPr>
          <w:p w14:paraId="6E4F745E">
            <w:pPr>
              <w:widowControl/>
              <w:jc w:val="center"/>
              <w:rPr>
                <w:rFonts w:ascii="Calibri" w:hAnsi="Calibri" w:cs="Calibri"/>
                <w:color w:val="000000"/>
                <w:kern w:val="0"/>
                <w:szCs w:val="21"/>
              </w:rPr>
            </w:pPr>
          </w:p>
        </w:tc>
        <w:tc>
          <w:tcPr>
            <w:tcW w:w="1791" w:type="dxa"/>
            <w:tcBorders>
              <w:top w:val="nil"/>
              <w:left w:val="nil"/>
              <w:bottom w:val="single" w:color="auto" w:sz="4" w:space="0"/>
              <w:right w:val="single" w:color="auto" w:sz="4" w:space="0"/>
            </w:tcBorders>
            <w:shd w:val="clear" w:color="auto" w:fill="auto"/>
            <w:noWrap/>
            <w:vAlign w:val="center"/>
          </w:tcPr>
          <w:p w14:paraId="11A426B2">
            <w:pPr>
              <w:widowControl/>
              <w:jc w:val="center"/>
              <w:rPr>
                <w:rFonts w:ascii="宋体" w:hAnsi="宋体" w:cs="宋体"/>
                <w:color w:val="000000"/>
                <w:kern w:val="0"/>
                <w:sz w:val="18"/>
                <w:szCs w:val="18"/>
              </w:rPr>
            </w:pPr>
            <w:r>
              <w:rPr>
                <w:rFonts w:hint="eastAsia" w:ascii="宋体" w:hAnsi="宋体" w:cs="宋体"/>
                <w:color w:val="000000"/>
                <w:kern w:val="0"/>
                <w:sz w:val="18"/>
                <w:szCs w:val="18"/>
              </w:rPr>
              <w:t>80.90%</w:t>
            </w:r>
          </w:p>
        </w:tc>
        <w:tc>
          <w:tcPr>
            <w:tcW w:w="1119" w:type="dxa"/>
            <w:tcBorders>
              <w:top w:val="nil"/>
              <w:left w:val="nil"/>
              <w:bottom w:val="single" w:color="auto" w:sz="4" w:space="0"/>
              <w:right w:val="single" w:color="auto" w:sz="4" w:space="0"/>
            </w:tcBorders>
            <w:shd w:val="clear" w:color="auto" w:fill="auto"/>
            <w:noWrap/>
            <w:vAlign w:val="center"/>
          </w:tcPr>
          <w:p w14:paraId="1F8333C4">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5BB47C73">
            <w:pPr>
              <w:widowControl/>
              <w:jc w:val="center"/>
              <w:rPr>
                <w:rFonts w:ascii="宋体" w:hAnsi="宋体" w:cs="宋体"/>
                <w:color w:val="000000"/>
                <w:kern w:val="0"/>
                <w:sz w:val="22"/>
                <w:szCs w:val="22"/>
              </w:rPr>
            </w:pPr>
          </w:p>
        </w:tc>
      </w:tr>
      <w:tr w14:paraId="38FB1FE7">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321C158F">
            <w:pPr>
              <w:widowControl/>
              <w:jc w:val="center"/>
              <w:rPr>
                <w:rFonts w:ascii="宋体" w:hAnsi="宋体" w:cs="宋体"/>
                <w:color w:val="000000"/>
                <w:kern w:val="0"/>
                <w:sz w:val="18"/>
                <w:szCs w:val="18"/>
              </w:rPr>
            </w:pPr>
            <w:r>
              <w:rPr>
                <w:rFonts w:hint="eastAsia" w:ascii="宋体" w:hAnsi="宋体" w:cs="宋体"/>
                <w:color w:val="000000"/>
                <w:kern w:val="0"/>
                <w:sz w:val="18"/>
                <w:szCs w:val="18"/>
              </w:rPr>
              <w:t>人均城镇工矿用地</w:t>
            </w:r>
          </w:p>
        </w:tc>
        <w:tc>
          <w:tcPr>
            <w:tcW w:w="1791" w:type="dxa"/>
            <w:tcBorders>
              <w:top w:val="nil"/>
              <w:left w:val="nil"/>
              <w:bottom w:val="single" w:color="auto" w:sz="4" w:space="0"/>
              <w:right w:val="single" w:color="auto" w:sz="4" w:space="0"/>
            </w:tcBorders>
            <w:shd w:val="clear" w:color="auto" w:fill="auto"/>
            <w:noWrap/>
            <w:vAlign w:val="center"/>
          </w:tcPr>
          <w:p w14:paraId="4D8A3E1B">
            <w:pPr>
              <w:widowControl/>
              <w:jc w:val="center"/>
              <w:rPr>
                <w:rFonts w:ascii="宋体" w:hAnsi="宋体" w:cs="宋体"/>
                <w:color w:val="000000"/>
                <w:kern w:val="0"/>
                <w:sz w:val="18"/>
                <w:szCs w:val="18"/>
              </w:rPr>
            </w:pPr>
            <w:r>
              <w:rPr>
                <w:rFonts w:hint="eastAsia" w:ascii="宋体" w:hAnsi="宋体" w:cs="宋体"/>
                <w:color w:val="000000"/>
                <w:kern w:val="0"/>
                <w:sz w:val="18"/>
                <w:szCs w:val="18"/>
              </w:rPr>
              <w:t>114平方米/人</w:t>
            </w:r>
          </w:p>
        </w:tc>
        <w:tc>
          <w:tcPr>
            <w:tcW w:w="1300" w:type="dxa"/>
            <w:tcBorders>
              <w:top w:val="nil"/>
              <w:left w:val="nil"/>
              <w:bottom w:val="single" w:color="auto" w:sz="4" w:space="0"/>
              <w:right w:val="single" w:color="auto" w:sz="4" w:space="0"/>
            </w:tcBorders>
            <w:shd w:val="clear" w:color="auto" w:fill="auto"/>
            <w:noWrap/>
            <w:vAlign w:val="center"/>
          </w:tcPr>
          <w:p w14:paraId="12177F5B">
            <w:pPr>
              <w:widowControl/>
              <w:jc w:val="center"/>
              <w:rPr>
                <w:rFonts w:ascii="Calibri" w:hAnsi="Calibri" w:cs="Calibri"/>
                <w:color w:val="000000"/>
                <w:kern w:val="0"/>
                <w:szCs w:val="21"/>
              </w:rPr>
            </w:pPr>
          </w:p>
        </w:tc>
        <w:tc>
          <w:tcPr>
            <w:tcW w:w="1791" w:type="dxa"/>
            <w:tcBorders>
              <w:top w:val="nil"/>
              <w:left w:val="nil"/>
              <w:bottom w:val="single" w:color="auto" w:sz="4" w:space="0"/>
              <w:right w:val="single" w:color="auto" w:sz="4" w:space="0"/>
            </w:tcBorders>
            <w:shd w:val="clear" w:color="auto" w:fill="auto"/>
            <w:noWrap/>
            <w:vAlign w:val="center"/>
          </w:tcPr>
          <w:p w14:paraId="036EF69A">
            <w:pPr>
              <w:widowControl/>
              <w:jc w:val="center"/>
              <w:rPr>
                <w:rFonts w:ascii="宋体" w:hAnsi="宋体" w:cs="宋体"/>
                <w:color w:val="000000"/>
                <w:kern w:val="0"/>
                <w:sz w:val="18"/>
                <w:szCs w:val="18"/>
              </w:rPr>
            </w:pPr>
            <w:r>
              <w:rPr>
                <w:rFonts w:hint="eastAsia" w:ascii="宋体" w:hAnsi="宋体" w:cs="宋体"/>
                <w:color w:val="000000"/>
                <w:kern w:val="0"/>
                <w:sz w:val="18"/>
                <w:szCs w:val="18"/>
              </w:rPr>
              <w:t>114平方米/人</w:t>
            </w:r>
          </w:p>
        </w:tc>
        <w:tc>
          <w:tcPr>
            <w:tcW w:w="1119" w:type="dxa"/>
            <w:tcBorders>
              <w:top w:val="nil"/>
              <w:left w:val="nil"/>
              <w:bottom w:val="single" w:color="auto" w:sz="4" w:space="0"/>
              <w:right w:val="single" w:color="auto" w:sz="4" w:space="0"/>
            </w:tcBorders>
            <w:shd w:val="clear" w:color="auto" w:fill="auto"/>
            <w:noWrap/>
            <w:vAlign w:val="center"/>
          </w:tcPr>
          <w:p w14:paraId="1680FA61">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6B37F531">
            <w:pPr>
              <w:widowControl/>
              <w:jc w:val="center"/>
              <w:rPr>
                <w:rFonts w:ascii="宋体" w:hAnsi="宋体" w:cs="宋体"/>
                <w:color w:val="000000"/>
                <w:kern w:val="0"/>
                <w:sz w:val="22"/>
                <w:szCs w:val="22"/>
              </w:rPr>
            </w:pPr>
          </w:p>
        </w:tc>
      </w:tr>
      <w:tr w14:paraId="16C3823B">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69428AD7">
            <w:pPr>
              <w:widowControl/>
              <w:jc w:val="center"/>
              <w:rPr>
                <w:rFonts w:ascii="宋体" w:hAnsi="宋体" w:cs="宋体"/>
                <w:color w:val="000000"/>
                <w:kern w:val="0"/>
                <w:sz w:val="18"/>
                <w:szCs w:val="18"/>
              </w:rPr>
            </w:pPr>
            <w:r>
              <w:rPr>
                <w:rFonts w:hint="eastAsia" w:ascii="宋体" w:hAnsi="宋体" w:cs="宋体"/>
                <w:color w:val="000000"/>
                <w:kern w:val="0"/>
                <w:sz w:val="18"/>
                <w:szCs w:val="18"/>
              </w:rPr>
              <w:t>人均农村居民点用地</w:t>
            </w:r>
          </w:p>
        </w:tc>
        <w:tc>
          <w:tcPr>
            <w:tcW w:w="1791" w:type="dxa"/>
            <w:tcBorders>
              <w:top w:val="nil"/>
              <w:left w:val="nil"/>
              <w:bottom w:val="single" w:color="auto" w:sz="4" w:space="0"/>
              <w:right w:val="single" w:color="auto" w:sz="4" w:space="0"/>
            </w:tcBorders>
            <w:shd w:val="clear" w:color="auto" w:fill="auto"/>
            <w:noWrap/>
            <w:vAlign w:val="center"/>
          </w:tcPr>
          <w:p w14:paraId="79B4B132">
            <w:pPr>
              <w:widowControl/>
              <w:jc w:val="center"/>
              <w:rPr>
                <w:rFonts w:ascii="宋体" w:hAnsi="宋体" w:cs="宋体"/>
                <w:color w:val="000000"/>
                <w:kern w:val="0"/>
                <w:sz w:val="18"/>
                <w:szCs w:val="18"/>
              </w:rPr>
            </w:pPr>
            <w:r>
              <w:rPr>
                <w:rFonts w:hint="eastAsia" w:ascii="宋体" w:hAnsi="宋体" w:cs="宋体"/>
                <w:color w:val="000000"/>
                <w:kern w:val="0"/>
                <w:sz w:val="18"/>
                <w:szCs w:val="18"/>
              </w:rPr>
              <w:t>133.25平方米/人</w:t>
            </w:r>
          </w:p>
        </w:tc>
        <w:tc>
          <w:tcPr>
            <w:tcW w:w="1300" w:type="dxa"/>
            <w:tcBorders>
              <w:top w:val="nil"/>
              <w:left w:val="nil"/>
              <w:bottom w:val="single" w:color="auto" w:sz="4" w:space="0"/>
              <w:right w:val="single" w:color="auto" w:sz="4" w:space="0"/>
            </w:tcBorders>
            <w:shd w:val="clear" w:color="auto" w:fill="auto"/>
            <w:noWrap/>
            <w:vAlign w:val="center"/>
          </w:tcPr>
          <w:p w14:paraId="5537206A">
            <w:pPr>
              <w:widowControl/>
              <w:jc w:val="center"/>
              <w:rPr>
                <w:rFonts w:ascii="Calibri" w:hAnsi="Calibri" w:cs="Calibri"/>
                <w:color w:val="000000"/>
                <w:kern w:val="0"/>
                <w:szCs w:val="21"/>
              </w:rPr>
            </w:pPr>
          </w:p>
        </w:tc>
        <w:tc>
          <w:tcPr>
            <w:tcW w:w="1791" w:type="dxa"/>
            <w:tcBorders>
              <w:top w:val="nil"/>
              <w:left w:val="nil"/>
              <w:bottom w:val="single" w:color="auto" w:sz="4" w:space="0"/>
              <w:right w:val="single" w:color="auto" w:sz="4" w:space="0"/>
            </w:tcBorders>
            <w:shd w:val="clear" w:color="auto" w:fill="auto"/>
            <w:noWrap/>
            <w:vAlign w:val="center"/>
          </w:tcPr>
          <w:p w14:paraId="715914D0">
            <w:pPr>
              <w:widowControl/>
              <w:jc w:val="center"/>
              <w:rPr>
                <w:rFonts w:ascii="宋体" w:hAnsi="宋体" w:cs="宋体"/>
                <w:color w:val="000000"/>
                <w:kern w:val="0"/>
                <w:sz w:val="18"/>
                <w:szCs w:val="18"/>
              </w:rPr>
            </w:pPr>
            <w:r>
              <w:rPr>
                <w:rFonts w:hint="eastAsia" w:ascii="宋体" w:hAnsi="宋体" w:cs="宋体"/>
                <w:color w:val="000000"/>
                <w:kern w:val="0"/>
                <w:sz w:val="18"/>
                <w:szCs w:val="18"/>
              </w:rPr>
              <w:t>133.25平方米/人</w:t>
            </w:r>
          </w:p>
        </w:tc>
        <w:tc>
          <w:tcPr>
            <w:tcW w:w="1119" w:type="dxa"/>
            <w:tcBorders>
              <w:top w:val="nil"/>
              <w:left w:val="nil"/>
              <w:bottom w:val="single" w:color="auto" w:sz="4" w:space="0"/>
              <w:right w:val="single" w:color="auto" w:sz="4" w:space="0"/>
            </w:tcBorders>
            <w:shd w:val="clear" w:color="auto" w:fill="auto"/>
            <w:noWrap/>
            <w:vAlign w:val="center"/>
          </w:tcPr>
          <w:p w14:paraId="31704D9E">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2E55BAE8">
            <w:pPr>
              <w:widowControl/>
              <w:jc w:val="center"/>
              <w:rPr>
                <w:rFonts w:ascii="宋体" w:hAnsi="宋体" w:cs="宋体"/>
                <w:color w:val="000000"/>
                <w:kern w:val="0"/>
                <w:sz w:val="22"/>
                <w:szCs w:val="22"/>
              </w:rPr>
            </w:pPr>
          </w:p>
        </w:tc>
      </w:tr>
    </w:tbl>
    <w:p w14:paraId="182FC177">
      <w:pPr>
        <w:pStyle w:val="3"/>
        <w:jc w:val="center"/>
        <w:rPr>
          <w:b w:val="0"/>
          <w:color w:val="000000"/>
          <w:sz w:val="28"/>
          <w:szCs w:val="28"/>
        </w:rPr>
      </w:pPr>
      <w:bookmarkStart w:id="150" w:name="_Toc491074915"/>
      <w:r>
        <w:rPr>
          <w:rFonts w:hint="eastAsia"/>
          <w:b w:val="0"/>
          <w:color w:val="000000"/>
          <w:sz w:val="28"/>
          <w:szCs w:val="28"/>
        </w:rPr>
        <w:t>第二节  土地利用结构影响分析</w:t>
      </w:r>
      <w:bookmarkEnd w:id="150"/>
    </w:p>
    <w:p w14:paraId="0BB1EC64">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一、农用地结构调整</w:t>
      </w:r>
    </w:p>
    <w:p w14:paraId="24186ED9">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规划期内加大农用地整理力度，并按照“严格保护耕地，控制耕地流失，适当增加园地面积，稳定林地面积，统筹安排其他农用地”的要求，优化农业用地和产业结构，以提高农用地综合生产能力和利用效益。同时，按照优势、高产、高效农业的要求，加快转变农业发展方式，促进农业生产经营专业化、标准化、规模化、集约化，推进农业现代化。</w:t>
      </w:r>
    </w:p>
    <w:p w14:paraId="746FE6B8">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现行规划2020年全区农用地面积为105380.22公顷，调整完善后2020年农用地面积为105194.16</w:t>
      </w:r>
      <w:r>
        <w:rPr>
          <w:rFonts w:ascii="仿宋_GB2312" w:hAnsi="宋体" w:eastAsia="仿宋_GB2312"/>
          <w:kern w:val="0"/>
          <w:sz w:val="28"/>
          <w:szCs w:val="28"/>
        </w:rPr>
        <w:t>公顷</w:t>
      </w:r>
      <w:r>
        <w:rPr>
          <w:rFonts w:hint="eastAsia" w:ascii="仿宋_GB2312" w:hAnsi="宋体" w:eastAsia="仿宋_GB2312"/>
          <w:kern w:val="0"/>
          <w:sz w:val="28"/>
          <w:szCs w:val="28"/>
        </w:rPr>
        <w:t>，农用地面积减少了186.06公顷。</w:t>
      </w:r>
    </w:p>
    <w:p w14:paraId="76EFE278">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1、耕地</w:t>
      </w:r>
    </w:p>
    <w:p w14:paraId="0DBDAA9B">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现行规划2020年全区耕地面积为31996.42公顷，调整完善后2020年全区耕地面积为30443.78公顷，与现行规划相比，面积减少了1552.64公顷。</w:t>
      </w:r>
    </w:p>
    <w:p w14:paraId="50FC3EAA">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2、园地</w:t>
      </w:r>
    </w:p>
    <w:p w14:paraId="336354B1">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现行规划2020年全区园地面积1448.07公顷，调整完善后2020年园地为1646.68公顷，与现行规划相比，面积增加了198.61公顷。</w:t>
      </w:r>
    </w:p>
    <w:p w14:paraId="19A0F9AB">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3、林地</w:t>
      </w:r>
    </w:p>
    <w:p w14:paraId="5A437ED7">
      <w:pPr>
        <w:widowControl/>
        <w:tabs>
          <w:tab w:val="left" w:pos="1950"/>
        </w:tabs>
        <w:adjustRightInd w:val="0"/>
        <w:snapToGrid w:val="0"/>
        <w:spacing w:line="360" w:lineRule="auto"/>
        <w:ind w:firstLine="561"/>
        <w:jc w:val="left"/>
        <w:rPr>
          <w:rFonts w:ascii="仿宋_GB2312" w:eastAsia="仿宋_GB2312"/>
          <w:sz w:val="28"/>
          <w:szCs w:val="28"/>
        </w:rPr>
      </w:pPr>
      <w:r>
        <w:rPr>
          <w:rFonts w:hint="eastAsia" w:ascii="仿宋_GB2312" w:hAnsi="宋体" w:eastAsia="仿宋_GB2312"/>
          <w:kern w:val="0"/>
          <w:sz w:val="28"/>
          <w:szCs w:val="28"/>
        </w:rPr>
        <w:t>现行规划2020年全区林地面积为60943.97公顷，调整完善后2020年林地增加到63987.69公顷，与现行规划相比，面积增加了3043.72公顷。</w:t>
      </w:r>
    </w:p>
    <w:p w14:paraId="2649BA57">
      <w:pPr>
        <w:pStyle w:val="4"/>
        <w:spacing w:before="0" w:after="0" w:line="480" w:lineRule="auto"/>
        <w:rPr>
          <w:rFonts w:ascii="仿宋_GB2312" w:hAnsi="宋体" w:eastAsia="仿宋_GB2312"/>
          <w:b w:val="0"/>
          <w:bCs w:val="0"/>
          <w:kern w:val="0"/>
          <w:sz w:val="28"/>
          <w:szCs w:val="28"/>
        </w:rPr>
      </w:pPr>
      <w:r>
        <w:rPr>
          <w:rFonts w:hint="eastAsia" w:ascii="Arial" w:hAnsi="Arial" w:eastAsia="黑体"/>
          <w:b w:val="0"/>
          <w:color w:val="000000"/>
          <w:sz w:val="28"/>
          <w:szCs w:val="28"/>
        </w:rPr>
        <w:t>二、建设用地结构调整</w:t>
      </w:r>
    </w:p>
    <w:p w14:paraId="19CF5756">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现行规划2020年全区建设用地面积6985.91公顷，调整完善后2020年调整为6140.01公顷，与现行规划相比，面积减少了845.90公顷。</w:t>
      </w:r>
    </w:p>
    <w:p w14:paraId="37D02C15">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1、城乡建设用地</w:t>
      </w:r>
    </w:p>
    <w:p w14:paraId="25D544D7">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现行规划2020年全区城乡建设用地面积为5083.77公顷，调整完善后2020年调整为5352.53公顷，与现行规划相比，面积增加了268.76公顷。配合东川新区建设，促进城镇化发展。充分发挥土地的载体功能，提升城镇用地综合服务功能、优化产业集群用地，注重存量挖潜，同时农村居民点用地统一规划、规范管理。</w:t>
      </w:r>
    </w:p>
    <w:p w14:paraId="6960E061">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2、科学减少交通水利用地</w:t>
      </w:r>
    </w:p>
    <w:p w14:paraId="52DAFF20">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现行规划2020年全区交通水利用地面积为1664.21公顷，调整完善后2020年减少到741.85公顷，减少了922.36公顷，主要用于水库和重点道路交通项目新建、续建、改建。</w:t>
      </w:r>
    </w:p>
    <w:p w14:paraId="0A3DA325">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3、适当安排其他建设用地</w:t>
      </w:r>
    </w:p>
    <w:p w14:paraId="6C48D6E0">
      <w:pPr>
        <w:widowControl/>
        <w:tabs>
          <w:tab w:val="left" w:pos="1950"/>
        </w:tabs>
        <w:adjustRightInd w:val="0"/>
        <w:snapToGrid w:val="0"/>
        <w:spacing w:line="360" w:lineRule="auto"/>
        <w:ind w:firstLine="561"/>
        <w:jc w:val="left"/>
        <w:rPr>
          <w:rFonts w:ascii="仿宋_GB2312" w:eastAsia="仿宋_GB2312"/>
          <w:sz w:val="28"/>
          <w:szCs w:val="28"/>
        </w:rPr>
      </w:pPr>
      <w:r>
        <w:rPr>
          <w:rFonts w:hint="eastAsia" w:ascii="仿宋_GB2312" w:hAnsi="宋体" w:eastAsia="仿宋_GB2312"/>
          <w:kern w:val="0"/>
          <w:sz w:val="28"/>
          <w:szCs w:val="28"/>
        </w:rPr>
        <w:t>现行规划2020年全区其他建设用地面积为237.93公顷，调整完善后2020年减少到45.63公顷，与现行规划相比，面积减少了192.30公顷。</w:t>
      </w:r>
    </w:p>
    <w:p w14:paraId="4CCE354C">
      <w:pPr>
        <w:pStyle w:val="4"/>
        <w:spacing w:before="0" w:after="0" w:line="480" w:lineRule="auto"/>
        <w:rPr>
          <w:rFonts w:ascii="Arial" w:hAnsi="Arial" w:eastAsia="黑体"/>
          <w:b w:val="0"/>
          <w:color w:val="000000"/>
          <w:sz w:val="28"/>
          <w:szCs w:val="28"/>
        </w:rPr>
      </w:pPr>
      <w:r>
        <w:rPr>
          <w:rFonts w:hint="eastAsia" w:ascii="Arial" w:hAnsi="Arial" w:eastAsia="黑体"/>
          <w:b w:val="0"/>
          <w:color w:val="000000"/>
          <w:sz w:val="28"/>
          <w:szCs w:val="28"/>
        </w:rPr>
        <w:t>三、其他土地结构调整</w:t>
      </w:r>
    </w:p>
    <w:p w14:paraId="533CFCA4">
      <w:pPr>
        <w:widowControl/>
        <w:tabs>
          <w:tab w:val="left" w:pos="1950"/>
        </w:tabs>
        <w:adjustRightInd w:val="0"/>
        <w:snapToGrid w:val="0"/>
        <w:spacing w:line="360" w:lineRule="auto"/>
        <w:ind w:firstLine="561"/>
        <w:jc w:val="left"/>
        <w:rPr>
          <w:rFonts w:ascii="仿宋_GB2312" w:eastAsia="仿宋_GB2312"/>
          <w:sz w:val="28"/>
          <w:szCs w:val="28"/>
        </w:rPr>
      </w:pPr>
      <w:r>
        <w:rPr>
          <w:rFonts w:hint="eastAsia" w:ascii="仿宋_GB2312" w:hAnsi="宋体" w:eastAsia="仿宋_GB2312"/>
          <w:kern w:val="0"/>
          <w:sz w:val="28"/>
          <w:szCs w:val="28"/>
        </w:rPr>
        <w:t>加强其他土地开发的生态影响评价，严禁在生态脆弱和环境敏感地区进行土地开发，适度开垦宜农自然保留地，保持宜林地区森林覆盖率。现行规划2020年全区其他土地面积为74203.68公顷，调整完善后2020年其他土地面积为75235.64公顷，与现行规划相比，增加了1031.96公顷。</w:t>
      </w:r>
    </w:p>
    <w:p w14:paraId="4E7BE1B1">
      <w:pPr>
        <w:jc w:val="center"/>
        <w:outlineLvl w:val="4"/>
        <w:rPr>
          <w:rFonts w:ascii="宋体" w:hAnsi="宋体"/>
          <w:b/>
          <w:sz w:val="24"/>
        </w:rPr>
      </w:pPr>
      <w:r>
        <w:rPr>
          <w:rFonts w:hint="eastAsia" w:ascii="宋体" w:hAnsi="宋体"/>
          <w:b/>
          <w:sz w:val="24"/>
        </w:rPr>
        <w:t>表7-2  东川区</w:t>
      </w:r>
      <w:r>
        <w:rPr>
          <w:rFonts w:ascii="宋体" w:hAnsi="宋体"/>
          <w:b/>
          <w:sz w:val="24"/>
        </w:rPr>
        <w:t>土地利用结构</w:t>
      </w:r>
      <w:r>
        <w:rPr>
          <w:rFonts w:hint="eastAsia" w:ascii="宋体" w:hAnsi="宋体"/>
          <w:b/>
          <w:sz w:val="24"/>
        </w:rPr>
        <w:t>对比分析</w:t>
      </w:r>
      <w:r>
        <w:rPr>
          <w:rFonts w:ascii="宋体" w:hAnsi="宋体"/>
          <w:b/>
          <w:sz w:val="24"/>
        </w:rPr>
        <w:t>表</w:t>
      </w:r>
    </w:p>
    <w:p w14:paraId="5981C0DA">
      <w:pPr>
        <w:ind w:right="180"/>
        <w:jc w:val="right"/>
        <w:rPr>
          <w:rFonts w:ascii="宋体" w:hAnsi="宋体"/>
          <w:sz w:val="18"/>
          <w:szCs w:val="18"/>
        </w:rPr>
      </w:pPr>
      <w:r>
        <w:rPr>
          <w:rFonts w:hint="eastAsia" w:ascii="宋体" w:hAnsi="宋体"/>
          <w:sz w:val="18"/>
          <w:szCs w:val="18"/>
        </w:rPr>
        <w:t>单位：公顷</w:t>
      </w:r>
    </w:p>
    <w:tbl>
      <w:tblPr>
        <w:tblStyle w:val="27"/>
        <w:tblW w:w="9368" w:type="dxa"/>
        <w:tblInd w:w="96" w:type="dxa"/>
        <w:tblLayout w:type="autofit"/>
        <w:tblCellMar>
          <w:top w:w="0" w:type="dxa"/>
          <w:left w:w="108" w:type="dxa"/>
          <w:bottom w:w="0" w:type="dxa"/>
          <w:right w:w="108" w:type="dxa"/>
        </w:tblCellMar>
      </w:tblPr>
      <w:tblGrid>
        <w:gridCol w:w="960"/>
        <w:gridCol w:w="1476"/>
        <w:gridCol w:w="1206"/>
        <w:gridCol w:w="1026"/>
        <w:gridCol w:w="1355"/>
        <w:gridCol w:w="1026"/>
        <w:gridCol w:w="1206"/>
        <w:gridCol w:w="1113"/>
      </w:tblGrid>
      <w:tr w14:paraId="4FF5D595">
        <w:tblPrEx>
          <w:tblCellMar>
            <w:top w:w="0" w:type="dxa"/>
            <w:left w:w="108" w:type="dxa"/>
            <w:bottom w:w="0" w:type="dxa"/>
            <w:right w:w="108" w:type="dxa"/>
          </w:tblCellMar>
        </w:tblPrEx>
        <w:trPr>
          <w:trHeight w:val="312" w:hRule="atLeast"/>
        </w:trPr>
        <w:tc>
          <w:tcPr>
            <w:tcW w:w="2436"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826974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规划分类</w:t>
            </w:r>
          </w:p>
        </w:tc>
        <w:tc>
          <w:tcPr>
            <w:tcW w:w="2232" w:type="dxa"/>
            <w:gridSpan w:val="2"/>
            <w:tcBorders>
              <w:top w:val="single" w:color="auto" w:sz="4" w:space="0"/>
              <w:left w:val="nil"/>
              <w:bottom w:val="single" w:color="auto" w:sz="4" w:space="0"/>
              <w:right w:val="single" w:color="auto" w:sz="4" w:space="0"/>
            </w:tcBorders>
            <w:shd w:val="clear" w:color="auto" w:fill="auto"/>
            <w:noWrap/>
            <w:vAlign w:val="center"/>
          </w:tcPr>
          <w:p w14:paraId="5B63B2A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现行规划（2020年）</w:t>
            </w:r>
          </w:p>
        </w:tc>
        <w:tc>
          <w:tcPr>
            <w:tcW w:w="2381" w:type="dxa"/>
            <w:gridSpan w:val="2"/>
            <w:tcBorders>
              <w:top w:val="single" w:color="auto" w:sz="4" w:space="0"/>
              <w:left w:val="nil"/>
              <w:bottom w:val="single" w:color="auto" w:sz="4" w:space="0"/>
              <w:right w:val="single" w:color="auto" w:sz="4" w:space="0"/>
            </w:tcBorders>
            <w:shd w:val="clear" w:color="auto" w:fill="auto"/>
            <w:vAlign w:val="center"/>
          </w:tcPr>
          <w:p w14:paraId="610B246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规划完善（2020年）</w:t>
            </w:r>
          </w:p>
        </w:tc>
        <w:tc>
          <w:tcPr>
            <w:tcW w:w="2319" w:type="dxa"/>
            <w:gridSpan w:val="2"/>
            <w:tcBorders>
              <w:top w:val="single" w:color="auto" w:sz="4" w:space="0"/>
              <w:left w:val="nil"/>
              <w:bottom w:val="single" w:color="auto" w:sz="4" w:space="0"/>
              <w:right w:val="single" w:color="auto" w:sz="4" w:space="0"/>
            </w:tcBorders>
            <w:shd w:val="clear" w:color="auto" w:fill="auto"/>
            <w:vAlign w:val="center"/>
          </w:tcPr>
          <w:p w14:paraId="46B17C9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变化量</w:t>
            </w:r>
          </w:p>
        </w:tc>
      </w:tr>
      <w:tr w14:paraId="4575EC9F">
        <w:tblPrEx>
          <w:tblCellMar>
            <w:top w:w="0" w:type="dxa"/>
            <w:left w:w="108" w:type="dxa"/>
            <w:bottom w:w="0" w:type="dxa"/>
            <w:right w:w="108" w:type="dxa"/>
          </w:tblCellMar>
        </w:tblPrEx>
        <w:trPr>
          <w:trHeight w:val="312" w:hRule="atLeast"/>
        </w:trPr>
        <w:tc>
          <w:tcPr>
            <w:tcW w:w="2436" w:type="dxa"/>
            <w:gridSpan w:val="2"/>
            <w:vMerge w:val="continue"/>
            <w:tcBorders>
              <w:top w:val="single" w:color="auto" w:sz="4" w:space="0"/>
              <w:left w:val="single" w:color="auto" w:sz="4" w:space="0"/>
              <w:bottom w:val="single" w:color="auto" w:sz="4" w:space="0"/>
              <w:right w:val="single" w:color="auto" w:sz="4" w:space="0"/>
            </w:tcBorders>
            <w:vAlign w:val="center"/>
          </w:tcPr>
          <w:p w14:paraId="47FA00A3">
            <w:pPr>
              <w:widowControl/>
              <w:jc w:val="left"/>
              <w:rPr>
                <w:rFonts w:ascii="宋体" w:hAnsi="宋体" w:cs="宋体"/>
                <w:b/>
                <w:bCs/>
                <w:color w:val="000000"/>
                <w:kern w:val="0"/>
                <w:sz w:val="18"/>
                <w:szCs w:val="18"/>
              </w:rPr>
            </w:pPr>
          </w:p>
        </w:tc>
        <w:tc>
          <w:tcPr>
            <w:tcW w:w="1206" w:type="dxa"/>
            <w:tcBorders>
              <w:top w:val="nil"/>
              <w:left w:val="nil"/>
              <w:bottom w:val="single" w:color="auto" w:sz="4" w:space="0"/>
              <w:right w:val="single" w:color="auto" w:sz="4" w:space="0"/>
            </w:tcBorders>
            <w:shd w:val="clear" w:color="auto" w:fill="auto"/>
            <w:noWrap/>
            <w:vAlign w:val="center"/>
          </w:tcPr>
          <w:p w14:paraId="4861521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026" w:type="dxa"/>
            <w:tcBorders>
              <w:top w:val="nil"/>
              <w:left w:val="nil"/>
              <w:bottom w:val="single" w:color="auto" w:sz="4" w:space="0"/>
              <w:right w:val="single" w:color="auto" w:sz="4" w:space="0"/>
            </w:tcBorders>
            <w:shd w:val="clear" w:color="auto" w:fill="auto"/>
            <w:noWrap/>
            <w:vAlign w:val="center"/>
          </w:tcPr>
          <w:p w14:paraId="17990FF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355" w:type="dxa"/>
            <w:tcBorders>
              <w:top w:val="nil"/>
              <w:left w:val="nil"/>
              <w:bottom w:val="single" w:color="auto" w:sz="4" w:space="0"/>
              <w:right w:val="single" w:color="auto" w:sz="4" w:space="0"/>
            </w:tcBorders>
            <w:shd w:val="clear" w:color="auto" w:fill="auto"/>
            <w:noWrap/>
            <w:vAlign w:val="center"/>
          </w:tcPr>
          <w:p w14:paraId="128DD8B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026" w:type="dxa"/>
            <w:tcBorders>
              <w:top w:val="nil"/>
              <w:left w:val="nil"/>
              <w:bottom w:val="single" w:color="auto" w:sz="4" w:space="0"/>
              <w:right w:val="single" w:color="auto" w:sz="4" w:space="0"/>
            </w:tcBorders>
            <w:shd w:val="clear" w:color="auto" w:fill="auto"/>
            <w:noWrap/>
            <w:vAlign w:val="center"/>
          </w:tcPr>
          <w:p w14:paraId="641F6B2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206" w:type="dxa"/>
            <w:tcBorders>
              <w:top w:val="nil"/>
              <w:left w:val="nil"/>
              <w:bottom w:val="single" w:color="auto" w:sz="4" w:space="0"/>
              <w:right w:val="single" w:color="auto" w:sz="4" w:space="0"/>
            </w:tcBorders>
            <w:shd w:val="clear" w:color="auto" w:fill="auto"/>
            <w:noWrap/>
            <w:vAlign w:val="center"/>
          </w:tcPr>
          <w:p w14:paraId="223175F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1113" w:type="dxa"/>
            <w:tcBorders>
              <w:top w:val="nil"/>
              <w:left w:val="nil"/>
              <w:bottom w:val="single" w:color="auto" w:sz="4" w:space="0"/>
              <w:right w:val="single" w:color="auto" w:sz="4" w:space="0"/>
            </w:tcBorders>
            <w:shd w:val="clear" w:color="auto" w:fill="auto"/>
            <w:noWrap/>
            <w:vAlign w:val="center"/>
          </w:tcPr>
          <w:p w14:paraId="3FD855B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r>
      <w:tr w14:paraId="654B0E4A">
        <w:tblPrEx>
          <w:tblCellMar>
            <w:top w:w="0" w:type="dxa"/>
            <w:left w:w="108" w:type="dxa"/>
            <w:bottom w:w="0" w:type="dxa"/>
            <w:right w:w="108" w:type="dxa"/>
          </w:tblCellMar>
        </w:tblPrEx>
        <w:trPr>
          <w:trHeight w:val="312" w:hRule="atLeast"/>
        </w:trPr>
        <w:tc>
          <w:tcPr>
            <w:tcW w:w="960" w:type="dxa"/>
            <w:vMerge w:val="restart"/>
            <w:tcBorders>
              <w:top w:val="nil"/>
              <w:left w:val="single" w:color="auto" w:sz="4" w:space="0"/>
              <w:bottom w:val="single" w:color="auto" w:sz="4" w:space="0"/>
              <w:right w:val="single" w:color="auto" w:sz="4" w:space="0"/>
            </w:tcBorders>
            <w:shd w:val="clear" w:color="auto" w:fill="auto"/>
            <w:vAlign w:val="center"/>
          </w:tcPr>
          <w:p w14:paraId="6FA564C2">
            <w:pPr>
              <w:widowControl/>
              <w:jc w:val="center"/>
              <w:rPr>
                <w:rFonts w:ascii="宋体" w:hAnsi="宋体" w:cs="宋体"/>
                <w:color w:val="000000"/>
                <w:kern w:val="0"/>
                <w:sz w:val="18"/>
                <w:szCs w:val="18"/>
              </w:rPr>
            </w:pPr>
            <w:r>
              <w:rPr>
                <w:rFonts w:hint="eastAsia" w:ascii="宋体" w:hAnsi="宋体" w:cs="宋体"/>
                <w:color w:val="000000"/>
                <w:kern w:val="0"/>
                <w:sz w:val="18"/>
                <w:szCs w:val="18"/>
              </w:rPr>
              <w:t>农用地</w:t>
            </w:r>
          </w:p>
        </w:tc>
        <w:tc>
          <w:tcPr>
            <w:tcW w:w="1476" w:type="dxa"/>
            <w:tcBorders>
              <w:top w:val="nil"/>
              <w:left w:val="nil"/>
              <w:bottom w:val="single" w:color="auto" w:sz="4" w:space="0"/>
              <w:right w:val="single" w:color="auto" w:sz="4" w:space="0"/>
            </w:tcBorders>
            <w:shd w:val="clear" w:color="auto" w:fill="auto"/>
            <w:vAlign w:val="center"/>
          </w:tcPr>
          <w:p w14:paraId="0325133C">
            <w:pPr>
              <w:widowControl/>
              <w:jc w:val="center"/>
              <w:rPr>
                <w:rFonts w:ascii="宋体" w:hAnsi="宋体" w:cs="宋体"/>
                <w:color w:val="000000"/>
                <w:kern w:val="0"/>
                <w:sz w:val="18"/>
                <w:szCs w:val="18"/>
              </w:rPr>
            </w:pPr>
            <w:r>
              <w:rPr>
                <w:rFonts w:hint="eastAsia" w:ascii="宋体" w:hAnsi="宋体" w:cs="宋体"/>
                <w:color w:val="000000"/>
                <w:kern w:val="0"/>
                <w:sz w:val="18"/>
                <w:szCs w:val="18"/>
              </w:rPr>
              <w:t>耕地</w:t>
            </w:r>
          </w:p>
        </w:tc>
        <w:tc>
          <w:tcPr>
            <w:tcW w:w="1206" w:type="dxa"/>
            <w:tcBorders>
              <w:top w:val="nil"/>
              <w:left w:val="nil"/>
              <w:bottom w:val="single" w:color="auto" w:sz="4" w:space="0"/>
              <w:right w:val="single" w:color="auto" w:sz="4" w:space="0"/>
            </w:tcBorders>
            <w:shd w:val="clear" w:color="auto" w:fill="auto"/>
            <w:noWrap/>
            <w:vAlign w:val="center"/>
          </w:tcPr>
          <w:p w14:paraId="12C0C6B4">
            <w:pPr>
              <w:widowControl/>
              <w:jc w:val="center"/>
              <w:rPr>
                <w:rFonts w:ascii="宋体" w:hAnsi="宋体" w:cs="宋体"/>
                <w:color w:val="000000"/>
                <w:kern w:val="0"/>
                <w:sz w:val="18"/>
                <w:szCs w:val="18"/>
              </w:rPr>
            </w:pPr>
            <w:r>
              <w:rPr>
                <w:rFonts w:hint="eastAsia" w:ascii="宋体" w:hAnsi="宋体" w:cs="宋体"/>
                <w:color w:val="000000"/>
                <w:kern w:val="0"/>
                <w:sz w:val="18"/>
                <w:szCs w:val="18"/>
              </w:rPr>
              <w:t>31996.42</w:t>
            </w:r>
          </w:p>
        </w:tc>
        <w:tc>
          <w:tcPr>
            <w:tcW w:w="1026" w:type="dxa"/>
            <w:tcBorders>
              <w:top w:val="nil"/>
              <w:left w:val="nil"/>
              <w:bottom w:val="single" w:color="auto" w:sz="4" w:space="0"/>
              <w:right w:val="single" w:color="auto" w:sz="4" w:space="0"/>
            </w:tcBorders>
            <w:shd w:val="clear" w:color="auto" w:fill="auto"/>
            <w:noWrap/>
            <w:vAlign w:val="center"/>
          </w:tcPr>
          <w:p w14:paraId="1921971B">
            <w:pPr>
              <w:widowControl/>
              <w:jc w:val="center"/>
              <w:rPr>
                <w:rFonts w:ascii="宋体" w:hAnsi="宋体" w:cs="宋体"/>
                <w:color w:val="000000"/>
                <w:kern w:val="0"/>
                <w:sz w:val="18"/>
                <w:szCs w:val="18"/>
              </w:rPr>
            </w:pPr>
            <w:r>
              <w:rPr>
                <w:rFonts w:hint="eastAsia" w:ascii="宋体" w:hAnsi="宋体" w:cs="宋体"/>
                <w:color w:val="000000"/>
                <w:kern w:val="0"/>
                <w:sz w:val="18"/>
                <w:szCs w:val="18"/>
              </w:rPr>
              <w:t>17.15%</w:t>
            </w:r>
          </w:p>
        </w:tc>
        <w:tc>
          <w:tcPr>
            <w:tcW w:w="1355" w:type="dxa"/>
            <w:tcBorders>
              <w:top w:val="nil"/>
              <w:left w:val="nil"/>
              <w:bottom w:val="single" w:color="auto" w:sz="4" w:space="0"/>
              <w:right w:val="single" w:color="auto" w:sz="4" w:space="0"/>
            </w:tcBorders>
            <w:shd w:val="clear" w:color="auto" w:fill="auto"/>
            <w:noWrap/>
            <w:vAlign w:val="center"/>
          </w:tcPr>
          <w:p w14:paraId="12A3FFCA">
            <w:pPr>
              <w:widowControl/>
              <w:jc w:val="center"/>
              <w:rPr>
                <w:rFonts w:ascii="宋体" w:hAnsi="宋体" w:cs="宋体"/>
                <w:kern w:val="0"/>
                <w:sz w:val="18"/>
                <w:szCs w:val="18"/>
              </w:rPr>
            </w:pPr>
            <w:r>
              <w:rPr>
                <w:rFonts w:hint="eastAsia" w:ascii="宋体" w:hAnsi="宋体" w:cs="宋体"/>
                <w:kern w:val="0"/>
                <w:sz w:val="18"/>
                <w:szCs w:val="18"/>
              </w:rPr>
              <w:t xml:space="preserve">30443.78 </w:t>
            </w:r>
          </w:p>
        </w:tc>
        <w:tc>
          <w:tcPr>
            <w:tcW w:w="1026" w:type="dxa"/>
            <w:tcBorders>
              <w:top w:val="nil"/>
              <w:left w:val="nil"/>
              <w:bottom w:val="single" w:color="auto" w:sz="4" w:space="0"/>
              <w:right w:val="single" w:color="auto" w:sz="4" w:space="0"/>
            </w:tcBorders>
            <w:shd w:val="clear" w:color="auto" w:fill="auto"/>
            <w:noWrap/>
            <w:vAlign w:val="center"/>
          </w:tcPr>
          <w:p w14:paraId="0B11D8D0">
            <w:pPr>
              <w:widowControl/>
              <w:jc w:val="center"/>
              <w:rPr>
                <w:rFonts w:ascii="宋体" w:hAnsi="宋体" w:cs="宋体"/>
                <w:color w:val="000000"/>
                <w:kern w:val="0"/>
                <w:sz w:val="18"/>
                <w:szCs w:val="18"/>
              </w:rPr>
            </w:pPr>
            <w:r>
              <w:rPr>
                <w:rFonts w:hint="eastAsia" w:ascii="宋体" w:hAnsi="宋体" w:cs="宋体"/>
                <w:color w:val="000000"/>
                <w:kern w:val="0"/>
                <w:sz w:val="18"/>
                <w:szCs w:val="18"/>
              </w:rPr>
              <w:t>16.32%</w:t>
            </w:r>
          </w:p>
        </w:tc>
        <w:tc>
          <w:tcPr>
            <w:tcW w:w="1206" w:type="dxa"/>
            <w:tcBorders>
              <w:top w:val="nil"/>
              <w:left w:val="nil"/>
              <w:bottom w:val="single" w:color="auto" w:sz="4" w:space="0"/>
              <w:right w:val="single" w:color="auto" w:sz="4" w:space="0"/>
            </w:tcBorders>
            <w:shd w:val="clear" w:color="auto" w:fill="auto"/>
            <w:vAlign w:val="center"/>
          </w:tcPr>
          <w:p w14:paraId="44CBAF5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-1552.64 </w:t>
            </w:r>
          </w:p>
        </w:tc>
        <w:tc>
          <w:tcPr>
            <w:tcW w:w="1113" w:type="dxa"/>
            <w:tcBorders>
              <w:top w:val="nil"/>
              <w:left w:val="nil"/>
              <w:bottom w:val="single" w:color="auto" w:sz="4" w:space="0"/>
              <w:right w:val="single" w:color="auto" w:sz="4" w:space="0"/>
            </w:tcBorders>
            <w:shd w:val="clear" w:color="auto" w:fill="auto"/>
            <w:vAlign w:val="center"/>
          </w:tcPr>
          <w:p w14:paraId="1B82E540">
            <w:pPr>
              <w:widowControl/>
              <w:jc w:val="center"/>
              <w:rPr>
                <w:rFonts w:ascii="宋体" w:hAnsi="宋体" w:cs="宋体"/>
                <w:color w:val="000000"/>
                <w:kern w:val="0"/>
                <w:sz w:val="18"/>
                <w:szCs w:val="18"/>
              </w:rPr>
            </w:pPr>
            <w:r>
              <w:rPr>
                <w:rFonts w:hint="eastAsia" w:ascii="宋体" w:hAnsi="宋体" w:cs="宋体"/>
                <w:color w:val="000000"/>
                <w:kern w:val="0"/>
                <w:sz w:val="18"/>
                <w:szCs w:val="18"/>
              </w:rPr>
              <w:t>-0.83%</w:t>
            </w:r>
          </w:p>
        </w:tc>
      </w:tr>
      <w:tr w14:paraId="06480021">
        <w:tblPrEx>
          <w:tblCellMar>
            <w:top w:w="0" w:type="dxa"/>
            <w:left w:w="108" w:type="dxa"/>
            <w:bottom w:w="0" w:type="dxa"/>
            <w:right w:w="108" w:type="dxa"/>
          </w:tblCellMar>
        </w:tblPrEx>
        <w:trPr>
          <w:trHeight w:val="312" w:hRule="atLeast"/>
        </w:trPr>
        <w:tc>
          <w:tcPr>
            <w:tcW w:w="960" w:type="dxa"/>
            <w:vMerge w:val="continue"/>
            <w:tcBorders>
              <w:top w:val="nil"/>
              <w:left w:val="single" w:color="auto" w:sz="4" w:space="0"/>
              <w:bottom w:val="single" w:color="auto" w:sz="4" w:space="0"/>
              <w:right w:val="single" w:color="auto" w:sz="4" w:space="0"/>
            </w:tcBorders>
            <w:vAlign w:val="center"/>
          </w:tcPr>
          <w:p w14:paraId="23420471">
            <w:pPr>
              <w:widowControl/>
              <w:jc w:val="left"/>
              <w:rPr>
                <w:rFonts w:ascii="宋体" w:hAnsi="宋体" w:cs="宋体"/>
                <w:color w:val="000000"/>
                <w:kern w:val="0"/>
                <w:sz w:val="18"/>
                <w:szCs w:val="18"/>
              </w:rPr>
            </w:pPr>
          </w:p>
        </w:tc>
        <w:tc>
          <w:tcPr>
            <w:tcW w:w="1476" w:type="dxa"/>
            <w:tcBorders>
              <w:top w:val="nil"/>
              <w:left w:val="nil"/>
              <w:bottom w:val="single" w:color="auto" w:sz="4" w:space="0"/>
              <w:right w:val="single" w:color="auto" w:sz="4" w:space="0"/>
            </w:tcBorders>
            <w:shd w:val="clear" w:color="auto" w:fill="auto"/>
            <w:vAlign w:val="center"/>
          </w:tcPr>
          <w:p w14:paraId="0BA96F54">
            <w:pPr>
              <w:widowControl/>
              <w:jc w:val="center"/>
              <w:rPr>
                <w:rFonts w:ascii="宋体" w:hAnsi="宋体" w:cs="宋体"/>
                <w:color w:val="000000"/>
                <w:kern w:val="0"/>
                <w:sz w:val="18"/>
                <w:szCs w:val="18"/>
              </w:rPr>
            </w:pPr>
            <w:r>
              <w:rPr>
                <w:rFonts w:hint="eastAsia" w:ascii="宋体" w:hAnsi="宋体" w:cs="宋体"/>
                <w:color w:val="000000"/>
                <w:kern w:val="0"/>
                <w:sz w:val="18"/>
                <w:szCs w:val="18"/>
              </w:rPr>
              <w:t>园地</w:t>
            </w:r>
          </w:p>
        </w:tc>
        <w:tc>
          <w:tcPr>
            <w:tcW w:w="1206" w:type="dxa"/>
            <w:tcBorders>
              <w:top w:val="nil"/>
              <w:left w:val="nil"/>
              <w:bottom w:val="single" w:color="auto" w:sz="4" w:space="0"/>
              <w:right w:val="single" w:color="auto" w:sz="4" w:space="0"/>
            </w:tcBorders>
            <w:shd w:val="clear" w:color="auto" w:fill="auto"/>
            <w:noWrap/>
            <w:vAlign w:val="center"/>
          </w:tcPr>
          <w:p w14:paraId="60FEAE9B">
            <w:pPr>
              <w:widowControl/>
              <w:jc w:val="center"/>
              <w:rPr>
                <w:rFonts w:ascii="宋体" w:hAnsi="宋体" w:cs="宋体"/>
                <w:color w:val="000000"/>
                <w:kern w:val="0"/>
                <w:sz w:val="18"/>
                <w:szCs w:val="18"/>
              </w:rPr>
            </w:pPr>
            <w:r>
              <w:rPr>
                <w:rFonts w:hint="eastAsia" w:ascii="宋体" w:hAnsi="宋体" w:cs="宋体"/>
                <w:color w:val="000000"/>
                <w:kern w:val="0"/>
                <w:sz w:val="18"/>
                <w:szCs w:val="18"/>
              </w:rPr>
              <w:t>1448.07</w:t>
            </w:r>
          </w:p>
        </w:tc>
        <w:tc>
          <w:tcPr>
            <w:tcW w:w="1026" w:type="dxa"/>
            <w:tcBorders>
              <w:top w:val="nil"/>
              <w:left w:val="nil"/>
              <w:bottom w:val="single" w:color="auto" w:sz="4" w:space="0"/>
              <w:right w:val="single" w:color="auto" w:sz="4" w:space="0"/>
            </w:tcBorders>
            <w:shd w:val="clear" w:color="auto" w:fill="auto"/>
            <w:noWrap/>
            <w:vAlign w:val="center"/>
          </w:tcPr>
          <w:p w14:paraId="7C56ED37">
            <w:pPr>
              <w:widowControl/>
              <w:jc w:val="center"/>
              <w:rPr>
                <w:rFonts w:ascii="宋体" w:hAnsi="宋体" w:cs="宋体"/>
                <w:color w:val="000000"/>
                <w:kern w:val="0"/>
                <w:sz w:val="18"/>
                <w:szCs w:val="18"/>
              </w:rPr>
            </w:pPr>
            <w:r>
              <w:rPr>
                <w:rFonts w:hint="eastAsia" w:ascii="宋体" w:hAnsi="宋体" w:cs="宋体"/>
                <w:color w:val="000000"/>
                <w:kern w:val="0"/>
                <w:sz w:val="18"/>
                <w:szCs w:val="18"/>
              </w:rPr>
              <w:t>0.78%</w:t>
            </w:r>
          </w:p>
        </w:tc>
        <w:tc>
          <w:tcPr>
            <w:tcW w:w="1355" w:type="dxa"/>
            <w:tcBorders>
              <w:top w:val="nil"/>
              <w:left w:val="nil"/>
              <w:bottom w:val="single" w:color="auto" w:sz="4" w:space="0"/>
              <w:right w:val="single" w:color="auto" w:sz="4" w:space="0"/>
            </w:tcBorders>
            <w:shd w:val="clear" w:color="auto" w:fill="auto"/>
            <w:noWrap/>
            <w:vAlign w:val="center"/>
          </w:tcPr>
          <w:p w14:paraId="1F6709C1">
            <w:pPr>
              <w:widowControl/>
              <w:jc w:val="center"/>
              <w:rPr>
                <w:rFonts w:ascii="宋体" w:hAnsi="宋体" w:cs="宋体"/>
                <w:kern w:val="0"/>
                <w:sz w:val="18"/>
                <w:szCs w:val="18"/>
              </w:rPr>
            </w:pPr>
            <w:r>
              <w:rPr>
                <w:rFonts w:hint="eastAsia" w:ascii="宋体" w:hAnsi="宋体" w:cs="宋体"/>
                <w:kern w:val="0"/>
                <w:sz w:val="18"/>
                <w:szCs w:val="18"/>
              </w:rPr>
              <w:t xml:space="preserve">1646.68 </w:t>
            </w:r>
          </w:p>
        </w:tc>
        <w:tc>
          <w:tcPr>
            <w:tcW w:w="1026" w:type="dxa"/>
            <w:tcBorders>
              <w:top w:val="nil"/>
              <w:left w:val="nil"/>
              <w:bottom w:val="single" w:color="auto" w:sz="4" w:space="0"/>
              <w:right w:val="single" w:color="auto" w:sz="4" w:space="0"/>
            </w:tcBorders>
            <w:shd w:val="clear" w:color="auto" w:fill="auto"/>
            <w:noWrap/>
            <w:vAlign w:val="center"/>
          </w:tcPr>
          <w:p w14:paraId="065B7EC7">
            <w:pPr>
              <w:widowControl/>
              <w:jc w:val="center"/>
              <w:rPr>
                <w:rFonts w:ascii="宋体" w:hAnsi="宋体" w:cs="宋体"/>
                <w:color w:val="000000"/>
                <w:kern w:val="0"/>
                <w:sz w:val="18"/>
                <w:szCs w:val="18"/>
              </w:rPr>
            </w:pPr>
            <w:r>
              <w:rPr>
                <w:rFonts w:hint="eastAsia" w:ascii="宋体" w:hAnsi="宋体" w:cs="宋体"/>
                <w:color w:val="000000"/>
                <w:kern w:val="0"/>
                <w:sz w:val="18"/>
                <w:szCs w:val="18"/>
              </w:rPr>
              <w:t>0.88%</w:t>
            </w:r>
          </w:p>
        </w:tc>
        <w:tc>
          <w:tcPr>
            <w:tcW w:w="1206" w:type="dxa"/>
            <w:tcBorders>
              <w:top w:val="nil"/>
              <w:left w:val="nil"/>
              <w:bottom w:val="single" w:color="auto" w:sz="4" w:space="0"/>
              <w:right w:val="single" w:color="auto" w:sz="4" w:space="0"/>
            </w:tcBorders>
            <w:shd w:val="clear" w:color="auto" w:fill="auto"/>
            <w:vAlign w:val="center"/>
          </w:tcPr>
          <w:p w14:paraId="6A1D793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198.61 </w:t>
            </w:r>
          </w:p>
        </w:tc>
        <w:tc>
          <w:tcPr>
            <w:tcW w:w="1113" w:type="dxa"/>
            <w:tcBorders>
              <w:top w:val="nil"/>
              <w:left w:val="nil"/>
              <w:bottom w:val="single" w:color="auto" w:sz="4" w:space="0"/>
              <w:right w:val="single" w:color="auto" w:sz="4" w:space="0"/>
            </w:tcBorders>
            <w:shd w:val="clear" w:color="auto" w:fill="auto"/>
            <w:vAlign w:val="center"/>
          </w:tcPr>
          <w:p w14:paraId="73095AD8">
            <w:pPr>
              <w:widowControl/>
              <w:jc w:val="center"/>
              <w:rPr>
                <w:rFonts w:ascii="宋体" w:hAnsi="宋体" w:cs="宋体"/>
                <w:color w:val="000000"/>
                <w:kern w:val="0"/>
                <w:sz w:val="18"/>
                <w:szCs w:val="18"/>
              </w:rPr>
            </w:pPr>
            <w:r>
              <w:rPr>
                <w:rFonts w:hint="eastAsia" w:ascii="宋体" w:hAnsi="宋体" w:cs="宋体"/>
                <w:color w:val="000000"/>
                <w:kern w:val="0"/>
                <w:sz w:val="18"/>
                <w:szCs w:val="18"/>
              </w:rPr>
              <w:t>0.10%</w:t>
            </w:r>
          </w:p>
        </w:tc>
      </w:tr>
      <w:tr w14:paraId="7C94A752">
        <w:tblPrEx>
          <w:tblCellMar>
            <w:top w:w="0" w:type="dxa"/>
            <w:left w:w="108" w:type="dxa"/>
            <w:bottom w:w="0" w:type="dxa"/>
            <w:right w:w="108" w:type="dxa"/>
          </w:tblCellMar>
        </w:tblPrEx>
        <w:trPr>
          <w:trHeight w:val="312" w:hRule="atLeast"/>
        </w:trPr>
        <w:tc>
          <w:tcPr>
            <w:tcW w:w="960" w:type="dxa"/>
            <w:vMerge w:val="continue"/>
            <w:tcBorders>
              <w:top w:val="nil"/>
              <w:left w:val="single" w:color="auto" w:sz="4" w:space="0"/>
              <w:bottom w:val="single" w:color="auto" w:sz="4" w:space="0"/>
              <w:right w:val="single" w:color="auto" w:sz="4" w:space="0"/>
            </w:tcBorders>
            <w:vAlign w:val="center"/>
          </w:tcPr>
          <w:p w14:paraId="13D364C6">
            <w:pPr>
              <w:widowControl/>
              <w:jc w:val="left"/>
              <w:rPr>
                <w:rFonts w:ascii="宋体" w:hAnsi="宋体" w:cs="宋体"/>
                <w:color w:val="000000"/>
                <w:kern w:val="0"/>
                <w:sz w:val="18"/>
                <w:szCs w:val="18"/>
              </w:rPr>
            </w:pPr>
          </w:p>
        </w:tc>
        <w:tc>
          <w:tcPr>
            <w:tcW w:w="1476" w:type="dxa"/>
            <w:tcBorders>
              <w:top w:val="nil"/>
              <w:left w:val="nil"/>
              <w:bottom w:val="single" w:color="auto" w:sz="4" w:space="0"/>
              <w:right w:val="single" w:color="auto" w:sz="4" w:space="0"/>
            </w:tcBorders>
            <w:shd w:val="clear" w:color="auto" w:fill="auto"/>
            <w:vAlign w:val="center"/>
          </w:tcPr>
          <w:p w14:paraId="10F38D01">
            <w:pPr>
              <w:widowControl/>
              <w:jc w:val="center"/>
              <w:rPr>
                <w:rFonts w:ascii="宋体" w:hAnsi="宋体" w:cs="宋体"/>
                <w:color w:val="000000"/>
                <w:kern w:val="0"/>
                <w:sz w:val="18"/>
                <w:szCs w:val="18"/>
              </w:rPr>
            </w:pPr>
            <w:r>
              <w:rPr>
                <w:rFonts w:hint="eastAsia" w:ascii="宋体" w:hAnsi="宋体" w:cs="宋体"/>
                <w:color w:val="000000"/>
                <w:kern w:val="0"/>
                <w:sz w:val="18"/>
                <w:szCs w:val="18"/>
              </w:rPr>
              <w:t>林地</w:t>
            </w:r>
          </w:p>
        </w:tc>
        <w:tc>
          <w:tcPr>
            <w:tcW w:w="1206" w:type="dxa"/>
            <w:tcBorders>
              <w:top w:val="nil"/>
              <w:left w:val="nil"/>
              <w:bottom w:val="single" w:color="auto" w:sz="4" w:space="0"/>
              <w:right w:val="single" w:color="auto" w:sz="4" w:space="0"/>
            </w:tcBorders>
            <w:shd w:val="clear" w:color="auto" w:fill="auto"/>
            <w:noWrap/>
            <w:vAlign w:val="center"/>
          </w:tcPr>
          <w:p w14:paraId="2F8D22D2">
            <w:pPr>
              <w:widowControl/>
              <w:jc w:val="center"/>
              <w:rPr>
                <w:rFonts w:ascii="宋体" w:hAnsi="宋体" w:cs="宋体"/>
                <w:color w:val="000000"/>
                <w:kern w:val="0"/>
                <w:sz w:val="18"/>
                <w:szCs w:val="18"/>
              </w:rPr>
            </w:pPr>
            <w:r>
              <w:rPr>
                <w:rFonts w:hint="eastAsia" w:ascii="宋体" w:hAnsi="宋体" w:cs="宋体"/>
                <w:color w:val="000000"/>
                <w:kern w:val="0"/>
                <w:sz w:val="18"/>
                <w:szCs w:val="18"/>
              </w:rPr>
              <w:t>60943.97</w:t>
            </w:r>
          </w:p>
        </w:tc>
        <w:tc>
          <w:tcPr>
            <w:tcW w:w="1026" w:type="dxa"/>
            <w:tcBorders>
              <w:top w:val="nil"/>
              <w:left w:val="nil"/>
              <w:bottom w:val="single" w:color="auto" w:sz="4" w:space="0"/>
              <w:right w:val="single" w:color="auto" w:sz="4" w:space="0"/>
            </w:tcBorders>
            <w:shd w:val="clear" w:color="auto" w:fill="auto"/>
            <w:noWrap/>
            <w:vAlign w:val="center"/>
          </w:tcPr>
          <w:p w14:paraId="30877223">
            <w:pPr>
              <w:widowControl/>
              <w:jc w:val="center"/>
              <w:rPr>
                <w:rFonts w:ascii="宋体" w:hAnsi="宋体" w:cs="宋体"/>
                <w:color w:val="000000"/>
                <w:kern w:val="0"/>
                <w:sz w:val="18"/>
                <w:szCs w:val="18"/>
              </w:rPr>
            </w:pPr>
            <w:r>
              <w:rPr>
                <w:rFonts w:hint="eastAsia" w:ascii="宋体" w:hAnsi="宋体" w:cs="宋体"/>
                <w:color w:val="000000"/>
                <w:kern w:val="0"/>
                <w:sz w:val="18"/>
                <w:szCs w:val="18"/>
              </w:rPr>
              <w:t>32.67%</w:t>
            </w:r>
          </w:p>
        </w:tc>
        <w:tc>
          <w:tcPr>
            <w:tcW w:w="1355" w:type="dxa"/>
            <w:tcBorders>
              <w:top w:val="nil"/>
              <w:left w:val="nil"/>
              <w:bottom w:val="single" w:color="auto" w:sz="4" w:space="0"/>
              <w:right w:val="single" w:color="auto" w:sz="4" w:space="0"/>
            </w:tcBorders>
            <w:shd w:val="clear" w:color="auto" w:fill="auto"/>
            <w:noWrap/>
            <w:vAlign w:val="center"/>
          </w:tcPr>
          <w:p w14:paraId="52E4B080">
            <w:pPr>
              <w:widowControl/>
              <w:jc w:val="center"/>
              <w:rPr>
                <w:rFonts w:ascii="宋体" w:hAnsi="宋体" w:cs="宋体"/>
                <w:kern w:val="0"/>
                <w:sz w:val="18"/>
                <w:szCs w:val="18"/>
              </w:rPr>
            </w:pPr>
            <w:r>
              <w:rPr>
                <w:rFonts w:hint="eastAsia" w:ascii="宋体" w:hAnsi="宋体" w:cs="宋体"/>
                <w:kern w:val="0"/>
                <w:sz w:val="18"/>
                <w:szCs w:val="18"/>
              </w:rPr>
              <w:t xml:space="preserve">63987.69 </w:t>
            </w:r>
          </w:p>
        </w:tc>
        <w:tc>
          <w:tcPr>
            <w:tcW w:w="1026" w:type="dxa"/>
            <w:tcBorders>
              <w:top w:val="nil"/>
              <w:left w:val="nil"/>
              <w:bottom w:val="single" w:color="auto" w:sz="4" w:space="0"/>
              <w:right w:val="single" w:color="auto" w:sz="4" w:space="0"/>
            </w:tcBorders>
            <w:shd w:val="clear" w:color="auto" w:fill="auto"/>
            <w:noWrap/>
            <w:vAlign w:val="center"/>
          </w:tcPr>
          <w:p w14:paraId="01539FB4">
            <w:pPr>
              <w:widowControl/>
              <w:jc w:val="center"/>
              <w:rPr>
                <w:rFonts w:ascii="宋体" w:hAnsi="宋体" w:cs="宋体"/>
                <w:color w:val="000000"/>
                <w:kern w:val="0"/>
                <w:sz w:val="18"/>
                <w:szCs w:val="18"/>
              </w:rPr>
            </w:pPr>
            <w:r>
              <w:rPr>
                <w:rFonts w:hint="eastAsia" w:ascii="宋体" w:hAnsi="宋体" w:cs="宋体"/>
                <w:color w:val="000000"/>
                <w:kern w:val="0"/>
                <w:sz w:val="18"/>
                <w:szCs w:val="18"/>
              </w:rPr>
              <w:t>34.30%</w:t>
            </w:r>
          </w:p>
        </w:tc>
        <w:tc>
          <w:tcPr>
            <w:tcW w:w="1206" w:type="dxa"/>
            <w:tcBorders>
              <w:top w:val="nil"/>
              <w:left w:val="nil"/>
              <w:bottom w:val="single" w:color="auto" w:sz="4" w:space="0"/>
              <w:right w:val="single" w:color="auto" w:sz="4" w:space="0"/>
            </w:tcBorders>
            <w:shd w:val="clear" w:color="auto" w:fill="auto"/>
            <w:vAlign w:val="center"/>
          </w:tcPr>
          <w:p w14:paraId="5BBC761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3043.72 </w:t>
            </w:r>
          </w:p>
        </w:tc>
        <w:tc>
          <w:tcPr>
            <w:tcW w:w="1113" w:type="dxa"/>
            <w:tcBorders>
              <w:top w:val="nil"/>
              <w:left w:val="nil"/>
              <w:bottom w:val="single" w:color="auto" w:sz="4" w:space="0"/>
              <w:right w:val="single" w:color="auto" w:sz="4" w:space="0"/>
            </w:tcBorders>
            <w:shd w:val="clear" w:color="auto" w:fill="auto"/>
            <w:vAlign w:val="center"/>
          </w:tcPr>
          <w:p w14:paraId="43632FDE">
            <w:pPr>
              <w:widowControl/>
              <w:jc w:val="center"/>
              <w:rPr>
                <w:rFonts w:ascii="宋体" w:hAnsi="宋体" w:cs="宋体"/>
                <w:color w:val="000000"/>
                <w:kern w:val="0"/>
                <w:sz w:val="18"/>
                <w:szCs w:val="18"/>
              </w:rPr>
            </w:pPr>
            <w:r>
              <w:rPr>
                <w:rFonts w:hint="eastAsia" w:ascii="宋体" w:hAnsi="宋体" w:cs="宋体"/>
                <w:color w:val="000000"/>
                <w:kern w:val="0"/>
                <w:sz w:val="18"/>
                <w:szCs w:val="18"/>
              </w:rPr>
              <w:t>1.63%</w:t>
            </w:r>
          </w:p>
        </w:tc>
      </w:tr>
      <w:tr w14:paraId="231CBD46">
        <w:tblPrEx>
          <w:tblCellMar>
            <w:top w:w="0" w:type="dxa"/>
            <w:left w:w="108" w:type="dxa"/>
            <w:bottom w:w="0" w:type="dxa"/>
            <w:right w:w="108" w:type="dxa"/>
          </w:tblCellMar>
        </w:tblPrEx>
        <w:trPr>
          <w:trHeight w:val="312" w:hRule="atLeast"/>
        </w:trPr>
        <w:tc>
          <w:tcPr>
            <w:tcW w:w="960" w:type="dxa"/>
            <w:vMerge w:val="continue"/>
            <w:tcBorders>
              <w:top w:val="nil"/>
              <w:left w:val="single" w:color="auto" w:sz="4" w:space="0"/>
              <w:bottom w:val="single" w:color="auto" w:sz="4" w:space="0"/>
              <w:right w:val="single" w:color="auto" w:sz="4" w:space="0"/>
            </w:tcBorders>
            <w:vAlign w:val="center"/>
          </w:tcPr>
          <w:p w14:paraId="531ECE4B">
            <w:pPr>
              <w:widowControl/>
              <w:jc w:val="left"/>
              <w:rPr>
                <w:rFonts w:ascii="宋体" w:hAnsi="宋体" w:cs="宋体"/>
                <w:color w:val="000000"/>
                <w:kern w:val="0"/>
                <w:sz w:val="18"/>
                <w:szCs w:val="18"/>
              </w:rPr>
            </w:pPr>
          </w:p>
        </w:tc>
        <w:tc>
          <w:tcPr>
            <w:tcW w:w="1476" w:type="dxa"/>
            <w:tcBorders>
              <w:top w:val="nil"/>
              <w:left w:val="nil"/>
              <w:bottom w:val="single" w:color="auto" w:sz="4" w:space="0"/>
              <w:right w:val="single" w:color="auto" w:sz="4" w:space="0"/>
            </w:tcBorders>
            <w:shd w:val="clear" w:color="auto" w:fill="auto"/>
            <w:vAlign w:val="center"/>
          </w:tcPr>
          <w:p w14:paraId="76614437">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其他农用地</w:t>
            </w:r>
          </w:p>
        </w:tc>
        <w:tc>
          <w:tcPr>
            <w:tcW w:w="1206" w:type="dxa"/>
            <w:tcBorders>
              <w:top w:val="nil"/>
              <w:left w:val="nil"/>
              <w:bottom w:val="single" w:color="auto" w:sz="4" w:space="0"/>
              <w:right w:val="single" w:color="auto" w:sz="4" w:space="0"/>
            </w:tcBorders>
            <w:shd w:val="clear" w:color="auto" w:fill="auto"/>
            <w:noWrap/>
            <w:vAlign w:val="center"/>
          </w:tcPr>
          <w:p w14:paraId="0BB2EEB2">
            <w:pPr>
              <w:widowControl/>
              <w:jc w:val="center"/>
              <w:rPr>
                <w:rFonts w:ascii="宋体" w:hAnsi="宋体" w:cs="宋体"/>
                <w:color w:val="000000"/>
                <w:kern w:val="0"/>
                <w:sz w:val="18"/>
                <w:szCs w:val="18"/>
              </w:rPr>
            </w:pPr>
            <w:r>
              <w:rPr>
                <w:rFonts w:hint="eastAsia" w:ascii="宋体" w:hAnsi="宋体" w:cs="宋体"/>
                <w:color w:val="000000"/>
                <w:kern w:val="0"/>
                <w:sz w:val="18"/>
                <w:szCs w:val="18"/>
              </w:rPr>
              <w:t>10991.76</w:t>
            </w:r>
          </w:p>
        </w:tc>
        <w:tc>
          <w:tcPr>
            <w:tcW w:w="1026" w:type="dxa"/>
            <w:tcBorders>
              <w:top w:val="nil"/>
              <w:left w:val="nil"/>
              <w:bottom w:val="single" w:color="auto" w:sz="4" w:space="0"/>
              <w:right w:val="single" w:color="auto" w:sz="4" w:space="0"/>
            </w:tcBorders>
            <w:shd w:val="clear" w:color="auto" w:fill="auto"/>
            <w:noWrap/>
            <w:vAlign w:val="center"/>
          </w:tcPr>
          <w:p w14:paraId="73DA2DF9">
            <w:pPr>
              <w:widowControl/>
              <w:jc w:val="center"/>
              <w:rPr>
                <w:rFonts w:ascii="宋体" w:hAnsi="宋体" w:cs="宋体"/>
                <w:color w:val="000000"/>
                <w:kern w:val="0"/>
                <w:sz w:val="18"/>
                <w:szCs w:val="18"/>
              </w:rPr>
            </w:pPr>
            <w:r>
              <w:rPr>
                <w:rFonts w:hint="eastAsia" w:ascii="宋体" w:hAnsi="宋体" w:cs="宋体"/>
                <w:color w:val="000000"/>
                <w:kern w:val="0"/>
                <w:sz w:val="18"/>
                <w:szCs w:val="18"/>
              </w:rPr>
              <w:t>5.89%</w:t>
            </w:r>
          </w:p>
        </w:tc>
        <w:tc>
          <w:tcPr>
            <w:tcW w:w="1355" w:type="dxa"/>
            <w:tcBorders>
              <w:top w:val="nil"/>
              <w:left w:val="nil"/>
              <w:bottom w:val="single" w:color="auto" w:sz="4" w:space="0"/>
              <w:right w:val="single" w:color="auto" w:sz="4" w:space="0"/>
            </w:tcBorders>
            <w:shd w:val="clear" w:color="auto" w:fill="auto"/>
            <w:noWrap/>
            <w:vAlign w:val="center"/>
          </w:tcPr>
          <w:p w14:paraId="3561FBEC">
            <w:pPr>
              <w:widowControl/>
              <w:jc w:val="center"/>
              <w:rPr>
                <w:rFonts w:ascii="宋体" w:hAnsi="宋体" w:cs="宋体"/>
                <w:kern w:val="0"/>
                <w:sz w:val="18"/>
                <w:szCs w:val="18"/>
              </w:rPr>
            </w:pPr>
            <w:r>
              <w:rPr>
                <w:rFonts w:hint="eastAsia" w:ascii="宋体" w:hAnsi="宋体" w:cs="宋体"/>
                <w:kern w:val="0"/>
                <w:sz w:val="18"/>
                <w:szCs w:val="18"/>
              </w:rPr>
              <w:t xml:space="preserve">9116.01 </w:t>
            </w:r>
          </w:p>
        </w:tc>
        <w:tc>
          <w:tcPr>
            <w:tcW w:w="1026" w:type="dxa"/>
            <w:tcBorders>
              <w:top w:val="nil"/>
              <w:left w:val="nil"/>
              <w:bottom w:val="single" w:color="auto" w:sz="4" w:space="0"/>
              <w:right w:val="single" w:color="auto" w:sz="4" w:space="0"/>
            </w:tcBorders>
            <w:shd w:val="clear" w:color="auto" w:fill="auto"/>
            <w:noWrap/>
            <w:vAlign w:val="center"/>
          </w:tcPr>
          <w:p w14:paraId="73E6A967">
            <w:pPr>
              <w:widowControl/>
              <w:jc w:val="center"/>
              <w:rPr>
                <w:rFonts w:ascii="宋体" w:hAnsi="宋体" w:cs="宋体"/>
                <w:color w:val="000000"/>
                <w:kern w:val="0"/>
                <w:sz w:val="18"/>
                <w:szCs w:val="18"/>
              </w:rPr>
            </w:pPr>
            <w:r>
              <w:rPr>
                <w:rFonts w:hint="eastAsia" w:ascii="宋体" w:hAnsi="宋体" w:cs="宋体"/>
                <w:color w:val="000000"/>
                <w:kern w:val="0"/>
                <w:sz w:val="18"/>
                <w:szCs w:val="18"/>
              </w:rPr>
              <w:t>4.89%</w:t>
            </w:r>
          </w:p>
        </w:tc>
        <w:tc>
          <w:tcPr>
            <w:tcW w:w="1206" w:type="dxa"/>
            <w:tcBorders>
              <w:top w:val="nil"/>
              <w:left w:val="nil"/>
              <w:bottom w:val="single" w:color="auto" w:sz="4" w:space="0"/>
              <w:right w:val="single" w:color="auto" w:sz="4" w:space="0"/>
            </w:tcBorders>
            <w:shd w:val="clear" w:color="auto" w:fill="auto"/>
            <w:vAlign w:val="center"/>
          </w:tcPr>
          <w:p w14:paraId="1E009DE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-1875.75 </w:t>
            </w:r>
          </w:p>
        </w:tc>
        <w:tc>
          <w:tcPr>
            <w:tcW w:w="1113" w:type="dxa"/>
            <w:tcBorders>
              <w:top w:val="nil"/>
              <w:left w:val="nil"/>
              <w:bottom w:val="single" w:color="auto" w:sz="4" w:space="0"/>
              <w:right w:val="single" w:color="auto" w:sz="4" w:space="0"/>
            </w:tcBorders>
            <w:shd w:val="clear" w:color="auto" w:fill="auto"/>
            <w:vAlign w:val="center"/>
          </w:tcPr>
          <w:p w14:paraId="15A343FA">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r>
      <w:tr w14:paraId="2C1536C7">
        <w:tblPrEx>
          <w:tblCellMar>
            <w:top w:w="0" w:type="dxa"/>
            <w:left w:w="108" w:type="dxa"/>
            <w:bottom w:w="0" w:type="dxa"/>
            <w:right w:w="108" w:type="dxa"/>
          </w:tblCellMar>
        </w:tblPrEx>
        <w:trPr>
          <w:trHeight w:val="312" w:hRule="atLeast"/>
        </w:trPr>
        <w:tc>
          <w:tcPr>
            <w:tcW w:w="960" w:type="dxa"/>
            <w:vMerge w:val="continue"/>
            <w:tcBorders>
              <w:top w:val="nil"/>
              <w:left w:val="single" w:color="auto" w:sz="4" w:space="0"/>
              <w:bottom w:val="single" w:color="auto" w:sz="4" w:space="0"/>
              <w:right w:val="single" w:color="auto" w:sz="4" w:space="0"/>
            </w:tcBorders>
            <w:vAlign w:val="center"/>
          </w:tcPr>
          <w:p w14:paraId="70FA074A">
            <w:pPr>
              <w:widowControl/>
              <w:jc w:val="left"/>
              <w:rPr>
                <w:rFonts w:ascii="宋体" w:hAnsi="宋体" w:cs="宋体"/>
                <w:color w:val="000000"/>
                <w:kern w:val="0"/>
                <w:sz w:val="18"/>
                <w:szCs w:val="18"/>
              </w:rPr>
            </w:pPr>
          </w:p>
        </w:tc>
        <w:tc>
          <w:tcPr>
            <w:tcW w:w="1476" w:type="dxa"/>
            <w:tcBorders>
              <w:top w:val="nil"/>
              <w:left w:val="nil"/>
              <w:bottom w:val="single" w:color="auto" w:sz="4" w:space="0"/>
              <w:right w:val="single" w:color="auto" w:sz="4" w:space="0"/>
            </w:tcBorders>
            <w:shd w:val="clear" w:color="auto" w:fill="auto"/>
            <w:vAlign w:val="center"/>
          </w:tcPr>
          <w:p w14:paraId="307E1F12">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206" w:type="dxa"/>
            <w:tcBorders>
              <w:top w:val="nil"/>
              <w:left w:val="nil"/>
              <w:bottom w:val="single" w:color="auto" w:sz="4" w:space="0"/>
              <w:right w:val="single" w:color="auto" w:sz="4" w:space="0"/>
            </w:tcBorders>
            <w:shd w:val="clear" w:color="auto" w:fill="auto"/>
            <w:noWrap/>
            <w:vAlign w:val="center"/>
          </w:tcPr>
          <w:p w14:paraId="0DDBA66A">
            <w:pPr>
              <w:widowControl/>
              <w:jc w:val="center"/>
              <w:rPr>
                <w:rFonts w:ascii="宋体" w:hAnsi="宋体" w:cs="宋体"/>
                <w:color w:val="000000"/>
                <w:kern w:val="0"/>
                <w:sz w:val="18"/>
                <w:szCs w:val="18"/>
              </w:rPr>
            </w:pPr>
            <w:r>
              <w:rPr>
                <w:rFonts w:hint="eastAsia" w:ascii="宋体" w:hAnsi="宋体" w:cs="宋体"/>
                <w:color w:val="000000"/>
                <w:kern w:val="0"/>
                <w:sz w:val="18"/>
                <w:szCs w:val="18"/>
              </w:rPr>
              <w:t>105380.22</w:t>
            </w:r>
          </w:p>
        </w:tc>
        <w:tc>
          <w:tcPr>
            <w:tcW w:w="1026" w:type="dxa"/>
            <w:tcBorders>
              <w:top w:val="nil"/>
              <w:left w:val="nil"/>
              <w:bottom w:val="single" w:color="auto" w:sz="4" w:space="0"/>
              <w:right w:val="single" w:color="auto" w:sz="4" w:space="0"/>
            </w:tcBorders>
            <w:shd w:val="clear" w:color="auto" w:fill="auto"/>
            <w:noWrap/>
            <w:vAlign w:val="center"/>
          </w:tcPr>
          <w:p w14:paraId="076F9FC4">
            <w:pPr>
              <w:widowControl/>
              <w:jc w:val="center"/>
              <w:rPr>
                <w:rFonts w:ascii="宋体" w:hAnsi="宋体" w:cs="宋体"/>
                <w:color w:val="000000"/>
                <w:kern w:val="0"/>
                <w:sz w:val="18"/>
                <w:szCs w:val="18"/>
              </w:rPr>
            </w:pPr>
            <w:r>
              <w:rPr>
                <w:rFonts w:hint="eastAsia" w:ascii="宋体" w:hAnsi="宋体" w:cs="宋体"/>
                <w:color w:val="000000"/>
                <w:kern w:val="0"/>
                <w:sz w:val="18"/>
                <w:szCs w:val="18"/>
              </w:rPr>
              <w:t>56.48%</w:t>
            </w:r>
          </w:p>
        </w:tc>
        <w:tc>
          <w:tcPr>
            <w:tcW w:w="1355" w:type="dxa"/>
            <w:tcBorders>
              <w:top w:val="nil"/>
              <w:left w:val="nil"/>
              <w:bottom w:val="single" w:color="auto" w:sz="4" w:space="0"/>
              <w:right w:val="single" w:color="auto" w:sz="4" w:space="0"/>
            </w:tcBorders>
            <w:shd w:val="clear" w:color="auto" w:fill="auto"/>
            <w:noWrap/>
            <w:vAlign w:val="center"/>
          </w:tcPr>
          <w:p w14:paraId="7A2F51A2">
            <w:pPr>
              <w:widowControl/>
              <w:jc w:val="center"/>
              <w:rPr>
                <w:rFonts w:ascii="宋体" w:hAnsi="宋体" w:cs="宋体"/>
                <w:kern w:val="0"/>
                <w:sz w:val="18"/>
                <w:szCs w:val="18"/>
              </w:rPr>
            </w:pPr>
            <w:r>
              <w:rPr>
                <w:rFonts w:hint="eastAsia" w:ascii="宋体" w:hAnsi="宋体" w:cs="宋体"/>
                <w:kern w:val="0"/>
                <w:sz w:val="18"/>
                <w:szCs w:val="18"/>
              </w:rPr>
              <w:t xml:space="preserve">105194.16 </w:t>
            </w:r>
          </w:p>
        </w:tc>
        <w:tc>
          <w:tcPr>
            <w:tcW w:w="1026" w:type="dxa"/>
            <w:tcBorders>
              <w:top w:val="nil"/>
              <w:left w:val="nil"/>
              <w:bottom w:val="single" w:color="auto" w:sz="4" w:space="0"/>
              <w:right w:val="single" w:color="auto" w:sz="4" w:space="0"/>
            </w:tcBorders>
            <w:shd w:val="clear" w:color="auto" w:fill="auto"/>
            <w:noWrap/>
            <w:vAlign w:val="center"/>
          </w:tcPr>
          <w:p w14:paraId="545E109E">
            <w:pPr>
              <w:widowControl/>
              <w:jc w:val="center"/>
              <w:rPr>
                <w:rFonts w:ascii="宋体" w:hAnsi="宋体" w:cs="宋体"/>
                <w:color w:val="000000"/>
                <w:kern w:val="0"/>
                <w:sz w:val="18"/>
                <w:szCs w:val="18"/>
              </w:rPr>
            </w:pPr>
            <w:r>
              <w:rPr>
                <w:rFonts w:hint="eastAsia" w:ascii="宋体" w:hAnsi="宋体" w:cs="宋体"/>
                <w:color w:val="000000"/>
                <w:kern w:val="0"/>
                <w:sz w:val="18"/>
                <w:szCs w:val="18"/>
              </w:rPr>
              <w:t>56.38%</w:t>
            </w:r>
          </w:p>
        </w:tc>
        <w:tc>
          <w:tcPr>
            <w:tcW w:w="1206" w:type="dxa"/>
            <w:tcBorders>
              <w:top w:val="nil"/>
              <w:left w:val="nil"/>
              <w:bottom w:val="single" w:color="auto" w:sz="4" w:space="0"/>
              <w:right w:val="single" w:color="auto" w:sz="4" w:space="0"/>
            </w:tcBorders>
            <w:shd w:val="clear" w:color="auto" w:fill="auto"/>
            <w:vAlign w:val="center"/>
          </w:tcPr>
          <w:p w14:paraId="631271A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-186.06 </w:t>
            </w:r>
          </w:p>
        </w:tc>
        <w:tc>
          <w:tcPr>
            <w:tcW w:w="1113" w:type="dxa"/>
            <w:tcBorders>
              <w:top w:val="nil"/>
              <w:left w:val="nil"/>
              <w:bottom w:val="single" w:color="auto" w:sz="4" w:space="0"/>
              <w:right w:val="single" w:color="auto" w:sz="4" w:space="0"/>
            </w:tcBorders>
            <w:shd w:val="clear" w:color="auto" w:fill="auto"/>
            <w:vAlign w:val="center"/>
          </w:tcPr>
          <w:p w14:paraId="3D364754">
            <w:pPr>
              <w:widowControl/>
              <w:jc w:val="center"/>
              <w:rPr>
                <w:rFonts w:ascii="宋体" w:hAnsi="宋体" w:cs="宋体"/>
                <w:color w:val="000000"/>
                <w:kern w:val="0"/>
                <w:sz w:val="18"/>
                <w:szCs w:val="18"/>
              </w:rPr>
            </w:pPr>
            <w:r>
              <w:rPr>
                <w:rFonts w:hint="eastAsia" w:ascii="宋体" w:hAnsi="宋体" w:cs="宋体"/>
                <w:color w:val="000000"/>
                <w:kern w:val="0"/>
                <w:sz w:val="18"/>
                <w:szCs w:val="18"/>
              </w:rPr>
              <w:t>-0.10%</w:t>
            </w:r>
          </w:p>
        </w:tc>
      </w:tr>
      <w:tr w14:paraId="3DC8349D">
        <w:tblPrEx>
          <w:tblCellMar>
            <w:top w:w="0" w:type="dxa"/>
            <w:left w:w="108" w:type="dxa"/>
            <w:bottom w:w="0" w:type="dxa"/>
            <w:right w:w="108" w:type="dxa"/>
          </w:tblCellMar>
        </w:tblPrEx>
        <w:trPr>
          <w:trHeight w:val="312" w:hRule="atLeast"/>
        </w:trPr>
        <w:tc>
          <w:tcPr>
            <w:tcW w:w="960" w:type="dxa"/>
            <w:vMerge w:val="restart"/>
            <w:tcBorders>
              <w:top w:val="nil"/>
              <w:left w:val="single" w:color="auto" w:sz="4" w:space="0"/>
              <w:bottom w:val="single" w:color="auto" w:sz="4" w:space="0"/>
              <w:right w:val="single" w:color="auto" w:sz="4" w:space="0"/>
            </w:tcBorders>
            <w:shd w:val="clear" w:color="auto" w:fill="auto"/>
            <w:vAlign w:val="center"/>
          </w:tcPr>
          <w:p w14:paraId="2D969BE7">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w:t>
            </w:r>
          </w:p>
        </w:tc>
        <w:tc>
          <w:tcPr>
            <w:tcW w:w="1476" w:type="dxa"/>
            <w:tcBorders>
              <w:top w:val="nil"/>
              <w:left w:val="nil"/>
              <w:bottom w:val="single" w:color="auto" w:sz="4" w:space="0"/>
              <w:right w:val="single" w:color="auto" w:sz="4" w:space="0"/>
            </w:tcBorders>
            <w:shd w:val="clear" w:color="auto" w:fill="auto"/>
            <w:vAlign w:val="center"/>
          </w:tcPr>
          <w:p w14:paraId="1C8F8202">
            <w:pPr>
              <w:widowControl/>
              <w:jc w:val="center"/>
              <w:rPr>
                <w:rFonts w:ascii="宋体" w:hAnsi="宋体" w:cs="宋体"/>
                <w:color w:val="000000"/>
                <w:kern w:val="0"/>
                <w:sz w:val="18"/>
                <w:szCs w:val="18"/>
              </w:rPr>
            </w:pPr>
            <w:r>
              <w:rPr>
                <w:rFonts w:hint="eastAsia" w:ascii="宋体" w:hAnsi="宋体" w:cs="宋体"/>
                <w:color w:val="000000"/>
                <w:kern w:val="0"/>
                <w:sz w:val="18"/>
                <w:szCs w:val="18"/>
              </w:rPr>
              <w:t>城乡建设用地</w:t>
            </w:r>
          </w:p>
        </w:tc>
        <w:tc>
          <w:tcPr>
            <w:tcW w:w="1206" w:type="dxa"/>
            <w:tcBorders>
              <w:top w:val="nil"/>
              <w:left w:val="nil"/>
              <w:bottom w:val="single" w:color="auto" w:sz="4" w:space="0"/>
              <w:right w:val="single" w:color="auto" w:sz="4" w:space="0"/>
            </w:tcBorders>
            <w:shd w:val="clear" w:color="auto" w:fill="auto"/>
            <w:noWrap/>
            <w:vAlign w:val="center"/>
          </w:tcPr>
          <w:p w14:paraId="0BBDCDD1">
            <w:pPr>
              <w:widowControl/>
              <w:jc w:val="center"/>
              <w:rPr>
                <w:rFonts w:ascii="宋体" w:hAnsi="宋体" w:cs="宋体"/>
                <w:color w:val="000000"/>
                <w:kern w:val="0"/>
                <w:sz w:val="18"/>
                <w:szCs w:val="18"/>
              </w:rPr>
            </w:pPr>
            <w:r>
              <w:rPr>
                <w:rFonts w:hint="eastAsia" w:ascii="宋体" w:hAnsi="宋体" w:cs="宋体"/>
                <w:color w:val="000000"/>
                <w:kern w:val="0"/>
                <w:sz w:val="18"/>
                <w:szCs w:val="18"/>
              </w:rPr>
              <w:t>5083.77</w:t>
            </w:r>
          </w:p>
        </w:tc>
        <w:tc>
          <w:tcPr>
            <w:tcW w:w="1026" w:type="dxa"/>
            <w:tcBorders>
              <w:top w:val="nil"/>
              <w:left w:val="nil"/>
              <w:bottom w:val="single" w:color="auto" w:sz="4" w:space="0"/>
              <w:right w:val="single" w:color="auto" w:sz="4" w:space="0"/>
            </w:tcBorders>
            <w:shd w:val="clear" w:color="auto" w:fill="auto"/>
            <w:noWrap/>
            <w:vAlign w:val="center"/>
          </w:tcPr>
          <w:p w14:paraId="54377EF9">
            <w:pPr>
              <w:widowControl/>
              <w:jc w:val="center"/>
              <w:rPr>
                <w:rFonts w:ascii="宋体" w:hAnsi="宋体" w:cs="宋体"/>
                <w:color w:val="000000"/>
                <w:kern w:val="0"/>
                <w:sz w:val="18"/>
                <w:szCs w:val="18"/>
              </w:rPr>
            </w:pPr>
            <w:r>
              <w:rPr>
                <w:rFonts w:hint="eastAsia" w:ascii="宋体" w:hAnsi="宋体" w:cs="宋体"/>
                <w:color w:val="000000"/>
                <w:kern w:val="0"/>
                <w:sz w:val="18"/>
                <w:szCs w:val="18"/>
              </w:rPr>
              <w:t>2.72%</w:t>
            </w:r>
          </w:p>
        </w:tc>
        <w:tc>
          <w:tcPr>
            <w:tcW w:w="1355" w:type="dxa"/>
            <w:tcBorders>
              <w:top w:val="nil"/>
              <w:left w:val="nil"/>
              <w:bottom w:val="single" w:color="auto" w:sz="4" w:space="0"/>
              <w:right w:val="single" w:color="auto" w:sz="4" w:space="0"/>
            </w:tcBorders>
            <w:shd w:val="clear" w:color="auto" w:fill="auto"/>
            <w:noWrap/>
            <w:vAlign w:val="center"/>
          </w:tcPr>
          <w:p w14:paraId="4DD78845">
            <w:pPr>
              <w:widowControl/>
              <w:jc w:val="center"/>
              <w:rPr>
                <w:rFonts w:ascii="宋体" w:hAnsi="宋体" w:cs="宋体"/>
                <w:kern w:val="0"/>
                <w:sz w:val="18"/>
                <w:szCs w:val="18"/>
              </w:rPr>
            </w:pPr>
            <w:r>
              <w:rPr>
                <w:rFonts w:hint="eastAsia" w:ascii="宋体" w:hAnsi="宋体" w:cs="宋体"/>
                <w:kern w:val="0"/>
                <w:sz w:val="18"/>
                <w:szCs w:val="18"/>
              </w:rPr>
              <w:t xml:space="preserve">5352.53 </w:t>
            </w:r>
          </w:p>
        </w:tc>
        <w:tc>
          <w:tcPr>
            <w:tcW w:w="1026" w:type="dxa"/>
            <w:tcBorders>
              <w:top w:val="nil"/>
              <w:left w:val="nil"/>
              <w:bottom w:val="single" w:color="auto" w:sz="4" w:space="0"/>
              <w:right w:val="single" w:color="auto" w:sz="4" w:space="0"/>
            </w:tcBorders>
            <w:shd w:val="clear" w:color="auto" w:fill="auto"/>
            <w:noWrap/>
            <w:vAlign w:val="center"/>
          </w:tcPr>
          <w:p w14:paraId="0266099E">
            <w:pPr>
              <w:widowControl/>
              <w:jc w:val="center"/>
              <w:rPr>
                <w:rFonts w:ascii="宋体" w:hAnsi="宋体" w:cs="宋体"/>
                <w:color w:val="000000"/>
                <w:kern w:val="0"/>
                <w:sz w:val="18"/>
                <w:szCs w:val="18"/>
              </w:rPr>
            </w:pPr>
            <w:r>
              <w:rPr>
                <w:rFonts w:hint="eastAsia" w:ascii="宋体" w:hAnsi="宋体" w:cs="宋体"/>
                <w:color w:val="000000"/>
                <w:kern w:val="0"/>
                <w:sz w:val="18"/>
                <w:szCs w:val="18"/>
              </w:rPr>
              <w:t>2.87%</w:t>
            </w:r>
          </w:p>
        </w:tc>
        <w:tc>
          <w:tcPr>
            <w:tcW w:w="1206" w:type="dxa"/>
            <w:tcBorders>
              <w:top w:val="nil"/>
              <w:left w:val="nil"/>
              <w:bottom w:val="single" w:color="auto" w:sz="4" w:space="0"/>
              <w:right w:val="single" w:color="auto" w:sz="4" w:space="0"/>
            </w:tcBorders>
            <w:shd w:val="clear" w:color="auto" w:fill="auto"/>
            <w:vAlign w:val="center"/>
          </w:tcPr>
          <w:p w14:paraId="31ECBCC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268.76 </w:t>
            </w:r>
          </w:p>
        </w:tc>
        <w:tc>
          <w:tcPr>
            <w:tcW w:w="1113" w:type="dxa"/>
            <w:tcBorders>
              <w:top w:val="nil"/>
              <w:left w:val="nil"/>
              <w:bottom w:val="single" w:color="auto" w:sz="4" w:space="0"/>
              <w:right w:val="single" w:color="auto" w:sz="4" w:space="0"/>
            </w:tcBorders>
            <w:shd w:val="clear" w:color="auto" w:fill="auto"/>
            <w:vAlign w:val="center"/>
          </w:tcPr>
          <w:p w14:paraId="4356FF90">
            <w:pPr>
              <w:widowControl/>
              <w:jc w:val="center"/>
              <w:rPr>
                <w:rFonts w:ascii="宋体" w:hAnsi="宋体" w:cs="宋体"/>
                <w:color w:val="000000"/>
                <w:kern w:val="0"/>
                <w:sz w:val="18"/>
                <w:szCs w:val="18"/>
              </w:rPr>
            </w:pPr>
            <w:r>
              <w:rPr>
                <w:rFonts w:hint="eastAsia" w:ascii="宋体" w:hAnsi="宋体" w:cs="宋体"/>
                <w:color w:val="000000"/>
                <w:kern w:val="0"/>
                <w:sz w:val="18"/>
                <w:szCs w:val="18"/>
              </w:rPr>
              <w:t>0.15%</w:t>
            </w:r>
          </w:p>
        </w:tc>
      </w:tr>
      <w:tr w14:paraId="533B87EF">
        <w:tblPrEx>
          <w:tblCellMar>
            <w:top w:w="0" w:type="dxa"/>
            <w:left w:w="108" w:type="dxa"/>
            <w:bottom w:w="0" w:type="dxa"/>
            <w:right w:w="108" w:type="dxa"/>
          </w:tblCellMar>
        </w:tblPrEx>
        <w:trPr>
          <w:trHeight w:val="312" w:hRule="atLeast"/>
        </w:trPr>
        <w:tc>
          <w:tcPr>
            <w:tcW w:w="960" w:type="dxa"/>
            <w:vMerge w:val="continue"/>
            <w:tcBorders>
              <w:top w:val="nil"/>
              <w:left w:val="single" w:color="auto" w:sz="4" w:space="0"/>
              <w:bottom w:val="single" w:color="auto" w:sz="4" w:space="0"/>
              <w:right w:val="single" w:color="auto" w:sz="4" w:space="0"/>
            </w:tcBorders>
            <w:vAlign w:val="center"/>
          </w:tcPr>
          <w:p w14:paraId="781D45E7">
            <w:pPr>
              <w:widowControl/>
              <w:jc w:val="left"/>
              <w:rPr>
                <w:rFonts w:ascii="宋体" w:hAnsi="宋体" w:cs="宋体"/>
                <w:color w:val="000000"/>
                <w:kern w:val="0"/>
                <w:sz w:val="18"/>
                <w:szCs w:val="18"/>
              </w:rPr>
            </w:pPr>
          </w:p>
        </w:tc>
        <w:tc>
          <w:tcPr>
            <w:tcW w:w="1476" w:type="dxa"/>
            <w:tcBorders>
              <w:top w:val="nil"/>
              <w:left w:val="nil"/>
              <w:bottom w:val="single" w:color="auto" w:sz="4" w:space="0"/>
              <w:right w:val="single" w:color="auto" w:sz="4" w:space="0"/>
            </w:tcBorders>
            <w:shd w:val="clear" w:color="auto" w:fill="auto"/>
            <w:vAlign w:val="center"/>
          </w:tcPr>
          <w:p w14:paraId="55FD1601">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交通水利用地</w:t>
            </w:r>
          </w:p>
        </w:tc>
        <w:tc>
          <w:tcPr>
            <w:tcW w:w="1206" w:type="dxa"/>
            <w:tcBorders>
              <w:top w:val="nil"/>
              <w:left w:val="nil"/>
              <w:bottom w:val="single" w:color="auto" w:sz="4" w:space="0"/>
              <w:right w:val="single" w:color="auto" w:sz="4" w:space="0"/>
            </w:tcBorders>
            <w:shd w:val="clear" w:color="auto" w:fill="auto"/>
            <w:noWrap/>
            <w:vAlign w:val="center"/>
          </w:tcPr>
          <w:p w14:paraId="23DA6AB1">
            <w:pPr>
              <w:widowControl/>
              <w:jc w:val="center"/>
              <w:rPr>
                <w:rFonts w:ascii="宋体" w:hAnsi="宋体" w:cs="宋体"/>
                <w:color w:val="000000"/>
                <w:kern w:val="0"/>
                <w:sz w:val="18"/>
                <w:szCs w:val="18"/>
              </w:rPr>
            </w:pPr>
            <w:r>
              <w:rPr>
                <w:rFonts w:hint="eastAsia" w:ascii="宋体" w:hAnsi="宋体" w:cs="宋体"/>
                <w:color w:val="000000"/>
                <w:kern w:val="0"/>
                <w:sz w:val="18"/>
                <w:szCs w:val="18"/>
              </w:rPr>
              <w:t>1664.21</w:t>
            </w:r>
          </w:p>
        </w:tc>
        <w:tc>
          <w:tcPr>
            <w:tcW w:w="1026" w:type="dxa"/>
            <w:tcBorders>
              <w:top w:val="nil"/>
              <w:left w:val="nil"/>
              <w:bottom w:val="single" w:color="auto" w:sz="4" w:space="0"/>
              <w:right w:val="single" w:color="auto" w:sz="4" w:space="0"/>
            </w:tcBorders>
            <w:shd w:val="clear" w:color="auto" w:fill="auto"/>
            <w:noWrap/>
            <w:vAlign w:val="center"/>
          </w:tcPr>
          <w:p w14:paraId="3FC3B69C">
            <w:pPr>
              <w:widowControl/>
              <w:jc w:val="center"/>
              <w:rPr>
                <w:rFonts w:ascii="宋体" w:hAnsi="宋体" w:cs="宋体"/>
                <w:color w:val="000000"/>
                <w:kern w:val="0"/>
                <w:sz w:val="18"/>
                <w:szCs w:val="18"/>
              </w:rPr>
            </w:pPr>
            <w:r>
              <w:rPr>
                <w:rFonts w:hint="eastAsia" w:ascii="宋体" w:hAnsi="宋体" w:cs="宋体"/>
                <w:color w:val="000000"/>
                <w:kern w:val="0"/>
                <w:sz w:val="18"/>
                <w:szCs w:val="18"/>
              </w:rPr>
              <w:t>0.89%</w:t>
            </w:r>
          </w:p>
        </w:tc>
        <w:tc>
          <w:tcPr>
            <w:tcW w:w="1355" w:type="dxa"/>
            <w:tcBorders>
              <w:top w:val="nil"/>
              <w:left w:val="nil"/>
              <w:bottom w:val="single" w:color="auto" w:sz="4" w:space="0"/>
              <w:right w:val="single" w:color="auto" w:sz="4" w:space="0"/>
            </w:tcBorders>
            <w:shd w:val="clear" w:color="auto" w:fill="auto"/>
            <w:noWrap/>
            <w:vAlign w:val="center"/>
          </w:tcPr>
          <w:p w14:paraId="4C25A73A">
            <w:pPr>
              <w:widowControl/>
              <w:jc w:val="center"/>
              <w:rPr>
                <w:rFonts w:ascii="宋体" w:hAnsi="宋体" w:cs="宋体"/>
                <w:kern w:val="0"/>
                <w:sz w:val="18"/>
                <w:szCs w:val="18"/>
              </w:rPr>
            </w:pPr>
            <w:r>
              <w:rPr>
                <w:rFonts w:hint="eastAsia" w:ascii="宋体" w:hAnsi="宋体" w:cs="宋体"/>
                <w:kern w:val="0"/>
                <w:sz w:val="18"/>
                <w:szCs w:val="18"/>
              </w:rPr>
              <w:t xml:space="preserve">741.85 </w:t>
            </w:r>
          </w:p>
        </w:tc>
        <w:tc>
          <w:tcPr>
            <w:tcW w:w="1026" w:type="dxa"/>
            <w:tcBorders>
              <w:top w:val="nil"/>
              <w:left w:val="nil"/>
              <w:bottom w:val="single" w:color="auto" w:sz="4" w:space="0"/>
              <w:right w:val="single" w:color="auto" w:sz="4" w:space="0"/>
            </w:tcBorders>
            <w:shd w:val="clear" w:color="auto" w:fill="auto"/>
            <w:noWrap/>
            <w:vAlign w:val="center"/>
          </w:tcPr>
          <w:p w14:paraId="2B619474">
            <w:pPr>
              <w:widowControl/>
              <w:jc w:val="center"/>
              <w:rPr>
                <w:rFonts w:ascii="宋体" w:hAnsi="宋体" w:cs="宋体"/>
                <w:color w:val="000000"/>
                <w:kern w:val="0"/>
                <w:sz w:val="18"/>
                <w:szCs w:val="18"/>
              </w:rPr>
            </w:pPr>
            <w:r>
              <w:rPr>
                <w:rFonts w:hint="eastAsia" w:ascii="宋体" w:hAnsi="宋体" w:cs="宋体"/>
                <w:color w:val="000000"/>
                <w:kern w:val="0"/>
                <w:sz w:val="18"/>
                <w:szCs w:val="18"/>
              </w:rPr>
              <w:t>0.40%</w:t>
            </w:r>
          </w:p>
        </w:tc>
        <w:tc>
          <w:tcPr>
            <w:tcW w:w="1206" w:type="dxa"/>
            <w:tcBorders>
              <w:top w:val="nil"/>
              <w:left w:val="nil"/>
              <w:bottom w:val="single" w:color="auto" w:sz="4" w:space="0"/>
              <w:right w:val="single" w:color="auto" w:sz="4" w:space="0"/>
            </w:tcBorders>
            <w:shd w:val="clear" w:color="auto" w:fill="auto"/>
            <w:vAlign w:val="center"/>
          </w:tcPr>
          <w:p w14:paraId="5AD6054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-922.36 </w:t>
            </w:r>
          </w:p>
        </w:tc>
        <w:tc>
          <w:tcPr>
            <w:tcW w:w="1113" w:type="dxa"/>
            <w:tcBorders>
              <w:top w:val="nil"/>
              <w:left w:val="nil"/>
              <w:bottom w:val="single" w:color="auto" w:sz="4" w:space="0"/>
              <w:right w:val="single" w:color="auto" w:sz="4" w:space="0"/>
            </w:tcBorders>
            <w:shd w:val="clear" w:color="auto" w:fill="auto"/>
            <w:vAlign w:val="center"/>
          </w:tcPr>
          <w:p w14:paraId="32B03EB2">
            <w:pPr>
              <w:widowControl/>
              <w:jc w:val="center"/>
              <w:rPr>
                <w:rFonts w:ascii="宋体" w:hAnsi="宋体" w:cs="宋体"/>
                <w:color w:val="000000"/>
                <w:kern w:val="0"/>
                <w:sz w:val="18"/>
                <w:szCs w:val="18"/>
              </w:rPr>
            </w:pPr>
            <w:r>
              <w:rPr>
                <w:rFonts w:hint="eastAsia" w:ascii="宋体" w:hAnsi="宋体" w:cs="宋体"/>
                <w:color w:val="000000"/>
                <w:kern w:val="0"/>
                <w:sz w:val="18"/>
                <w:szCs w:val="18"/>
              </w:rPr>
              <w:t>-0.49%</w:t>
            </w:r>
          </w:p>
        </w:tc>
      </w:tr>
      <w:tr w14:paraId="6DD9E1CC">
        <w:tblPrEx>
          <w:tblCellMar>
            <w:top w:w="0" w:type="dxa"/>
            <w:left w:w="108" w:type="dxa"/>
            <w:bottom w:w="0" w:type="dxa"/>
            <w:right w:w="108" w:type="dxa"/>
          </w:tblCellMar>
        </w:tblPrEx>
        <w:trPr>
          <w:trHeight w:val="312" w:hRule="atLeast"/>
        </w:trPr>
        <w:tc>
          <w:tcPr>
            <w:tcW w:w="960" w:type="dxa"/>
            <w:vMerge w:val="continue"/>
            <w:tcBorders>
              <w:top w:val="nil"/>
              <w:left w:val="single" w:color="auto" w:sz="4" w:space="0"/>
              <w:bottom w:val="single" w:color="auto" w:sz="4" w:space="0"/>
              <w:right w:val="single" w:color="auto" w:sz="4" w:space="0"/>
            </w:tcBorders>
            <w:vAlign w:val="center"/>
          </w:tcPr>
          <w:p w14:paraId="618DB635">
            <w:pPr>
              <w:widowControl/>
              <w:jc w:val="left"/>
              <w:rPr>
                <w:rFonts w:ascii="宋体" w:hAnsi="宋体" w:cs="宋体"/>
                <w:color w:val="000000"/>
                <w:kern w:val="0"/>
                <w:sz w:val="18"/>
                <w:szCs w:val="18"/>
              </w:rPr>
            </w:pPr>
          </w:p>
        </w:tc>
        <w:tc>
          <w:tcPr>
            <w:tcW w:w="1476" w:type="dxa"/>
            <w:tcBorders>
              <w:top w:val="nil"/>
              <w:left w:val="nil"/>
              <w:bottom w:val="single" w:color="auto" w:sz="4" w:space="0"/>
              <w:right w:val="single" w:color="auto" w:sz="4" w:space="0"/>
            </w:tcBorders>
            <w:shd w:val="clear" w:color="auto" w:fill="auto"/>
            <w:vAlign w:val="center"/>
          </w:tcPr>
          <w:p w14:paraId="3F83E428">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其他建设用地</w:t>
            </w:r>
          </w:p>
        </w:tc>
        <w:tc>
          <w:tcPr>
            <w:tcW w:w="1206" w:type="dxa"/>
            <w:tcBorders>
              <w:top w:val="nil"/>
              <w:left w:val="nil"/>
              <w:bottom w:val="single" w:color="auto" w:sz="4" w:space="0"/>
              <w:right w:val="single" w:color="auto" w:sz="4" w:space="0"/>
            </w:tcBorders>
            <w:shd w:val="clear" w:color="auto" w:fill="auto"/>
            <w:noWrap/>
            <w:vAlign w:val="center"/>
          </w:tcPr>
          <w:p w14:paraId="19ACC3D5">
            <w:pPr>
              <w:widowControl/>
              <w:jc w:val="center"/>
              <w:rPr>
                <w:rFonts w:ascii="宋体" w:hAnsi="宋体" w:cs="宋体"/>
                <w:color w:val="000000"/>
                <w:kern w:val="0"/>
                <w:sz w:val="18"/>
                <w:szCs w:val="18"/>
              </w:rPr>
            </w:pPr>
            <w:r>
              <w:rPr>
                <w:rFonts w:hint="eastAsia" w:ascii="宋体" w:hAnsi="宋体" w:cs="宋体"/>
                <w:color w:val="000000"/>
                <w:kern w:val="0"/>
                <w:sz w:val="18"/>
                <w:szCs w:val="18"/>
              </w:rPr>
              <w:t>237.93</w:t>
            </w:r>
          </w:p>
        </w:tc>
        <w:tc>
          <w:tcPr>
            <w:tcW w:w="1026" w:type="dxa"/>
            <w:tcBorders>
              <w:top w:val="nil"/>
              <w:left w:val="nil"/>
              <w:bottom w:val="single" w:color="auto" w:sz="4" w:space="0"/>
              <w:right w:val="single" w:color="auto" w:sz="4" w:space="0"/>
            </w:tcBorders>
            <w:shd w:val="clear" w:color="auto" w:fill="auto"/>
            <w:noWrap/>
            <w:vAlign w:val="center"/>
          </w:tcPr>
          <w:p w14:paraId="1ED65DF5">
            <w:pPr>
              <w:widowControl/>
              <w:jc w:val="center"/>
              <w:rPr>
                <w:rFonts w:ascii="宋体" w:hAnsi="宋体" w:cs="宋体"/>
                <w:color w:val="000000"/>
                <w:kern w:val="0"/>
                <w:sz w:val="18"/>
                <w:szCs w:val="18"/>
              </w:rPr>
            </w:pPr>
            <w:r>
              <w:rPr>
                <w:rFonts w:hint="eastAsia" w:ascii="宋体" w:hAnsi="宋体" w:cs="宋体"/>
                <w:color w:val="000000"/>
                <w:kern w:val="0"/>
                <w:sz w:val="18"/>
                <w:szCs w:val="18"/>
              </w:rPr>
              <w:t>0.13%</w:t>
            </w:r>
          </w:p>
        </w:tc>
        <w:tc>
          <w:tcPr>
            <w:tcW w:w="1355" w:type="dxa"/>
            <w:tcBorders>
              <w:top w:val="nil"/>
              <w:left w:val="nil"/>
              <w:bottom w:val="single" w:color="auto" w:sz="4" w:space="0"/>
              <w:right w:val="single" w:color="auto" w:sz="4" w:space="0"/>
            </w:tcBorders>
            <w:shd w:val="clear" w:color="auto" w:fill="auto"/>
            <w:noWrap/>
            <w:vAlign w:val="center"/>
          </w:tcPr>
          <w:p w14:paraId="6AC22B2A">
            <w:pPr>
              <w:widowControl/>
              <w:jc w:val="center"/>
              <w:rPr>
                <w:rFonts w:ascii="宋体" w:hAnsi="宋体" w:cs="宋体"/>
                <w:kern w:val="0"/>
                <w:sz w:val="18"/>
                <w:szCs w:val="18"/>
              </w:rPr>
            </w:pPr>
            <w:r>
              <w:rPr>
                <w:rFonts w:hint="eastAsia" w:ascii="宋体" w:hAnsi="宋体" w:cs="宋体"/>
                <w:kern w:val="0"/>
                <w:sz w:val="18"/>
                <w:szCs w:val="18"/>
              </w:rPr>
              <w:t xml:space="preserve">45.63 </w:t>
            </w:r>
          </w:p>
        </w:tc>
        <w:tc>
          <w:tcPr>
            <w:tcW w:w="1026" w:type="dxa"/>
            <w:tcBorders>
              <w:top w:val="nil"/>
              <w:left w:val="nil"/>
              <w:bottom w:val="single" w:color="auto" w:sz="4" w:space="0"/>
              <w:right w:val="single" w:color="auto" w:sz="4" w:space="0"/>
            </w:tcBorders>
            <w:shd w:val="clear" w:color="auto" w:fill="auto"/>
            <w:noWrap/>
            <w:vAlign w:val="center"/>
          </w:tcPr>
          <w:p w14:paraId="3F97C49B">
            <w:pPr>
              <w:widowControl/>
              <w:jc w:val="center"/>
              <w:rPr>
                <w:rFonts w:ascii="宋体" w:hAnsi="宋体" w:cs="宋体"/>
                <w:color w:val="000000"/>
                <w:kern w:val="0"/>
                <w:sz w:val="18"/>
                <w:szCs w:val="18"/>
              </w:rPr>
            </w:pPr>
            <w:r>
              <w:rPr>
                <w:rFonts w:hint="eastAsia" w:ascii="宋体" w:hAnsi="宋体" w:cs="宋体"/>
                <w:color w:val="000000"/>
                <w:kern w:val="0"/>
                <w:sz w:val="18"/>
                <w:szCs w:val="18"/>
              </w:rPr>
              <w:t>0.02%</w:t>
            </w:r>
          </w:p>
        </w:tc>
        <w:tc>
          <w:tcPr>
            <w:tcW w:w="1206" w:type="dxa"/>
            <w:tcBorders>
              <w:top w:val="nil"/>
              <w:left w:val="nil"/>
              <w:bottom w:val="single" w:color="auto" w:sz="4" w:space="0"/>
              <w:right w:val="single" w:color="auto" w:sz="4" w:space="0"/>
            </w:tcBorders>
            <w:shd w:val="clear" w:color="auto" w:fill="auto"/>
            <w:vAlign w:val="center"/>
          </w:tcPr>
          <w:p w14:paraId="4301473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-192.30 </w:t>
            </w:r>
          </w:p>
        </w:tc>
        <w:tc>
          <w:tcPr>
            <w:tcW w:w="1113" w:type="dxa"/>
            <w:tcBorders>
              <w:top w:val="nil"/>
              <w:left w:val="nil"/>
              <w:bottom w:val="single" w:color="auto" w:sz="4" w:space="0"/>
              <w:right w:val="single" w:color="auto" w:sz="4" w:space="0"/>
            </w:tcBorders>
            <w:shd w:val="clear" w:color="auto" w:fill="auto"/>
            <w:vAlign w:val="center"/>
          </w:tcPr>
          <w:p w14:paraId="3132EC49">
            <w:pPr>
              <w:widowControl/>
              <w:jc w:val="center"/>
              <w:rPr>
                <w:rFonts w:ascii="宋体" w:hAnsi="宋体" w:cs="宋体"/>
                <w:color w:val="000000"/>
                <w:kern w:val="0"/>
                <w:sz w:val="18"/>
                <w:szCs w:val="18"/>
              </w:rPr>
            </w:pPr>
            <w:r>
              <w:rPr>
                <w:rFonts w:hint="eastAsia" w:ascii="宋体" w:hAnsi="宋体" w:cs="宋体"/>
                <w:color w:val="000000"/>
                <w:kern w:val="0"/>
                <w:sz w:val="18"/>
                <w:szCs w:val="18"/>
              </w:rPr>
              <w:t>-0.11%</w:t>
            </w:r>
          </w:p>
        </w:tc>
      </w:tr>
      <w:tr w14:paraId="18AAA9A0">
        <w:tblPrEx>
          <w:tblCellMar>
            <w:top w:w="0" w:type="dxa"/>
            <w:left w:w="108" w:type="dxa"/>
            <w:bottom w:w="0" w:type="dxa"/>
            <w:right w:w="108" w:type="dxa"/>
          </w:tblCellMar>
        </w:tblPrEx>
        <w:trPr>
          <w:trHeight w:val="312" w:hRule="atLeast"/>
        </w:trPr>
        <w:tc>
          <w:tcPr>
            <w:tcW w:w="960" w:type="dxa"/>
            <w:vMerge w:val="continue"/>
            <w:tcBorders>
              <w:top w:val="nil"/>
              <w:left w:val="single" w:color="auto" w:sz="4" w:space="0"/>
              <w:bottom w:val="single" w:color="auto" w:sz="4" w:space="0"/>
              <w:right w:val="single" w:color="auto" w:sz="4" w:space="0"/>
            </w:tcBorders>
            <w:vAlign w:val="center"/>
          </w:tcPr>
          <w:p w14:paraId="0246EBC9">
            <w:pPr>
              <w:widowControl/>
              <w:jc w:val="left"/>
              <w:rPr>
                <w:rFonts w:ascii="宋体" w:hAnsi="宋体" w:cs="宋体"/>
                <w:color w:val="000000"/>
                <w:kern w:val="0"/>
                <w:sz w:val="18"/>
                <w:szCs w:val="18"/>
              </w:rPr>
            </w:pPr>
          </w:p>
        </w:tc>
        <w:tc>
          <w:tcPr>
            <w:tcW w:w="1476" w:type="dxa"/>
            <w:tcBorders>
              <w:top w:val="nil"/>
              <w:left w:val="nil"/>
              <w:bottom w:val="single" w:color="auto" w:sz="4" w:space="0"/>
              <w:right w:val="single" w:color="auto" w:sz="4" w:space="0"/>
            </w:tcBorders>
            <w:shd w:val="clear" w:color="auto" w:fill="auto"/>
            <w:vAlign w:val="center"/>
          </w:tcPr>
          <w:p w14:paraId="44A25877">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1206" w:type="dxa"/>
            <w:tcBorders>
              <w:top w:val="nil"/>
              <w:left w:val="nil"/>
              <w:bottom w:val="single" w:color="auto" w:sz="4" w:space="0"/>
              <w:right w:val="single" w:color="auto" w:sz="4" w:space="0"/>
            </w:tcBorders>
            <w:shd w:val="clear" w:color="auto" w:fill="auto"/>
            <w:noWrap/>
            <w:vAlign w:val="center"/>
          </w:tcPr>
          <w:p w14:paraId="41CD641C">
            <w:pPr>
              <w:widowControl/>
              <w:jc w:val="center"/>
              <w:rPr>
                <w:rFonts w:ascii="宋体" w:hAnsi="宋体" w:cs="宋体"/>
                <w:color w:val="000000"/>
                <w:kern w:val="0"/>
                <w:sz w:val="18"/>
                <w:szCs w:val="18"/>
              </w:rPr>
            </w:pPr>
            <w:r>
              <w:rPr>
                <w:rFonts w:hint="eastAsia" w:ascii="宋体" w:hAnsi="宋体" w:cs="宋体"/>
                <w:color w:val="000000"/>
                <w:kern w:val="0"/>
                <w:sz w:val="18"/>
                <w:szCs w:val="18"/>
              </w:rPr>
              <w:t>6985.91</w:t>
            </w:r>
          </w:p>
        </w:tc>
        <w:tc>
          <w:tcPr>
            <w:tcW w:w="1026" w:type="dxa"/>
            <w:tcBorders>
              <w:top w:val="nil"/>
              <w:left w:val="nil"/>
              <w:bottom w:val="single" w:color="auto" w:sz="4" w:space="0"/>
              <w:right w:val="single" w:color="auto" w:sz="4" w:space="0"/>
            </w:tcBorders>
            <w:shd w:val="clear" w:color="auto" w:fill="auto"/>
            <w:noWrap/>
            <w:vAlign w:val="center"/>
          </w:tcPr>
          <w:p w14:paraId="66634EB1">
            <w:pPr>
              <w:widowControl/>
              <w:jc w:val="center"/>
              <w:rPr>
                <w:rFonts w:ascii="宋体" w:hAnsi="宋体" w:cs="宋体"/>
                <w:color w:val="000000"/>
                <w:kern w:val="0"/>
                <w:sz w:val="18"/>
                <w:szCs w:val="18"/>
              </w:rPr>
            </w:pPr>
            <w:r>
              <w:rPr>
                <w:rFonts w:hint="eastAsia" w:ascii="宋体" w:hAnsi="宋体" w:cs="宋体"/>
                <w:color w:val="000000"/>
                <w:kern w:val="0"/>
                <w:sz w:val="18"/>
                <w:szCs w:val="18"/>
              </w:rPr>
              <w:t>3.74%</w:t>
            </w:r>
          </w:p>
        </w:tc>
        <w:tc>
          <w:tcPr>
            <w:tcW w:w="1355" w:type="dxa"/>
            <w:tcBorders>
              <w:top w:val="nil"/>
              <w:left w:val="nil"/>
              <w:bottom w:val="single" w:color="auto" w:sz="4" w:space="0"/>
              <w:right w:val="single" w:color="auto" w:sz="4" w:space="0"/>
            </w:tcBorders>
            <w:shd w:val="clear" w:color="auto" w:fill="auto"/>
            <w:noWrap/>
            <w:vAlign w:val="center"/>
          </w:tcPr>
          <w:p w14:paraId="1A696D99">
            <w:pPr>
              <w:widowControl/>
              <w:jc w:val="center"/>
              <w:rPr>
                <w:rFonts w:ascii="宋体" w:hAnsi="宋体" w:cs="宋体"/>
                <w:kern w:val="0"/>
                <w:sz w:val="18"/>
                <w:szCs w:val="18"/>
              </w:rPr>
            </w:pPr>
            <w:r>
              <w:rPr>
                <w:rFonts w:hint="eastAsia" w:ascii="宋体" w:hAnsi="宋体" w:cs="宋体"/>
                <w:kern w:val="0"/>
                <w:sz w:val="18"/>
                <w:szCs w:val="18"/>
              </w:rPr>
              <w:t xml:space="preserve">6140.01 </w:t>
            </w:r>
          </w:p>
        </w:tc>
        <w:tc>
          <w:tcPr>
            <w:tcW w:w="1026" w:type="dxa"/>
            <w:tcBorders>
              <w:top w:val="nil"/>
              <w:left w:val="nil"/>
              <w:bottom w:val="single" w:color="auto" w:sz="4" w:space="0"/>
              <w:right w:val="single" w:color="auto" w:sz="4" w:space="0"/>
            </w:tcBorders>
            <w:shd w:val="clear" w:color="auto" w:fill="auto"/>
            <w:vAlign w:val="center"/>
          </w:tcPr>
          <w:p w14:paraId="65D98324">
            <w:pPr>
              <w:widowControl/>
              <w:jc w:val="center"/>
              <w:rPr>
                <w:rFonts w:ascii="宋体" w:hAnsi="宋体" w:cs="宋体"/>
                <w:color w:val="000000"/>
                <w:kern w:val="0"/>
                <w:sz w:val="18"/>
                <w:szCs w:val="18"/>
              </w:rPr>
            </w:pPr>
            <w:r>
              <w:rPr>
                <w:rFonts w:hint="eastAsia" w:ascii="宋体" w:hAnsi="宋体" w:cs="宋体"/>
                <w:color w:val="000000"/>
                <w:kern w:val="0"/>
                <w:sz w:val="18"/>
                <w:szCs w:val="18"/>
              </w:rPr>
              <w:t>3.29%</w:t>
            </w:r>
          </w:p>
        </w:tc>
        <w:tc>
          <w:tcPr>
            <w:tcW w:w="1206" w:type="dxa"/>
            <w:tcBorders>
              <w:top w:val="nil"/>
              <w:left w:val="nil"/>
              <w:bottom w:val="single" w:color="auto" w:sz="4" w:space="0"/>
              <w:right w:val="single" w:color="auto" w:sz="4" w:space="0"/>
            </w:tcBorders>
            <w:shd w:val="clear" w:color="auto" w:fill="auto"/>
            <w:vAlign w:val="center"/>
          </w:tcPr>
          <w:p w14:paraId="4FB4216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-845.90 </w:t>
            </w:r>
          </w:p>
        </w:tc>
        <w:tc>
          <w:tcPr>
            <w:tcW w:w="1113" w:type="dxa"/>
            <w:tcBorders>
              <w:top w:val="nil"/>
              <w:left w:val="nil"/>
              <w:bottom w:val="single" w:color="auto" w:sz="4" w:space="0"/>
              <w:right w:val="single" w:color="auto" w:sz="4" w:space="0"/>
            </w:tcBorders>
            <w:shd w:val="clear" w:color="auto" w:fill="auto"/>
            <w:vAlign w:val="center"/>
          </w:tcPr>
          <w:p w14:paraId="0023286B">
            <w:pPr>
              <w:widowControl/>
              <w:jc w:val="center"/>
              <w:rPr>
                <w:rFonts w:ascii="宋体" w:hAnsi="宋体" w:cs="宋体"/>
                <w:color w:val="000000"/>
                <w:kern w:val="0"/>
                <w:sz w:val="18"/>
                <w:szCs w:val="18"/>
              </w:rPr>
            </w:pPr>
            <w:r>
              <w:rPr>
                <w:rFonts w:hint="eastAsia" w:ascii="宋体" w:hAnsi="宋体" w:cs="宋体"/>
                <w:color w:val="000000"/>
                <w:kern w:val="0"/>
                <w:sz w:val="18"/>
                <w:szCs w:val="18"/>
              </w:rPr>
              <w:t>-0.45%</w:t>
            </w:r>
          </w:p>
        </w:tc>
      </w:tr>
      <w:tr w14:paraId="346D65EE">
        <w:tblPrEx>
          <w:tblCellMar>
            <w:top w:w="0" w:type="dxa"/>
            <w:left w:w="108" w:type="dxa"/>
            <w:bottom w:w="0" w:type="dxa"/>
            <w:right w:w="108" w:type="dxa"/>
          </w:tblCellMar>
        </w:tblPrEx>
        <w:trPr>
          <w:trHeight w:val="312" w:hRule="atLeast"/>
        </w:trPr>
        <w:tc>
          <w:tcPr>
            <w:tcW w:w="960" w:type="dxa"/>
            <w:vMerge w:val="restart"/>
            <w:tcBorders>
              <w:top w:val="nil"/>
              <w:left w:val="single" w:color="auto" w:sz="4" w:space="0"/>
              <w:bottom w:val="single" w:color="auto" w:sz="4" w:space="0"/>
              <w:right w:val="single" w:color="auto" w:sz="4" w:space="0"/>
            </w:tcBorders>
            <w:shd w:val="clear" w:color="auto" w:fill="auto"/>
            <w:vAlign w:val="center"/>
          </w:tcPr>
          <w:p w14:paraId="22DE5B13">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其他土地</w:t>
            </w:r>
          </w:p>
        </w:tc>
        <w:tc>
          <w:tcPr>
            <w:tcW w:w="1476" w:type="dxa"/>
            <w:tcBorders>
              <w:top w:val="nil"/>
              <w:left w:val="nil"/>
              <w:bottom w:val="single" w:color="auto" w:sz="4" w:space="0"/>
              <w:right w:val="single" w:color="auto" w:sz="4" w:space="0"/>
            </w:tcBorders>
            <w:shd w:val="clear" w:color="auto" w:fill="auto"/>
            <w:vAlign w:val="center"/>
          </w:tcPr>
          <w:p w14:paraId="1C6562BB">
            <w:pPr>
              <w:widowControl/>
              <w:jc w:val="center"/>
              <w:rPr>
                <w:rFonts w:ascii="宋体" w:hAnsi="宋体" w:cs="宋体"/>
                <w:color w:val="000000"/>
                <w:kern w:val="0"/>
                <w:sz w:val="18"/>
                <w:szCs w:val="18"/>
              </w:rPr>
            </w:pPr>
            <w:r>
              <w:rPr>
                <w:rFonts w:hint="eastAsia" w:ascii="宋体" w:hAnsi="宋体" w:cs="宋体"/>
                <w:color w:val="000000"/>
                <w:kern w:val="0"/>
                <w:sz w:val="18"/>
                <w:szCs w:val="18"/>
              </w:rPr>
              <w:t>水域</w:t>
            </w:r>
          </w:p>
        </w:tc>
        <w:tc>
          <w:tcPr>
            <w:tcW w:w="1206" w:type="dxa"/>
            <w:tcBorders>
              <w:top w:val="nil"/>
              <w:left w:val="nil"/>
              <w:bottom w:val="single" w:color="auto" w:sz="4" w:space="0"/>
              <w:right w:val="single" w:color="auto" w:sz="4" w:space="0"/>
            </w:tcBorders>
            <w:shd w:val="clear" w:color="auto" w:fill="auto"/>
            <w:noWrap/>
            <w:vAlign w:val="center"/>
          </w:tcPr>
          <w:p w14:paraId="6C72EFAA">
            <w:pPr>
              <w:widowControl/>
              <w:jc w:val="center"/>
              <w:rPr>
                <w:rFonts w:ascii="宋体" w:hAnsi="宋体" w:cs="宋体"/>
                <w:color w:val="000000"/>
                <w:kern w:val="0"/>
                <w:sz w:val="18"/>
                <w:szCs w:val="18"/>
              </w:rPr>
            </w:pPr>
            <w:r>
              <w:rPr>
                <w:rFonts w:hint="eastAsia" w:ascii="宋体" w:hAnsi="宋体" w:cs="宋体"/>
                <w:color w:val="000000"/>
                <w:kern w:val="0"/>
                <w:sz w:val="18"/>
                <w:szCs w:val="18"/>
              </w:rPr>
              <w:t>3660.04</w:t>
            </w:r>
          </w:p>
        </w:tc>
        <w:tc>
          <w:tcPr>
            <w:tcW w:w="1026" w:type="dxa"/>
            <w:tcBorders>
              <w:top w:val="nil"/>
              <w:left w:val="nil"/>
              <w:bottom w:val="single" w:color="auto" w:sz="4" w:space="0"/>
              <w:right w:val="single" w:color="auto" w:sz="4" w:space="0"/>
            </w:tcBorders>
            <w:shd w:val="clear" w:color="auto" w:fill="auto"/>
            <w:noWrap/>
            <w:vAlign w:val="center"/>
          </w:tcPr>
          <w:p w14:paraId="595F9B97">
            <w:pPr>
              <w:widowControl/>
              <w:jc w:val="center"/>
              <w:rPr>
                <w:rFonts w:ascii="宋体" w:hAnsi="宋体" w:cs="宋体"/>
                <w:color w:val="000000"/>
                <w:kern w:val="0"/>
                <w:sz w:val="18"/>
                <w:szCs w:val="18"/>
              </w:rPr>
            </w:pPr>
            <w:r>
              <w:rPr>
                <w:rFonts w:hint="eastAsia" w:ascii="宋体" w:hAnsi="宋体" w:cs="宋体"/>
                <w:color w:val="000000"/>
                <w:kern w:val="0"/>
                <w:sz w:val="18"/>
                <w:szCs w:val="18"/>
              </w:rPr>
              <w:t>1.96%</w:t>
            </w:r>
          </w:p>
        </w:tc>
        <w:tc>
          <w:tcPr>
            <w:tcW w:w="1355" w:type="dxa"/>
            <w:tcBorders>
              <w:top w:val="nil"/>
              <w:left w:val="nil"/>
              <w:bottom w:val="single" w:color="auto" w:sz="4" w:space="0"/>
              <w:right w:val="single" w:color="auto" w:sz="4" w:space="0"/>
            </w:tcBorders>
            <w:shd w:val="clear" w:color="auto" w:fill="auto"/>
            <w:noWrap/>
            <w:vAlign w:val="center"/>
          </w:tcPr>
          <w:p w14:paraId="5BF1DCBD">
            <w:pPr>
              <w:widowControl/>
              <w:jc w:val="center"/>
              <w:rPr>
                <w:rFonts w:ascii="宋体" w:hAnsi="宋体" w:cs="宋体"/>
                <w:kern w:val="0"/>
                <w:sz w:val="18"/>
                <w:szCs w:val="18"/>
              </w:rPr>
            </w:pPr>
            <w:r>
              <w:rPr>
                <w:rFonts w:hint="eastAsia" w:ascii="宋体" w:hAnsi="宋体" w:cs="宋体"/>
                <w:kern w:val="0"/>
                <w:sz w:val="18"/>
                <w:szCs w:val="18"/>
              </w:rPr>
              <w:t xml:space="preserve">4012.48 </w:t>
            </w:r>
          </w:p>
        </w:tc>
        <w:tc>
          <w:tcPr>
            <w:tcW w:w="1026" w:type="dxa"/>
            <w:tcBorders>
              <w:top w:val="nil"/>
              <w:left w:val="nil"/>
              <w:bottom w:val="single" w:color="auto" w:sz="4" w:space="0"/>
              <w:right w:val="single" w:color="auto" w:sz="4" w:space="0"/>
            </w:tcBorders>
            <w:shd w:val="clear" w:color="auto" w:fill="auto"/>
            <w:noWrap/>
            <w:vAlign w:val="center"/>
          </w:tcPr>
          <w:p w14:paraId="1F33AE8E">
            <w:pPr>
              <w:widowControl/>
              <w:jc w:val="center"/>
              <w:rPr>
                <w:rFonts w:ascii="宋体" w:hAnsi="宋体" w:cs="宋体"/>
                <w:color w:val="000000"/>
                <w:kern w:val="0"/>
                <w:sz w:val="18"/>
                <w:szCs w:val="18"/>
              </w:rPr>
            </w:pPr>
            <w:r>
              <w:rPr>
                <w:rFonts w:hint="eastAsia" w:ascii="宋体" w:hAnsi="宋体" w:cs="宋体"/>
                <w:color w:val="000000"/>
                <w:kern w:val="0"/>
                <w:sz w:val="18"/>
                <w:szCs w:val="18"/>
              </w:rPr>
              <w:t>2.15%</w:t>
            </w:r>
          </w:p>
        </w:tc>
        <w:tc>
          <w:tcPr>
            <w:tcW w:w="1206" w:type="dxa"/>
            <w:tcBorders>
              <w:top w:val="nil"/>
              <w:left w:val="nil"/>
              <w:bottom w:val="single" w:color="auto" w:sz="4" w:space="0"/>
              <w:right w:val="single" w:color="auto" w:sz="4" w:space="0"/>
            </w:tcBorders>
            <w:shd w:val="clear" w:color="auto" w:fill="auto"/>
            <w:vAlign w:val="center"/>
          </w:tcPr>
          <w:p w14:paraId="1CCBEAD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352.44 </w:t>
            </w:r>
          </w:p>
        </w:tc>
        <w:tc>
          <w:tcPr>
            <w:tcW w:w="1113" w:type="dxa"/>
            <w:tcBorders>
              <w:top w:val="nil"/>
              <w:left w:val="nil"/>
              <w:bottom w:val="single" w:color="auto" w:sz="4" w:space="0"/>
              <w:right w:val="single" w:color="auto" w:sz="4" w:space="0"/>
            </w:tcBorders>
            <w:shd w:val="clear" w:color="auto" w:fill="auto"/>
            <w:vAlign w:val="center"/>
          </w:tcPr>
          <w:p w14:paraId="019DCD4E">
            <w:pPr>
              <w:widowControl/>
              <w:jc w:val="center"/>
              <w:rPr>
                <w:rFonts w:ascii="宋体" w:hAnsi="宋体" w:cs="宋体"/>
                <w:color w:val="000000"/>
                <w:kern w:val="0"/>
                <w:sz w:val="18"/>
                <w:szCs w:val="18"/>
              </w:rPr>
            </w:pPr>
            <w:r>
              <w:rPr>
                <w:rFonts w:hint="eastAsia" w:ascii="宋体" w:hAnsi="宋体" w:cs="宋体"/>
                <w:color w:val="000000"/>
                <w:kern w:val="0"/>
                <w:sz w:val="18"/>
                <w:szCs w:val="18"/>
              </w:rPr>
              <w:t>0.19%</w:t>
            </w:r>
          </w:p>
        </w:tc>
      </w:tr>
      <w:tr w14:paraId="2BDAF17E">
        <w:tblPrEx>
          <w:tblCellMar>
            <w:top w:w="0" w:type="dxa"/>
            <w:left w:w="108" w:type="dxa"/>
            <w:bottom w:w="0" w:type="dxa"/>
            <w:right w:w="108" w:type="dxa"/>
          </w:tblCellMar>
        </w:tblPrEx>
        <w:trPr>
          <w:trHeight w:val="312" w:hRule="atLeast"/>
        </w:trPr>
        <w:tc>
          <w:tcPr>
            <w:tcW w:w="960" w:type="dxa"/>
            <w:vMerge w:val="continue"/>
            <w:tcBorders>
              <w:top w:val="nil"/>
              <w:left w:val="single" w:color="auto" w:sz="4" w:space="0"/>
              <w:bottom w:val="single" w:color="auto" w:sz="4" w:space="0"/>
              <w:right w:val="single" w:color="auto" w:sz="4" w:space="0"/>
            </w:tcBorders>
            <w:vAlign w:val="center"/>
          </w:tcPr>
          <w:p w14:paraId="6D096D3A">
            <w:pPr>
              <w:widowControl/>
              <w:jc w:val="left"/>
              <w:rPr>
                <w:rFonts w:ascii="宋体" w:hAnsi="宋体" w:cs="宋体"/>
                <w:color w:val="000000"/>
                <w:kern w:val="0"/>
                <w:sz w:val="18"/>
                <w:szCs w:val="18"/>
              </w:rPr>
            </w:pPr>
          </w:p>
        </w:tc>
        <w:tc>
          <w:tcPr>
            <w:tcW w:w="1476" w:type="dxa"/>
            <w:tcBorders>
              <w:top w:val="nil"/>
              <w:left w:val="nil"/>
              <w:bottom w:val="single" w:color="auto" w:sz="4" w:space="0"/>
              <w:right w:val="single" w:color="auto" w:sz="4" w:space="0"/>
            </w:tcBorders>
            <w:shd w:val="clear" w:color="auto" w:fill="auto"/>
            <w:vAlign w:val="center"/>
          </w:tcPr>
          <w:p w14:paraId="5C9173A1">
            <w:pPr>
              <w:widowControl/>
              <w:jc w:val="center"/>
              <w:rPr>
                <w:rFonts w:ascii="宋体" w:hAnsi="宋体" w:cs="宋体"/>
                <w:color w:val="000000"/>
                <w:kern w:val="0"/>
                <w:sz w:val="18"/>
                <w:szCs w:val="18"/>
              </w:rPr>
            </w:pPr>
            <w:r>
              <w:rPr>
                <w:rFonts w:hint="eastAsia" w:ascii="宋体" w:hAnsi="宋体" w:cs="宋体"/>
                <w:color w:val="000000"/>
                <w:kern w:val="0"/>
                <w:sz w:val="18"/>
                <w:szCs w:val="18"/>
              </w:rPr>
              <w:t>自然保留地</w:t>
            </w:r>
          </w:p>
        </w:tc>
        <w:tc>
          <w:tcPr>
            <w:tcW w:w="1206" w:type="dxa"/>
            <w:tcBorders>
              <w:top w:val="nil"/>
              <w:left w:val="nil"/>
              <w:bottom w:val="single" w:color="auto" w:sz="4" w:space="0"/>
              <w:right w:val="single" w:color="auto" w:sz="4" w:space="0"/>
            </w:tcBorders>
            <w:shd w:val="clear" w:color="auto" w:fill="auto"/>
            <w:noWrap/>
            <w:vAlign w:val="center"/>
          </w:tcPr>
          <w:p w14:paraId="7F21797A">
            <w:pPr>
              <w:widowControl/>
              <w:jc w:val="center"/>
              <w:rPr>
                <w:rFonts w:ascii="宋体" w:hAnsi="宋体" w:cs="宋体"/>
                <w:color w:val="000000"/>
                <w:kern w:val="0"/>
                <w:sz w:val="18"/>
                <w:szCs w:val="18"/>
              </w:rPr>
            </w:pPr>
            <w:r>
              <w:rPr>
                <w:rFonts w:hint="eastAsia" w:ascii="宋体" w:hAnsi="宋体" w:cs="宋体"/>
                <w:color w:val="000000"/>
                <w:kern w:val="0"/>
                <w:sz w:val="18"/>
                <w:szCs w:val="18"/>
              </w:rPr>
              <w:t>70543.64</w:t>
            </w:r>
          </w:p>
        </w:tc>
        <w:tc>
          <w:tcPr>
            <w:tcW w:w="1026" w:type="dxa"/>
            <w:tcBorders>
              <w:top w:val="nil"/>
              <w:left w:val="nil"/>
              <w:bottom w:val="single" w:color="auto" w:sz="4" w:space="0"/>
              <w:right w:val="single" w:color="auto" w:sz="4" w:space="0"/>
            </w:tcBorders>
            <w:shd w:val="clear" w:color="auto" w:fill="auto"/>
            <w:noWrap/>
            <w:vAlign w:val="center"/>
          </w:tcPr>
          <w:p w14:paraId="5D800270">
            <w:pPr>
              <w:widowControl/>
              <w:jc w:val="center"/>
              <w:rPr>
                <w:rFonts w:ascii="宋体" w:hAnsi="宋体" w:cs="宋体"/>
                <w:color w:val="000000"/>
                <w:kern w:val="0"/>
                <w:sz w:val="18"/>
                <w:szCs w:val="18"/>
              </w:rPr>
            </w:pPr>
            <w:r>
              <w:rPr>
                <w:rFonts w:hint="eastAsia" w:ascii="宋体" w:hAnsi="宋体" w:cs="宋体"/>
                <w:color w:val="000000"/>
                <w:kern w:val="0"/>
                <w:sz w:val="18"/>
                <w:szCs w:val="18"/>
              </w:rPr>
              <w:t>37.81%</w:t>
            </w:r>
          </w:p>
        </w:tc>
        <w:tc>
          <w:tcPr>
            <w:tcW w:w="1355" w:type="dxa"/>
            <w:tcBorders>
              <w:top w:val="nil"/>
              <w:left w:val="nil"/>
              <w:bottom w:val="single" w:color="auto" w:sz="4" w:space="0"/>
              <w:right w:val="single" w:color="auto" w:sz="4" w:space="0"/>
            </w:tcBorders>
            <w:shd w:val="clear" w:color="auto" w:fill="auto"/>
            <w:noWrap/>
            <w:vAlign w:val="center"/>
          </w:tcPr>
          <w:p w14:paraId="63002137">
            <w:pPr>
              <w:widowControl/>
              <w:jc w:val="center"/>
              <w:rPr>
                <w:rFonts w:ascii="宋体" w:hAnsi="宋体" w:cs="宋体"/>
                <w:kern w:val="0"/>
                <w:sz w:val="18"/>
                <w:szCs w:val="18"/>
              </w:rPr>
            </w:pPr>
            <w:r>
              <w:rPr>
                <w:rFonts w:hint="eastAsia" w:ascii="宋体" w:hAnsi="宋体" w:cs="宋体"/>
                <w:kern w:val="0"/>
                <w:sz w:val="18"/>
                <w:szCs w:val="18"/>
              </w:rPr>
              <w:t xml:space="preserve">71223.16 </w:t>
            </w:r>
          </w:p>
        </w:tc>
        <w:tc>
          <w:tcPr>
            <w:tcW w:w="1026" w:type="dxa"/>
            <w:tcBorders>
              <w:top w:val="nil"/>
              <w:left w:val="nil"/>
              <w:bottom w:val="single" w:color="auto" w:sz="4" w:space="0"/>
              <w:right w:val="single" w:color="auto" w:sz="4" w:space="0"/>
            </w:tcBorders>
            <w:shd w:val="clear" w:color="auto" w:fill="auto"/>
            <w:noWrap/>
            <w:vAlign w:val="center"/>
          </w:tcPr>
          <w:p w14:paraId="427E7196">
            <w:pPr>
              <w:widowControl/>
              <w:jc w:val="center"/>
              <w:rPr>
                <w:rFonts w:ascii="宋体" w:hAnsi="宋体" w:cs="宋体"/>
                <w:color w:val="000000"/>
                <w:kern w:val="0"/>
                <w:sz w:val="18"/>
                <w:szCs w:val="18"/>
              </w:rPr>
            </w:pPr>
            <w:r>
              <w:rPr>
                <w:rFonts w:hint="eastAsia" w:ascii="宋体" w:hAnsi="宋体" w:cs="宋体"/>
                <w:color w:val="000000"/>
                <w:kern w:val="0"/>
                <w:sz w:val="18"/>
                <w:szCs w:val="18"/>
              </w:rPr>
              <w:t>38.18%</w:t>
            </w:r>
          </w:p>
        </w:tc>
        <w:tc>
          <w:tcPr>
            <w:tcW w:w="1206" w:type="dxa"/>
            <w:tcBorders>
              <w:top w:val="nil"/>
              <w:left w:val="nil"/>
              <w:bottom w:val="single" w:color="auto" w:sz="4" w:space="0"/>
              <w:right w:val="single" w:color="auto" w:sz="4" w:space="0"/>
            </w:tcBorders>
            <w:shd w:val="clear" w:color="auto" w:fill="auto"/>
            <w:vAlign w:val="center"/>
          </w:tcPr>
          <w:p w14:paraId="3BFEB8B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679.52 </w:t>
            </w:r>
          </w:p>
        </w:tc>
        <w:tc>
          <w:tcPr>
            <w:tcW w:w="1113" w:type="dxa"/>
            <w:tcBorders>
              <w:top w:val="nil"/>
              <w:left w:val="nil"/>
              <w:bottom w:val="single" w:color="auto" w:sz="4" w:space="0"/>
              <w:right w:val="single" w:color="auto" w:sz="4" w:space="0"/>
            </w:tcBorders>
            <w:shd w:val="clear" w:color="auto" w:fill="auto"/>
            <w:vAlign w:val="center"/>
          </w:tcPr>
          <w:p w14:paraId="753897BD">
            <w:pPr>
              <w:widowControl/>
              <w:jc w:val="center"/>
              <w:rPr>
                <w:rFonts w:ascii="宋体" w:hAnsi="宋体" w:cs="宋体"/>
                <w:color w:val="000000"/>
                <w:kern w:val="0"/>
                <w:sz w:val="18"/>
                <w:szCs w:val="18"/>
              </w:rPr>
            </w:pPr>
            <w:r>
              <w:rPr>
                <w:rFonts w:hint="eastAsia" w:ascii="宋体" w:hAnsi="宋体" w:cs="宋体"/>
                <w:color w:val="000000"/>
                <w:kern w:val="0"/>
                <w:sz w:val="18"/>
                <w:szCs w:val="18"/>
              </w:rPr>
              <w:t>0.37%</w:t>
            </w:r>
          </w:p>
        </w:tc>
      </w:tr>
      <w:tr w14:paraId="4A4210E0">
        <w:tblPrEx>
          <w:tblCellMar>
            <w:top w:w="0" w:type="dxa"/>
            <w:left w:w="108" w:type="dxa"/>
            <w:bottom w:w="0" w:type="dxa"/>
            <w:right w:w="108" w:type="dxa"/>
          </w:tblCellMar>
        </w:tblPrEx>
        <w:trPr>
          <w:trHeight w:val="312" w:hRule="atLeast"/>
        </w:trPr>
        <w:tc>
          <w:tcPr>
            <w:tcW w:w="960" w:type="dxa"/>
            <w:vMerge w:val="continue"/>
            <w:tcBorders>
              <w:top w:val="nil"/>
              <w:left w:val="single" w:color="auto" w:sz="4" w:space="0"/>
              <w:bottom w:val="single" w:color="auto" w:sz="4" w:space="0"/>
              <w:right w:val="single" w:color="auto" w:sz="4" w:space="0"/>
            </w:tcBorders>
            <w:vAlign w:val="center"/>
          </w:tcPr>
          <w:p w14:paraId="33DBC4EE">
            <w:pPr>
              <w:widowControl/>
              <w:jc w:val="left"/>
              <w:rPr>
                <w:rFonts w:ascii="宋体" w:hAnsi="宋体" w:cs="宋体"/>
                <w:color w:val="000000"/>
                <w:kern w:val="0"/>
                <w:sz w:val="18"/>
                <w:szCs w:val="18"/>
              </w:rPr>
            </w:pPr>
          </w:p>
        </w:tc>
        <w:tc>
          <w:tcPr>
            <w:tcW w:w="1476" w:type="dxa"/>
            <w:tcBorders>
              <w:top w:val="nil"/>
              <w:left w:val="nil"/>
              <w:bottom w:val="single" w:color="auto" w:sz="4" w:space="0"/>
              <w:right w:val="single" w:color="auto" w:sz="4" w:space="0"/>
            </w:tcBorders>
            <w:shd w:val="clear" w:color="auto" w:fill="auto"/>
            <w:vAlign w:val="center"/>
          </w:tcPr>
          <w:p w14:paraId="6A2A062D">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206" w:type="dxa"/>
            <w:tcBorders>
              <w:top w:val="nil"/>
              <w:left w:val="nil"/>
              <w:bottom w:val="single" w:color="auto" w:sz="4" w:space="0"/>
              <w:right w:val="single" w:color="auto" w:sz="4" w:space="0"/>
            </w:tcBorders>
            <w:shd w:val="clear" w:color="auto" w:fill="auto"/>
            <w:noWrap/>
            <w:vAlign w:val="center"/>
          </w:tcPr>
          <w:p w14:paraId="47A14F94">
            <w:pPr>
              <w:widowControl/>
              <w:jc w:val="center"/>
              <w:rPr>
                <w:rFonts w:ascii="宋体" w:hAnsi="宋体" w:cs="宋体"/>
                <w:color w:val="000000"/>
                <w:kern w:val="0"/>
                <w:sz w:val="18"/>
                <w:szCs w:val="18"/>
              </w:rPr>
            </w:pPr>
            <w:r>
              <w:rPr>
                <w:rFonts w:hint="eastAsia" w:ascii="宋体" w:hAnsi="宋体" w:cs="宋体"/>
                <w:color w:val="000000"/>
                <w:kern w:val="0"/>
                <w:sz w:val="18"/>
                <w:szCs w:val="18"/>
              </w:rPr>
              <w:t>74203.68</w:t>
            </w:r>
          </w:p>
        </w:tc>
        <w:tc>
          <w:tcPr>
            <w:tcW w:w="1026" w:type="dxa"/>
            <w:tcBorders>
              <w:top w:val="nil"/>
              <w:left w:val="nil"/>
              <w:bottom w:val="single" w:color="auto" w:sz="4" w:space="0"/>
              <w:right w:val="single" w:color="auto" w:sz="4" w:space="0"/>
            </w:tcBorders>
            <w:shd w:val="clear" w:color="auto" w:fill="auto"/>
            <w:noWrap/>
            <w:vAlign w:val="center"/>
          </w:tcPr>
          <w:p w14:paraId="331EF5D6">
            <w:pPr>
              <w:widowControl/>
              <w:jc w:val="center"/>
              <w:rPr>
                <w:rFonts w:ascii="宋体" w:hAnsi="宋体" w:cs="宋体"/>
                <w:color w:val="000000"/>
                <w:kern w:val="0"/>
                <w:sz w:val="18"/>
                <w:szCs w:val="18"/>
              </w:rPr>
            </w:pPr>
            <w:r>
              <w:rPr>
                <w:rFonts w:hint="eastAsia" w:ascii="宋体" w:hAnsi="宋体" w:cs="宋体"/>
                <w:color w:val="000000"/>
                <w:kern w:val="0"/>
                <w:sz w:val="18"/>
                <w:szCs w:val="18"/>
              </w:rPr>
              <w:t>39.77%</w:t>
            </w:r>
          </w:p>
        </w:tc>
        <w:tc>
          <w:tcPr>
            <w:tcW w:w="1355" w:type="dxa"/>
            <w:tcBorders>
              <w:top w:val="nil"/>
              <w:left w:val="nil"/>
              <w:bottom w:val="single" w:color="auto" w:sz="4" w:space="0"/>
              <w:right w:val="single" w:color="auto" w:sz="4" w:space="0"/>
            </w:tcBorders>
            <w:shd w:val="clear" w:color="auto" w:fill="auto"/>
            <w:noWrap/>
            <w:vAlign w:val="center"/>
          </w:tcPr>
          <w:p w14:paraId="4E505E91">
            <w:pPr>
              <w:widowControl/>
              <w:jc w:val="center"/>
              <w:rPr>
                <w:rFonts w:ascii="宋体" w:hAnsi="宋体" w:cs="宋体"/>
                <w:kern w:val="0"/>
                <w:sz w:val="18"/>
                <w:szCs w:val="18"/>
              </w:rPr>
            </w:pPr>
            <w:r>
              <w:rPr>
                <w:rFonts w:hint="eastAsia" w:ascii="宋体" w:hAnsi="宋体" w:cs="宋体"/>
                <w:kern w:val="0"/>
                <w:sz w:val="18"/>
                <w:szCs w:val="18"/>
              </w:rPr>
              <w:t xml:space="preserve">75235.64 </w:t>
            </w:r>
          </w:p>
        </w:tc>
        <w:tc>
          <w:tcPr>
            <w:tcW w:w="1026" w:type="dxa"/>
            <w:tcBorders>
              <w:top w:val="nil"/>
              <w:left w:val="nil"/>
              <w:bottom w:val="single" w:color="auto" w:sz="4" w:space="0"/>
              <w:right w:val="single" w:color="auto" w:sz="4" w:space="0"/>
            </w:tcBorders>
            <w:shd w:val="clear" w:color="auto" w:fill="auto"/>
            <w:noWrap/>
            <w:vAlign w:val="center"/>
          </w:tcPr>
          <w:p w14:paraId="620DEA53">
            <w:pPr>
              <w:widowControl/>
              <w:jc w:val="center"/>
              <w:rPr>
                <w:rFonts w:ascii="宋体" w:hAnsi="宋体" w:cs="宋体"/>
                <w:color w:val="000000"/>
                <w:kern w:val="0"/>
                <w:sz w:val="18"/>
                <w:szCs w:val="18"/>
              </w:rPr>
            </w:pPr>
            <w:r>
              <w:rPr>
                <w:rFonts w:hint="eastAsia" w:ascii="宋体" w:hAnsi="宋体" w:cs="宋体"/>
                <w:color w:val="000000"/>
                <w:kern w:val="0"/>
                <w:sz w:val="18"/>
                <w:szCs w:val="18"/>
              </w:rPr>
              <w:t>40.33%</w:t>
            </w:r>
          </w:p>
        </w:tc>
        <w:tc>
          <w:tcPr>
            <w:tcW w:w="1206" w:type="dxa"/>
            <w:tcBorders>
              <w:top w:val="nil"/>
              <w:left w:val="nil"/>
              <w:bottom w:val="single" w:color="auto" w:sz="4" w:space="0"/>
              <w:right w:val="single" w:color="auto" w:sz="4" w:space="0"/>
            </w:tcBorders>
            <w:shd w:val="clear" w:color="auto" w:fill="auto"/>
            <w:vAlign w:val="center"/>
          </w:tcPr>
          <w:p w14:paraId="370EF64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1031.96 </w:t>
            </w:r>
          </w:p>
        </w:tc>
        <w:tc>
          <w:tcPr>
            <w:tcW w:w="1113" w:type="dxa"/>
            <w:tcBorders>
              <w:top w:val="nil"/>
              <w:left w:val="nil"/>
              <w:bottom w:val="single" w:color="auto" w:sz="4" w:space="0"/>
              <w:right w:val="single" w:color="auto" w:sz="4" w:space="0"/>
            </w:tcBorders>
            <w:shd w:val="clear" w:color="auto" w:fill="auto"/>
            <w:vAlign w:val="center"/>
          </w:tcPr>
          <w:p w14:paraId="034129C0">
            <w:pPr>
              <w:widowControl/>
              <w:jc w:val="center"/>
              <w:rPr>
                <w:rFonts w:ascii="宋体" w:hAnsi="宋体" w:cs="宋体"/>
                <w:color w:val="000000"/>
                <w:kern w:val="0"/>
                <w:sz w:val="18"/>
                <w:szCs w:val="18"/>
              </w:rPr>
            </w:pPr>
            <w:r>
              <w:rPr>
                <w:rFonts w:hint="eastAsia" w:ascii="宋体" w:hAnsi="宋体" w:cs="宋体"/>
                <w:color w:val="000000"/>
                <w:kern w:val="0"/>
                <w:sz w:val="18"/>
                <w:szCs w:val="18"/>
              </w:rPr>
              <w:t>0.56%</w:t>
            </w:r>
          </w:p>
        </w:tc>
      </w:tr>
      <w:tr w14:paraId="6F1DD6A6">
        <w:tblPrEx>
          <w:tblCellMar>
            <w:top w:w="0" w:type="dxa"/>
            <w:left w:w="108" w:type="dxa"/>
            <w:bottom w:w="0" w:type="dxa"/>
            <w:right w:w="108" w:type="dxa"/>
          </w:tblCellMar>
        </w:tblPrEx>
        <w:trPr>
          <w:trHeight w:val="312" w:hRule="atLeast"/>
        </w:trPr>
        <w:tc>
          <w:tcPr>
            <w:tcW w:w="24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D08A06">
            <w:pPr>
              <w:widowControl/>
              <w:jc w:val="center"/>
              <w:rPr>
                <w:rFonts w:ascii="宋体" w:hAnsi="宋体" w:cs="宋体"/>
                <w:color w:val="000000"/>
                <w:kern w:val="0"/>
                <w:sz w:val="18"/>
                <w:szCs w:val="18"/>
              </w:rPr>
            </w:pPr>
            <w:r>
              <w:rPr>
                <w:rFonts w:hint="eastAsia" w:ascii="宋体" w:hAnsi="宋体" w:cs="宋体"/>
                <w:color w:val="000000"/>
                <w:kern w:val="0"/>
                <w:sz w:val="18"/>
                <w:szCs w:val="18"/>
              </w:rPr>
              <w:t>总计</w:t>
            </w:r>
          </w:p>
        </w:tc>
        <w:tc>
          <w:tcPr>
            <w:tcW w:w="1206" w:type="dxa"/>
            <w:tcBorders>
              <w:top w:val="nil"/>
              <w:left w:val="nil"/>
              <w:bottom w:val="single" w:color="auto" w:sz="4" w:space="0"/>
              <w:right w:val="single" w:color="auto" w:sz="4" w:space="0"/>
            </w:tcBorders>
            <w:shd w:val="clear" w:color="auto" w:fill="auto"/>
            <w:noWrap/>
            <w:vAlign w:val="center"/>
          </w:tcPr>
          <w:p w14:paraId="617F8A71">
            <w:pPr>
              <w:widowControl/>
              <w:jc w:val="center"/>
              <w:rPr>
                <w:rFonts w:ascii="宋体" w:hAnsi="宋体" w:cs="宋体"/>
                <w:color w:val="000000"/>
                <w:kern w:val="0"/>
                <w:sz w:val="18"/>
                <w:szCs w:val="18"/>
              </w:rPr>
            </w:pPr>
            <w:r>
              <w:rPr>
                <w:rFonts w:hint="eastAsia" w:ascii="宋体" w:hAnsi="宋体" w:cs="宋体"/>
                <w:color w:val="000000"/>
                <w:kern w:val="0"/>
                <w:sz w:val="18"/>
                <w:szCs w:val="18"/>
              </w:rPr>
              <w:t>186569.81</w:t>
            </w:r>
          </w:p>
        </w:tc>
        <w:tc>
          <w:tcPr>
            <w:tcW w:w="1026" w:type="dxa"/>
            <w:tcBorders>
              <w:top w:val="nil"/>
              <w:left w:val="nil"/>
              <w:bottom w:val="single" w:color="auto" w:sz="4" w:space="0"/>
              <w:right w:val="single" w:color="auto" w:sz="4" w:space="0"/>
            </w:tcBorders>
            <w:shd w:val="clear" w:color="auto" w:fill="auto"/>
            <w:noWrap/>
            <w:vAlign w:val="center"/>
          </w:tcPr>
          <w:p w14:paraId="67390E8F">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355" w:type="dxa"/>
            <w:tcBorders>
              <w:top w:val="nil"/>
              <w:left w:val="nil"/>
              <w:bottom w:val="single" w:color="auto" w:sz="4" w:space="0"/>
              <w:right w:val="single" w:color="auto" w:sz="4" w:space="0"/>
            </w:tcBorders>
            <w:shd w:val="clear" w:color="auto" w:fill="auto"/>
            <w:noWrap/>
            <w:vAlign w:val="center"/>
          </w:tcPr>
          <w:p w14:paraId="64128D3C">
            <w:pPr>
              <w:widowControl/>
              <w:jc w:val="center"/>
              <w:rPr>
                <w:rFonts w:ascii="宋体" w:hAnsi="宋体" w:cs="宋体"/>
                <w:color w:val="000000"/>
                <w:kern w:val="0"/>
                <w:sz w:val="18"/>
                <w:szCs w:val="18"/>
              </w:rPr>
            </w:pPr>
            <w:r>
              <w:rPr>
                <w:rFonts w:hint="eastAsia" w:ascii="宋体" w:hAnsi="宋体" w:cs="宋体"/>
                <w:color w:val="000000"/>
                <w:kern w:val="0"/>
                <w:sz w:val="18"/>
                <w:szCs w:val="18"/>
              </w:rPr>
              <w:t>186569.81</w:t>
            </w:r>
          </w:p>
        </w:tc>
        <w:tc>
          <w:tcPr>
            <w:tcW w:w="1026" w:type="dxa"/>
            <w:tcBorders>
              <w:top w:val="nil"/>
              <w:left w:val="nil"/>
              <w:bottom w:val="single" w:color="auto" w:sz="4" w:space="0"/>
              <w:right w:val="single" w:color="auto" w:sz="4" w:space="0"/>
            </w:tcBorders>
            <w:shd w:val="clear" w:color="auto" w:fill="auto"/>
            <w:noWrap/>
            <w:vAlign w:val="center"/>
          </w:tcPr>
          <w:p w14:paraId="7FF9BF9A">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206" w:type="dxa"/>
            <w:tcBorders>
              <w:top w:val="nil"/>
              <w:left w:val="nil"/>
              <w:bottom w:val="single" w:color="auto" w:sz="4" w:space="0"/>
              <w:right w:val="single" w:color="auto" w:sz="4" w:space="0"/>
            </w:tcBorders>
            <w:shd w:val="clear" w:color="auto" w:fill="auto"/>
            <w:vAlign w:val="center"/>
          </w:tcPr>
          <w:p w14:paraId="6870FD0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13" w:type="dxa"/>
            <w:tcBorders>
              <w:top w:val="nil"/>
              <w:left w:val="nil"/>
              <w:bottom w:val="single" w:color="auto" w:sz="4" w:space="0"/>
              <w:right w:val="single" w:color="auto" w:sz="4" w:space="0"/>
            </w:tcBorders>
            <w:shd w:val="clear" w:color="auto" w:fill="auto"/>
            <w:vAlign w:val="center"/>
          </w:tcPr>
          <w:p w14:paraId="0F7B9868">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r>
    </w:tbl>
    <w:p w14:paraId="78B005DD">
      <w:pPr>
        <w:pStyle w:val="3"/>
        <w:jc w:val="center"/>
        <w:rPr>
          <w:b w:val="0"/>
          <w:color w:val="000000"/>
          <w:sz w:val="28"/>
          <w:szCs w:val="28"/>
        </w:rPr>
      </w:pPr>
      <w:bookmarkStart w:id="151" w:name="_Toc491074916"/>
      <w:r>
        <w:rPr>
          <w:rFonts w:hint="eastAsia"/>
          <w:b w:val="0"/>
          <w:color w:val="000000"/>
          <w:sz w:val="28"/>
          <w:szCs w:val="28"/>
        </w:rPr>
        <w:t>第三节  耕地和基本农田保护分析</w:t>
      </w:r>
      <w:bookmarkEnd w:id="151"/>
    </w:p>
    <w:p w14:paraId="283D09E4">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现行规划东川区安排2020年新增建设占用耕地规模为410.48公顷，调整完善后2020年东川区新增建设占用耕地170.93公顷。与现行规划相比，新增建设占用耕地减少了239.55公顷，有效的守住了耕地保护红线，保障了东川区粮食安全。</w:t>
      </w:r>
    </w:p>
    <w:p w14:paraId="5E26169C">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规划期末，东川区耕地保有量30443.78公顷，其中：铜都街道6929.79公顷，阿旺镇5616.87公顷，乌龙镇3435.79公顷，红土地镇5527.63公顷，汤丹镇3494.32公顷，拖布卡镇3662.36公顷，因民镇783.28公顷，舍块乡993.74公顷。</w:t>
      </w:r>
    </w:p>
    <w:p w14:paraId="527D2D5D">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规划期末，东川区基本农田保护面积23106.77公顷，其中：铜都街道4485.71公顷，阿旺镇4737.63公顷，乌龙镇2878.93公顷，红土地镇4730.67公顷，汤丹镇2652.92公顷，拖布卡镇2494.26公顷，因民镇528.12公顷，舍块乡598.54公顷。</w:t>
      </w:r>
    </w:p>
    <w:p w14:paraId="2DF4CD74">
      <w:pPr>
        <w:pStyle w:val="3"/>
        <w:jc w:val="center"/>
        <w:rPr>
          <w:b w:val="0"/>
          <w:color w:val="000000"/>
          <w:sz w:val="28"/>
          <w:szCs w:val="28"/>
        </w:rPr>
      </w:pPr>
      <w:bookmarkStart w:id="152" w:name="_Toc471421584"/>
      <w:bookmarkStart w:id="153" w:name="_Toc491074917"/>
      <w:r>
        <w:rPr>
          <w:rFonts w:hint="eastAsia"/>
          <w:b w:val="0"/>
          <w:color w:val="000000"/>
          <w:sz w:val="28"/>
          <w:szCs w:val="28"/>
        </w:rPr>
        <w:t>第四节  促进山地开发利用成效分析</w:t>
      </w:r>
      <w:bookmarkEnd w:id="152"/>
      <w:bookmarkEnd w:id="153"/>
    </w:p>
    <w:p w14:paraId="7B403483">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山地开发利用是我省提高土地供给弹性系数，缓解土地资源瓶颈尤其是耕地资源瓶颈约束的重要举措，也是我市建设用地发展的的主要方向之一。为促进山地开发利用，加大土地资源安全的腾挪空间，调整完善对山地利用进行了安排。</w:t>
      </w:r>
    </w:p>
    <w:p w14:paraId="5DD97DE4">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1、优先保护了城镇周边及坝区耕地，缩减了坝区及城镇周边开发建设的空间，加大了坝区利用的成本，迫使建设用地向山地、低丘缓坡区域集中，有效地促进了山地的开发利用。</w:t>
      </w:r>
    </w:p>
    <w:p w14:paraId="3F36AC49">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2、通过在山地、低丘缓坡区域安排新增建设用地指标，整合产业用地向山地园区集中，降低山地开发利用的成本，形成组团式、串联式发展，促进和引导了山地的开发利用。</w:t>
      </w:r>
    </w:p>
    <w:p w14:paraId="32271C79">
      <w:pPr>
        <w:widowControl/>
        <w:tabs>
          <w:tab w:val="left" w:pos="1950"/>
        </w:tabs>
        <w:adjustRightInd w:val="0"/>
        <w:snapToGrid w:val="0"/>
        <w:spacing w:line="360" w:lineRule="auto"/>
        <w:ind w:firstLine="561"/>
        <w:jc w:val="left"/>
        <w:rPr>
          <w:rFonts w:ascii="仿宋_GB2312" w:hAnsi="宋体" w:eastAsia="仿宋_GB2312"/>
          <w:sz w:val="28"/>
          <w:szCs w:val="28"/>
        </w:rPr>
      </w:pPr>
      <w:r>
        <w:rPr>
          <w:rFonts w:hint="eastAsia" w:ascii="仿宋_GB2312" w:hAnsi="宋体" w:eastAsia="仿宋_GB2312"/>
          <w:kern w:val="0"/>
          <w:sz w:val="28"/>
          <w:szCs w:val="28"/>
        </w:rPr>
        <w:t>3、通过水电基础设施、市政联接线等用地的安排，完善和配套了山地开发利用的基础设施，改变了山地基础设施薄弱的现状，推动产业向山地集中。</w:t>
      </w:r>
    </w:p>
    <w:p w14:paraId="627DC140">
      <w:pPr>
        <w:pStyle w:val="3"/>
        <w:jc w:val="center"/>
        <w:rPr>
          <w:b w:val="0"/>
          <w:color w:val="000000"/>
          <w:sz w:val="28"/>
          <w:szCs w:val="28"/>
        </w:rPr>
      </w:pPr>
      <w:bookmarkStart w:id="154" w:name="_Toc471421585"/>
      <w:bookmarkStart w:id="155" w:name="_Toc491074918"/>
      <w:r>
        <w:rPr>
          <w:rFonts w:hint="eastAsia"/>
          <w:b w:val="0"/>
          <w:color w:val="000000"/>
          <w:sz w:val="28"/>
          <w:szCs w:val="28"/>
        </w:rPr>
        <w:t>第五节</w:t>
      </w:r>
      <w:bookmarkEnd w:id="154"/>
      <w:r>
        <w:rPr>
          <w:rFonts w:hint="eastAsia"/>
          <w:b w:val="0"/>
          <w:color w:val="000000"/>
          <w:sz w:val="28"/>
          <w:szCs w:val="28"/>
        </w:rPr>
        <w:t xml:space="preserve">  保障基础设施建设成效分析</w:t>
      </w:r>
      <w:bookmarkEnd w:id="155"/>
    </w:p>
    <w:p w14:paraId="2AEC8FED">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ascii="仿宋_GB2312" w:hAnsi="宋体" w:eastAsia="仿宋_GB2312"/>
          <w:kern w:val="0"/>
          <w:sz w:val="28"/>
          <w:szCs w:val="28"/>
        </w:rPr>
        <w:t xml:space="preserve"> </w:t>
      </w:r>
      <w:r>
        <w:rPr>
          <w:rFonts w:hint="eastAsia" w:ascii="仿宋_GB2312" w:hAnsi="宋体" w:eastAsia="仿宋_GB2312"/>
          <w:kern w:val="0"/>
          <w:sz w:val="28"/>
          <w:szCs w:val="28"/>
        </w:rPr>
        <w:t>调整完善围绕改善民生、保障城市安全、投资拉动效应明显的重点领域，通过统筹基础设施用地安排，促进了市域基础设施水平的全面提升。</w:t>
      </w:r>
    </w:p>
    <w:p w14:paraId="40975F7B">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ascii="仿宋_GB2312" w:hAnsi="宋体" w:eastAsia="仿宋_GB2312"/>
          <w:kern w:val="0"/>
          <w:sz w:val="28"/>
          <w:szCs w:val="28"/>
        </w:rPr>
        <w:t>1</w:t>
      </w:r>
      <w:r>
        <w:rPr>
          <w:rFonts w:hint="eastAsia" w:ascii="仿宋_GB2312" w:hAnsi="宋体" w:eastAsia="仿宋_GB2312"/>
          <w:kern w:val="0"/>
          <w:sz w:val="28"/>
          <w:szCs w:val="28"/>
        </w:rPr>
        <w:t>、在十三五时期，通过资金投入和调整完善建设用地指标保障，加强了对外交通干线、水利设施、电站等的建设力度，</w:t>
      </w:r>
      <w:r>
        <w:rPr>
          <w:rFonts w:ascii="仿宋_GB2312" w:hAnsi="宋体" w:eastAsia="仿宋_GB2312"/>
          <w:kern w:val="0"/>
          <w:sz w:val="28"/>
          <w:szCs w:val="28"/>
        </w:rPr>
        <w:t xml:space="preserve"> </w:t>
      </w:r>
      <w:r>
        <w:rPr>
          <w:rFonts w:hint="eastAsia" w:ascii="仿宋_GB2312" w:hAnsi="宋体" w:eastAsia="仿宋_GB2312"/>
          <w:kern w:val="0"/>
          <w:sz w:val="28"/>
          <w:szCs w:val="28"/>
        </w:rPr>
        <w:t>有效拉动区域经济的发展。</w:t>
      </w:r>
    </w:p>
    <w:p w14:paraId="2D0087FF">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ascii="仿宋_GB2312" w:hAnsi="宋体" w:eastAsia="仿宋_GB2312"/>
          <w:kern w:val="0"/>
          <w:sz w:val="28"/>
          <w:szCs w:val="28"/>
        </w:rPr>
        <w:t>2</w:t>
      </w:r>
      <w:r>
        <w:rPr>
          <w:rFonts w:hint="eastAsia" w:ascii="仿宋_GB2312" w:hAnsi="宋体" w:eastAsia="仿宋_GB2312"/>
          <w:kern w:val="0"/>
          <w:sz w:val="28"/>
          <w:szCs w:val="28"/>
        </w:rPr>
        <w:t>、按照</w:t>
      </w:r>
      <w:r>
        <w:rPr>
          <w:rFonts w:ascii="仿宋_GB2312" w:hAnsi="宋体" w:eastAsia="仿宋_GB2312"/>
          <w:kern w:val="0"/>
          <w:sz w:val="28"/>
          <w:szCs w:val="28"/>
        </w:rPr>
        <w:t>“</w:t>
      </w:r>
      <w:r>
        <w:rPr>
          <w:rFonts w:hint="eastAsia" w:ascii="仿宋_GB2312" w:hAnsi="宋体" w:eastAsia="仿宋_GB2312"/>
          <w:kern w:val="0"/>
          <w:sz w:val="28"/>
          <w:szCs w:val="28"/>
        </w:rPr>
        <w:t>量力而行、有序发展</w:t>
      </w:r>
      <w:r>
        <w:rPr>
          <w:rFonts w:ascii="仿宋_GB2312" w:hAnsi="宋体" w:eastAsia="仿宋_GB2312"/>
          <w:kern w:val="0"/>
          <w:sz w:val="28"/>
          <w:szCs w:val="28"/>
        </w:rPr>
        <w:t>”</w:t>
      </w:r>
      <w:r>
        <w:rPr>
          <w:rFonts w:hint="eastAsia" w:ascii="仿宋_GB2312" w:hAnsi="宋体" w:eastAsia="仿宋_GB2312"/>
          <w:kern w:val="0"/>
          <w:sz w:val="28"/>
          <w:szCs w:val="28"/>
        </w:rPr>
        <w:t>的原则，规划建设用地安排加强了城市公共交通基础设施建设、城市道路、桥梁建设改造、城市步行和自行车交通系统建设等方面的需求，保障了基础民生的基本需求。</w:t>
      </w:r>
    </w:p>
    <w:p w14:paraId="1D94696C">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ascii="仿宋_GB2312" w:hAnsi="宋体" w:eastAsia="仿宋_GB2312"/>
          <w:kern w:val="0"/>
          <w:sz w:val="28"/>
          <w:szCs w:val="28"/>
        </w:rPr>
        <w:t>3</w:t>
      </w:r>
      <w:r>
        <w:rPr>
          <w:rFonts w:hint="eastAsia" w:ascii="仿宋_GB2312" w:hAnsi="宋体" w:eastAsia="仿宋_GB2312"/>
          <w:kern w:val="0"/>
          <w:sz w:val="28"/>
          <w:szCs w:val="28"/>
        </w:rPr>
        <w:t>、通过与城乡规划的衔接协调，对土地利用布局的调整，合理的区分了功能区和城市建设管线的用地，对城市供水、排水防涝和防洪设施建设、市政地下管网建设改造、城市电网建设等重点工程进行了土地利用安排。</w:t>
      </w:r>
    </w:p>
    <w:p w14:paraId="68162FBB">
      <w:pPr>
        <w:widowControl/>
        <w:tabs>
          <w:tab w:val="left" w:pos="1950"/>
        </w:tabs>
        <w:adjustRightInd w:val="0"/>
        <w:snapToGrid w:val="0"/>
        <w:spacing w:line="360" w:lineRule="auto"/>
        <w:ind w:firstLine="561"/>
        <w:jc w:val="left"/>
        <w:rPr>
          <w:rFonts w:eastAsia="仿宋_GB2312"/>
          <w:sz w:val="28"/>
          <w:szCs w:val="28"/>
        </w:rPr>
      </w:pPr>
      <w:r>
        <w:rPr>
          <w:rFonts w:ascii="仿宋_GB2312" w:hAnsi="宋体" w:eastAsia="仿宋_GB2312"/>
          <w:kern w:val="0"/>
          <w:sz w:val="28"/>
          <w:szCs w:val="28"/>
        </w:rPr>
        <w:t>4</w:t>
      </w:r>
      <w:r>
        <w:rPr>
          <w:rFonts w:hint="eastAsia" w:ascii="仿宋_GB2312" w:hAnsi="宋体" w:eastAsia="仿宋_GB2312"/>
          <w:kern w:val="0"/>
          <w:sz w:val="28"/>
          <w:szCs w:val="28"/>
        </w:rPr>
        <w:t>、调整完善重点考虑了污水和垃圾处理设施建设用地指标保障，以设施建设和运行保障为主线，加快形成</w:t>
      </w:r>
      <w:r>
        <w:rPr>
          <w:rFonts w:ascii="仿宋_GB2312" w:hAnsi="宋体" w:eastAsia="仿宋_GB2312"/>
          <w:kern w:val="0"/>
          <w:sz w:val="28"/>
          <w:szCs w:val="28"/>
        </w:rPr>
        <w:t>“</w:t>
      </w:r>
      <w:r>
        <w:rPr>
          <w:rFonts w:hint="eastAsia" w:ascii="仿宋_GB2312" w:hAnsi="宋体" w:eastAsia="仿宋_GB2312"/>
          <w:kern w:val="0"/>
          <w:sz w:val="28"/>
          <w:szCs w:val="28"/>
        </w:rPr>
        <w:t>厂网并举、泥水并重、再生利用</w:t>
      </w:r>
      <w:r>
        <w:rPr>
          <w:rFonts w:ascii="仿宋_GB2312" w:hAnsi="宋体" w:eastAsia="仿宋_GB2312"/>
          <w:kern w:val="0"/>
          <w:sz w:val="28"/>
          <w:szCs w:val="28"/>
        </w:rPr>
        <w:t>”</w:t>
      </w:r>
      <w:r>
        <w:rPr>
          <w:rFonts w:hint="eastAsia" w:ascii="仿宋_GB2312" w:hAnsi="宋体" w:eastAsia="仿宋_GB2312"/>
          <w:kern w:val="0"/>
          <w:sz w:val="28"/>
          <w:szCs w:val="28"/>
        </w:rPr>
        <w:t>的建设格局，加快城市污水处理设施建设，改善城市水环境。</w:t>
      </w:r>
    </w:p>
    <w:p w14:paraId="0E83675B">
      <w:pPr>
        <w:pStyle w:val="3"/>
        <w:jc w:val="center"/>
        <w:rPr>
          <w:b w:val="0"/>
          <w:color w:val="000000"/>
          <w:sz w:val="28"/>
          <w:szCs w:val="28"/>
        </w:rPr>
      </w:pPr>
      <w:bookmarkStart w:id="156" w:name="_Toc491074919"/>
      <w:r>
        <w:rPr>
          <w:rFonts w:hint="eastAsia"/>
          <w:b w:val="0"/>
          <w:color w:val="000000"/>
          <w:sz w:val="28"/>
          <w:szCs w:val="28"/>
        </w:rPr>
        <w:t>第六节  保护生态环境成效分析</w:t>
      </w:r>
      <w:bookmarkEnd w:id="156"/>
    </w:p>
    <w:p w14:paraId="760DA316">
      <w:pPr>
        <w:widowControl/>
        <w:tabs>
          <w:tab w:val="left" w:pos="1950"/>
        </w:tabs>
        <w:adjustRightInd w:val="0"/>
        <w:snapToGrid w:val="0"/>
        <w:spacing w:line="360" w:lineRule="auto"/>
        <w:ind w:firstLine="561"/>
        <w:jc w:val="left"/>
        <w:rPr>
          <w:rFonts w:ascii="仿宋_GB2312" w:hAnsi="宋体" w:eastAsia="仿宋_GB2312"/>
          <w:kern w:val="0"/>
          <w:sz w:val="28"/>
          <w:szCs w:val="28"/>
        </w:rPr>
      </w:pPr>
      <w:bookmarkStart w:id="157" w:name="_Toc233987207"/>
      <w:bookmarkStart w:id="158" w:name="_Toc174940106"/>
      <w:r>
        <w:rPr>
          <w:rFonts w:hint="eastAsia" w:ascii="仿宋_GB2312" w:hAnsi="宋体" w:eastAsia="仿宋_GB2312"/>
          <w:kern w:val="0"/>
          <w:sz w:val="28"/>
          <w:szCs w:val="28"/>
        </w:rPr>
        <w:t>东川地处低纬度高原，主体气候属亚热带季风气候，境内山脉河谷南北纵横，地形高差悬殊。由于采矿、地质构造等原因使得东川生态环境恶化，其中小江成为长江上游环境最恶劣、侵蚀最强烈、灾害最严重、输沙量最大的“四最河流”。东川先后进行“长防工程”、“治沙工程”和“全国生态环境重点治理县（市）”。</w:t>
      </w:r>
    </w:p>
    <w:p w14:paraId="44D5E812">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ascii="仿宋_GB2312" w:hAnsi="宋体" w:eastAsia="仿宋_GB2312"/>
          <w:kern w:val="0"/>
          <w:sz w:val="28"/>
          <w:szCs w:val="28"/>
        </w:rPr>
        <w:t>由于东川区属小江地震带，地壳稳定性分区属不稳定地区和次不稳定区，新构造活动表现明显，地震频繁、强度高，外动力和内动力作用强烈，造成区内岩石破碎，加之常年来采矿、修路等工程活动和坡耕种植等人类活动造成全区水土流失严重，泥石流、滑坡等地质灾害频发，是我国地质灾害极易发生的地区之一。东川区地质灾害尤以泥石流分布广泛，危害最为严重；泥石流以分布广、类型齐全、活动频繁、暴发猛烈、规模巨大、危害严重而著称，素有“泥石流博物馆”之称，是全国泥石流危害最严重的地区。</w:t>
      </w:r>
    </w:p>
    <w:p w14:paraId="673CFFA2">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“十三五”期间东川区的生态改善目标为：</w:t>
      </w:r>
      <w:r>
        <w:rPr>
          <w:rFonts w:ascii="仿宋_GB2312" w:hAnsi="宋体" w:eastAsia="仿宋_GB2312"/>
          <w:kern w:val="0"/>
          <w:sz w:val="28"/>
          <w:szCs w:val="28"/>
        </w:rPr>
        <w:t>通过实施东川区矿山地质环境恢复治理规划，逐步使东川区矿山环境地质问题及地质灾害隐患得到治理，矿山生态环境得到恢复与保护，改善矿山荒山秃岭，满目疮痍的状况，提升东川区对外形象，增加城市用地，全面促进当地经济发展。新建和生产矿山开采造成破坏的土地全面得到复垦利用，历史遗留矿山废弃土地复垦率达到40%以上；新建和生产矿山全面得到治理，历史遗留矿山环境恢复治理率分别达35%和45%以上。使东川区通过地质环境恢复治理建设成为新型产业基地及资源转型利用基地典范，基本形成绿色矿业格局。</w:t>
      </w:r>
    </w:p>
    <w:p w14:paraId="3410BBA8">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2015～2020年期间，区内各种环境污染得到有效控制；森林生态系统功能得到改善，生物多样性保护取得较大进展；重要水源水质功能得到改善；城市环境质量得到进一步提高，农村面源污染得到控制，矿区环境得到有效整治；生态农业发展有一定规模，生态工业体系良性运行，全区生态乡镇建设较好发展。</w:t>
      </w:r>
    </w:p>
    <w:bookmarkEnd w:id="157"/>
    <w:bookmarkEnd w:id="158"/>
    <w:p w14:paraId="64ADBFA1">
      <w:pPr>
        <w:widowControl/>
        <w:tabs>
          <w:tab w:val="left" w:pos="1950"/>
        </w:tabs>
        <w:adjustRightInd w:val="0"/>
        <w:snapToGrid w:val="0"/>
        <w:spacing w:line="360" w:lineRule="auto"/>
        <w:ind w:firstLine="561"/>
        <w:jc w:val="left"/>
        <w:rPr>
          <w:rFonts w:ascii="仿宋_GB2312" w:hAnsi="宋体" w:eastAsia="仿宋_GB2312"/>
          <w:kern w:val="0"/>
          <w:sz w:val="28"/>
          <w:szCs w:val="28"/>
        </w:rPr>
      </w:pPr>
      <w:bookmarkStart w:id="159" w:name="_Toc174940109"/>
      <w:r>
        <w:rPr>
          <w:rFonts w:hint="eastAsia" w:ascii="仿宋_GB2312" w:hAnsi="宋体" w:eastAsia="仿宋_GB2312"/>
          <w:kern w:val="0"/>
          <w:sz w:val="28"/>
          <w:szCs w:val="28"/>
        </w:rPr>
        <w:t>进一步完善水源区保护；面山植被基本恢复，矿山生态全面进行恢复治理；水土流失得到有效防治，退耕还林工作继续深入开展；</w:t>
      </w:r>
      <w:r>
        <w:rPr>
          <w:rFonts w:ascii="仿宋_GB2312" w:hAnsi="宋体" w:eastAsia="仿宋_GB2312"/>
          <w:kern w:val="0"/>
          <w:sz w:val="28"/>
          <w:szCs w:val="28"/>
        </w:rPr>
        <w:t>采用工程治理与生物治理相结合、治理与开发相结合的模式，在东川区全境范围内进行泥石流的综合治理</w:t>
      </w:r>
      <w:r>
        <w:rPr>
          <w:rFonts w:hint="eastAsia" w:ascii="仿宋_GB2312" w:hAnsi="宋体" w:eastAsia="仿宋_GB2312"/>
          <w:kern w:val="0"/>
          <w:sz w:val="28"/>
          <w:szCs w:val="28"/>
        </w:rPr>
        <w:t>；植被覆盖率和城市、集镇、乡村绿化水平进一步提高；继续深入开展农作物秸秆禁烧和综合利用管理工作，深入研究综合利用渠道</w:t>
      </w:r>
      <w:r>
        <w:rPr>
          <w:rFonts w:ascii="仿宋_GB2312" w:hAnsi="宋体" w:eastAsia="仿宋_GB2312"/>
          <w:kern w:val="0"/>
          <w:sz w:val="28"/>
          <w:szCs w:val="28"/>
        </w:rPr>
        <w:t>。</w:t>
      </w:r>
      <w:bookmarkEnd w:id="159"/>
    </w:p>
    <w:p w14:paraId="6DDB1FFB">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在土地用途区和建设用地管制区划定的过程中，切实减轻生态环境的承载压力，坚持环境优先，把小江、小清河、乌龙小河、黄水篝沟及其主要支流两岸和轿子雪山保护区划为禁止建设用地区和生态环境安全控制区，以生态环境保护为主导用途，严格土地用途管制。</w:t>
      </w:r>
    </w:p>
    <w:p w14:paraId="52B4B36F">
      <w:pPr>
        <w:pStyle w:val="3"/>
        <w:jc w:val="center"/>
        <w:rPr>
          <w:b w:val="0"/>
          <w:color w:val="000000"/>
          <w:sz w:val="28"/>
          <w:szCs w:val="28"/>
        </w:rPr>
      </w:pPr>
      <w:bookmarkStart w:id="160" w:name="_Toc491074920"/>
      <w:r>
        <w:rPr>
          <w:rFonts w:hint="eastAsia"/>
          <w:b w:val="0"/>
          <w:color w:val="000000"/>
          <w:sz w:val="28"/>
          <w:szCs w:val="28"/>
        </w:rPr>
        <w:t>第七节  推进“多规合一”情况分析</w:t>
      </w:r>
      <w:bookmarkEnd w:id="160"/>
    </w:p>
    <w:p w14:paraId="5770BAA5">
      <w:pPr>
        <w:widowControl/>
        <w:tabs>
          <w:tab w:val="left" w:pos="1950"/>
        </w:tabs>
        <w:adjustRightInd w:val="0"/>
        <w:snapToGrid w:val="0"/>
        <w:spacing w:line="360" w:lineRule="auto"/>
        <w:ind w:firstLine="561"/>
        <w:jc w:val="left"/>
        <w:rPr>
          <w:rFonts w:ascii="宋体" w:cs="宋体"/>
          <w:kern w:val="0"/>
          <w:sz w:val="24"/>
        </w:rPr>
      </w:pPr>
      <w:r>
        <w:rPr>
          <w:rFonts w:hint="eastAsia" w:ascii="仿宋_GB2312" w:hAnsi="宋体" w:eastAsia="仿宋_GB2312"/>
          <w:kern w:val="0"/>
          <w:sz w:val="28"/>
          <w:szCs w:val="28"/>
        </w:rPr>
        <w:t>此次调整完善工作中，加强了土地利用总体规划与产业发展、城乡建设、生态保护、林业等相关规划的衔接，并以土地利用总体规划为“底盘”，联合多部门共同进行基本农田保护红线、生态保护红线和城镇开发边界划定工作。在此基础上，积累工作经验、探索工作方法，为全面开展“多规合一”创造有利条件。</w:t>
      </w:r>
    </w:p>
    <w:p w14:paraId="5C4070DF">
      <w:pPr>
        <w:pStyle w:val="4"/>
        <w:spacing w:before="0" w:after="0" w:line="480" w:lineRule="auto"/>
        <w:rPr>
          <w:rFonts w:ascii="Arial" w:hAnsi="Arial" w:eastAsia="黑体"/>
          <w:b w:val="0"/>
          <w:color w:val="000000"/>
          <w:sz w:val="28"/>
          <w:szCs w:val="28"/>
        </w:rPr>
      </w:pPr>
      <w:bookmarkStart w:id="161" w:name="_Toc329199038"/>
      <w:r>
        <w:rPr>
          <w:rFonts w:hint="eastAsia" w:ascii="Arial" w:hAnsi="Arial" w:eastAsia="黑体"/>
          <w:b w:val="0"/>
          <w:color w:val="000000"/>
          <w:sz w:val="28"/>
          <w:szCs w:val="28"/>
        </w:rPr>
        <w:t>一、</w:t>
      </w:r>
      <w:bookmarkEnd w:id="161"/>
      <w:bookmarkStart w:id="162" w:name="_Toc329199039"/>
      <w:r>
        <w:rPr>
          <w:rFonts w:hint="eastAsia" w:ascii="Arial" w:hAnsi="Arial" w:eastAsia="黑体"/>
          <w:b w:val="0"/>
          <w:color w:val="000000"/>
          <w:sz w:val="28"/>
          <w:szCs w:val="28"/>
        </w:rPr>
        <w:t>与国民经济</w:t>
      </w:r>
      <w:r>
        <w:rPr>
          <w:rFonts w:hint="eastAsia" w:ascii="Arial" w:hAnsi="Arial" w:eastAsia="黑体"/>
          <w:b w:val="0"/>
          <w:color w:val="000000"/>
          <w:sz w:val="28"/>
          <w:szCs w:val="28"/>
          <w:lang w:eastAsia="zh-CN"/>
        </w:rPr>
        <w:t>“十三五”规划</w:t>
      </w:r>
      <w:r>
        <w:rPr>
          <w:rFonts w:hint="eastAsia" w:ascii="Arial" w:hAnsi="Arial" w:eastAsia="黑体"/>
          <w:b w:val="0"/>
          <w:color w:val="000000"/>
          <w:sz w:val="28"/>
          <w:szCs w:val="28"/>
        </w:rPr>
        <w:t>衔接情况</w:t>
      </w:r>
      <w:bookmarkEnd w:id="162"/>
    </w:p>
    <w:p w14:paraId="323E3282">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根据东川“十三五”规划目标，东川区将</w:t>
      </w:r>
      <w:r>
        <w:rPr>
          <w:rFonts w:ascii="仿宋_GB2312" w:hAnsi="宋体" w:eastAsia="仿宋_GB2312"/>
          <w:kern w:val="0"/>
          <w:sz w:val="28"/>
          <w:szCs w:val="28"/>
        </w:rPr>
        <w:t>着力推进铜都街道、乌龙新区、阿旺镇等中心城镇建设，着力基础设施改善提升，着力城市转型发展，着力生态环境修复与综合治理，着力推进扶贫攻坚，建设金沙江对内开放合作经济带的重要</w:t>
      </w:r>
      <w:r>
        <w:rPr>
          <w:rFonts w:hint="eastAsia" w:ascii="仿宋_GB2312" w:hAnsi="宋体" w:eastAsia="仿宋_GB2312"/>
          <w:kern w:val="0"/>
          <w:sz w:val="28"/>
          <w:szCs w:val="28"/>
        </w:rPr>
        <w:t>城市</w:t>
      </w:r>
      <w:r>
        <w:rPr>
          <w:rFonts w:ascii="仿宋_GB2312" w:hAnsi="宋体" w:eastAsia="仿宋_GB2312"/>
          <w:kern w:val="0"/>
          <w:sz w:val="28"/>
          <w:szCs w:val="28"/>
        </w:rPr>
        <w:t>、资源枯竭型城市转型发展</w:t>
      </w:r>
      <w:r>
        <w:rPr>
          <w:rFonts w:hint="eastAsia" w:ascii="仿宋_GB2312" w:hAnsi="宋体" w:eastAsia="仿宋_GB2312"/>
          <w:kern w:val="0"/>
          <w:sz w:val="28"/>
          <w:szCs w:val="28"/>
        </w:rPr>
        <w:t>实验区、</w:t>
      </w:r>
      <w:r>
        <w:rPr>
          <w:rFonts w:ascii="仿宋_GB2312" w:hAnsi="宋体" w:eastAsia="仿宋_GB2312"/>
          <w:kern w:val="0"/>
          <w:sz w:val="28"/>
          <w:szCs w:val="28"/>
        </w:rPr>
        <w:t>生态修复示范区、和</w:t>
      </w:r>
      <w:r>
        <w:rPr>
          <w:rFonts w:hint="eastAsia" w:ascii="仿宋_GB2312" w:hAnsi="宋体" w:eastAsia="仿宋_GB2312"/>
          <w:kern w:val="0"/>
          <w:sz w:val="28"/>
          <w:szCs w:val="28"/>
        </w:rPr>
        <w:t>特种</w:t>
      </w:r>
      <w:r>
        <w:rPr>
          <w:rFonts w:ascii="仿宋_GB2312" w:hAnsi="宋体" w:eastAsia="仿宋_GB2312"/>
          <w:kern w:val="0"/>
          <w:sz w:val="28"/>
          <w:szCs w:val="28"/>
        </w:rPr>
        <w:t>旅游目的地，形成北接长江经济带，南联滇中</w:t>
      </w:r>
      <w:r>
        <w:rPr>
          <w:rFonts w:hint="eastAsia" w:ascii="仿宋_GB2312" w:hAnsi="宋体" w:eastAsia="仿宋_GB2312"/>
          <w:kern w:val="0"/>
          <w:sz w:val="28"/>
          <w:szCs w:val="28"/>
        </w:rPr>
        <w:t>城市</w:t>
      </w:r>
      <w:r>
        <w:rPr>
          <w:rFonts w:ascii="仿宋_GB2312" w:hAnsi="宋体" w:eastAsia="仿宋_GB2312"/>
          <w:kern w:val="0"/>
          <w:sz w:val="28"/>
          <w:szCs w:val="28"/>
        </w:rPr>
        <w:t>经济圈，西向攀枝花</w:t>
      </w:r>
      <w:r>
        <w:rPr>
          <w:rFonts w:hint="eastAsia" w:ascii="仿宋_GB2312" w:hAnsi="宋体" w:eastAsia="仿宋_GB2312"/>
          <w:kern w:val="0"/>
          <w:sz w:val="28"/>
          <w:szCs w:val="28"/>
        </w:rPr>
        <w:t>—</w:t>
      </w:r>
      <w:r>
        <w:rPr>
          <w:rFonts w:ascii="仿宋_GB2312" w:hAnsi="宋体" w:eastAsia="仿宋_GB2312"/>
          <w:kern w:val="0"/>
          <w:sz w:val="28"/>
          <w:szCs w:val="28"/>
        </w:rPr>
        <w:t>六盘水经济区并最终对接成渝经济圈，东向会泽联系珠江</w:t>
      </w:r>
      <w:r>
        <w:rPr>
          <w:rFonts w:hint="eastAsia" w:ascii="仿宋_GB2312" w:hAnsi="宋体" w:eastAsia="仿宋_GB2312"/>
          <w:kern w:val="0"/>
          <w:sz w:val="28"/>
          <w:szCs w:val="28"/>
        </w:rPr>
        <w:t>—</w:t>
      </w:r>
      <w:r>
        <w:rPr>
          <w:rFonts w:ascii="仿宋_GB2312" w:hAnsi="宋体" w:eastAsia="仿宋_GB2312"/>
          <w:kern w:val="0"/>
          <w:sz w:val="28"/>
          <w:szCs w:val="28"/>
        </w:rPr>
        <w:t>西江经济带对外开放态势</w:t>
      </w:r>
      <w:r>
        <w:rPr>
          <w:rFonts w:hint="eastAsia" w:ascii="仿宋_GB2312" w:hAnsi="宋体" w:eastAsia="仿宋_GB2312"/>
          <w:kern w:val="0"/>
          <w:sz w:val="28"/>
          <w:szCs w:val="28"/>
        </w:rPr>
        <w:t>。</w:t>
      </w:r>
    </w:p>
    <w:p w14:paraId="5765DFFF">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土地利用总体规划是服务于社会经济发展的，土地利用规划从资源的集约利用、可持续利用方面具有调控经济发展的作用，因此，协调处理好土地利用总体规划和经济社会发展规划的关系非常重要。本次调整规划与东川区十三五经济和社会发展规划衔接情况主要表现在以下几点：</w:t>
      </w:r>
    </w:p>
    <w:p w14:paraId="0DEFB421">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1、与国民经济</w:t>
      </w:r>
      <w:r>
        <w:rPr>
          <w:rFonts w:hint="eastAsia" w:ascii="仿宋_GB2312" w:hAnsi="宋体" w:eastAsia="仿宋_GB2312"/>
          <w:kern w:val="0"/>
          <w:sz w:val="28"/>
          <w:szCs w:val="28"/>
          <w:lang w:eastAsia="zh-CN"/>
        </w:rPr>
        <w:t>“十三五”规划</w:t>
      </w:r>
      <w:r>
        <w:rPr>
          <w:rFonts w:hint="eastAsia" w:ascii="仿宋_GB2312" w:hAnsi="宋体" w:eastAsia="仿宋_GB2312"/>
          <w:kern w:val="0"/>
          <w:sz w:val="28"/>
          <w:szCs w:val="28"/>
        </w:rPr>
        <w:t>方向目标整体吻合。东川区</w:t>
      </w:r>
      <w:r>
        <w:rPr>
          <w:rFonts w:hint="eastAsia" w:ascii="仿宋_GB2312" w:hAnsi="宋体" w:eastAsia="仿宋_GB2312"/>
          <w:kern w:val="0"/>
          <w:sz w:val="28"/>
          <w:szCs w:val="28"/>
          <w:lang w:eastAsia="zh-CN"/>
        </w:rPr>
        <w:t>“十三五”规划</w:t>
      </w:r>
      <w:r>
        <w:rPr>
          <w:rFonts w:hint="eastAsia" w:ascii="仿宋_GB2312" w:hAnsi="宋体" w:eastAsia="仿宋_GB2312"/>
          <w:kern w:val="0"/>
          <w:sz w:val="28"/>
          <w:szCs w:val="28"/>
        </w:rPr>
        <w:t>确立的总体目标是：经济社会跨越发展，发展质量和效益显著增强；基本公共服务水平均等化、一体化水平明显提高；人民生活大幅改善，幸福指数明显提升；生态建设与环境保护取得显著成效，发展与环境资源矛盾有效缓解；关键领域改革全面完成，初步建立与科学发展相适应的机制体制。到2018年，实现与全市同步全面建成小康社会目标。本次规划调整整体思路及土地利用战略与国民经济</w:t>
      </w:r>
      <w:r>
        <w:rPr>
          <w:rFonts w:hint="eastAsia" w:ascii="仿宋_GB2312" w:hAnsi="宋体" w:eastAsia="仿宋_GB2312"/>
          <w:kern w:val="0"/>
          <w:sz w:val="28"/>
          <w:szCs w:val="28"/>
          <w:lang w:eastAsia="zh-CN"/>
        </w:rPr>
        <w:t>“十三五”规划</w:t>
      </w:r>
      <w:r>
        <w:rPr>
          <w:rFonts w:hint="eastAsia" w:ascii="仿宋_GB2312" w:hAnsi="宋体" w:eastAsia="仿宋_GB2312"/>
          <w:kern w:val="0"/>
          <w:sz w:val="28"/>
          <w:szCs w:val="28"/>
        </w:rPr>
        <w:t>方向目标整体吻合。</w:t>
      </w:r>
    </w:p>
    <w:p w14:paraId="5BD18953">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2、与国民经济</w:t>
      </w:r>
      <w:r>
        <w:rPr>
          <w:rFonts w:hint="eastAsia" w:ascii="仿宋_GB2312" w:hAnsi="宋体" w:eastAsia="仿宋_GB2312"/>
          <w:kern w:val="0"/>
          <w:sz w:val="28"/>
          <w:szCs w:val="28"/>
          <w:lang w:eastAsia="zh-CN"/>
        </w:rPr>
        <w:t>“十三五”规划</w:t>
      </w:r>
      <w:r>
        <w:rPr>
          <w:rFonts w:hint="eastAsia" w:ascii="仿宋_GB2312" w:hAnsi="宋体" w:eastAsia="仿宋_GB2312"/>
          <w:kern w:val="0"/>
          <w:sz w:val="28"/>
          <w:szCs w:val="28"/>
        </w:rPr>
        <w:t>的战略布局与战略重点整体相符。</w:t>
      </w:r>
    </w:p>
    <w:p w14:paraId="11317A29">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十三五”期间东川区经济社会发展的主要奋斗目标是：一是综合实力明显增强，二是基础设施重大突破，三是特色产业形成支柱，四是城镇品质快速提升，五是生态环境明显改善，六是水源保护持续加强，七是民生保障成效显著，八是同步小康如期实现。</w:t>
      </w:r>
    </w:p>
    <w:p w14:paraId="0E99C517">
      <w:pPr>
        <w:widowControl/>
        <w:tabs>
          <w:tab w:val="left" w:pos="1950"/>
        </w:tabs>
        <w:adjustRightInd w:val="0"/>
        <w:snapToGrid w:val="0"/>
        <w:spacing w:line="360" w:lineRule="auto"/>
        <w:ind w:firstLine="561"/>
        <w:jc w:val="left"/>
        <w:rPr>
          <w:rFonts w:ascii="仿宋_GB2312" w:hAnsi="宋体" w:eastAsia="仿宋_GB2312"/>
          <w:sz w:val="28"/>
          <w:szCs w:val="28"/>
        </w:rPr>
      </w:pPr>
      <w:r>
        <w:rPr>
          <w:rFonts w:hint="eastAsia" w:ascii="仿宋_GB2312" w:hAnsi="宋体" w:eastAsia="仿宋_GB2312"/>
          <w:kern w:val="0"/>
          <w:sz w:val="28"/>
          <w:szCs w:val="28"/>
        </w:rPr>
        <w:t>按照“十三五”规划发展思路，此次调整完善重点保障了北部山水新区、双龙生态旅游区、松花坝水源保护区不同的用地需求。对于松花坝水源保护区按照“保护为主，探索发展”思路，努力破解水源区保护与发展的矛盾，一级水源保护区严格限制发展，建设永久生态林带，主要进行生态建设和生态修复，二、三级保护区保护与发展并重，发展经济果林、生态农业、园林园艺植物、中药材等，使水源区产业由以农为主向以林为主转变。而北部山水新区以主城中心区为重点开展城市化建设，重点强化基础设施建设，优化产业发展布局，以国际化视野、超前眼光、战略思维，提升城市规划建设管理水平，强化省会城市中心城区的服务功能，为人民群众提供布局合理、环境优美、管理有序的生活居住空间，打造高品质现代都市城区，把东川建设成为和谐宜居、富有活力的现代化城市。</w:t>
      </w:r>
    </w:p>
    <w:p w14:paraId="76562680">
      <w:pPr>
        <w:pStyle w:val="4"/>
        <w:spacing w:before="0" w:after="0" w:line="480" w:lineRule="auto"/>
        <w:rPr>
          <w:rFonts w:ascii="Arial" w:hAnsi="Arial" w:eastAsia="黑体"/>
          <w:b w:val="0"/>
          <w:color w:val="000000"/>
          <w:sz w:val="28"/>
          <w:szCs w:val="28"/>
        </w:rPr>
      </w:pPr>
      <w:bookmarkStart w:id="163" w:name="_Toc329199040"/>
      <w:r>
        <w:rPr>
          <w:rFonts w:hint="eastAsia" w:ascii="Arial" w:hAnsi="Arial" w:eastAsia="黑体"/>
          <w:b w:val="0"/>
          <w:color w:val="000000"/>
          <w:sz w:val="28"/>
          <w:szCs w:val="28"/>
        </w:rPr>
        <w:t>二、与城镇总体规划衔接情况</w:t>
      </w:r>
      <w:bookmarkEnd w:id="163"/>
    </w:p>
    <w:p w14:paraId="1B3962FA">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土地利用总体规划侧重于整个区域的远景发展，强调区域的整体性以及自然资源的保护、各业的协调、生态的平衡和经济的可持续发展，而城镇总体规划则主要侧重在对城市各类用地进行优化调整、合理配置，强调城市土地利用的整体效果。城镇总体规划和土地利用规划既相互联系又相互制约。两者衔接的核心就是土地利用的方向、规模、界限的协调与否，这不仅关系着城镇规划能否顺利实施、城镇能否健康发展，而且会对整个城镇经济乃至经济发展产生重大影响。实现两个规划的相互渗透、有机结合，已经成为加快城市化进程、推进城市经济快速发展的当务之急。</w:t>
      </w:r>
    </w:p>
    <w:p w14:paraId="1CFBB865">
      <w:pPr>
        <w:widowControl/>
        <w:tabs>
          <w:tab w:val="left" w:pos="1950"/>
        </w:tabs>
        <w:adjustRightInd w:val="0"/>
        <w:snapToGrid w:val="0"/>
        <w:spacing w:line="360" w:lineRule="auto"/>
        <w:ind w:firstLine="561"/>
        <w:jc w:val="left"/>
        <w:rPr>
          <w:rFonts w:ascii="仿宋_GB2312" w:hAnsi="宋体" w:eastAsia="仿宋_GB2312"/>
          <w:sz w:val="28"/>
          <w:szCs w:val="28"/>
        </w:rPr>
      </w:pPr>
      <w:r>
        <w:rPr>
          <w:rFonts w:hint="eastAsia" w:ascii="仿宋_GB2312" w:hAnsi="宋体" w:eastAsia="仿宋_GB2312"/>
          <w:kern w:val="0"/>
          <w:sz w:val="28"/>
          <w:szCs w:val="28"/>
        </w:rPr>
        <w:t>城镇总体规划在城镇人口预测、城镇人均用地标准，城镇人均用地内涵上达成一致，无法达成一致的，在城镇建设用地总规模和空间分配上，城镇总体规划要服从土地利用总体规划的统筹安排，本次调整土地利用总体规划中，在布局集镇建设用地或其他建设项目时充分考虑了城镇建设的自身发展要求，重点考虑了为城镇发展留有足够的预留地和节约集约用地原则，与土地利用规划全面协调。</w:t>
      </w:r>
    </w:p>
    <w:p w14:paraId="0507022E">
      <w:pPr>
        <w:pStyle w:val="4"/>
        <w:spacing w:before="0" w:after="0" w:line="480" w:lineRule="auto"/>
        <w:rPr>
          <w:rFonts w:ascii="Arial" w:hAnsi="Arial" w:eastAsia="黑体"/>
          <w:b w:val="0"/>
          <w:color w:val="000000"/>
          <w:sz w:val="28"/>
          <w:szCs w:val="28"/>
        </w:rPr>
      </w:pPr>
      <w:bookmarkStart w:id="164" w:name="_Toc329199041"/>
      <w:r>
        <w:rPr>
          <w:rFonts w:hint="eastAsia" w:ascii="Arial" w:hAnsi="Arial" w:eastAsia="黑体"/>
          <w:b w:val="0"/>
          <w:color w:val="000000"/>
          <w:sz w:val="28"/>
          <w:szCs w:val="28"/>
        </w:rPr>
        <w:t>四、与林业</w:t>
      </w:r>
      <w:r>
        <w:rPr>
          <w:rFonts w:hint="eastAsia" w:ascii="Arial" w:hAnsi="Arial" w:eastAsia="黑体"/>
          <w:b w:val="0"/>
          <w:color w:val="000000"/>
          <w:sz w:val="28"/>
          <w:szCs w:val="28"/>
          <w:lang w:eastAsia="zh-CN"/>
        </w:rPr>
        <w:t>“十三五”规划</w:t>
      </w:r>
      <w:r>
        <w:rPr>
          <w:rFonts w:hint="eastAsia" w:ascii="Arial" w:hAnsi="Arial" w:eastAsia="黑体"/>
          <w:b w:val="0"/>
          <w:color w:val="000000"/>
          <w:sz w:val="28"/>
          <w:szCs w:val="28"/>
        </w:rPr>
        <w:t>衔接情况</w:t>
      </w:r>
      <w:bookmarkEnd w:id="164"/>
    </w:p>
    <w:p w14:paraId="1BD368C5">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根据林业</w:t>
      </w:r>
      <w:r>
        <w:rPr>
          <w:rFonts w:hint="eastAsia" w:ascii="仿宋_GB2312" w:hAnsi="宋体" w:eastAsia="仿宋_GB2312"/>
          <w:kern w:val="0"/>
          <w:sz w:val="28"/>
          <w:szCs w:val="28"/>
          <w:lang w:eastAsia="zh-CN"/>
        </w:rPr>
        <w:t>“十三五”规划</w:t>
      </w:r>
      <w:r>
        <w:rPr>
          <w:rFonts w:hint="eastAsia" w:ascii="仿宋_GB2312" w:hAnsi="宋体" w:eastAsia="仿宋_GB2312"/>
          <w:kern w:val="0"/>
          <w:sz w:val="28"/>
          <w:szCs w:val="28"/>
        </w:rPr>
        <w:t>，十三五期间，东川区的林业发展规划主要按照生态建设产业化，产业发展生态化的发展思路，通过实施退耕还林、防护林工程建设、干果基地、林业产业、速生丰产林等造林工程，全区森林资源稳步增长，生态环境得到明显改善，产业基地建设得到快速发展。</w:t>
      </w:r>
    </w:p>
    <w:p w14:paraId="7F69AA86">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本次调整规划在响应上级部门政策精神的同时，在规划布局中，山地、缓坡地、丘陵等适宜建设的用地占用林地时，对林业</w:t>
      </w:r>
      <w:r>
        <w:rPr>
          <w:rFonts w:hint="eastAsia" w:ascii="仿宋_GB2312" w:hAnsi="宋体" w:eastAsia="仿宋_GB2312"/>
          <w:kern w:val="0"/>
          <w:sz w:val="28"/>
          <w:szCs w:val="28"/>
          <w:lang w:eastAsia="zh-CN"/>
        </w:rPr>
        <w:t>“十三五”规划</w:t>
      </w:r>
      <w:r>
        <w:rPr>
          <w:rFonts w:hint="eastAsia" w:ascii="仿宋_GB2312" w:hAnsi="宋体" w:eastAsia="仿宋_GB2312"/>
          <w:kern w:val="0"/>
          <w:sz w:val="28"/>
          <w:szCs w:val="28"/>
        </w:rPr>
        <w:t>中重点林地：公益林地、水源林、保护林等进行了充分考虑，规划布局期间与林业部门就建设占用林地方面做了反复论证，避免云龙水库水源保护区、各乡镇水源林、公益林等建设占用情况出现，以保证林地保持水土、涵养水源和保持生态平衡的功能。</w:t>
      </w:r>
    </w:p>
    <w:p w14:paraId="28B67699">
      <w:pPr>
        <w:widowControl/>
        <w:tabs>
          <w:tab w:val="left" w:pos="1950"/>
        </w:tabs>
        <w:adjustRightInd w:val="0"/>
        <w:snapToGrid w:val="0"/>
        <w:spacing w:line="360" w:lineRule="auto"/>
        <w:ind w:firstLine="561"/>
        <w:jc w:val="left"/>
        <w:rPr>
          <w:rFonts w:ascii="仿宋_GB2312" w:hAnsi="宋体" w:eastAsia="仿宋_GB2312"/>
          <w:sz w:val="28"/>
          <w:szCs w:val="28"/>
        </w:rPr>
      </w:pPr>
      <w:r>
        <w:rPr>
          <w:rFonts w:hint="eastAsia" w:ascii="仿宋_GB2312" w:hAnsi="宋体" w:eastAsia="仿宋_GB2312"/>
          <w:kern w:val="0"/>
          <w:sz w:val="28"/>
          <w:szCs w:val="28"/>
        </w:rPr>
        <w:t>在项目布局中也充分考虑了林业规划中的经济林和观光林，因经济林加工需要的建设场地预留等用地相应布局，保证各林业项目得到规划落实的同时全方位考虑到了整个东川区的林业发展格局，做到规划之间的相互促进、相互补充。</w:t>
      </w:r>
    </w:p>
    <w:p w14:paraId="760B1ADE">
      <w:pPr>
        <w:pStyle w:val="4"/>
        <w:spacing w:before="0" w:after="0" w:line="480" w:lineRule="auto"/>
        <w:rPr>
          <w:rFonts w:ascii="Arial" w:hAnsi="Arial" w:eastAsia="黑体"/>
          <w:b w:val="0"/>
          <w:color w:val="000000"/>
          <w:sz w:val="28"/>
          <w:szCs w:val="28"/>
        </w:rPr>
      </w:pPr>
      <w:bookmarkStart w:id="165" w:name="_Toc329199042"/>
      <w:r>
        <w:rPr>
          <w:rFonts w:hint="eastAsia" w:ascii="Arial" w:hAnsi="Arial" w:eastAsia="黑体"/>
          <w:b w:val="0"/>
          <w:color w:val="000000"/>
          <w:sz w:val="28"/>
          <w:szCs w:val="28"/>
        </w:rPr>
        <w:t>五、与其他规划衔接情况</w:t>
      </w:r>
      <w:bookmarkEnd w:id="165"/>
    </w:p>
    <w:p w14:paraId="6BC45977">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本次调整土地利用总体规划除了与以上几个规划相衔接以外，还与交通、教育，招商等规划相协调，在行业用地标准和用地分类内涵上，要与土地利用总体规划协商达成一致。在以确定的各行业规划用地规模范围内，加大对重大项目具体布局的论证，在符合土地利用总体规划总体布局的原则上可进行局部微调，做到互相不冲突。</w:t>
      </w:r>
    </w:p>
    <w:p w14:paraId="43994C00">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总体来看，东川区土地利用总体规划调整与国民经济</w:t>
      </w:r>
      <w:r>
        <w:rPr>
          <w:rFonts w:hint="eastAsia" w:ascii="仿宋_GB2312" w:hAnsi="宋体" w:eastAsia="仿宋_GB2312"/>
          <w:kern w:val="0"/>
          <w:sz w:val="28"/>
          <w:szCs w:val="28"/>
          <w:lang w:eastAsia="zh-CN"/>
        </w:rPr>
        <w:t>“十三五”规划</w:t>
      </w:r>
      <w:r>
        <w:rPr>
          <w:rFonts w:hint="eastAsia" w:ascii="仿宋_GB2312" w:hAnsi="宋体" w:eastAsia="仿宋_GB2312"/>
          <w:kern w:val="0"/>
          <w:sz w:val="28"/>
          <w:szCs w:val="28"/>
        </w:rPr>
        <w:t>、城镇总体规划、林业</w:t>
      </w:r>
      <w:r>
        <w:rPr>
          <w:rFonts w:hint="eastAsia" w:ascii="仿宋_GB2312" w:hAnsi="宋体" w:eastAsia="仿宋_GB2312"/>
          <w:kern w:val="0"/>
          <w:sz w:val="28"/>
          <w:szCs w:val="28"/>
          <w:lang w:eastAsia="zh-CN"/>
        </w:rPr>
        <w:t>“十三五”规划</w:t>
      </w:r>
      <w:r>
        <w:rPr>
          <w:rFonts w:hint="eastAsia" w:ascii="仿宋_GB2312" w:hAnsi="宋体" w:eastAsia="仿宋_GB2312"/>
          <w:kern w:val="0"/>
          <w:sz w:val="28"/>
          <w:szCs w:val="28"/>
        </w:rPr>
        <w:t>等规划进行了充分衔接，在此基础上，充分与区内招商、教育、交通等部门进行了衔接，规划调整方案切实可行。</w:t>
      </w:r>
    </w:p>
    <w:p w14:paraId="3CA8C3C3">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东川区此次调整完善工作形成“政府主导、国土牵头、部门协同、企业自觉、社会参与”的保障工作大格局，加强了土地利用总体规划与产业发展、城乡建设、生态保护、林业等相关规划的衔接，统一思想、提高认识，并以土地利用总体规划为“底盘”，联合多部门共同进行基本农田保护红线、生态保护红线和城镇开发边界划定工作。在此基础上，积累工作经验、探索工作方法，提高土地集约节约利用水平和土地利用效率。</w:t>
      </w:r>
    </w:p>
    <w:p w14:paraId="4CF7AB5E">
      <w:pPr>
        <w:widowControl/>
        <w:tabs>
          <w:tab w:val="left" w:pos="1950"/>
        </w:tabs>
        <w:adjustRightInd w:val="0"/>
        <w:snapToGrid w:val="0"/>
        <w:spacing w:line="360" w:lineRule="auto"/>
        <w:ind w:firstLine="561"/>
        <w:jc w:val="left"/>
        <w:rPr>
          <w:rFonts w:ascii="仿宋_GB2312" w:hAnsi="宋体" w:eastAsia="仿宋_GB2312"/>
          <w:kern w:val="0"/>
          <w:sz w:val="28"/>
          <w:szCs w:val="28"/>
        </w:rPr>
      </w:pPr>
      <w:r>
        <w:rPr>
          <w:rFonts w:hint="eastAsia" w:ascii="仿宋_GB2312" w:hAnsi="宋体" w:eastAsia="仿宋_GB2312"/>
          <w:kern w:val="0"/>
          <w:sz w:val="28"/>
          <w:szCs w:val="28"/>
        </w:rPr>
        <w:t>此外，此次调整完善还与教育、民政等相关职能部门编制的规划、计划进行了充分衔接，保障了铜都小学、汤丹小学、格勒小学等教育科研项目用地需求；安排落实了阿旺敬老院社会福利用地；并对区内已批项目或已出让土地的用地性质予以保留，在上一轮规划成果的基础上进行深化和优化，确保各层面规划的衔接和统一，强调规划的可操作性。做到与各级规划的协调，建设项目由主管部门确定，用地规模和位置共同协商确定，本调整完善方案中重要的定义、结论、数据均与相关规划吻合，并符合其他相关规划。</w:t>
      </w:r>
    </w:p>
    <w:bookmarkEnd w:id="88"/>
    <w:bookmarkEnd w:id="89"/>
    <w:bookmarkEnd w:id="90"/>
    <w:bookmarkEnd w:id="91"/>
    <w:bookmarkEnd w:id="92"/>
    <w:bookmarkEnd w:id="93"/>
    <w:bookmarkEnd w:id="94"/>
    <w:bookmarkEnd w:id="95"/>
    <w:p w14:paraId="515ECB6C">
      <w:pPr>
        <w:spacing w:line="360" w:lineRule="auto"/>
        <w:rPr>
          <w:rFonts w:ascii="宋体" w:hAnsi="宋体"/>
          <w:color w:val="000000"/>
          <w:sz w:val="24"/>
        </w:rPr>
        <w:sectPr>
          <w:footerReference r:id="rId9" w:type="even"/>
          <w:pgSz w:w="11906" w:h="16838"/>
          <w:pgMar w:top="1440" w:right="1080" w:bottom="1440" w:left="1080" w:header="851" w:footer="992" w:gutter="0"/>
          <w:cols w:space="425" w:num="1"/>
          <w:docGrid w:type="lines" w:linePitch="312" w:charSpace="0"/>
        </w:sectPr>
      </w:pPr>
    </w:p>
    <w:p w14:paraId="6298ACC2">
      <w:pPr>
        <w:pStyle w:val="2"/>
        <w:spacing w:before="0" w:after="0" w:line="240" w:lineRule="auto"/>
        <w:jc w:val="center"/>
        <w:rPr>
          <w:rFonts w:ascii="黑体" w:eastAsia="黑体"/>
          <w:b w:val="0"/>
          <w:color w:val="000000"/>
          <w:sz w:val="28"/>
          <w:szCs w:val="28"/>
        </w:rPr>
      </w:pPr>
      <w:bookmarkStart w:id="166" w:name="_Toc491074921"/>
      <w:bookmarkStart w:id="167" w:name="_Toc268160762"/>
      <w:bookmarkStart w:id="168" w:name="_Toc266629924"/>
      <w:bookmarkStart w:id="169" w:name="_Toc233987223"/>
      <w:bookmarkStart w:id="170" w:name="_Toc233602612"/>
      <w:r>
        <w:rPr>
          <w:rFonts w:ascii="黑体" w:eastAsia="黑体"/>
          <w:b w:val="0"/>
          <w:color w:val="000000"/>
          <w:sz w:val="28"/>
          <w:szCs w:val="28"/>
        </w:rPr>
        <w:t>附表</w:t>
      </w:r>
      <w:bookmarkEnd w:id="166"/>
      <w:bookmarkEnd w:id="167"/>
    </w:p>
    <w:p w14:paraId="15E4C3D4">
      <w:pPr>
        <w:pStyle w:val="2"/>
        <w:spacing w:line="240" w:lineRule="atLeast"/>
        <w:jc w:val="left"/>
        <w:rPr>
          <w:rFonts w:ascii="黑体" w:eastAsia="黑体"/>
          <w:b w:val="0"/>
          <w:sz w:val="24"/>
          <w:szCs w:val="24"/>
        </w:rPr>
      </w:pPr>
      <w:bookmarkStart w:id="171" w:name="_Toc268160763"/>
      <w:bookmarkStart w:id="172" w:name="_Toc491074922"/>
      <w:r>
        <w:rPr>
          <w:rFonts w:hint="eastAsia" w:ascii="黑体" w:eastAsia="黑体"/>
          <w:b w:val="0"/>
          <w:color w:val="000000"/>
          <w:sz w:val="24"/>
          <w:szCs w:val="24"/>
        </w:rPr>
        <w:t>附表</w:t>
      </w:r>
      <w:r>
        <w:rPr>
          <w:rFonts w:ascii="黑体" w:eastAsia="黑体"/>
          <w:b w:val="0"/>
          <w:color w:val="000000"/>
          <w:sz w:val="24"/>
          <w:szCs w:val="24"/>
        </w:rPr>
        <w:t xml:space="preserve">1 </w:t>
      </w:r>
      <w:r>
        <w:rPr>
          <w:rFonts w:hint="eastAsia" w:ascii="黑体" w:eastAsia="黑体"/>
          <w:b w:val="0"/>
          <w:color w:val="000000"/>
          <w:sz w:val="24"/>
          <w:szCs w:val="24"/>
        </w:rPr>
        <w:t xml:space="preserve"> </w:t>
      </w:r>
      <w:bookmarkEnd w:id="171"/>
      <w:bookmarkStart w:id="173" w:name="_Toc268160764"/>
      <w:r>
        <w:rPr>
          <w:rFonts w:hint="eastAsia" w:ascii="黑体" w:eastAsia="黑体"/>
          <w:b w:val="0"/>
          <w:sz w:val="24"/>
          <w:szCs w:val="24"/>
        </w:rPr>
        <w:t>东川区土地利用主要调控指标</w:t>
      </w:r>
      <w:bookmarkEnd w:id="172"/>
    </w:p>
    <w:p w14:paraId="48AEF80F">
      <w:pPr>
        <w:jc w:val="right"/>
        <w:rPr>
          <w:rFonts w:ascii="宋体" w:hAnsi="宋体"/>
          <w:sz w:val="18"/>
          <w:szCs w:val="18"/>
        </w:rPr>
      </w:pPr>
      <w:r>
        <w:rPr>
          <w:rFonts w:hint="eastAsia" w:ascii="宋体" w:hAnsi="宋体"/>
          <w:sz w:val="18"/>
          <w:szCs w:val="18"/>
        </w:rPr>
        <w:t>单位：公顷</w:t>
      </w:r>
    </w:p>
    <w:tbl>
      <w:tblPr>
        <w:tblStyle w:val="27"/>
        <w:tblW w:w="10397" w:type="dxa"/>
        <w:jc w:val="center"/>
        <w:tblLayout w:type="autofit"/>
        <w:tblCellMar>
          <w:top w:w="0" w:type="dxa"/>
          <w:left w:w="108" w:type="dxa"/>
          <w:bottom w:w="0" w:type="dxa"/>
          <w:right w:w="108" w:type="dxa"/>
        </w:tblCellMar>
      </w:tblPr>
      <w:tblGrid>
        <w:gridCol w:w="2357"/>
        <w:gridCol w:w="1791"/>
        <w:gridCol w:w="1300"/>
        <w:gridCol w:w="1791"/>
        <w:gridCol w:w="1119"/>
        <w:gridCol w:w="2039"/>
      </w:tblGrid>
      <w:tr w14:paraId="455FA7E5">
        <w:trPr>
          <w:trHeight w:val="288" w:hRule="atLeast"/>
          <w:jc w:val="center"/>
        </w:trPr>
        <w:tc>
          <w:tcPr>
            <w:tcW w:w="23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DB6EE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指标名称</w:t>
            </w:r>
          </w:p>
        </w:tc>
        <w:tc>
          <w:tcPr>
            <w:tcW w:w="1791" w:type="dxa"/>
            <w:tcBorders>
              <w:top w:val="single" w:color="auto" w:sz="4" w:space="0"/>
              <w:left w:val="nil"/>
              <w:bottom w:val="single" w:color="auto" w:sz="4" w:space="0"/>
              <w:right w:val="single" w:color="auto" w:sz="4" w:space="0"/>
            </w:tcBorders>
            <w:shd w:val="clear" w:color="auto" w:fill="auto"/>
            <w:noWrap/>
            <w:vAlign w:val="center"/>
          </w:tcPr>
          <w:p w14:paraId="5E5E8E7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上级下达规模</w:t>
            </w:r>
          </w:p>
        </w:tc>
        <w:tc>
          <w:tcPr>
            <w:tcW w:w="1300" w:type="dxa"/>
            <w:tcBorders>
              <w:top w:val="single" w:color="auto" w:sz="4" w:space="0"/>
              <w:left w:val="nil"/>
              <w:bottom w:val="single" w:color="auto" w:sz="4" w:space="0"/>
              <w:right w:val="single" w:color="auto" w:sz="4" w:space="0"/>
            </w:tcBorders>
            <w:shd w:val="clear" w:color="auto" w:fill="auto"/>
            <w:noWrap/>
            <w:vAlign w:val="center"/>
          </w:tcPr>
          <w:p w14:paraId="27B22C9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规划基期年</w:t>
            </w:r>
          </w:p>
        </w:tc>
        <w:tc>
          <w:tcPr>
            <w:tcW w:w="1791" w:type="dxa"/>
            <w:tcBorders>
              <w:top w:val="single" w:color="auto" w:sz="4" w:space="0"/>
              <w:left w:val="nil"/>
              <w:bottom w:val="single" w:color="auto" w:sz="4" w:space="0"/>
              <w:right w:val="single" w:color="auto" w:sz="4" w:space="0"/>
            </w:tcBorders>
            <w:shd w:val="clear" w:color="auto" w:fill="auto"/>
            <w:noWrap/>
            <w:vAlign w:val="center"/>
          </w:tcPr>
          <w:p w14:paraId="2909F54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规划目标年</w:t>
            </w:r>
          </w:p>
        </w:tc>
        <w:tc>
          <w:tcPr>
            <w:tcW w:w="1119" w:type="dxa"/>
            <w:tcBorders>
              <w:top w:val="single" w:color="auto" w:sz="4" w:space="0"/>
              <w:left w:val="nil"/>
              <w:bottom w:val="single" w:color="auto" w:sz="4" w:space="0"/>
              <w:right w:val="single" w:color="auto" w:sz="4" w:space="0"/>
            </w:tcBorders>
            <w:shd w:val="clear" w:color="auto" w:fill="auto"/>
            <w:noWrap/>
            <w:vAlign w:val="center"/>
          </w:tcPr>
          <w:p w14:paraId="2EF4CDA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指标属性</w:t>
            </w:r>
          </w:p>
        </w:tc>
        <w:tc>
          <w:tcPr>
            <w:tcW w:w="2039" w:type="dxa"/>
            <w:tcBorders>
              <w:top w:val="single" w:color="auto" w:sz="4" w:space="0"/>
              <w:left w:val="nil"/>
              <w:bottom w:val="single" w:color="auto" w:sz="4" w:space="0"/>
              <w:right w:val="single" w:color="auto" w:sz="4" w:space="0"/>
            </w:tcBorders>
            <w:shd w:val="clear" w:color="auto" w:fill="auto"/>
            <w:noWrap/>
            <w:vAlign w:val="center"/>
          </w:tcPr>
          <w:p w14:paraId="6E2303B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14:paraId="62A05EB3">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236EA40B">
            <w:pPr>
              <w:widowControl/>
              <w:jc w:val="center"/>
              <w:rPr>
                <w:rFonts w:ascii="宋体" w:hAnsi="宋体" w:cs="宋体"/>
                <w:color w:val="000000"/>
                <w:kern w:val="0"/>
                <w:sz w:val="18"/>
                <w:szCs w:val="18"/>
              </w:rPr>
            </w:pPr>
            <w:r>
              <w:rPr>
                <w:rFonts w:hint="eastAsia" w:ascii="宋体" w:hAnsi="宋体" w:cs="宋体"/>
                <w:color w:val="000000"/>
                <w:kern w:val="0"/>
                <w:sz w:val="18"/>
                <w:szCs w:val="18"/>
              </w:rPr>
              <w:t>耕地保有量</w:t>
            </w:r>
          </w:p>
        </w:tc>
        <w:tc>
          <w:tcPr>
            <w:tcW w:w="1791" w:type="dxa"/>
            <w:tcBorders>
              <w:top w:val="nil"/>
              <w:left w:val="nil"/>
              <w:bottom w:val="single" w:color="auto" w:sz="4" w:space="0"/>
              <w:right w:val="single" w:color="auto" w:sz="4" w:space="0"/>
            </w:tcBorders>
            <w:shd w:val="clear" w:color="auto" w:fill="auto"/>
            <w:noWrap/>
            <w:vAlign w:val="center"/>
          </w:tcPr>
          <w:p w14:paraId="375017E6">
            <w:pPr>
              <w:widowControl/>
              <w:jc w:val="center"/>
              <w:rPr>
                <w:rFonts w:ascii="宋体" w:hAnsi="宋体" w:cs="宋体"/>
                <w:color w:val="000000"/>
                <w:kern w:val="0"/>
                <w:sz w:val="18"/>
                <w:szCs w:val="18"/>
              </w:rPr>
            </w:pPr>
            <w:r>
              <w:rPr>
                <w:rFonts w:hint="eastAsia" w:ascii="宋体" w:hAnsi="宋体" w:cs="宋体"/>
                <w:color w:val="000000"/>
                <w:kern w:val="0"/>
                <w:sz w:val="18"/>
                <w:szCs w:val="18"/>
              </w:rPr>
              <w:t>29497</w:t>
            </w:r>
          </w:p>
        </w:tc>
        <w:tc>
          <w:tcPr>
            <w:tcW w:w="1300" w:type="dxa"/>
            <w:tcBorders>
              <w:top w:val="nil"/>
              <w:left w:val="nil"/>
              <w:bottom w:val="single" w:color="auto" w:sz="4" w:space="0"/>
              <w:right w:val="single" w:color="auto" w:sz="4" w:space="0"/>
            </w:tcBorders>
            <w:shd w:val="clear" w:color="auto" w:fill="auto"/>
            <w:noWrap/>
            <w:vAlign w:val="center"/>
          </w:tcPr>
          <w:p w14:paraId="4C6CC6D9">
            <w:pPr>
              <w:widowControl/>
              <w:jc w:val="center"/>
              <w:rPr>
                <w:rFonts w:ascii="宋体" w:hAnsi="宋体" w:cs="宋体"/>
                <w:color w:val="000000"/>
                <w:kern w:val="0"/>
                <w:sz w:val="18"/>
                <w:szCs w:val="18"/>
              </w:rPr>
            </w:pPr>
            <w:r>
              <w:rPr>
                <w:rFonts w:hint="eastAsia" w:ascii="宋体" w:hAnsi="宋体" w:cs="宋体"/>
                <w:color w:val="000000"/>
                <w:kern w:val="0"/>
                <w:sz w:val="18"/>
                <w:szCs w:val="18"/>
              </w:rPr>
              <w:t>32403.40</w:t>
            </w:r>
          </w:p>
        </w:tc>
        <w:tc>
          <w:tcPr>
            <w:tcW w:w="1791" w:type="dxa"/>
            <w:tcBorders>
              <w:top w:val="nil"/>
              <w:left w:val="nil"/>
              <w:bottom w:val="single" w:color="auto" w:sz="4" w:space="0"/>
              <w:right w:val="single" w:color="auto" w:sz="4" w:space="0"/>
            </w:tcBorders>
            <w:shd w:val="clear" w:color="auto" w:fill="auto"/>
            <w:noWrap/>
            <w:vAlign w:val="center"/>
          </w:tcPr>
          <w:p w14:paraId="56B9E043">
            <w:pPr>
              <w:widowControl/>
              <w:jc w:val="center"/>
              <w:rPr>
                <w:rFonts w:ascii="宋体" w:hAnsi="宋体" w:cs="宋体"/>
                <w:color w:val="000000"/>
                <w:kern w:val="0"/>
                <w:sz w:val="18"/>
                <w:szCs w:val="18"/>
              </w:rPr>
            </w:pPr>
            <w:r>
              <w:rPr>
                <w:rFonts w:hint="eastAsia" w:ascii="宋体" w:hAnsi="宋体" w:cs="宋体"/>
                <w:color w:val="000000"/>
                <w:kern w:val="0"/>
                <w:sz w:val="18"/>
                <w:szCs w:val="18"/>
              </w:rPr>
              <w:t>30430.78</w:t>
            </w:r>
          </w:p>
        </w:tc>
        <w:tc>
          <w:tcPr>
            <w:tcW w:w="1119" w:type="dxa"/>
            <w:tcBorders>
              <w:top w:val="nil"/>
              <w:left w:val="nil"/>
              <w:bottom w:val="single" w:color="auto" w:sz="4" w:space="0"/>
              <w:right w:val="single" w:color="auto" w:sz="4" w:space="0"/>
            </w:tcBorders>
            <w:shd w:val="clear" w:color="auto" w:fill="auto"/>
            <w:noWrap/>
            <w:vAlign w:val="center"/>
          </w:tcPr>
          <w:p w14:paraId="72C11950">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75602993">
            <w:pPr>
              <w:widowControl/>
              <w:jc w:val="center"/>
              <w:rPr>
                <w:rFonts w:ascii="宋体" w:hAnsi="宋体" w:cs="宋体"/>
                <w:color w:val="000000"/>
                <w:kern w:val="0"/>
                <w:sz w:val="22"/>
                <w:szCs w:val="22"/>
              </w:rPr>
            </w:pPr>
            <w:r>
              <w:rPr>
                <w:rFonts w:hint="eastAsia" w:ascii="宋体" w:hAnsi="宋体" w:cs="宋体"/>
                <w:color w:val="000000"/>
                <w:kern w:val="0"/>
                <w:sz w:val="18"/>
                <w:szCs w:val="18"/>
              </w:rPr>
              <w:t>包含预留的13公顷新增建设占用耕地</w:t>
            </w:r>
          </w:p>
        </w:tc>
      </w:tr>
      <w:tr w14:paraId="5AA81596">
        <w:tblPrEx>
          <w:tblCellMar>
            <w:top w:w="0" w:type="dxa"/>
            <w:left w:w="108" w:type="dxa"/>
            <w:bottom w:w="0" w:type="dxa"/>
            <w:right w:w="108" w:type="dxa"/>
          </w:tblCellMar>
        </w:tblPrEx>
        <w:trPr>
          <w:trHeight w:val="34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7588606E">
            <w:pPr>
              <w:widowControl/>
              <w:jc w:val="center"/>
              <w:rPr>
                <w:rFonts w:ascii="宋体" w:hAnsi="宋体" w:cs="宋体"/>
                <w:color w:val="000000"/>
                <w:kern w:val="0"/>
                <w:sz w:val="18"/>
                <w:szCs w:val="18"/>
              </w:rPr>
            </w:pPr>
            <w:r>
              <w:rPr>
                <w:rFonts w:hint="eastAsia" w:ascii="宋体" w:hAnsi="宋体" w:cs="宋体"/>
                <w:color w:val="000000"/>
                <w:kern w:val="0"/>
                <w:sz w:val="18"/>
                <w:szCs w:val="18"/>
              </w:rPr>
              <w:t>基本农田保护面积</w:t>
            </w:r>
          </w:p>
        </w:tc>
        <w:tc>
          <w:tcPr>
            <w:tcW w:w="1791" w:type="dxa"/>
            <w:tcBorders>
              <w:top w:val="nil"/>
              <w:left w:val="nil"/>
              <w:bottom w:val="single" w:color="auto" w:sz="4" w:space="0"/>
              <w:right w:val="single" w:color="auto" w:sz="4" w:space="0"/>
            </w:tcBorders>
            <w:shd w:val="clear" w:color="auto" w:fill="auto"/>
            <w:vAlign w:val="center"/>
          </w:tcPr>
          <w:p w14:paraId="0394DDC5">
            <w:pPr>
              <w:widowControl/>
              <w:jc w:val="center"/>
              <w:rPr>
                <w:rFonts w:ascii="宋体" w:hAnsi="宋体" w:cs="宋体"/>
                <w:color w:val="000000"/>
                <w:kern w:val="0"/>
                <w:sz w:val="18"/>
                <w:szCs w:val="18"/>
              </w:rPr>
            </w:pPr>
            <w:r>
              <w:rPr>
                <w:rFonts w:hint="eastAsia" w:ascii="宋体" w:hAnsi="宋体" w:cs="宋体"/>
                <w:color w:val="000000"/>
                <w:kern w:val="0"/>
                <w:sz w:val="18"/>
                <w:szCs w:val="18"/>
              </w:rPr>
              <w:t>23066</w:t>
            </w:r>
          </w:p>
        </w:tc>
        <w:tc>
          <w:tcPr>
            <w:tcW w:w="1300" w:type="dxa"/>
            <w:tcBorders>
              <w:top w:val="nil"/>
              <w:left w:val="nil"/>
              <w:bottom w:val="single" w:color="auto" w:sz="4" w:space="0"/>
              <w:right w:val="single" w:color="auto" w:sz="4" w:space="0"/>
            </w:tcBorders>
            <w:shd w:val="clear" w:color="auto" w:fill="auto"/>
            <w:vAlign w:val="center"/>
          </w:tcPr>
          <w:p w14:paraId="72DCC27F">
            <w:pPr>
              <w:widowControl/>
              <w:jc w:val="center"/>
              <w:rPr>
                <w:rFonts w:ascii="宋体" w:hAnsi="宋体" w:cs="宋体"/>
                <w:color w:val="000000"/>
                <w:kern w:val="0"/>
                <w:sz w:val="18"/>
                <w:szCs w:val="18"/>
              </w:rPr>
            </w:pPr>
            <w:r>
              <w:rPr>
                <w:rFonts w:hint="eastAsia" w:ascii="宋体" w:hAnsi="宋体" w:cs="宋体"/>
                <w:color w:val="000000"/>
                <w:kern w:val="0"/>
                <w:sz w:val="18"/>
                <w:szCs w:val="18"/>
              </w:rPr>
              <w:t>26269.15</w:t>
            </w:r>
          </w:p>
        </w:tc>
        <w:tc>
          <w:tcPr>
            <w:tcW w:w="1791" w:type="dxa"/>
            <w:tcBorders>
              <w:top w:val="nil"/>
              <w:left w:val="nil"/>
              <w:bottom w:val="single" w:color="auto" w:sz="4" w:space="0"/>
              <w:right w:val="single" w:color="auto" w:sz="4" w:space="0"/>
            </w:tcBorders>
            <w:shd w:val="clear" w:color="auto" w:fill="auto"/>
            <w:noWrap/>
            <w:vAlign w:val="center"/>
          </w:tcPr>
          <w:p w14:paraId="777D92E9">
            <w:pPr>
              <w:widowControl/>
              <w:jc w:val="center"/>
              <w:rPr>
                <w:rFonts w:ascii="宋体" w:hAnsi="宋体" w:cs="宋体"/>
                <w:color w:val="000000"/>
                <w:kern w:val="0"/>
                <w:sz w:val="18"/>
                <w:szCs w:val="18"/>
              </w:rPr>
            </w:pPr>
            <w:r>
              <w:rPr>
                <w:rFonts w:hint="eastAsia" w:ascii="宋体" w:hAnsi="宋体" w:cs="宋体"/>
                <w:color w:val="000000"/>
                <w:kern w:val="0"/>
                <w:sz w:val="18"/>
                <w:szCs w:val="18"/>
              </w:rPr>
              <w:t>23106.77</w:t>
            </w:r>
          </w:p>
        </w:tc>
        <w:tc>
          <w:tcPr>
            <w:tcW w:w="1119" w:type="dxa"/>
            <w:tcBorders>
              <w:top w:val="nil"/>
              <w:left w:val="nil"/>
              <w:bottom w:val="single" w:color="auto" w:sz="4" w:space="0"/>
              <w:right w:val="single" w:color="auto" w:sz="4" w:space="0"/>
            </w:tcBorders>
            <w:shd w:val="clear" w:color="auto" w:fill="auto"/>
            <w:noWrap/>
            <w:vAlign w:val="center"/>
          </w:tcPr>
          <w:p w14:paraId="76DF82AC">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5D06C45C">
            <w:pPr>
              <w:widowControl/>
              <w:jc w:val="center"/>
              <w:rPr>
                <w:rFonts w:ascii="宋体" w:hAnsi="宋体" w:cs="宋体"/>
                <w:color w:val="000000"/>
                <w:kern w:val="0"/>
                <w:sz w:val="22"/>
                <w:szCs w:val="22"/>
              </w:rPr>
            </w:pPr>
          </w:p>
        </w:tc>
      </w:tr>
      <w:tr w14:paraId="62E458A4">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6FA5FFE5">
            <w:pPr>
              <w:widowControl/>
              <w:jc w:val="center"/>
              <w:rPr>
                <w:rFonts w:ascii="宋体" w:hAnsi="宋体" w:cs="宋体"/>
                <w:color w:val="000000"/>
                <w:kern w:val="0"/>
                <w:sz w:val="18"/>
                <w:szCs w:val="18"/>
              </w:rPr>
            </w:pPr>
            <w:r>
              <w:rPr>
                <w:rFonts w:hint="eastAsia" w:ascii="宋体" w:hAnsi="宋体" w:cs="宋体"/>
                <w:color w:val="000000"/>
                <w:kern w:val="0"/>
                <w:sz w:val="18"/>
                <w:szCs w:val="18"/>
              </w:rPr>
              <w:t>园地</w:t>
            </w:r>
          </w:p>
        </w:tc>
        <w:tc>
          <w:tcPr>
            <w:tcW w:w="1791" w:type="dxa"/>
            <w:tcBorders>
              <w:top w:val="nil"/>
              <w:left w:val="nil"/>
              <w:bottom w:val="single" w:color="auto" w:sz="4" w:space="0"/>
              <w:right w:val="single" w:color="auto" w:sz="4" w:space="0"/>
            </w:tcBorders>
            <w:shd w:val="clear" w:color="auto" w:fill="auto"/>
            <w:vAlign w:val="center"/>
          </w:tcPr>
          <w:p w14:paraId="3B5E6156">
            <w:pPr>
              <w:widowControl/>
              <w:jc w:val="center"/>
              <w:rPr>
                <w:rFonts w:ascii="宋体" w:hAnsi="宋体" w:cs="宋体"/>
                <w:color w:val="000000"/>
                <w:kern w:val="0"/>
                <w:sz w:val="18"/>
                <w:szCs w:val="18"/>
              </w:rPr>
            </w:pPr>
            <w:r>
              <w:rPr>
                <w:rFonts w:hint="eastAsia" w:ascii="宋体" w:hAnsi="宋体" w:cs="宋体"/>
                <w:color w:val="000000"/>
                <w:kern w:val="0"/>
                <w:sz w:val="18"/>
                <w:szCs w:val="18"/>
              </w:rPr>
              <w:t>1647.13</w:t>
            </w:r>
          </w:p>
        </w:tc>
        <w:tc>
          <w:tcPr>
            <w:tcW w:w="1300" w:type="dxa"/>
            <w:tcBorders>
              <w:top w:val="nil"/>
              <w:left w:val="nil"/>
              <w:bottom w:val="single" w:color="auto" w:sz="4" w:space="0"/>
              <w:right w:val="single" w:color="auto" w:sz="4" w:space="0"/>
            </w:tcBorders>
            <w:shd w:val="clear" w:color="auto" w:fill="auto"/>
            <w:noWrap/>
            <w:vAlign w:val="center"/>
          </w:tcPr>
          <w:p w14:paraId="188AAA83">
            <w:pPr>
              <w:widowControl/>
              <w:jc w:val="center"/>
              <w:rPr>
                <w:rFonts w:ascii="宋体" w:hAnsi="宋体" w:cs="宋体"/>
                <w:color w:val="000000"/>
                <w:kern w:val="0"/>
                <w:sz w:val="18"/>
                <w:szCs w:val="18"/>
              </w:rPr>
            </w:pPr>
            <w:r>
              <w:rPr>
                <w:rFonts w:hint="eastAsia" w:ascii="宋体" w:hAnsi="宋体" w:cs="宋体"/>
                <w:color w:val="000000"/>
                <w:kern w:val="0"/>
                <w:sz w:val="18"/>
                <w:szCs w:val="18"/>
              </w:rPr>
              <w:t>1687.13</w:t>
            </w:r>
          </w:p>
        </w:tc>
        <w:tc>
          <w:tcPr>
            <w:tcW w:w="1791" w:type="dxa"/>
            <w:tcBorders>
              <w:top w:val="nil"/>
              <w:left w:val="nil"/>
              <w:bottom w:val="single" w:color="auto" w:sz="4" w:space="0"/>
              <w:right w:val="single" w:color="auto" w:sz="4" w:space="0"/>
            </w:tcBorders>
            <w:shd w:val="clear" w:color="auto" w:fill="auto"/>
            <w:noWrap/>
            <w:vAlign w:val="center"/>
          </w:tcPr>
          <w:p w14:paraId="34E5717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1646.68 </w:t>
            </w:r>
          </w:p>
        </w:tc>
        <w:tc>
          <w:tcPr>
            <w:tcW w:w="1119" w:type="dxa"/>
            <w:tcBorders>
              <w:top w:val="nil"/>
              <w:left w:val="nil"/>
              <w:bottom w:val="single" w:color="auto" w:sz="4" w:space="0"/>
              <w:right w:val="single" w:color="auto" w:sz="4" w:space="0"/>
            </w:tcBorders>
            <w:shd w:val="clear" w:color="auto" w:fill="auto"/>
            <w:noWrap/>
            <w:vAlign w:val="center"/>
          </w:tcPr>
          <w:p w14:paraId="18465803">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0836B3E4">
            <w:pPr>
              <w:widowControl/>
              <w:jc w:val="center"/>
              <w:rPr>
                <w:rFonts w:ascii="宋体" w:hAnsi="宋体" w:cs="宋体"/>
                <w:color w:val="000000"/>
                <w:kern w:val="0"/>
                <w:sz w:val="22"/>
                <w:szCs w:val="22"/>
              </w:rPr>
            </w:pPr>
          </w:p>
        </w:tc>
      </w:tr>
      <w:tr w14:paraId="603C2F36">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09D1C6BE">
            <w:pPr>
              <w:widowControl/>
              <w:jc w:val="center"/>
              <w:rPr>
                <w:rFonts w:ascii="宋体" w:hAnsi="宋体" w:cs="宋体"/>
                <w:color w:val="000000"/>
                <w:kern w:val="0"/>
                <w:sz w:val="18"/>
                <w:szCs w:val="18"/>
              </w:rPr>
            </w:pPr>
            <w:r>
              <w:rPr>
                <w:rFonts w:hint="eastAsia" w:ascii="宋体" w:hAnsi="宋体" w:cs="宋体"/>
                <w:color w:val="000000"/>
                <w:kern w:val="0"/>
                <w:sz w:val="18"/>
                <w:szCs w:val="18"/>
              </w:rPr>
              <w:t>林地</w:t>
            </w:r>
          </w:p>
        </w:tc>
        <w:tc>
          <w:tcPr>
            <w:tcW w:w="1791" w:type="dxa"/>
            <w:tcBorders>
              <w:top w:val="nil"/>
              <w:left w:val="nil"/>
              <w:bottom w:val="single" w:color="auto" w:sz="4" w:space="0"/>
              <w:right w:val="single" w:color="auto" w:sz="4" w:space="0"/>
            </w:tcBorders>
            <w:shd w:val="clear" w:color="auto" w:fill="auto"/>
            <w:vAlign w:val="center"/>
          </w:tcPr>
          <w:p w14:paraId="26934A68">
            <w:pPr>
              <w:widowControl/>
              <w:jc w:val="center"/>
              <w:rPr>
                <w:rFonts w:ascii="宋体" w:hAnsi="宋体" w:cs="宋体"/>
                <w:color w:val="000000"/>
                <w:kern w:val="0"/>
                <w:sz w:val="18"/>
                <w:szCs w:val="18"/>
              </w:rPr>
            </w:pPr>
            <w:r>
              <w:rPr>
                <w:rFonts w:hint="eastAsia" w:ascii="宋体" w:hAnsi="宋体" w:cs="宋体"/>
                <w:color w:val="000000"/>
                <w:kern w:val="0"/>
                <w:sz w:val="18"/>
                <w:szCs w:val="18"/>
              </w:rPr>
              <w:t>63057.64</w:t>
            </w:r>
          </w:p>
        </w:tc>
        <w:tc>
          <w:tcPr>
            <w:tcW w:w="1300" w:type="dxa"/>
            <w:tcBorders>
              <w:top w:val="nil"/>
              <w:left w:val="nil"/>
              <w:bottom w:val="single" w:color="auto" w:sz="4" w:space="0"/>
              <w:right w:val="single" w:color="auto" w:sz="4" w:space="0"/>
            </w:tcBorders>
            <w:shd w:val="clear" w:color="auto" w:fill="auto"/>
            <w:noWrap/>
            <w:vAlign w:val="center"/>
          </w:tcPr>
          <w:p w14:paraId="231D10F1">
            <w:pPr>
              <w:widowControl/>
              <w:jc w:val="center"/>
              <w:rPr>
                <w:rFonts w:ascii="宋体" w:hAnsi="宋体" w:cs="宋体"/>
                <w:color w:val="000000"/>
                <w:kern w:val="0"/>
                <w:sz w:val="18"/>
                <w:szCs w:val="18"/>
              </w:rPr>
            </w:pPr>
            <w:r>
              <w:rPr>
                <w:rFonts w:hint="eastAsia" w:ascii="宋体" w:hAnsi="宋体" w:cs="宋体"/>
                <w:color w:val="000000"/>
                <w:kern w:val="0"/>
                <w:sz w:val="18"/>
                <w:szCs w:val="18"/>
              </w:rPr>
              <w:t>61455.93</w:t>
            </w:r>
          </w:p>
        </w:tc>
        <w:tc>
          <w:tcPr>
            <w:tcW w:w="1791" w:type="dxa"/>
            <w:tcBorders>
              <w:top w:val="nil"/>
              <w:left w:val="nil"/>
              <w:bottom w:val="single" w:color="auto" w:sz="4" w:space="0"/>
              <w:right w:val="single" w:color="auto" w:sz="4" w:space="0"/>
            </w:tcBorders>
            <w:shd w:val="clear" w:color="auto" w:fill="auto"/>
            <w:noWrap/>
            <w:vAlign w:val="center"/>
          </w:tcPr>
          <w:p w14:paraId="6CD6743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63987.69 </w:t>
            </w:r>
          </w:p>
        </w:tc>
        <w:tc>
          <w:tcPr>
            <w:tcW w:w="1119" w:type="dxa"/>
            <w:tcBorders>
              <w:top w:val="nil"/>
              <w:left w:val="nil"/>
              <w:bottom w:val="single" w:color="auto" w:sz="4" w:space="0"/>
              <w:right w:val="single" w:color="auto" w:sz="4" w:space="0"/>
            </w:tcBorders>
            <w:shd w:val="clear" w:color="auto" w:fill="auto"/>
            <w:noWrap/>
            <w:vAlign w:val="center"/>
          </w:tcPr>
          <w:p w14:paraId="174D3AD8">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69A08154">
            <w:pPr>
              <w:widowControl/>
              <w:jc w:val="center"/>
              <w:rPr>
                <w:rFonts w:ascii="宋体" w:hAnsi="宋体" w:cs="宋体"/>
                <w:color w:val="000000"/>
                <w:kern w:val="0"/>
                <w:sz w:val="22"/>
                <w:szCs w:val="22"/>
              </w:rPr>
            </w:pPr>
          </w:p>
        </w:tc>
      </w:tr>
      <w:tr w14:paraId="296A60F4">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6BD97A10">
            <w:pPr>
              <w:widowControl/>
              <w:jc w:val="center"/>
              <w:rPr>
                <w:rFonts w:ascii="宋体" w:hAnsi="宋体" w:cs="宋体"/>
                <w:color w:val="000000"/>
                <w:kern w:val="0"/>
                <w:sz w:val="18"/>
                <w:szCs w:val="18"/>
              </w:rPr>
            </w:pPr>
            <w:r>
              <w:rPr>
                <w:rFonts w:hint="eastAsia" w:ascii="宋体" w:hAnsi="宋体" w:cs="宋体"/>
                <w:color w:val="000000"/>
                <w:kern w:val="0"/>
                <w:sz w:val="18"/>
                <w:szCs w:val="18"/>
              </w:rPr>
              <w:t>草地</w:t>
            </w:r>
          </w:p>
        </w:tc>
        <w:tc>
          <w:tcPr>
            <w:tcW w:w="1791" w:type="dxa"/>
            <w:tcBorders>
              <w:top w:val="nil"/>
              <w:left w:val="nil"/>
              <w:bottom w:val="single" w:color="auto" w:sz="4" w:space="0"/>
              <w:right w:val="single" w:color="auto" w:sz="4" w:space="0"/>
            </w:tcBorders>
            <w:shd w:val="clear" w:color="auto" w:fill="auto"/>
            <w:vAlign w:val="center"/>
          </w:tcPr>
          <w:p w14:paraId="7E3B5ABB">
            <w:pPr>
              <w:widowControl/>
              <w:jc w:val="center"/>
              <w:rPr>
                <w:rFonts w:ascii="宋体" w:hAnsi="宋体" w:cs="宋体"/>
                <w:color w:val="000000"/>
                <w:kern w:val="0"/>
                <w:sz w:val="18"/>
                <w:szCs w:val="18"/>
              </w:rPr>
            </w:pPr>
            <w:r>
              <w:rPr>
                <w:rFonts w:hint="eastAsia" w:ascii="宋体" w:hAnsi="宋体" w:cs="宋体"/>
                <w:color w:val="000000"/>
                <w:kern w:val="0"/>
                <w:sz w:val="18"/>
                <w:szCs w:val="18"/>
              </w:rPr>
              <w:t>89.27</w:t>
            </w:r>
          </w:p>
        </w:tc>
        <w:tc>
          <w:tcPr>
            <w:tcW w:w="1300" w:type="dxa"/>
            <w:tcBorders>
              <w:top w:val="nil"/>
              <w:left w:val="nil"/>
              <w:bottom w:val="single" w:color="auto" w:sz="4" w:space="0"/>
              <w:right w:val="single" w:color="auto" w:sz="4" w:space="0"/>
            </w:tcBorders>
            <w:shd w:val="clear" w:color="auto" w:fill="auto"/>
            <w:noWrap/>
            <w:vAlign w:val="center"/>
          </w:tcPr>
          <w:p w14:paraId="3D2C4495">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791" w:type="dxa"/>
            <w:tcBorders>
              <w:top w:val="nil"/>
              <w:left w:val="nil"/>
              <w:bottom w:val="single" w:color="auto" w:sz="4" w:space="0"/>
              <w:right w:val="single" w:color="auto" w:sz="4" w:space="0"/>
            </w:tcBorders>
            <w:shd w:val="clear" w:color="auto" w:fill="auto"/>
            <w:noWrap/>
            <w:vAlign w:val="center"/>
          </w:tcPr>
          <w:p w14:paraId="249C5A58">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119" w:type="dxa"/>
            <w:tcBorders>
              <w:top w:val="nil"/>
              <w:left w:val="nil"/>
              <w:bottom w:val="single" w:color="auto" w:sz="4" w:space="0"/>
              <w:right w:val="single" w:color="auto" w:sz="4" w:space="0"/>
            </w:tcBorders>
            <w:shd w:val="clear" w:color="auto" w:fill="auto"/>
            <w:noWrap/>
            <w:vAlign w:val="center"/>
          </w:tcPr>
          <w:p w14:paraId="76D688F0">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10BA0FD5">
            <w:pPr>
              <w:widowControl/>
              <w:jc w:val="center"/>
              <w:rPr>
                <w:rFonts w:ascii="宋体" w:hAnsi="宋体" w:cs="宋体"/>
                <w:color w:val="000000"/>
                <w:kern w:val="0"/>
                <w:sz w:val="22"/>
                <w:szCs w:val="22"/>
              </w:rPr>
            </w:pPr>
          </w:p>
        </w:tc>
      </w:tr>
      <w:tr w14:paraId="1846D60D">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6F597F5D">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建设用地总规模</w:t>
            </w:r>
          </w:p>
        </w:tc>
        <w:tc>
          <w:tcPr>
            <w:tcW w:w="1791" w:type="dxa"/>
            <w:tcBorders>
              <w:top w:val="nil"/>
              <w:left w:val="nil"/>
              <w:bottom w:val="single" w:color="auto" w:sz="4" w:space="0"/>
              <w:right w:val="single" w:color="auto" w:sz="4" w:space="0"/>
            </w:tcBorders>
            <w:shd w:val="clear" w:color="auto" w:fill="auto"/>
            <w:noWrap/>
            <w:vAlign w:val="center"/>
          </w:tcPr>
          <w:p w14:paraId="223F25A4">
            <w:pPr>
              <w:widowControl/>
              <w:jc w:val="center"/>
              <w:rPr>
                <w:rFonts w:ascii="宋体" w:hAnsi="宋体" w:cs="宋体"/>
                <w:color w:val="000000"/>
                <w:kern w:val="0"/>
                <w:sz w:val="18"/>
                <w:szCs w:val="18"/>
              </w:rPr>
            </w:pPr>
            <w:r>
              <w:rPr>
                <w:rFonts w:hint="eastAsia" w:ascii="宋体" w:hAnsi="宋体" w:cs="宋体"/>
                <w:color w:val="000000"/>
                <w:kern w:val="0"/>
                <w:sz w:val="18"/>
                <w:szCs w:val="18"/>
              </w:rPr>
              <w:t>6156</w:t>
            </w:r>
          </w:p>
        </w:tc>
        <w:tc>
          <w:tcPr>
            <w:tcW w:w="1300" w:type="dxa"/>
            <w:tcBorders>
              <w:top w:val="nil"/>
              <w:left w:val="nil"/>
              <w:bottom w:val="single" w:color="auto" w:sz="4" w:space="0"/>
              <w:right w:val="single" w:color="auto" w:sz="4" w:space="0"/>
            </w:tcBorders>
            <w:shd w:val="clear" w:color="auto" w:fill="auto"/>
            <w:noWrap/>
            <w:vAlign w:val="center"/>
          </w:tcPr>
          <w:p w14:paraId="06DD8C33">
            <w:pPr>
              <w:widowControl/>
              <w:jc w:val="center"/>
              <w:rPr>
                <w:rFonts w:ascii="宋体" w:hAnsi="宋体" w:cs="宋体"/>
                <w:color w:val="000000"/>
                <w:kern w:val="0"/>
                <w:sz w:val="18"/>
                <w:szCs w:val="18"/>
              </w:rPr>
            </w:pPr>
            <w:r>
              <w:rPr>
                <w:rFonts w:hint="eastAsia" w:ascii="宋体" w:hAnsi="宋体" w:cs="宋体"/>
                <w:color w:val="000000"/>
                <w:kern w:val="0"/>
                <w:sz w:val="18"/>
                <w:szCs w:val="18"/>
              </w:rPr>
              <w:t>5816.34</w:t>
            </w:r>
          </w:p>
        </w:tc>
        <w:tc>
          <w:tcPr>
            <w:tcW w:w="1791" w:type="dxa"/>
            <w:tcBorders>
              <w:top w:val="nil"/>
              <w:left w:val="nil"/>
              <w:bottom w:val="single" w:color="auto" w:sz="4" w:space="0"/>
              <w:right w:val="single" w:color="auto" w:sz="4" w:space="0"/>
            </w:tcBorders>
            <w:shd w:val="clear" w:color="auto" w:fill="auto"/>
            <w:noWrap/>
            <w:vAlign w:val="center"/>
          </w:tcPr>
          <w:p w14:paraId="0A27405F">
            <w:pPr>
              <w:widowControl/>
              <w:jc w:val="center"/>
              <w:rPr>
                <w:rFonts w:ascii="宋体" w:hAnsi="宋体" w:cs="宋体"/>
                <w:color w:val="000000"/>
                <w:kern w:val="0"/>
                <w:sz w:val="18"/>
                <w:szCs w:val="18"/>
              </w:rPr>
            </w:pPr>
            <w:r>
              <w:rPr>
                <w:rFonts w:hint="eastAsia" w:ascii="宋体" w:hAnsi="宋体" w:cs="宋体"/>
                <w:color w:val="000000"/>
                <w:kern w:val="0"/>
                <w:sz w:val="18"/>
                <w:szCs w:val="18"/>
              </w:rPr>
              <w:t>6155.66</w:t>
            </w:r>
          </w:p>
        </w:tc>
        <w:tc>
          <w:tcPr>
            <w:tcW w:w="1119" w:type="dxa"/>
            <w:tcBorders>
              <w:top w:val="nil"/>
              <w:left w:val="nil"/>
              <w:bottom w:val="single" w:color="auto" w:sz="4" w:space="0"/>
              <w:right w:val="single" w:color="auto" w:sz="4" w:space="0"/>
            </w:tcBorders>
            <w:shd w:val="clear" w:color="auto" w:fill="auto"/>
            <w:noWrap/>
            <w:vAlign w:val="center"/>
          </w:tcPr>
          <w:p w14:paraId="160ADBF9">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657966E3">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包含预留的15.65公顷城乡建设用地</w:t>
            </w:r>
          </w:p>
        </w:tc>
      </w:tr>
      <w:tr w14:paraId="237F5653">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3901614F">
            <w:pPr>
              <w:widowControl/>
              <w:jc w:val="center"/>
              <w:rPr>
                <w:rFonts w:ascii="宋体" w:hAnsi="宋体" w:cs="宋体"/>
                <w:color w:val="000000"/>
                <w:kern w:val="0"/>
                <w:sz w:val="18"/>
                <w:szCs w:val="18"/>
              </w:rPr>
            </w:pPr>
            <w:r>
              <w:rPr>
                <w:rFonts w:hint="eastAsia" w:ascii="宋体" w:hAnsi="宋体" w:cs="宋体"/>
                <w:color w:val="000000"/>
                <w:kern w:val="0"/>
                <w:sz w:val="18"/>
                <w:szCs w:val="18"/>
              </w:rPr>
              <w:t>城乡建设用地规模</w:t>
            </w:r>
          </w:p>
        </w:tc>
        <w:tc>
          <w:tcPr>
            <w:tcW w:w="1791" w:type="dxa"/>
            <w:tcBorders>
              <w:top w:val="nil"/>
              <w:left w:val="nil"/>
              <w:bottom w:val="single" w:color="auto" w:sz="4" w:space="0"/>
              <w:right w:val="single" w:color="auto" w:sz="4" w:space="0"/>
            </w:tcBorders>
            <w:shd w:val="clear" w:color="auto" w:fill="auto"/>
            <w:vAlign w:val="center"/>
          </w:tcPr>
          <w:p w14:paraId="037367B7">
            <w:pPr>
              <w:widowControl/>
              <w:jc w:val="center"/>
              <w:rPr>
                <w:rFonts w:ascii="宋体" w:hAnsi="宋体" w:cs="宋体"/>
                <w:color w:val="000000"/>
                <w:kern w:val="0"/>
                <w:sz w:val="18"/>
                <w:szCs w:val="18"/>
              </w:rPr>
            </w:pPr>
            <w:r>
              <w:rPr>
                <w:rFonts w:hint="eastAsia" w:ascii="宋体" w:hAnsi="宋体" w:cs="宋体"/>
                <w:color w:val="000000"/>
                <w:kern w:val="0"/>
                <w:sz w:val="18"/>
                <w:szCs w:val="18"/>
              </w:rPr>
              <w:t>5368.57</w:t>
            </w:r>
          </w:p>
        </w:tc>
        <w:tc>
          <w:tcPr>
            <w:tcW w:w="1300" w:type="dxa"/>
            <w:tcBorders>
              <w:top w:val="nil"/>
              <w:left w:val="nil"/>
              <w:bottom w:val="single" w:color="auto" w:sz="4" w:space="0"/>
              <w:right w:val="single" w:color="auto" w:sz="4" w:space="0"/>
            </w:tcBorders>
            <w:shd w:val="clear" w:color="auto" w:fill="auto"/>
            <w:noWrap/>
            <w:vAlign w:val="center"/>
          </w:tcPr>
          <w:p w14:paraId="76EBB591">
            <w:pPr>
              <w:widowControl/>
              <w:jc w:val="center"/>
              <w:rPr>
                <w:rFonts w:ascii="宋体" w:hAnsi="宋体" w:cs="宋体"/>
                <w:color w:val="000000"/>
                <w:kern w:val="0"/>
                <w:sz w:val="18"/>
                <w:szCs w:val="18"/>
              </w:rPr>
            </w:pPr>
            <w:r>
              <w:rPr>
                <w:rFonts w:hint="eastAsia" w:ascii="宋体" w:hAnsi="宋体" w:cs="宋体"/>
                <w:color w:val="000000"/>
                <w:kern w:val="0"/>
                <w:sz w:val="18"/>
                <w:szCs w:val="18"/>
              </w:rPr>
              <w:t>5055.73</w:t>
            </w:r>
          </w:p>
        </w:tc>
        <w:tc>
          <w:tcPr>
            <w:tcW w:w="1791" w:type="dxa"/>
            <w:tcBorders>
              <w:top w:val="nil"/>
              <w:left w:val="nil"/>
              <w:bottom w:val="single" w:color="auto" w:sz="4" w:space="0"/>
              <w:right w:val="single" w:color="auto" w:sz="4" w:space="0"/>
            </w:tcBorders>
            <w:shd w:val="clear" w:color="auto" w:fill="auto"/>
            <w:noWrap/>
            <w:vAlign w:val="center"/>
          </w:tcPr>
          <w:p w14:paraId="75A7B040">
            <w:pPr>
              <w:widowControl/>
              <w:jc w:val="center"/>
              <w:rPr>
                <w:rFonts w:ascii="宋体" w:hAnsi="宋体" w:cs="宋体"/>
                <w:color w:val="000000"/>
                <w:kern w:val="0"/>
                <w:sz w:val="18"/>
                <w:szCs w:val="18"/>
              </w:rPr>
            </w:pPr>
            <w:r>
              <w:rPr>
                <w:rFonts w:hint="eastAsia" w:ascii="宋体" w:hAnsi="宋体" w:cs="宋体"/>
                <w:color w:val="000000"/>
                <w:kern w:val="0"/>
                <w:sz w:val="18"/>
                <w:szCs w:val="18"/>
              </w:rPr>
              <w:t>5368.18</w:t>
            </w:r>
          </w:p>
        </w:tc>
        <w:tc>
          <w:tcPr>
            <w:tcW w:w="1119" w:type="dxa"/>
            <w:tcBorders>
              <w:top w:val="nil"/>
              <w:left w:val="nil"/>
              <w:bottom w:val="single" w:color="auto" w:sz="4" w:space="0"/>
              <w:right w:val="single" w:color="auto" w:sz="4" w:space="0"/>
            </w:tcBorders>
            <w:shd w:val="clear" w:color="auto" w:fill="auto"/>
            <w:noWrap/>
            <w:vAlign w:val="center"/>
          </w:tcPr>
          <w:p w14:paraId="2DBADDC5">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0C9ECA26">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包含预留的15.65公顷城乡建设用地</w:t>
            </w:r>
          </w:p>
        </w:tc>
      </w:tr>
      <w:tr w14:paraId="38732E0A">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6661172B">
            <w:pPr>
              <w:widowControl/>
              <w:jc w:val="center"/>
              <w:rPr>
                <w:rFonts w:ascii="宋体" w:hAnsi="宋体" w:cs="宋体"/>
                <w:color w:val="000000"/>
                <w:kern w:val="0"/>
                <w:sz w:val="18"/>
                <w:szCs w:val="18"/>
              </w:rPr>
            </w:pPr>
            <w:r>
              <w:rPr>
                <w:rFonts w:hint="eastAsia" w:ascii="宋体" w:hAnsi="宋体" w:cs="宋体"/>
                <w:color w:val="000000"/>
                <w:kern w:val="0"/>
                <w:sz w:val="18"/>
                <w:szCs w:val="18"/>
              </w:rPr>
              <w:t>城镇工矿用地规模</w:t>
            </w:r>
          </w:p>
        </w:tc>
        <w:tc>
          <w:tcPr>
            <w:tcW w:w="1791" w:type="dxa"/>
            <w:tcBorders>
              <w:top w:val="nil"/>
              <w:left w:val="nil"/>
              <w:bottom w:val="single" w:color="auto" w:sz="4" w:space="0"/>
              <w:right w:val="single" w:color="auto" w:sz="4" w:space="0"/>
            </w:tcBorders>
            <w:shd w:val="clear" w:color="auto" w:fill="auto"/>
            <w:vAlign w:val="center"/>
          </w:tcPr>
          <w:p w14:paraId="23551457">
            <w:pPr>
              <w:widowControl/>
              <w:jc w:val="center"/>
              <w:rPr>
                <w:rFonts w:ascii="宋体" w:hAnsi="宋体" w:cs="宋体"/>
                <w:color w:val="000000"/>
                <w:kern w:val="0"/>
                <w:sz w:val="18"/>
                <w:szCs w:val="18"/>
              </w:rPr>
            </w:pPr>
            <w:r>
              <w:rPr>
                <w:rFonts w:hint="eastAsia" w:ascii="宋体" w:hAnsi="宋体" w:cs="宋体"/>
                <w:color w:val="000000"/>
                <w:kern w:val="0"/>
                <w:sz w:val="18"/>
                <w:szCs w:val="18"/>
              </w:rPr>
              <w:t>1967.68</w:t>
            </w:r>
          </w:p>
        </w:tc>
        <w:tc>
          <w:tcPr>
            <w:tcW w:w="1300" w:type="dxa"/>
            <w:tcBorders>
              <w:top w:val="nil"/>
              <w:left w:val="nil"/>
              <w:bottom w:val="single" w:color="auto" w:sz="4" w:space="0"/>
              <w:right w:val="single" w:color="auto" w:sz="4" w:space="0"/>
            </w:tcBorders>
            <w:shd w:val="clear" w:color="auto" w:fill="auto"/>
            <w:noWrap/>
            <w:vAlign w:val="center"/>
          </w:tcPr>
          <w:p w14:paraId="0AAAB661">
            <w:pPr>
              <w:widowControl/>
              <w:jc w:val="center"/>
              <w:rPr>
                <w:rFonts w:ascii="宋体" w:hAnsi="宋体" w:cs="宋体"/>
                <w:color w:val="000000"/>
                <w:kern w:val="0"/>
                <w:sz w:val="18"/>
                <w:szCs w:val="18"/>
              </w:rPr>
            </w:pPr>
            <w:r>
              <w:rPr>
                <w:rFonts w:hint="eastAsia" w:ascii="宋体" w:hAnsi="宋体" w:cs="宋体"/>
                <w:color w:val="000000"/>
                <w:kern w:val="0"/>
                <w:sz w:val="18"/>
                <w:szCs w:val="18"/>
              </w:rPr>
              <w:t>1804.07</w:t>
            </w:r>
          </w:p>
        </w:tc>
        <w:tc>
          <w:tcPr>
            <w:tcW w:w="1791" w:type="dxa"/>
            <w:tcBorders>
              <w:top w:val="nil"/>
              <w:left w:val="nil"/>
              <w:bottom w:val="single" w:color="auto" w:sz="4" w:space="0"/>
              <w:right w:val="single" w:color="auto" w:sz="4" w:space="0"/>
            </w:tcBorders>
            <w:shd w:val="clear" w:color="auto" w:fill="auto"/>
            <w:noWrap/>
            <w:vAlign w:val="center"/>
          </w:tcPr>
          <w:p w14:paraId="3F7B4C1B">
            <w:pPr>
              <w:widowControl/>
              <w:jc w:val="center"/>
              <w:rPr>
                <w:rFonts w:ascii="宋体" w:hAnsi="宋体" w:cs="宋体"/>
                <w:color w:val="000000"/>
                <w:kern w:val="0"/>
                <w:sz w:val="18"/>
                <w:szCs w:val="18"/>
              </w:rPr>
            </w:pPr>
            <w:r>
              <w:rPr>
                <w:rFonts w:hint="eastAsia" w:ascii="宋体" w:hAnsi="宋体" w:cs="宋体"/>
                <w:color w:val="000000"/>
                <w:kern w:val="0"/>
                <w:sz w:val="18"/>
                <w:szCs w:val="18"/>
              </w:rPr>
              <w:t>1856.31</w:t>
            </w:r>
          </w:p>
        </w:tc>
        <w:tc>
          <w:tcPr>
            <w:tcW w:w="1119" w:type="dxa"/>
            <w:tcBorders>
              <w:top w:val="nil"/>
              <w:left w:val="nil"/>
              <w:bottom w:val="single" w:color="auto" w:sz="4" w:space="0"/>
              <w:right w:val="single" w:color="auto" w:sz="4" w:space="0"/>
            </w:tcBorders>
            <w:shd w:val="clear" w:color="auto" w:fill="auto"/>
            <w:noWrap/>
            <w:vAlign w:val="center"/>
          </w:tcPr>
          <w:p w14:paraId="2DE5EC77">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5CEB6177">
            <w:pPr>
              <w:widowControl/>
              <w:jc w:val="center"/>
              <w:rPr>
                <w:rFonts w:ascii="宋体" w:hAnsi="宋体" w:cs="宋体"/>
                <w:color w:val="000000"/>
                <w:kern w:val="0"/>
                <w:sz w:val="22"/>
                <w:szCs w:val="22"/>
              </w:rPr>
            </w:pPr>
          </w:p>
        </w:tc>
      </w:tr>
      <w:tr w14:paraId="654FFE01">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08425F87">
            <w:pPr>
              <w:widowControl/>
              <w:jc w:val="center"/>
              <w:rPr>
                <w:rFonts w:ascii="宋体" w:hAnsi="宋体" w:cs="宋体"/>
                <w:color w:val="000000"/>
                <w:kern w:val="0"/>
                <w:sz w:val="18"/>
                <w:szCs w:val="18"/>
              </w:rPr>
            </w:pPr>
            <w:r>
              <w:rPr>
                <w:rFonts w:hint="eastAsia" w:ascii="宋体" w:hAnsi="宋体" w:cs="宋体"/>
                <w:color w:val="000000"/>
                <w:kern w:val="0"/>
                <w:sz w:val="18"/>
                <w:szCs w:val="18"/>
              </w:rPr>
              <w:t>城镇用地</w:t>
            </w:r>
          </w:p>
        </w:tc>
        <w:tc>
          <w:tcPr>
            <w:tcW w:w="1791" w:type="dxa"/>
            <w:tcBorders>
              <w:top w:val="nil"/>
              <w:left w:val="nil"/>
              <w:bottom w:val="single" w:color="auto" w:sz="4" w:space="0"/>
              <w:right w:val="single" w:color="auto" w:sz="4" w:space="0"/>
            </w:tcBorders>
            <w:shd w:val="clear" w:color="auto" w:fill="auto"/>
            <w:noWrap/>
            <w:vAlign w:val="center"/>
          </w:tcPr>
          <w:p w14:paraId="71246F4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300" w:type="dxa"/>
            <w:tcBorders>
              <w:top w:val="nil"/>
              <w:left w:val="nil"/>
              <w:bottom w:val="single" w:color="auto" w:sz="4" w:space="0"/>
              <w:right w:val="single" w:color="auto" w:sz="4" w:space="0"/>
            </w:tcBorders>
            <w:shd w:val="clear" w:color="auto" w:fill="auto"/>
            <w:noWrap/>
            <w:vAlign w:val="center"/>
          </w:tcPr>
          <w:p w14:paraId="481B1072">
            <w:pPr>
              <w:widowControl/>
              <w:jc w:val="center"/>
              <w:rPr>
                <w:rFonts w:ascii="宋体" w:hAnsi="宋体" w:cs="宋体"/>
                <w:color w:val="000000"/>
                <w:kern w:val="0"/>
                <w:sz w:val="18"/>
                <w:szCs w:val="18"/>
              </w:rPr>
            </w:pPr>
            <w:r>
              <w:rPr>
                <w:rFonts w:hint="eastAsia" w:ascii="宋体" w:hAnsi="宋体" w:cs="宋体"/>
                <w:color w:val="000000"/>
                <w:kern w:val="0"/>
                <w:sz w:val="18"/>
                <w:szCs w:val="18"/>
              </w:rPr>
              <w:t>891.25</w:t>
            </w:r>
          </w:p>
        </w:tc>
        <w:tc>
          <w:tcPr>
            <w:tcW w:w="1791" w:type="dxa"/>
            <w:tcBorders>
              <w:top w:val="nil"/>
              <w:left w:val="nil"/>
              <w:bottom w:val="single" w:color="auto" w:sz="4" w:space="0"/>
              <w:right w:val="single" w:color="auto" w:sz="4" w:space="0"/>
            </w:tcBorders>
            <w:shd w:val="clear" w:color="auto" w:fill="auto"/>
            <w:noWrap/>
            <w:vAlign w:val="center"/>
          </w:tcPr>
          <w:p w14:paraId="7C2AA577">
            <w:pPr>
              <w:widowControl/>
              <w:jc w:val="center"/>
              <w:rPr>
                <w:rFonts w:ascii="宋体" w:hAnsi="宋体" w:cs="宋体"/>
                <w:color w:val="000000"/>
                <w:kern w:val="0"/>
                <w:sz w:val="18"/>
                <w:szCs w:val="18"/>
              </w:rPr>
            </w:pPr>
            <w:r>
              <w:rPr>
                <w:rFonts w:hint="eastAsia" w:ascii="宋体" w:hAnsi="宋体" w:cs="宋体"/>
                <w:color w:val="000000"/>
                <w:kern w:val="0"/>
                <w:sz w:val="18"/>
                <w:szCs w:val="18"/>
              </w:rPr>
              <w:t>992.04</w:t>
            </w:r>
          </w:p>
        </w:tc>
        <w:tc>
          <w:tcPr>
            <w:tcW w:w="1119" w:type="dxa"/>
            <w:tcBorders>
              <w:top w:val="nil"/>
              <w:left w:val="nil"/>
              <w:bottom w:val="single" w:color="auto" w:sz="4" w:space="0"/>
              <w:right w:val="single" w:color="auto" w:sz="4" w:space="0"/>
            </w:tcBorders>
            <w:shd w:val="clear" w:color="auto" w:fill="auto"/>
            <w:noWrap/>
            <w:vAlign w:val="center"/>
          </w:tcPr>
          <w:p w14:paraId="2C6B5506">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1C2D7EA2">
            <w:pPr>
              <w:widowControl/>
              <w:jc w:val="center"/>
              <w:rPr>
                <w:rFonts w:ascii="宋体" w:hAnsi="宋体" w:cs="宋体"/>
                <w:color w:val="000000"/>
                <w:kern w:val="0"/>
                <w:sz w:val="22"/>
                <w:szCs w:val="22"/>
              </w:rPr>
            </w:pPr>
          </w:p>
        </w:tc>
      </w:tr>
      <w:tr w14:paraId="285A1F72">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04EFA5D7">
            <w:pPr>
              <w:widowControl/>
              <w:jc w:val="center"/>
              <w:rPr>
                <w:rFonts w:ascii="宋体" w:hAnsi="宋体" w:cs="宋体"/>
                <w:color w:val="000000"/>
                <w:kern w:val="0"/>
                <w:sz w:val="18"/>
                <w:szCs w:val="18"/>
              </w:rPr>
            </w:pPr>
            <w:r>
              <w:rPr>
                <w:rFonts w:hint="eastAsia" w:ascii="宋体" w:hAnsi="宋体" w:cs="宋体"/>
                <w:color w:val="000000"/>
                <w:kern w:val="0"/>
                <w:sz w:val="18"/>
                <w:szCs w:val="18"/>
              </w:rPr>
              <w:t>新增建设用地规模</w:t>
            </w:r>
          </w:p>
        </w:tc>
        <w:tc>
          <w:tcPr>
            <w:tcW w:w="1791" w:type="dxa"/>
            <w:tcBorders>
              <w:top w:val="nil"/>
              <w:left w:val="nil"/>
              <w:bottom w:val="single" w:color="auto" w:sz="4" w:space="0"/>
              <w:right w:val="single" w:color="auto" w:sz="4" w:space="0"/>
            </w:tcBorders>
            <w:shd w:val="clear" w:color="auto" w:fill="auto"/>
            <w:vAlign w:val="center"/>
          </w:tcPr>
          <w:p w14:paraId="5C77B438">
            <w:pPr>
              <w:widowControl/>
              <w:jc w:val="center"/>
              <w:rPr>
                <w:rFonts w:ascii="宋体" w:hAnsi="宋体" w:cs="宋体"/>
                <w:color w:val="000000"/>
                <w:kern w:val="0"/>
                <w:sz w:val="18"/>
                <w:szCs w:val="18"/>
              </w:rPr>
            </w:pPr>
            <w:r>
              <w:rPr>
                <w:rFonts w:hint="eastAsia" w:ascii="宋体" w:hAnsi="宋体" w:cs="宋体"/>
                <w:color w:val="000000"/>
                <w:kern w:val="0"/>
                <w:sz w:val="18"/>
                <w:szCs w:val="18"/>
              </w:rPr>
              <w:t>339.69</w:t>
            </w:r>
          </w:p>
        </w:tc>
        <w:tc>
          <w:tcPr>
            <w:tcW w:w="1300" w:type="dxa"/>
            <w:tcBorders>
              <w:top w:val="nil"/>
              <w:left w:val="nil"/>
              <w:bottom w:val="single" w:color="auto" w:sz="4" w:space="0"/>
              <w:right w:val="single" w:color="auto" w:sz="4" w:space="0"/>
            </w:tcBorders>
            <w:shd w:val="clear" w:color="auto" w:fill="auto"/>
            <w:noWrap/>
            <w:vAlign w:val="center"/>
          </w:tcPr>
          <w:p w14:paraId="4FACC85B">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791" w:type="dxa"/>
            <w:tcBorders>
              <w:top w:val="nil"/>
              <w:left w:val="nil"/>
              <w:bottom w:val="single" w:color="auto" w:sz="4" w:space="0"/>
              <w:right w:val="single" w:color="auto" w:sz="4" w:space="0"/>
            </w:tcBorders>
            <w:shd w:val="clear" w:color="auto" w:fill="auto"/>
            <w:noWrap/>
            <w:vAlign w:val="center"/>
          </w:tcPr>
          <w:p w14:paraId="25DD264E">
            <w:pPr>
              <w:widowControl/>
              <w:jc w:val="center"/>
              <w:rPr>
                <w:rFonts w:ascii="宋体" w:hAnsi="宋体" w:cs="宋体"/>
                <w:color w:val="000000"/>
                <w:kern w:val="0"/>
                <w:sz w:val="18"/>
                <w:szCs w:val="18"/>
              </w:rPr>
            </w:pPr>
            <w:r>
              <w:rPr>
                <w:rFonts w:hint="eastAsia" w:ascii="宋体" w:hAnsi="宋体" w:cs="宋体"/>
                <w:color w:val="000000"/>
                <w:kern w:val="0"/>
                <w:sz w:val="18"/>
                <w:szCs w:val="18"/>
              </w:rPr>
              <w:t>335.17</w:t>
            </w:r>
          </w:p>
        </w:tc>
        <w:tc>
          <w:tcPr>
            <w:tcW w:w="1119" w:type="dxa"/>
            <w:tcBorders>
              <w:top w:val="nil"/>
              <w:left w:val="nil"/>
              <w:bottom w:val="single" w:color="auto" w:sz="4" w:space="0"/>
              <w:right w:val="single" w:color="auto" w:sz="4" w:space="0"/>
            </w:tcBorders>
            <w:shd w:val="clear" w:color="auto" w:fill="auto"/>
            <w:noWrap/>
            <w:vAlign w:val="center"/>
          </w:tcPr>
          <w:p w14:paraId="4F0C582F">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0632FC4A">
            <w:pPr>
              <w:widowControl/>
              <w:jc w:val="center"/>
              <w:rPr>
                <w:rFonts w:ascii="宋体" w:hAnsi="宋体" w:cs="宋体"/>
                <w:color w:val="000000"/>
                <w:kern w:val="0"/>
                <w:sz w:val="22"/>
                <w:szCs w:val="22"/>
              </w:rPr>
            </w:pPr>
            <w:r>
              <w:rPr>
                <w:rFonts w:hint="eastAsia" w:ascii="宋体" w:hAnsi="宋体" w:cs="宋体"/>
                <w:color w:val="000000"/>
                <w:kern w:val="0"/>
                <w:sz w:val="18"/>
                <w:szCs w:val="18"/>
              </w:rPr>
              <w:t>包含预留的15.65公顷新增建设占用农用地</w:t>
            </w:r>
          </w:p>
        </w:tc>
      </w:tr>
      <w:tr w14:paraId="2EF73DC8">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6AB5F63E">
            <w:pPr>
              <w:widowControl/>
              <w:jc w:val="center"/>
              <w:rPr>
                <w:rFonts w:ascii="宋体" w:hAnsi="宋体" w:cs="宋体"/>
                <w:color w:val="000000"/>
                <w:kern w:val="0"/>
                <w:sz w:val="18"/>
                <w:szCs w:val="18"/>
              </w:rPr>
            </w:pPr>
            <w:r>
              <w:rPr>
                <w:rFonts w:hint="eastAsia" w:ascii="宋体" w:hAnsi="宋体" w:cs="宋体"/>
                <w:color w:val="000000"/>
                <w:kern w:val="0"/>
                <w:sz w:val="18"/>
                <w:szCs w:val="18"/>
              </w:rPr>
              <w:t>新增建设占用农用地规模</w:t>
            </w:r>
          </w:p>
        </w:tc>
        <w:tc>
          <w:tcPr>
            <w:tcW w:w="1791" w:type="dxa"/>
            <w:tcBorders>
              <w:top w:val="nil"/>
              <w:left w:val="nil"/>
              <w:bottom w:val="single" w:color="auto" w:sz="4" w:space="0"/>
              <w:right w:val="single" w:color="auto" w:sz="4" w:space="0"/>
            </w:tcBorders>
            <w:shd w:val="clear" w:color="auto" w:fill="auto"/>
            <w:vAlign w:val="center"/>
          </w:tcPr>
          <w:p w14:paraId="6126AF7B">
            <w:pPr>
              <w:widowControl/>
              <w:jc w:val="center"/>
              <w:rPr>
                <w:rFonts w:ascii="宋体" w:hAnsi="宋体" w:cs="宋体"/>
                <w:color w:val="000000"/>
                <w:kern w:val="0"/>
                <w:sz w:val="18"/>
                <w:szCs w:val="18"/>
              </w:rPr>
            </w:pPr>
            <w:r>
              <w:rPr>
                <w:rFonts w:hint="eastAsia" w:ascii="宋体" w:hAnsi="宋体" w:cs="宋体"/>
                <w:color w:val="000000"/>
                <w:kern w:val="0"/>
                <w:sz w:val="18"/>
                <w:szCs w:val="18"/>
              </w:rPr>
              <w:t>322.71</w:t>
            </w:r>
          </w:p>
        </w:tc>
        <w:tc>
          <w:tcPr>
            <w:tcW w:w="1300" w:type="dxa"/>
            <w:tcBorders>
              <w:top w:val="nil"/>
              <w:left w:val="nil"/>
              <w:bottom w:val="single" w:color="auto" w:sz="4" w:space="0"/>
              <w:right w:val="single" w:color="auto" w:sz="4" w:space="0"/>
            </w:tcBorders>
            <w:shd w:val="clear" w:color="auto" w:fill="auto"/>
            <w:noWrap/>
            <w:vAlign w:val="center"/>
          </w:tcPr>
          <w:p w14:paraId="2E28F0D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791" w:type="dxa"/>
            <w:tcBorders>
              <w:top w:val="nil"/>
              <w:left w:val="nil"/>
              <w:bottom w:val="single" w:color="auto" w:sz="4" w:space="0"/>
              <w:right w:val="single" w:color="auto" w:sz="4" w:space="0"/>
            </w:tcBorders>
            <w:shd w:val="clear" w:color="auto" w:fill="auto"/>
            <w:noWrap/>
            <w:vAlign w:val="center"/>
          </w:tcPr>
          <w:p w14:paraId="1145D0C6">
            <w:pPr>
              <w:widowControl/>
              <w:jc w:val="center"/>
              <w:rPr>
                <w:rFonts w:ascii="宋体" w:hAnsi="宋体" w:cs="宋体"/>
                <w:color w:val="000000"/>
                <w:kern w:val="0"/>
                <w:sz w:val="18"/>
                <w:szCs w:val="18"/>
              </w:rPr>
            </w:pPr>
            <w:r>
              <w:rPr>
                <w:rFonts w:hint="eastAsia" w:ascii="宋体" w:hAnsi="宋体" w:cs="宋体"/>
                <w:color w:val="000000"/>
                <w:kern w:val="0"/>
                <w:sz w:val="18"/>
                <w:szCs w:val="18"/>
              </w:rPr>
              <w:t>266.47</w:t>
            </w:r>
          </w:p>
        </w:tc>
        <w:tc>
          <w:tcPr>
            <w:tcW w:w="1119" w:type="dxa"/>
            <w:tcBorders>
              <w:top w:val="nil"/>
              <w:left w:val="nil"/>
              <w:bottom w:val="single" w:color="auto" w:sz="4" w:space="0"/>
              <w:right w:val="single" w:color="auto" w:sz="4" w:space="0"/>
            </w:tcBorders>
            <w:shd w:val="clear" w:color="auto" w:fill="auto"/>
            <w:noWrap/>
            <w:vAlign w:val="center"/>
          </w:tcPr>
          <w:p w14:paraId="122E3B00">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3B9EEF3B">
            <w:pPr>
              <w:widowControl/>
              <w:jc w:val="center"/>
              <w:rPr>
                <w:rFonts w:ascii="宋体" w:hAnsi="宋体" w:cs="宋体"/>
                <w:color w:val="000000"/>
                <w:kern w:val="0"/>
                <w:sz w:val="22"/>
                <w:szCs w:val="22"/>
              </w:rPr>
            </w:pPr>
            <w:r>
              <w:rPr>
                <w:rFonts w:hint="eastAsia" w:ascii="宋体" w:hAnsi="宋体" w:cs="宋体"/>
                <w:color w:val="000000"/>
                <w:kern w:val="0"/>
                <w:sz w:val="18"/>
                <w:szCs w:val="18"/>
              </w:rPr>
              <w:t>包含预留的15.65公顷新增建设占用农用地</w:t>
            </w:r>
          </w:p>
        </w:tc>
      </w:tr>
      <w:tr w14:paraId="5D75A80F">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13A90154">
            <w:pPr>
              <w:widowControl/>
              <w:jc w:val="center"/>
              <w:rPr>
                <w:rFonts w:ascii="宋体" w:hAnsi="宋体" w:cs="宋体"/>
                <w:color w:val="000000"/>
                <w:kern w:val="0"/>
                <w:sz w:val="18"/>
                <w:szCs w:val="18"/>
              </w:rPr>
            </w:pPr>
            <w:r>
              <w:rPr>
                <w:rFonts w:hint="eastAsia" w:ascii="宋体" w:hAnsi="宋体" w:cs="宋体"/>
                <w:color w:val="000000"/>
                <w:kern w:val="0"/>
                <w:sz w:val="18"/>
                <w:szCs w:val="18"/>
              </w:rPr>
              <w:t>新增建设占用耕地规模</w:t>
            </w:r>
          </w:p>
        </w:tc>
        <w:tc>
          <w:tcPr>
            <w:tcW w:w="1791" w:type="dxa"/>
            <w:tcBorders>
              <w:top w:val="nil"/>
              <w:left w:val="nil"/>
              <w:bottom w:val="single" w:color="auto" w:sz="4" w:space="0"/>
              <w:right w:val="single" w:color="auto" w:sz="4" w:space="0"/>
            </w:tcBorders>
            <w:shd w:val="clear" w:color="auto" w:fill="auto"/>
            <w:vAlign w:val="center"/>
          </w:tcPr>
          <w:p w14:paraId="185853D6">
            <w:pPr>
              <w:widowControl/>
              <w:jc w:val="center"/>
              <w:rPr>
                <w:rFonts w:ascii="宋体" w:hAnsi="宋体" w:cs="宋体"/>
                <w:color w:val="000000"/>
                <w:kern w:val="0"/>
                <w:sz w:val="18"/>
                <w:szCs w:val="18"/>
              </w:rPr>
            </w:pPr>
            <w:r>
              <w:rPr>
                <w:rFonts w:hint="eastAsia" w:ascii="宋体" w:hAnsi="宋体" w:cs="宋体"/>
                <w:color w:val="000000"/>
                <w:kern w:val="0"/>
                <w:sz w:val="18"/>
                <w:szCs w:val="18"/>
              </w:rPr>
              <w:t>203.32</w:t>
            </w:r>
          </w:p>
        </w:tc>
        <w:tc>
          <w:tcPr>
            <w:tcW w:w="1300" w:type="dxa"/>
            <w:tcBorders>
              <w:top w:val="nil"/>
              <w:left w:val="nil"/>
              <w:bottom w:val="single" w:color="auto" w:sz="4" w:space="0"/>
              <w:right w:val="single" w:color="auto" w:sz="4" w:space="0"/>
            </w:tcBorders>
            <w:shd w:val="clear" w:color="auto" w:fill="auto"/>
            <w:noWrap/>
            <w:vAlign w:val="center"/>
          </w:tcPr>
          <w:p w14:paraId="2316C7E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791" w:type="dxa"/>
            <w:tcBorders>
              <w:top w:val="nil"/>
              <w:left w:val="nil"/>
              <w:bottom w:val="single" w:color="auto" w:sz="4" w:space="0"/>
              <w:right w:val="single" w:color="auto" w:sz="4" w:space="0"/>
            </w:tcBorders>
            <w:shd w:val="clear" w:color="auto" w:fill="auto"/>
            <w:noWrap/>
            <w:vAlign w:val="center"/>
          </w:tcPr>
          <w:p w14:paraId="23C6B752">
            <w:pPr>
              <w:widowControl/>
              <w:jc w:val="center"/>
              <w:rPr>
                <w:rFonts w:ascii="宋体" w:hAnsi="宋体" w:cs="宋体"/>
                <w:color w:val="000000"/>
                <w:kern w:val="0"/>
                <w:sz w:val="18"/>
                <w:szCs w:val="18"/>
              </w:rPr>
            </w:pPr>
            <w:r>
              <w:rPr>
                <w:rFonts w:hint="eastAsia" w:ascii="宋体" w:hAnsi="宋体" w:cs="宋体"/>
                <w:color w:val="000000"/>
                <w:kern w:val="0"/>
                <w:sz w:val="18"/>
                <w:szCs w:val="18"/>
              </w:rPr>
              <w:t>170.93</w:t>
            </w:r>
          </w:p>
        </w:tc>
        <w:tc>
          <w:tcPr>
            <w:tcW w:w="1119" w:type="dxa"/>
            <w:tcBorders>
              <w:top w:val="nil"/>
              <w:left w:val="nil"/>
              <w:bottom w:val="single" w:color="auto" w:sz="4" w:space="0"/>
              <w:right w:val="single" w:color="auto" w:sz="4" w:space="0"/>
            </w:tcBorders>
            <w:shd w:val="clear" w:color="auto" w:fill="auto"/>
            <w:noWrap/>
            <w:vAlign w:val="center"/>
          </w:tcPr>
          <w:p w14:paraId="2F6FEA18">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349F6D14">
            <w:pPr>
              <w:widowControl/>
              <w:jc w:val="center"/>
              <w:rPr>
                <w:rFonts w:ascii="宋体" w:hAnsi="宋体" w:cs="宋体"/>
                <w:color w:val="000000"/>
                <w:kern w:val="0"/>
                <w:sz w:val="22"/>
                <w:szCs w:val="22"/>
              </w:rPr>
            </w:pPr>
            <w:r>
              <w:rPr>
                <w:rFonts w:hint="eastAsia" w:ascii="宋体" w:hAnsi="宋体" w:cs="宋体"/>
                <w:color w:val="000000"/>
                <w:kern w:val="0"/>
                <w:sz w:val="18"/>
                <w:szCs w:val="18"/>
              </w:rPr>
              <w:t>包含预留的13公顷新增建设占用耕地</w:t>
            </w:r>
          </w:p>
        </w:tc>
      </w:tr>
      <w:tr w14:paraId="04ACC5A1">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16193B4C">
            <w:pPr>
              <w:widowControl/>
              <w:jc w:val="center"/>
              <w:rPr>
                <w:rFonts w:ascii="宋体" w:hAnsi="宋体" w:cs="宋体"/>
                <w:color w:val="000000"/>
                <w:kern w:val="0"/>
                <w:sz w:val="18"/>
                <w:szCs w:val="18"/>
              </w:rPr>
            </w:pPr>
            <w:r>
              <w:rPr>
                <w:rFonts w:hint="eastAsia" w:ascii="宋体" w:hAnsi="宋体" w:cs="宋体"/>
                <w:color w:val="000000"/>
                <w:kern w:val="0"/>
                <w:sz w:val="18"/>
                <w:szCs w:val="18"/>
              </w:rPr>
              <w:t>土地整治补充耕地规模</w:t>
            </w:r>
          </w:p>
        </w:tc>
        <w:tc>
          <w:tcPr>
            <w:tcW w:w="1791" w:type="dxa"/>
            <w:tcBorders>
              <w:top w:val="nil"/>
              <w:left w:val="nil"/>
              <w:bottom w:val="single" w:color="auto" w:sz="4" w:space="0"/>
              <w:right w:val="single" w:color="auto" w:sz="4" w:space="0"/>
            </w:tcBorders>
            <w:shd w:val="clear" w:color="auto" w:fill="auto"/>
            <w:vAlign w:val="center"/>
          </w:tcPr>
          <w:p w14:paraId="5BFF9722">
            <w:pPr>
              <w:widowControl/>
              <w:jc w:val="center"/>
              <w:rPr>
                <w:rFonts w:ascii="宋体" w:hAnsi="宋体" w:cs="宋体"/>
                <w:color w:val="000000"/>
                <w:kern w:val="0"/>
                <w:sz w:val="18"/>
                <w:szCs w:val="18"/>
              </w:rPr>
            </w:pPr>
            <w:r>
              <w:rPr>
                <w:rFonts w:hint="eastAsia" w:ascii="宋体" w:hAnsi="宋体" w:cs="宋体"/>
                <w:color w:val="000000"/>
                <w:kern w:val="0"/>
                <w:sz w:val="18"/>
                <w:szCs w:val="18"/>
              </w:rPr>
              <w:t>159.51</w:t>
            </w:r>
          </w:p>
        </w:tc>
        <w:tc>
          <w:tcPr>
            <w:tcW w:w="1300" w:type="dxa"/>
            <w:tcBorders>
              <w:top w:val="nil"/>
              <w:left w:val="nil"/>
              <w:bottom w:val="single" w:color="auto" w:sz="4" w:space="0"/>
              <w:right w:val="single" w:color="auto" w:sz="4" w:space="0"/>
            </w:tcBorders>
            <w:shd w:val="clear" w:color="auto" w:fill="auto"/>
            <w:noWrap/>
            <w:vAlign w:val="center"/>
          </w:tcPr>
          <w:p w14:paraId="168142F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791" w:type="dxa"/>
            <w:tcBorders>
              <w:top w:val="nil"/>
              <w:left w:val="nil"/>
              <w:bottom w:val="single" w:color="auto" w:sz="4" w:space="0"/>
              <w:right w:val="single" w:color="auto" w:sz="4" w:space="0"/>
            </w:tcBorders>
            <w:shd w:val="clear" w:color="auto" w:fill="auto"/>
            <w:noWrap/>
            <w:vAlign w:val="center"/>
          </w:tcPr>
          <w:p w14:paraId="05FCE2BD">
            <w:pPr>
              <w:widowControl/>
              <w:jc w:val="center"/>
              <w:rPr>
                <w:rFonts w:ascii="宋体" w:hAnsi="宋体" w:cs="宋体"/>
                <w:color w:val="000000"/>
                <w:kern w:val="0"/>
                <w:sz w:val="18"/>
                <w:szCs w:val="18"/>
              </w:rPr>
            </w:pPr>
            <w:r>
              <w:rPr>
                <w:rFonts w:hint="eastAsia" w:ascii="宋体" w:hAnsi="宋体" w:cs="宋体"/>
                <w:color w:val="000000"/>
                <w:kern w:val="0"/>
                <w:sz w:val="18"/>
                <w:szCs w:val="18"/>
              </w:rPr>
              <w:t>171.75</w:t>
            </w:r>
          </w:p>
        </w:tc>
        <w:tc>
          <w:tcPr>
            <w:tcW w:w="1119" w:type="dxa"/>
            <w:tcBorders>
              <w:top w:val="nil"/>
              <w:left w:val="nil"/>
              <w:bottom w:val="single" w:color="auto" w:sz="4" w:space="0"/>
              <w:right w:val="single" w:color="auto" w:sz="4" w:space="0"/>
            </w:tcBorders>
            <w:shd w:val="clear" w:color="auto" w:fill="auto"/>
            <w:noWrap/>
            <w:vAlign w:val="center"/>
          </w:tcPr>
          <w:p w14:paraId="623CFF46">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2AFD8A3D">
            <w:pPr>
              <w:widowControl/>
              <w:jc w:val="center"/>
              <w:rPr>
                <w:rFonts w:ascii="宋体" w:hAnsi="宋体" w:cs="宋体"/>
                <w:color w:val="000000"/>
                <w:kern w:val="0"/>
                <w:sz w:val="22"/>
                <w:szCs w:val="22"/>
              </w:rPr>
            </w:pPr>
          </w:p>
        </w:tc>
      </w:tr>
      <w:tr w14:paraId="769AB705">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36B0CDB3">
            <w:pPr>
              <w:widowControl/>
              <w:jc w:val="center"/>
              <w:rPr>
                <w:rFonts w:ascii="宋体" w:hAnsi="宋体" w:cs="宋体"/>
                <w:color w:val="000000"/>
                <w:kern w:val="0"/>
                <w:sz w:val="18"/>
                <w:szCs w:val="18"/>
              </w:rPr>
            </w:pPr>
            <w:r>
              <w:rPr>
                <w:rFonts w:hint="eastAsia" w:ascii="宋体" w:hAnsi="宋体" w:cs="宋体"/>
                <w:color w:val="000000"/>
                <w:kern w:val="0"/>
                <w:sz w:val="18"/>
                <w:szCs w:val="18"/>
              </w:rPr>
              <w:t>坝区现状耕地划入基本农田比例</w:t>
            </w:r>
          </w:p>
        </w:tc>
        <w:tc>
          <w:tcPr>
            <w:tcW w:w="1791" w:type="dxa"/>
            <w:tcBorders>
              <w:top w:val="nil"/>
              <w:left w:val="nil"/>
              <w:bottom w:val="single" w:color="auto" w:sz="4" w:space="0"/>
              <w:right w:val="single" w:color="auto" w:sz="4" w:space="0"/>
            </w:tcBorders>
            <w:shd w:val="clear" w:color="auto" w:fill="auto"/>
            <w:noWrap/>
            <w:vAlign w:val="center"/>
          </w:tcPr>
          <w:p w14:paraId="62FC66F6">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1300" w:type="dxa"/>
            <w:tcBorders>
              <w:top w:val="nil"/>
              <w:left w:val="nil"/>
              <w:bottom w:val="single" w:color="auto" w:sz="4" w:space="0"/>
              <w:right w:val="single" w:color="auto" w:sz="4" w:space="0"/>
            </w:tcBorders>
            <w:shd w:val="clear" w:color="auto" w:fill="auto"/>
            <w:noWrap/>
            <w:vAlign w:val="center"/>
          </w:tcPr>
          <w:p w14:paraId="4D2E225C">
            <w:pPr>
              <w:widowControl/>
              <w:jc w:val="center"/>
              <w:rPr>
                <w:rFonts w:ascii="Calibri" w:hAnsi="Calibri" w:cs="Calibri"/>
                <w:color w:val="000000"/>
                <w:kern w:val="0"/>
                <w:szCs w:val="21"/>
              </w:rPr>
            </w:pPr>
          </w:p>
        </w:tc>
        <w:tc>
          <w:tcPr>
            <w:tcW w:w="1791" w:type="dxa"/>
            <w:tcBorders>
              <w:top w:val="nil"/>
              <w:left w:val="nil"/>
              <w:bottom w:val="single" w:color="auto" w:sz="4" w:space="0"/>
              <w:right w:val="single" w:color="auto" w:sz="4" w:space="0"/>
            </w:tcBorders>
            <w:shd w:val="clear" w:color="auto" w:fill="auto"/>
            <w:noWrap/>
            <w:vAlign w:val="center"/>
          </w:tcPr>
          <w:p w14:paraId="1ADF82DB">
            <w:pPr>
              <w:widowControl/>
              <w:jc w:val="center"/>
              <w:rPr>
                <w:rFonts w:ascii="宋体" w:hAnsi="宋体" w:cs="宋体"/>
                <w:color w:val="000000"/>
                <w:kern w:val="0"/>
                <w:sz w:val="18"/>
                <w:szCs w:val="18"/>
              </w:rPr>
            </w:pPr>
            <w:r>
              <w:rPr>
                <w:rFonts w:hint="eastAsia" w:ascii="宋体" w:hAnsi="宋体" w:cs="宋体"/>
                <w:color w:val="000000"/>
                <w:kern w:val="0"/>
                <w:sz w:val="18"/>
                <w:szCs w:val="18"/>
              </w:rPr>
              <w:t>80.90%</w:t>
            </w:r>
          </w:p>
        </w:tc>
        <w:tc>
          <w:tcPr>
            <w:tcW w:w="1119" w:type="dxa"/>
            <w:tcBorders>
              <w:top w:val="nil"/>
              <w:left w:val="nil"/>
              <w:bottom w:val="single" w:color="auto" w:sz="4" w:space="0"/>
              <w:right w:val="single" w:color="auto" w:sz="4" w:space="0"/>
            </w:tcBorders>
            <w:shd w:val="clear" w:color="auto" w:fill="auto"/>
            <w:noWrap/>
            <w:vAlign w:val="center"/>
          </w:tcPr>
          <w:p w14:paraId="304CF832">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1B57CA8F">
            <w:pPr>
              <w:widowControl/>
              <w:jc w:val="center"/>
              <w:rPr>
                <w:rFonts w:ascii="宋体" w:hAnsi="宋体" w:cs="宋体"/>
                <w:color w:val="000000"/>
                <w:kern w:val="0"/>
                <w:sz w:val="22"/>
                <w:szCs w:val="22"/>
              </w:rPr>
            </w:pPr>
          </w:p>
        </w:tc>
      </w:tr>
      <w:tr w14:paraId="3B7845F6">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6E4F07EF">
            <w:pPr>
              <w:widowControl/>
              <w:jc w:val="center"/>
              <w:rPr>
                <w:rFonts w:ascii="宋体" w:hAnsi="宋体" w:cs="宋体"/>
                <w:color w:val="000000"/>
                <w:kern w:val="0"/>
                <w:sz w:val="18"/>
                <w:szCs w:val="18"/>
              </w:rPr>
            </w:pPr>
            <w:r>
              <w:rPr>
                <w:rFonts w:hint="eastAsia" w:ascii="宋体" w:hAnsi="宋体" w:cs="宋体"/>
                <w:color w:val="000000"/>
                <w:kern w:val="0"/>
                <w:sz w:val="18"/>
                <w:szCs w:val="18"/>
              </w:rPr>
              <w:t>人均城镇工矿用地</w:t>
            </w:r>
          </w:p>
        </w:tc>
        <w:tc>
          <w:tcPr>
            <w:tcW w:w="1791" w:type="dxa"/>
            <w:tcBorders>
              <w:top w:val="nil"/>
              <w:left w:val="nil"/>
              <w:bottom w:val="single" w:color="auto" w:sz="4" w:space="0"/>
              <w:right w:val="single" w:color="auto" w:sz="4" w:space="0"/>
            </w:tcBorders>
            <w:shd w:val="clear" w:color="auto" w:fill="auto"/>
            <w:noWrap/>
            <w:vAlign w:val="center"/>
          </w:tcPr>
          <w:p w14:paraId="0DDB0BE0">
            <w:pPr>
              <w:widowControl/>
              <w:jc w:val="center"/>
              <w:rPr>
                <w:rFonts w:ascii="宋体" w:hAnsi="宋体" w:cs="宋体"/>
                <w:color w:val="000000"/>
                <w:kern w:val="0"/>
                <w:sz w:val="18"/>
                <w:szCs w:val="18"/>
              </w:rPr>
            </w:pPr>
            <w:r>
              <w:rPr>
                <w:rFonts w:hint="eastAsia" w:ascii="宋体" w:hAnsi="宋体" w:cs="宋体"/>
                <w:color w:val="000000"/>
                <w:kern w:val="0"/>
                <w:sz w:val="18"/>
                <w:szCs w:val="18"/>
              </w:rPr>
              <w:t>114平方米/人</w:t>
            </w:r>
          </w:p>
        </w:tc>
        <w:tc>
          <w:tcPr>
            <w:tcW w:w="1300" w:type="dxa"/>
            <w:tcBorders>
              <w:top w:val="nil"/>
              <w:left w:val="nil"/>
              <w:bottom w:val="single" w:color="auto" w:sz="4" w:space="0"/>
              <w:right w:val="single" w:color="auto" w:sz="4" w:space="0"/>
            </w:tcBorders>
            <w:shd w:val="clear" w:color="auto" w:fill="auto"/>
            <w:noWrap/>
            <w:vAlign w:val="center"/>
          </w:tcPr>
          <w:p w14:paraId="678195F6">
            <w:pPr>
              <w:widowControl/>
              <w:jc w:val="center"/>
              <w:rPr>
                <w:rFonts w:ascii="Calibri" w:hAnsi="Calibri" w:cs="Calibri"/>
                <w:color w:val="000000"/>
                <w:kern w:val="0"/>
                <w:szCs w:val="21"/>
              </w:rPr>
            </w:pPr>
          </w:p>
        </w:tc>
        <w:tc>
          <w:tcPr>
            <w:tcW w:w="1791" w:type="dxa"/>
            <w:tcBorders>
              <w:top w:val="nil"/>
              <w:left w:val="nil"/>
              <w:bottom w:val="single" w:color="auto" w:sz="4" w:space="0"/>
              <w:right w:val="single" w:color="auto" w:sz="4" w:space="0"/>
            </w:tcBorders>
            <w:shd w:val="clear" w:color="auto" w:fill="auto"/>
            <w:noWrap/>
            <w:vAlign w:val="center"/>
          </w:tcPr>
          <w:p w14:paraId="6F36A71A">
            <w:pPr>
              <w:widowControl/>
              <w:jc w:val="center"/>
              <w:rPr>
                <w:rFonts w:ascii="宋体" w:hAnsi="宋体" w:cs="宋体"/>
                <w:color w:val="000000"/>
                <w:kern w:val="0"/>
                <w:sz w:val="18"/>
                <w:szCs w:val="18"/>
              </w:rPr>
            </w:pPr>
            <w:r>
              <w:rPr>
                <w:rFonts w:hint="eastAsia" w:ascii="宋体" w:hAnsi="宋体" w:cs="宋体"/>
                <w:color w:val="000000"/>
                <w:kern w:val="0"/>
                <w:sz w:val="18"/>
                <w:szCs w:val="18"/>
              </w:rPr>
              <w:t>114平方米/人</w:t>
            </w:r>
          </w:p>
        </w:tc>
        <w:tc>
          <w:tcPr>
            <w:tcW w:w="1119" w:type="dxa"/>
            <w:tcBorders>
              <w:top w:val="nil"/>
              <w:left w:val="nil"/>
              <w:bottom w:val="single" w:color="auto" w:sz="4" w:space="0"/>
              <w:right w:val="single" w:color="auto" w:sz="4" w:space="0"/>
            </w:tcBorders>
            <w:shd w:val="clear" w:color="auto" w:fill="auto"/>
            <w:noWrap/>
            <w:vAlign w:val="center"/>
          </w:tcPr>
          <w:p w14:paraId="5CED0EDF">
            <w:pPr>
              <w:widowControl/>
              <w:jc w:val="center"/>
              <w:rPr>
                <w:rFonts w:ascii="宋体" w:hAnsi="宋体" w:cs="宋体"/>
                <w:color w:val="000000"/>
                <w:kern w:val="0"/>
                <w:sz w:val="18"/>
                <w:szCs w:val="18"/>
              </w:rPr>
            </w:pPr>
            <w:r>
              <w:rPr>
                <w:rFonts w:hint="eastAsia" w:ascii="宋体" w:hAnsi="宋体" w:cs="宋体"/>
                <w:color w:val="000000"/>
                <w:kern w:val="0"/>
                <w:sz w:val="18"/>
                <w:szCs w:val="18"/>
              </w:rPr>
              <w:t>约束性</w:t>
            </w:r>
          </w:p>
        </w:tc>
        <w:tc>
          <w:tcPr>
            <w:tcW w:w="2039" w:type="dxa"/>
            <w:tcBorders>
              <w:top w:val="nil"/>
              <w:left w:val="nil"/>
              <w:bottom w:val="single" w:color="auto" w:sz="4" w:space="0"/>
              <w:right w:val="single" w:color="auto" w:sz="4" w:space="0"/>
            </w:tcBorders>
            <w:shd w:val="clear" w:color="auto" w:fill="auto"/>
            <w:noWrap/>
            <w:vAlign w:val="center"/>
          </w:tcPr>
          <w:p w14:paraId="32DB91A4">
            <w:pPr>
              <w:widowControl/>
              <w:jc w:val="center"/>
              <w:rPr>
                <w:rFonts w:ascii="宋体" w:hAnsi="宋体" w:cs="宋体"/>
                <w:color w:val="000000"/>
                <w:kern w:val="0"/>
                <w:sz w:val="22"/>
                <w:szCs w:val="22"/>
              </w:rPr>
            </w:pPr>
          </w:p>
        </w:tc>
      </w:tr>
      <w:tr w14:paraId="2ACD4978">
        <w:tblPrEx>
          <w:tblCellMar>
            <w:top w:w="0" w:type="dxa"/>
            <w:left w:w="108" w:type="dxa"/>
            <w:bottom w:w="0" w:type="dxa"/>
            <w:right w:w="108" w:type="dxa"/>
          </w:tblCellMar>
        </w:tblPrEx>
        <w:trPr>
          <w:trHeight w:val="288" w:hRule="atLeast"/>
          <w:jc w:val="center"/>
        </w:trPr>
        <w:tc>
          <w:tcPr>
            <w:tcW w:w="2357" w:type="dxa"/>
            <w:tcBorders>
              <w:top w:val="nil"/>
              <w:left w:val="single" w:color="auto" w:sz="4" w:space="0"/>
              <w:bottom w:val="single" w:color="auto" w:sz="4" w:space="0"/>
              <w:right w:val="single" w:color="auto" w:sz="4" w:space="0"/>
            </w:tcBorders>
            <w:shd w:val="clear" w:color="auto" w:fill="auto"/>
            <w:noWrap/>
            <w:vAlign w:val="center"/>
          </w:tcPr>
          <w:p w14:paraId="2582CFDE">
            <w:pPr>
              <w:widowControl/>
              <w:jc w:val="center"/>
              <w:rPr>
                <w:rFonts w:ascii="宋体" w:hAnsi="宋体" w:cs="宋体"/>
                <w:color w:val="000000"/>
                <w:kern w:val="0"/>
                <w:sz w:val="18"/>
                <w:szCs w:val="18"/>
              </w:rPr>
            </w:pPr>
            <w:r>
              <w:rPr>
                <w:rFonts w:hint="eastAsia" w:ascii="宋体" w:hAnsi="宋体" w:cs="宋体"/>
                <w:color w:val="000000"/>
                <w:kern w:val="0"/>
                <w:sz w:val="18"/>
                <w:szCs w:val="18"/>
              </w:rPr>
              <w:t>人均农村居民点用地</w:t>
            </w:r>
          </w:p>
        </w:tc>
        <w:tc>
          <w:tcPr>
            <w:tcW w:w="1791" w:type="dxa"/>
            <w:tcBorders>
              <w:top w:val="nil"/>
              <w:left w:val="nil"/>
              <w:bottom w:val="single" w:color="auto" w:sz="4" w:space="0"/>
              <w:right w:val="single" w:color="auto" w:sz="4" w:space="0"/>
            </w:tcBorders>
            <w:shd w:val="clear" w:color="auto" w:fill="auto"/>
            <w:noWrap/>
            <w:vAlign w:val="center"/>
          </w:tcPr>
          <w:p w14:paraId="2500965A">
            <w:pPr>
              <w:widowControl/>
              <w:jc w:val="center"/>
              <w:rPr>
                <w:rFonts w:ascii="宋体" w:hAnsi="宋体" w:cs="宋体"/>
                <w:color w:val="000000"/>
                <w:kern w:val="0"/>
                <w:sz w:val="18"/>
                <w:szCs w:val="18"/>
              </w:rPr>
            </w:pPr>
            <w:r>
              <w:rPr>
                <w:rFonts w:hint="eastAsia" w:ascii="宋体" w:hAnsi="宋体" w:cs="宋体"/>
                <w:color w:val="000000"/>
                <w:kern w:val="0"/>
                <w:sz w:val="18"/>
                <w:szCs w:val="18"/>
              </w:rPr>
              <w:t>133.25平方米/人</w:t>
            </w:r>
          </w:p>
        </w:tc>
        <w:tc>
          <w:tcPr>
            <w:tcW w:w="1300" w:type="dxa"/>
            <w:tcBorders>
              <w:top w:val="nil"/>
              <w:left w:val="nil"/>
              <w:bottom w:val="single" w:color="auto" w:sz="4" w:space="0"/>
              <w:right w:val="single" w:color="auto" w:sz="4" w:space="0"/>
            </w:tcBorders>
            <w:shd w:val="clear" w:color="auto" w:fill="auto"/>
            <w:noWrap/>
            <w:vAlign w:val="center"/>
          </w:tcPr>
          <w:p w14:paraId="7BD46372">
            <w:pPr>
              <w:widowControl/>
              <w:jc w:val="center"/>
              <w:rPr>
                <w:rFonts w:ascii="Calibri" w:hAnsi="Calibri" w:cs="Calibri"/>
                <w:color w:val="000000"/>
                <w:kern w:val="0"/>
                <w:szCs w:val="21"/>
              </w:rPr>
            </w:pPr>
          </w:p>
        </w:tc>
        <w:tc>
          <w:tcPr>
            <w:tcW w:w="1791" w:type="dxa"/>
            <w:tcBorders>
              <w:top w:val="nil"/>
              <w:left w:val="nil"/>
              <w:bottom w:val="single" w:color="auto" w:sz="4" w:space="0"/>
              <w:right w:val="single" w:color="auto" w:sz="4" w:space="0"/>
            </w:tcBorders>
            <w:shd w:val="clear" w:color="auto" w:fill="auto"/>
            <w:noWrap/>
            <w:vAlign w:val="center"/>
          </w:tcPr>
          <w:p w14:paraId="71418F5C">
            <w:pPr>
              <w:widowControl/>
              <w:jc w:val="center"/>
              <w:rPr>
                <w:rFonts w:ascii="宋体" w:hAnsi="宋体" w:cs="宋体"/>
                <w:color w:val="000000"/>
                <w:kern w:val="0"/>
                <w:sz w:val="18"/>
                <w:szCs w:val="18"/>
              </w:rPr>
            </w:pPr>
            <w:r>
              <w:rPr>
                <w:rFonts w:hint="eastAsia" w:ascii="宋体" w:hAnsi="宋体" w:cs="宋体"/>
                <w:color w:val="000000"/>
                <w:kern w:val="0"/>
                <w:sz w:val="18"/>
                <w:szCs w:val="18"/>
              </w:rPr>
              <w:t>133.25平方米/人</w:t>
            </w:r>
          </w:p>
        </w:tc>
        <w:tc>
          <w:tcPr>
            <w:tcW w:w="1119" w:type="dxa"/>
            <w:tcBorders>
              <w:top w:val="nil"/>
              <w:left w:val="nil"/>
              <w:bottom w:val="single" w:color="auto" w:sz="4" w:space="0"/>
              <w:right w:val="single" w:color="auto" w:sz="4" w:space="0"/>
            </w:tcBorders>
            <w:shd w:val="clear" w:color="auto" w:fill="auto"/>
            <w:noWrap/>
            <w:vAlign w:val="center"/>
          </w:tcPr>
          <w:p w14:paraId="375CD275">
            <w:pPr>
              <w:widowControl/>
              <w:jc w:val="center"/>
              <w:rPr>
                <w:rFonts w:ascii="宋体" w:hAnsi="宋体" w:cs="宋体"/>
                <w:color w:val="000000"/>
                <w:kern w:val="0"/>
                <w:sz w:val="18"/>
                <w:szCs w:val="18"/>
              </w:rPr>
            </w:pPr>
            <w:r>
              <w:rPr>
                <w:rFonts w:hint="eastAsia" w:ascii="宋体" w:hAnsi="宋体" w:cs="宋体"/>
                <w:color w:val="000000"/>
                <w:kern w:val="0"/>
                <w:sz w:val="18"/>
                <w:szCs w:val="18"/>
              </w:rPr>
              <w:t>预期性</w:t>
            </w:r>
          </w:p>
        </w:tc>
        <w:tc>
          <w:tcPr>
            <w:tcW w:w="2039" w:type="dxa"/>
            <w:tcBorders>
              <w:top w:val="nil"/>
              <w:left w:val="nil"/>
              <w:bottom w:val="single" w:color="auto" w:sz="4" w:space="0"/>
              <w:right w:val="single" w:color="auto" w:sz="4" w:space="0"/>
            </w:tcBorders>
            <w:shd w:val="clear" w:color="auto" w:fill="auto"/>
            <w:noWrap/>
            <w:vAlign w:val="center"/>
          </w:tcPr>
          <w:p w14:paraId="65BC422B">
            <w:pPr>
              <w:widowControl/>
              <w:jc w:val="center"/>
              <w:rPr>
                <w:rFonts w:ascii="宋体" w:hAnsi="宋体" w:cs="宋体"/>
                <w:color w:val="000000"/>
                <w:kern w:val="0"/>
                <w:sz w:val="22"/>
                <w:szCs w:val="22"/>
              </w:rPr>
            </w:pPr>
          </w:p>
        </w:tc>
      </w:tr>
    </w:tbl>
    <w:p w14:paraId="384E9C24">
      <w:pPr>
        <w:widowControl/>
        <w:jc w:val="left"/>
        <w:rPr>
          <w:rFonts w:ascii="宋体" w:hAnsi="宋体" w:cs="宋体"/>
          <w:color w:val="000000"/>
          <w:kern w:val="0"/>
          <w:sz w:val="18"/>
          <w:szCs w:val="18"/>
        </w:rPr>
      </w:pPr>
      <w:r>
        <w:rPr>
          <w:rFonts w:hint="eastAsia" w:ascii="宋体" w:hAnsi="宋体" w:cs="宋体"/>
          <w:color w:val="000000"/>
          <w:kern w:val="0"/>
          <w:sz w:val="18"/>
          <w:szCs w:val="18"/>
        </w:rPr>
        <w:t>注：按照云南省相关要求，东川区预留农村居民点用地15.65公顷，并安排相应新增建设占用农用地指标15.65公顷，其中新增建设占用耕地指标13公顷。</w:t>
      </w:r>
    </w:p>
    <w:p w14:paraId="56D909A0"/>
    <w:p w14:paraId="1ED6E99E"/>
    <w:p w14:paraId="3A1A4193"/>
    <w:p w14:paraId="63FAC261"/>
    <w:p w14:paraId="1BDE9FDF"/>
    <w:p w14:paraId="6E03901B"/>
    <w:p w14:paraId="292EEBD5"/>
    <w:p w14:paraId="51C11A53"/>
    <w:p w14:paraId="1AA2552F"/>
    <w:p w14:paraId="372A9154"/>
    <w:p w14:paraId="71223C5C"/>
    <w:p w14:paraId="5FA40DF3"/>
    <w:bookmarkEnd w:id="173"/>
    <w:p w14:paraId="2E579A94">
      <w:pPr>
        <w:pStyle w:val="2"/>
        <w:spacing w:line="240" w:lineRule="atLeast"/>
        <w:jc w:val="left"/>
        <w:rPr>
          <w:rFonts w:ascii="黑体" w:eastAsia="黑体"/>
          <w:b w:val="0"/>
          <w:color w:val="000000"/>
          <w:sz w:val="24"/>
          <w:szCs w:val="24"/>
        </w:rPr>
      </w:pPr>
      <w:bookmarkStart w:id="174" w:name="_Toc268160765"/>
      <w:bookmarkStart w:id="175" w:name="_Toc491074923"/>
      <w:bookmarkStart w:id="176" w:name="_Toc268160767"/>
      <w:r>
        <w:rPr>
          <w:rFonts w:hint="eastAsia" w:ascii="黑体" w:eastAsia="黑体"/>
          <w:b w:val="0"/>
          <w:color w:val="000000"/>
          <w:sz w:val="24"/>
          <w:szCs w:val="24"/>
        </w:rPr>
        <w:t>附表2  东川区土地利用结构调整表</w:t>
      </w:r>
      <w:bookmarkEnd w:id="174"/>
      <w:bookmarkEnd w:id="175"/>
    </w:p>
    <w:p w14:paraId="0D7756BB">
      <w:pPr>
        <w:jc w:val="right"/>
        <w:rPr>
          <w:rFonts w:ascii="宋体" w:hAnsi="宋体"/>
          <w:sz w:val="18"/>
          <w:szCs w:val="18"/>
        </w:rPr>
      </w:pPr>
      <w:r>
        <w:rPr>
          <w:rFonts w:hint="eastAsia" w:ascii="宋体" w:hAnsi="宋体"/>
          <w:sz w:val="18"/>
          <w:szCs w:val="18"/>
        </w:rPr>
        <w:t>单位：公顷</w:t>
      </w:r>
    </w:p>
    <w:tbl>
      <w:tblPr>
        <w:tblStyle w:val="27"/>
        <w:tblW w:w="10589" w:type="dxa"/>
        <w:jc w:val="center"/>
        <w:tblLayout w:type="autofit"/>
        <w:tblCellMar>
          <w:top w:w="0" w:type="dxa"/>
          <w:left w:w="108" w:type="dxa"/>
          <w:bottom w:w="0" w:type="dxa"/>
          <w:right w:w="108" w:type="dxa"/>
        </w:tblCellMar>
      </w:tblPr>
      <w:tblGrid>
        <w:gridCol w:w="588"/>
        <w:gridCol w:w="412"/>
        <w:gridCol w:w="1836"/>
        <w:gridCol w:w="1026"/>
        <w:gridCol w:w="960"/>
        <w:gridCol w:w="1244"/>
        <w:gridCol w:w="976"/>
        <w:gridCol w:w="985"/>
        <w:gridCol w:w="960"/>
        <w:gridCol w:w="1602"/>
      </w:tblGrid>
      <w:tr w14:paraId="5BE03ABE">
        <w:tblPrEx>
          <w:tblCellMar>
            <w:top w:w="0" w:type="dxa"/>
            <w:left w:w="108" w:type="dxa"/>
            <w:bottom w:w="0" w:type="dxa"/>
            <w:right w:w="108" w:type="dxa"/>
          </w:tblCellMar>
        </w:tblPrEx>
        <w:trPr>
          <w:trHeight w:val="288" w:hRule="atLeast"/>
          <w:jc w:val="center"/>
        </w:trPr>
        <w:tc>
          <w:tcPr>
            <w:tcW w:w="2836" w:type="dxa"/>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E41988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规划分类</w:t>
            </w:r>
          </w:p>
        </w:tc>
        <w:tc>
          <w:tcPr>
            <w:tcW w:w="1986" w:type="dxa"/>
            <w:gridSpan w:val="2"/>
            <w:tcBorders>
              <w:top w:val="single" w:color="auto" w:sz="4" w:space="0"/>
              <w:left w:val="nil"/>
              <w:bottom w:val="single" w:color="auto" w:sz="4" w:space="0"/>
              <w:right w:val="single" w:color="auto" w:sz="4" w:space="0"/>
            </w:tcBorders>
            <w:shd w:val="clear" w:color="auto" w:fill="auto"/>
            <w:noWrap/>
            <w:vAlign w:val="center"/>
          </w:tcPr>
          <w:p w14:paraId="0E9F934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规划基期</w:t>
            </w:r>
          </w:p>
        </w:tc>
        <w:tc>
          <w:tcPr>
            <w:tcW w:w="2220" w:type="dxa"/>
            <w:gridSpan w:val="2"/>
            <w:tcBorders>
              <w:top w:val="single" w:color="auto" w:sz="4" w:space="0"/>
              <w:left w:val="nil"/>
              <w:bottom w:val="single" w:color="auto" w:sz="4" w:space="0"/>
              <w:right w:val="single" w:color="auto" w:sz="4" w:space="0"/>
            </w:tcBorders>
            <w:shd w:val="clear" w:color="auto" w:fill="auto"/>
            <w:vAlign w:val="center"/>
          </w:tcPr>
          <w:p w14:paraId="336CAB5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规划目标年</w:t>
            </w:r>
          </w:p>
        </w:tc>
        <w:tc>
          <w:tcPr>
            <w:tcW w:w="19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B60E97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变化量　</w:t>
            </w:r>
          </w:p>
        </w:tc>
        <w:tc>
          <w:tcPr>
            <w:tcW w:w="1602" w:type="dxa"/>
            <w:vMerge w:val="restart"/>
            <w:tcBorders>
              <w:top w:val="single" w:color="auto" w:sz="4" w:space="0"/>
              <w:left w:val="single" w:color="auto" w:sz="4" w:space="0"/>
              <w:bottom w:val="single" w:color="auto" w:sz="4" w:space="0"/>
              <w:right w:val="single" w:color="auto" w:sz="4" w:space="0"/>
            </w:tcBorders>
            <w:shd w:val="clear" w:color="auto" w:fill="auto"/>
          </w:tcPr>
          <w:p w14:paraId="28C840D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14:paraId="2BDF66AA">
        <w:tblPrEx>
          <w:tblCellMar>
            <w:top w:w="0" w:type="dxa"/>
            <w:left w:w="108" w:type="dxa"/>
            <w:bottom w:w="0" w:type="dxa"/>
            <w:right w:w="108" w:type="dxa"/>
          </w:tblCellMar>
        </w:tblPrEx>
        <w:trPr>
          <w:trHeight w:val="288" w:hRule="atLeast"/>
          <w:jc w:val="center"/>
        </w:trPr>
        <w:tc>
          <w:tcPr>
            <w:tcW w:w="2836" w:type="dxa"/>
            <w:gridSpan w:val="3"/>
            <w:vMerge w:val="continue"/>
            <w:tcBorders>
              <w:top w:val="single" w:color="auto" w:sz="4" w:space="0"/>
              <w:left w:val="single" w:color="auto" w:sz="4" w:space="0"/>
              <w:bottom w:val="single" w:color="auto" w:sz="4" w:space="0"/>
              <w:right w:val="single" w:color="auto" w:sz="4" w:space="0"/>
            </w:tcBorders>
            <w:vAlign w:val="center"/>
          </w:tcPr>
          <w:p w14:paraId="698D3968">
            <w:pPr>
              <w:widowControl/>
              <w:jc w:val="left"/>
              <w:rPr>
                <w:rFonts w:ascii="宋体" w:hAnsi="宋体" w:cs="宋体"/>
                <w:b/>
                <w:bCs/>
                <w:color w:val="000000"/>
                <w:kern w:val="0"/>
                <w:sz w:val="18"/>
                <w:szCs w:val="18"/>
              </w:rPr>
            </w:pPr>
          </w:p>
        </w:tc>
        <w:tc>
          <w:tcPr>
            <w:tcW w:w="1986" w:type="dxa"/>
            <w:gridSpan w:val="2"/>
            <w:tcBorders>
              <w:top w:val="single" w:color="auto" w:sz="4" w:space="0"/>
              <w:left w:val="nil"/>
              <w:bottom w:val="single" w:color="auto" w:sz="4" w:space="0"/>
              <w:right w:val="single" w:color="auto" w:sz="4" w:space="0"/>
            </w:tcBorders>
            <w:shd w:val="clear" w:color="auto" w:fill="auto"/>
            <w:noWrap/>
            <w:vAlign w:val="center"/>
          </w:tcPr>
          <w:p w14:paraId="130608B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（2014年）</w:t>
            </w:r>
          </w:p>
        </w:tc>
        <w:tc>
          <w:tcPr>
            <w:tcW w:w="2220" w:type="dxa"/>
            <w:gridSpan w:val="2"/>
            <w:tcBorders>
              <w:top w:val="single" w:color="auto" w:sz="4" w:space="0"/>
              <w:left w:val="nil"/>
              <w:bottom w:val="single" w:color="auto" w:sz="4" w:space="0"/>
              <w:right w:val="single" w:color="auto" w:sz="4" w:space="0"/>
            </w:tcBorders>
            <w:shd w:val="clear" w:color="auto" w:fill="auto"/>
            <w:vAlign w:val="center"/>
          </w:tcPr>
          <w:p w14:paraId="7CC1F3B4">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（2020年）</w:t>
            </w:r>
          </w:p>
        </w:tc>
        <w:tc>
          <w:tcPr>
            <w:tcW w:w="1945" w:type="dxa"/>
            <w:gridSpan w:val="2"/>
            <w:vMerge w:val="continue"/>
            <w:tcBorders>
              <w:top w:val="single" w:color="auto" w:sz="4" w:space="0"/>
              <w:left w:val="single" w:color="auto" w:sz="4" w:space="0"/>
              <w:bottom w:val="single" w:color="auto" w:sz="4" w:space="0"/>
              <w:right w:val="single" w:color="auto" w:sz="4" w:space="0"/>
            </w:tcBorders>
            <w:vAlign w:val="center"/>
          </w:tcPr>
          <w:p w14:paraId="7A40CCB8">
            <w:pPr>
              <w:widowControl/>
              <w:jc w:val="left"/>
              <w:rPr>
                <w:rFonts w:ascii="宋体" w:hAnsi="宋体" w:cs="宋体"/>
                <w:b/>
                <w:bCs/>
                <w:color w:val="000000"/>
                <w:kern w:val="0"/>
                <w:sz w:val="18"/>
                <w:szCs w:val="18"/>
              </w:rPr>
            </w:pPr>
          </w:p>
        </w:tc>
        <w:tc>
          <w:tcPr>
            <w:tcW w:w="1602" w:type="dxa"/>
            <w:vMerge w:val="continue"/>
            <w:tcBorders>
              <w:top w:val="single" w:color="auto" w:sz="4" w:space="0"/>
              <w:left w:val="single" w:color="auto" w:sz="4" w:space="0"/>
              <w:bottom w:val="single" w:color="auto" w:sz="4" w:space="0"/>
              <w:right w:val="single" w:color="auto" w:sz="4" w:space="0"/>
            </w:tcBorders>
            <w:vAlign w:val="center"/>
          </w:tcPr>
          <w:p w14:paraId="0DE926FA">
            <w:pPr>
              <w:widowControl/>
              <w:jc w:val="left"/>
              <w:rPr>
                <w:rFonts w:ascii="宋体" w:hAnsi="宋体" w:cs="宋体"/>
                <w:b/>
                <w:bCs/>
                <w:color w:val="000000"/>
                <w:kern w:val="0"/>
                <w:sz w:val="18"/>
                <w:szCs w:val="18"/>
              </w:rPr>
            </w:pPr>
          </w:p>
        </w:tc>
      </w:tr>
      <w:tr w14:paraId="651BE5AB">
        <w:tblPrEx>
          <w:tblCellMar>
            <w:top w:w="0" w:type="dxa"/>
            <w:left w:w="108" w:type="dxa"/>
            <w:bottom w:w="0" w:type="dxa"/>
            <w:right w:w="108" w:type="dxa"/>
          </w:tblCellMar>
        </w:tblPrEx>
        <w:trPr>
          <w:trHeight w:val="312" w:hRule="atLeast"/>
          <w:jc w:val="center"/>
        </w:trPr>
        <w:tc>
          <w:tcPr>
            <w:tcW w:w="2836" w:type="dxa"/>
            <w:gridSpan w:val="3"/>
            <w:vMerge w:val="continue"/>
            <w:tcBorders>
              <w:top w:val="single" w:color="auto" w:sz="4" w:space="0"/>
              <w:left w:val="single" w:color="auto" w:sz="4" w:space="0"/>
              <w:bottom w:val="single" w:color="auto" w:sz="4" w:space="0"/>
              <w:right w:val="single" w:color="auto" w:sz="4" w:space="0"/>
            </w:tcBorders>
            <w:vAlign w:val="center"/>
          </w:tcPr>
          <w:p w14:paraId="39CD8601">
            <w:pPr>
              <w:widowControl/>
              <w:jc w:val="left"/>
              <w:rPr>
                <w:rFonts w:ascii="宋体" w:hAnsi="宋体" w:cs="宋体"/>
                <w:b/>
                <w:bCs/>
                <w:color w:val="000000"/>
                <w:kern w:val="0"/>
                <w:sz w:val="18"/>
                <w:szCs w:val="18"/>
              </w:rPr>
            </w:pPr>
          </w:p>
        </w:tc>
        <w:tc>
          <w:tcPr>
            <w:tcW w:w="1026" w:type="dxa"/>
            <w:tcBorders>
              <w:top w:val="nil"/>
              <w:left w:val="nil"/>
              <w:bottom w:val="single" w:color="auto" w:sz="4" w:space="0"/>
              <w:right w:val="single" w:color="auto" w:sz="4" w:space="0"/>
            </w:tcBorders>
            <w:shd w:val="clear" w:color="auto" w:fill="auto"/>
            <w:noWrap/>
            <w:vAlign w:val="center"/>
          </w:tcPr>
          <w:p w14:paraId="562477D4">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960" w:type="dxa"/>
            <w:tcBorders>
              <w:top w:val="nil"/>
              <w:left w:val="nil"/>
              <w:bottom w:val="single" w:color="auto" w:sz="4" w:space="0"/>
              <w:right w:val="single" w:color="auto" w:sz="4" w:space="0"/>
            </w:tcBorders>
            <w:shd w:val="clear" w:color="auto" w:fill="auto"/>
            <w:noWrap/>
            <w:vAlign w:val="center"/>
          </w:tcPr>
          <w:p w14:paraId="65DE578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244" w:type="dxa"/>
            <w:tcBorders>
              <w:top w:val="nil"/>
              <w:left w:val="nil"/>
              <w:bottom w:val="single" w:color="auto" w:sz="4" w:space="0"/>
              <w:right w:val="single" w:color="auto" w:sz="4" w:space="0"/>
            </w:tcBorders>
            <w:shd w:val="clear" w:color="auto" w:fill="auto"/>
            <w:noWrap/>
            <w:vAlign w:val="center"/>
          </w:tcPr>
          <w:p w14:paraId="1E3555EC">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976" w:type="dxa"/>
            <w:tcBorders>
              <w:top w:val="nil"/>
              <w:left w:val="nil"/>
              <w:bottom w:val="single" w:color="auto" w:sz="4" w:space="0"/>
              <w:right w:val="single" w:color="auto" w:sz="4" w:space="0"/>
            </w:tcBorders>
            <w:shd w:val="clear" w:color="auto" w:fill="auto"/>
            <w:noWrap/>
            <w:vAlign w:val="center"/>
          </w:tcPr>
          <w:p w14:paraId="03777705">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985" w:type="dxa"/>
            <w:tcBorders>
              <w:top w:val="nil"/>
              <w:left w:val="nil"/>
              <w:bottom w:val="single" w:color="auto" w:sz="4" w:space="0"/>
              <w:right w:val="single" w:color="auto" w:sz="4" w:space="0"/>
            </w:tcBorders>
            <w:shd w:val="clear" w:color="auto" w:fill="auto"/>
            <w:vAlign w:val="center"/>
          </w:tcPr>
          <w:p w14:paraId="451B628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面积</w:t>
            </w:r>
          </w:p>
        </w:tc>
        <w:tc>
          <w:tcPr>
            <w:tcW w:w="960" w:type="dxa"/>
            <w:tcBorders>
              <w:top w:val="nil"/>
              <w:left w:val="nil"/>
              <w:bottom w:val="single" w:color="auto" w:sz="4" w:space="0"/>
              <w:right w:val="single" w:color="auto" w:sz="4" w:space="0"/>
            </w:tcBorders>
            <w:shd w:val="clear" w:color="auto" w:fill="auto"/>
            <w:noWrap/>
            <w:vAlign w:val="center"/>
          </w:tcPr>
          <w:p w14:paraId="123135B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比例</w:t>
            </w:r>
          </w:p>
        </w:tc>
        <w:tc>
          <w:tcPr>
            <w:tcW w:w="1602" w:type="dxa"/>
            <w:vMerge w:val="continue"/>
            <w:tcBorders>
              <w:top w:val="single" w:color="auto" w:sz="4" w:space="0"/>
              <w:left w:val="single" w:color="auto" w:sz="4" w:space="0"/>
              <w:bottom w:val="single" w:color="auto" w:sz="4" w:space="0"/>
              <w:right w:val="single" w:color="auto" w:sz="4" w:space="0"/>
            </w:tcBorders>
            <w:vAlign w:val="center"/>
          </w:tcPr>
          <w:p w14:paraId="65A24426">
            <w:pPr>
              <w:widowControl/>
              <w:jc w:val="left"/>
              <w:rPr>
                <w:rFonts w:ascii="宋体" w:hAnsi="宋体" w:cs="宋体"/>
                <w:b/>
                <w:bCs/>
                <w:color w:val="000000"/>
                <w:kern w:val="0"/>
                <w:sz w:val="18"/>
                <w:szCs w:val="18"/>
              </w:rPr>
            </w:pPr>
          </w:p>
        </w:tc>
      </w:tr>
      <w:tr w14:paraId="51B8CA62">
        <w:tblPrEx>
          <w:tblCellMar>
            <w:top w:w="0" w:type="dxa"/>
            <w:left w:w="108" w:type="dxa"/>
            <w:bottom w:w="0" w:type="dxa"/>
            <w:right w:w="108" w:type="dxa"/>
          </w:tblCellMar>
        </w:tblPrEx>
        <w:trPr>
          <w:trHeight w:val="768" w:hRule="atLeast"/>
          <w:jc w:val="center"/>
        </w:trPr>
        <w:tc>
          <w:tcPr>
            <w:tcW w:w="588" w:type="dxa"/>
            <w:vMerge w:val="restart"/>
            <w:tcBorders>
              <w:top w:val="nil"/>
              <w:left w:val="single" w:color="auto" w:sz="4" w:space="0"/>
              <w:bottom w:val="single" w:color="auto" w:sz="4" w:space="0"/>
              <w:right w:val="single" w:color="auto" w:sz="4" w:space="0"/>
            </w:tcBorders>
            <w:shd w:val="clear" w:color="auto" w:fill="auto"/>
            <w:vAlign w:val="center"/>
          </w:tcPr>
          <w:p w14:paraId="6D31666F">
            <w:pPr>
              <w:widowControl/>
              <w:jc w:val="center"/>
              <w:rPr>
                <w:rFonts w:ascii="宋体" w:hAnsi="宋体" w:cs="宋体"/>
                <w:color w:val="000000"/>
                <w:kern w:val="0"/>
                <w:sz w:val="18"/>
                <w:szCs w:val="18"/>
              </w:rPr>
            </w:pPr>
            <w:r>
              <w:rPr>
                <w:rFonts w:hint="eastAsia" w:ascii="宋体" w:hAnsi="宋体" w:cs="宋体"/>
                <w:color w:val="000000"/>
                <w:kern w:val="0"/>
                <w:sz w:val="18"/>
                <w:szCs w:val="18"/>
              </w:rPr>
              <w:t>农用地</w:t>
            </w:r>
          </w:p>
        </w:tc>
        <w:tc>
          <w:tcPr>
            <w:tcW w:w="2248" w:type="dxa"/>
            <w:gridSpan w:val="2"/>
            <w:tcBorders>
              <w:top w:val="single" w:color="auto" w:sz="4" w:space="0"/>
              <w:left w:val="nil"/>
              <w:bottom w:val="single" w:color="auto" w:sz="4" w:space="0"/>
              <w:right w:val="single" w:color="auto" w:sz="4" w:space="0"/>
            </w:tcBorders>
            <w:shd w:val="clear" w:color="auto" w:fill="auto"/>
            <w:vAlign w:val="center"/>
          </w:tcPr>
          <w:p w14:paraId="0CE0A843">
            <w:pPr>
              <w:widowControl/>
              <w:jc w:val="center"/>
              <w:rPr>
                <w:rFonts w:ascii="宋体" w:hAnsi="宋体" w:cs="宋体"/>
                <w:color w:val="000000"/>
                <w:kern w:val="0"/>
                <w:sz w:val="18"/>
                <w:szCs w:val="18"/>
              </w:rPr>
            </w:pPr>
            <w:r>
              <w:rPr>
                <w:rFonts w:hint="eastAsia" w:ascii="宋体" w:hAnsi="宋体" w:cs="宋体"/>
                <w:color w:val="000000"/>
                <w:kern w:val="0"/>
                <w:sz w:val="18"/>
                <w:szCs w:val="18"/>
              </w:rPr>
              <w:t>耕地</w:t>
            </w:r>
          </w:p>
        </w:tc>
        <w:tc>
          <w:tcPr>
            <w:tcW w:w="1026" w:type="dxa"/>
            <w:tcBorders>
              <w:top w:val="nil"/>
              <w:left w:val="nil"/>
              <w:bottom w:val="single" w:color="auto" w:sz="4" w:space="0"/>
              <w:right w:val="single" w:color="auto" w:sz="4" w:space="0"/>
            </w:tcBorders>
            <w:shd w:val="clear" w:color="auto" w:fill="auto"/>
            <w:noWrap/>
            <w:vAlign w:val="center"/>
          </w:tcPr>
          <w:p w14:paraId="47CAB06C">
            <w:pPr>
              <w:widowControl/>
              <w:jc w:val="center"/>
              <w:rPr>
                <w:rFonts w:ascii="宋体" w:hAnsi="宋体" w:cs="宋体"/>
                <w:color w:val="000000"/>
                <w:kern w:val="0"/>
                <w:sz w:val="18"/>
                <w:szCs w:val="18"/>
              </w:rPr>
            </w:pPr>
            <w:r>
              <w:rPr>
                <w:rFonts w:hint="eastAsia" w:ascii="宋体" w:hAnsi="宋体" w:cs="宋体"/>
                <w:color w:val="000000"/>
                <w:kern w:val="0"/>
                <w:sz w:val="18"/>
                <w:szCs w:val="18"/>
              </w:rPr>
              <w:t>32403.4</w:t>
            </w:r>
          </w:p>
        </w:tc>
        <w:tc>
          <w:tcPr>
            <w:tcW w:w="960" w:type="dxa"/>
            <w:tcBorders>
              <w:top w:val="nil"/>
              <w:left w:val="nil"/>
              <w:bottom w:val="single" w:color="auto" w:sz="4" w:space="0"/>
              <w:right w:val="single" w:color="auto" w:sz="4" w:space="0"/>
            </w:tcBorders>
            <w:shd w:val="clear" w:color="auto" w:fill="auto"/>
            <w:vAlign w:val="center"/>
          </w:tcPr>
          <w:p w14:paraId="46895117">
            <w:pPr>
              <w:widowControl/>
              <w:jc w:val="center"/>
              <w:rPr>
                <w:rFonts w:ascii="宋体" w:hAnsi="宋体" w:cs="宋体"/>
                <w:color w:val="000000"/>
                <w:kern w:val="0"/>
                <w:sz w:val="18"/>
                <w:szCs w:val="18"/>
              </w:rPr>
            </w:pPr>
            <w:r>
              <w:rPr>
                <w:rFonts w:hint="eastAsia" w:ascii="宋体" w:hAnsi="宋体" w:cs="宋体"/>
                <w:color w:val="000000"/>
                <w:kern w:val="0"/>
                <w:sz w:val="18"/>
                <w:szCs w:val="18"/>
              </w:rPr>
              <w:t>17.37%</w:t>
            </w:r>
          </w:p>
        </w:tc>
        <w:tc>
          <w:tcPr>
            <w:tcW w:w="1244" w:type="dxa"/>
            <w:tcBorders>
              <w:top w:val="nil"/>
              <w:left w:val="nil"/>
              <w:bottom w:val="single" w:color="auto" w:sz="4" w:space="0"/>
              <w:right w:val="single" w:color="auto" w:sz="4" w:space="0"/>
            </w:tcBorders>
            <w:shd w:val="clear" w:color="auto" w:fill="auto"/>
            <w:noWrap/>
            <w:vAlign w:val="center"/>
          </w:tcPr>
          <w:p w14:paraId="1059D8A4">
            <w:pPr>
              <w:widowControl/>
              <w:jc w:val="center"/>
              <w:rPr>
                <w:rFonts w:ascii="宋体" w:hAnsi="宋体" w:cs="宋体"/>
                <w:kern w:val="0"/>
                <w:sz w:val="18"/>
                <w:szCs w:val="18"/>
              </w:rPr>
            </w:pPr>
            <w:r>
              <w:rPr>
                <w:rFonts w:hint="eastAsia" w:ascii="宋体" w:hAnsi="宋体" w:cs="宋体"/>
                <w:kern w:val="0"/>
                <w:sz w:val="18"/>
                <w:szCs w:val="18"/>
              </w:rPr>
              <w:t xml:space="preserve">30443.78 </w:t>
            </w:r>
          </w:p>
        </w:tc>
        <w:tc>
          <w:tcPr>
            <w:tcW w:w="976" w:type="dxa"/>
            <w:tcBorders>
              <w:top w:val="nil"/>
              <w:left w:val="nil"/>
              <w:bottom w:val="single" w:color="auto" w:sz="4" w:space="0"/>
              <w:right w:val="single" w:color="auto" w:sz="4" w:space="0"/>
            </w:tcBorders>
            <w:shd w:val="clear" w:color="auto" w:fill="auto"/>
            <w:noWrap/>
            <w:vAlign w:val="center"/>
          </w:tcPr>
          <w:p w14:paraId="14FB891C">
            <w:pPr>
              <w:widowControl/>
              <w:jc w:val="center"/>
              <w:rPr>
                <w:rFonts w:ascii="宋体" w:hAnsi="宋体" w:cs="宋体"/>
                <w:color w:val="000000"/>
                <w:kern w:val="0"/>
                <w:sz w:val="18"/>
                <w:szCs w:val="18"/>
              </w:rPr>
            </w:pPr>
            <w:r>
              <w:rPr>
                <w:rFonts w:hint="eastAsia" w:ascii="宋体" w:hAnsi="宋体" w:cs="宋体"/>
                <w:color w:val="000000"/>
                <w:kern w:val="0"/>
                <w:sz w:val="18"/>
                <w:szCs w:val="18"/>
              </w:rPr>
              <w:t>16.32%</w:t>
            </w:r>
          </w:p>
        </w:tc>
        <w:tc>
          <w:tcPr>
            <w:tcW w:w="985" w:type="dxa"/>
            <w:tcBorders>
              <w:top w:val="nil"/>
              <w:left w:val="nil"/>
              <w:bottom w:val="single" w:color="auto" w:sz="4" w:space="0"/>
              <w:right w:val="single" w:color="auto" w:sz="4" w:space="0"/>
            </w:tcBorders>
            <w:shd w:val="clear" w:color="auto" w:fill="auto"/>
            <w:vAlign w:val="center"/>
          </w:tcPr>
          <w:p w14:paraId="2B80C7B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-1959.62 </w:t>
            </w:r>
          </w:p>
        </w:tc>
        <w:tc>
          <w:tcPr>
            <w:tcW w:w="960" w:type="dxa"/>
            <w:tcBorders>
              <w:top w:val="nil"/>
              <w:left w:val="nil"/>
              <w:bottom w:val="single" w:color="auto" w:sz="4" w:space="0"/>
              <w:right w:val="single" w:color="auto" w:sz="4" w:space="0"/>
            </w:tcBorders>
            <w:shd w:val="clear" w:color="auto" w:fill="auto"/>
            <w:vAlign w:val="center"/>
          </w:tcPr>
          <w:p w14:paraId="31720D63">
            <w:pPr>
              <w:widowControl/>
              <w:jc w:val="center"/>
              <w:rPr>
                <w:rFonts w:ascii="宋体" w:hAnsi="宋体" w:cs="宋体"/>
                <w:color w:val="000000"/>
                <w:kern w:val="0"/>
                <w:sz w:val="18"/>
                <w:szCs w:val="18"/>
              </w:rPr>
            </w:pPr>
            <w:r>
              <w:rPr>
                <w:rFonts w:hint="eastAsia" w:ascii="宋体" w:hAnsi="宋体" w:cs="宋体"/>
                <w:color w:val="000000"/>
                <w:kern w:val="0"/>
                <w:sz w:val="18"/>
                <w:szCs w:val="18"/>
              </w:rPr>
              <w:t>-1.05%</w:t>
            </w:r>
          </w:p>
        </w:tc>
        <w:tc>
          <w:tcPr>
            <w:tcW w:w="1602" w:type="dxa"/>
            <w:tcBorders>
              <w:top w:val="nil"/>
              <w:left w:val="nil"/>
              <w:bottom w:val="single" w:color="auto" w:sz="4" w:space="0"/>
              <w:right w:val="single" w:color="auto" w:sz="4" w:space="0"/>
            </w:tcBorders>
            <w:shd w:val="clear" w:color="auto" w:fill="auto"/>
          </w:tcPr>
          <w:p w14:paraId="0433CBB1">
            <w:pPr>
              <w:widowControl/>
              <w:jc w:val="center"/>
              <w:rPr>
                <w:rFonts w:ascii="宋体" w:hAnsi="宋体" w:cs="宋体"/>
                <w:color w:val="000000"/>
                <w:kern w:val="0"/>
                <w:sz w:val="15"/>
                <w:szCs w:val="15"/>
              </w:rPr>
            </w:pPr>
            <w:r>
              <w:rPr>
                <w:rFonts w:hint="eastAsia" w:ascii="宋体" w:hAnsi="宋体" w:cs="宋体"/>
                <w:color w:val="000000"/>
                <w:kern w:val="0"/>
                <w:sz w:val="15"/>
                <w:szCs w:val="15"/>
              </w:rPr>
              <w:t>不包含预留的13公顷新增建设占用耕地</w:t>
            </w:r>
          </w:p>
        </w:tc>
      </w:tr>
      <w:tr w14:paraId="06A80CE4">
        <w:tblPrEx>
          <w:tblCellMar>
            <w:top w:w="0" w:type="dxa"/>
            <w:left w:w="108" w:type="dxa"/>
            <w:bottom w:w="0" w:type="dxa"/>
            <w:right w:w="108" w:type="dxa"/>
          </w:tblCellMar>
        </w:tblPrEx>
        <w:trPr>
          <w:trHeight w:val="312"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51622297">
            <w:pPr>
              <w:widowControl/>
              <w:jc w:val="left"/>
              <w:rPr>
                <w:rFonts w:ascii="宋体" w:hAnsi="宋体" w:cs="宋体"/>
                <w:color w:val="000000"/>
                <w:kern w:val="0"/>
                <w:sz w:val="18"/>
                <w:szCs w:val="18"/>
              </w:rPr>
            </w:pPr>
          </w:p>
        </w:tc>
        <w:tc>
          <w:tcPr>
            <w:tcW w:w="2248" w:type="dxa"/>
            <w:gridSpan w:val="2"/>
            <w:tcBorders>
              <w:top w:val="single" w:color="auto" w:sz="4" w:space="0"/>
              <w:left w:val="nil"/>
              <w:bottom w:val="single" w:color="auto" w:sz="4" w:space="0"/>
              <w:right w:val="single" w:color="auto" w:sz="4" w:space="0"/>
            </w:tcBorders>
            <w:shd w:val="clear" w:color="auto" w:fill="auto"/>
            <w:vAlign w:val="center"/>
          </w:tcPr>
          <w:p w14:paraId="0763F5A9">
            <w:pPr>
              <w:widowControl/>
              <w:jc w:val="center"/>
              <w:rPr>
                <w:rFonts w:ascii="宋体" w:hAnsi="宋体" w:cs="宋体"/>
                <w:color w:val="000000"/>
                <w:kern w:val="0"/>
                <w:sz w:val="18"/>
                <w:szCs w:val="18"/>
              </w:rPr>
            </w:pPr>
            <w:r>
              <w:rPr>
                <w:rFonts w:hint="eastAsia" w:ascii="宋体" w:hAnsi="宋体" w:cs="宋体"/>
                <w:color w:val="000000"/>
                <w:kern w:val="0"/>
                <w:sz w:val="18"/>
                <w:szCs w:val="18"/>
              </w:rPr>
              <w:t>园地</w:t>
            </w:r>
          </w:p>
        </w:tc>
        <w:tc>
          <w:tcPr>
            <w:tcW w:w="1026" w:type="dxa"/>
            <w:tcBorders>
              <w:top w:val="nil"/>
              <w:left w:val="nil"/>
              <w:bottom w:val="single" w:color="auto" w:sz="4" w:space="0"/>
              <w:right w:val="single" w:color="auto" w:sz="4" w:space="0"/>
            </w:tcBorders>
            <w:shd w:val="clear" w:color="auto" w:fill="auto"/>
            <w:noWrap/>
            <w:vAlign w:val="center"/>
          </w:tcPr>
          <w:p w14:paraId="6F052066">
            <w:pPr>
              <w:widowControl/>
              <w:jc w:val="center"/>
              <w:rPr>
                <w:rFonts w:ascii="宋体" w:hAnsi="宋体" w:cs="宋体"/>
                <w:color w:val="000000"/>
                <w:kern w:val="0"/>
                <w:sz w:val="18"/>
                <w:szCs w:val="18"/>
              </w:rPr>
            </w:pPr>
            <w:r>
              <w:rPr>
                <w:rFonts w:hint="eastAsia" w:ascii="宋体" w:hAnsi="宋体" w:cs="宋体"/>
                <w:color w:val="000000"/>
                <w:kern w:val="0"/>
                <w:sz w:val="18"/>
                <w:szCs w:val="18"/>
              </w:rPr>
              <w:t>1687.07</w:t>
            </w:r>
          </w:p>
        </w:tc>
        <w:tc>
          <w:tcPr>
            <w:tcW w:w="960" w:type="dxa"/>
            <w:tcBorders>
              <w:top w:val="nil"/>
              <w:left w:val="nil"/>
              <w:bottom w:val="single" w:color="auto" w:sz="4" w:space="0"/>
              <w:right w:val="single" w:color="auto" w:sz="4" w:space="0"/>
            </w:tcBorders>
            <w:shd w:val="clear" w:color="auto" w:fill="auto"/>
            <w:vAlign w:val="center"/>
          </w:tcPr>
          <w:p w14:paraId="41E1A4FF">
            <w:pPr>
              <w:widowControl/>
              <w:jc w:val="center"/>
              <w:rPr>
                <w:rFonts w:ascii="宋体" w:hAnsi="宋体" w:cs="宋体"/>
                <w:color w:val="000000"/>
                <w:kern w:val="0"/>
                <w:sz w:val="18"/>
                <w:szCs w:val="18"/>
              </w:rPr>
            </w:pPr>
            <w:r>
              <w:rPr>
                <w:rFonts w:hint="eastAsia" w:ascii="宋体" w:hAnsi="宋体" w:cs="宋体"/>
                <w:color w:val="000000"/>
                <w:kern w:val="0"/>
                <w:sz w:val="18"/>
                <w:szCs w:val="18"/>
              </w:rPr>
              <w:t>0.90%</w:t>
            </w:r>
          </w:p>
        </w:tc>
        <w:tc>
          <w:tcPr>
            <w:tcW w:w="1244" w:type="dxa"/>
            <w:tcBorders>
              <w:top w:val="nil"/>
              <w:left w:val="nil"/>
              <w:bottom w:val="single" w:color="auto" w:sz="4" w:space="0"/>
              <w:right w:val="single" w:color="auto" w:sz="4" w:space="0"/>
            </w:tcBorders>
            <w:shd w:val="clear" w:color="auto" w:fill="auto"/>
            <w:noWrap/>
            <w:vAlign w:val="center"/>
          </w:tcPr>
          <w:p w14:paraId="61FE2F23">
            <w:pPr>
              <w:widowControl/>
              <w:jc w:val="center"/>
              <w:rPr>
                <w:rFonts w:ascii="宋体" w:hAnsi="宋体" w:cs="宋体"/>
                <w:kern w:val="0"/>
                <w:sz w:val="18"/>
                <w:szCs w:val="18"/>
              </w:rPr>
            </w:pPr>
            <w:r>
              <w:rPr>
                <w:rFonts w:hint="eastAsia" w:ascii="宋体" w:hAnsi="宋体" w:cs="宋体"/>
                <w:kern w:val="0"/>
                <w:sz w:val="18"/>
                <w:szCs w:val="18"/>
              </w:rPr>
              <w:t xml:space="preserve">1646.68 </w:t>
            </w:r>
          </w:p>
        </w:tc>
        <w:tc>
          <w:tcPr>
            <w:tcW w:w="976" w:type="dxa"/>
            <w:tcBorders>
              <w:top w:val="nil"/>
              <w:left w:val="nil"/>
              <w:bottom w:val="single" w:color="auto" w:sz="4" w:space="0"/>
              <w:right w:val="single" w:color="auto" w:sz="4" w:space="0"/>
            </w:tcBorders>
            <w:shd w:val="clear" w:color="auto" w:fill="auto"/>
            <w:noWrap/>
            <w:vAlign w:val="center"/>
          </w:tcPr>
          <w:p w14:paraId="5029CAC6">
            <w:pPr>
              <w:widowControl/>
              <w:jc w:val="center"/>
              <w:rPr>
                <w:rFonts w:ascii="宋体" w:hAnsi="宋体" w:cs="宋体"/>
                <w:color w:val="000000"/>
                <w:kern w:val="0"/>
                <w:sz w:val="18"/>
                <w:szCs w:val="18"/>
              </w:rPr>
            </w:pPr>
            <w:r>
              <w:rPr>
                <w:rFonts w:hint="eastAsia" w:ascii="宋体" w:hAnsi="宋体" w:cs="宋体"/>
                <w:color w:val="000000"/>
                <w:kern w:val="0"/>
                <w:sz w:val="18"/>
                <w:szCs w:val="18"/>
              </w:rPr>
              <w:t>0.88%</w:t>
            </w:r>
          </w:p>
        </w:tc>
        <w:tc>
          <w:tcPr>
            <w:tcW w:w="985" w:type="dxa"/>
            <w:tcBorders>
              <w:top w:val="nil"/>
              <w:left w:val="nil"/>
              <w:bottom w:val="single" w:color="auto" w:sz="4" w:space="0"/>
              <w:right w:val="single" w:color="auto" w:sz="4" w:space="0"/>
            </w:tcBorders>
            <w:shd w:val="clear" w:color="auto" w:fill="auto"/>
            <w:vAlign w:val="center"/>
          </w:tcPr>
          <w:p w14:paraId="7E99A48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-40.39 </w:t>
            </w:r>
          </w:p>
        </w:tc>
        <w:tc>
          <w:tcPr>
            <w:tcW w:w="960" w:type="dxa"/>
            <w:tcBorders>
              <w:top w:val="nil"/>
              <w:left w:val="nil"/>
              <w:bottom w:val="single" w:color="auto" w:sz="4" w:space="0"/>
              <w:right w:val="single" w:color="auto" w:sz="4" w:space="0"/>
            </w:tcBorders>
            <w:shd w:val="clear" w:color="auto" w:fill="auto"/>
            <w:vAlign w:val="center"/>
          </w:tcPr>
          <w:p w14:paraId="76F481A0">
            <w:pPr>
              <w:widowControl/>
              <w:jc w:val="center"/>
              <w:rPr>
                <w:rFonts w:ascii="宋体" w:hAnsi="宋体" w:cs="宋体"/>
                <w:color w:val="000000"/>
                <w:kern w:val="0"/>
                <w:sz w:val="18"/>
                <w:szCs w:val="18"/>
              </w:rPr>
            </w:pPr>
            <w:r>
              <w:rPr>
                <w:rFonts w:hint="eastAsia" w:ascii="宋体" w:hAnsi="宋体" w:cs="宋体"/>
                <w:color w:val="000000"/>
                <w:kern w:val="0"/>
                <w:sz w:val="18"/>
                <w:szCs w:val="18"/>
              </w:rPr>
              <w:t>-0.02%</w:t>
            </w:r>
          </w:p>
        </w:tc>
        <w:tc>
          <w:tcPr>
            <w:tcW w:w="1602" w:type="dxa"/>
            <w:tcBorders>
              <w:top w:val="nil"/>
              <w:left w:val="nil"/>
              <w:bottom w:val="single" w:color="auto" w:sz="4" w:space="0"/>
              <w:right w:val="single" w:color="auto" w:sz="4" w:space="0"/>
            </w:tcBorders>
            <w:shd w:val="clear" w:color="auto" w:fill="auto"/>
          </w:tcPr>
          <w:p w14:paraId="7316A68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E84E823">
        <w:tblPrEx>
          <w:tblCellMar>
            <w:top w:w="0" w:type="dxa"/>
            <w:left w:w="108" w:type="dxa"/>
            <w:bottom w:w="0" w:type="dxa"/>
            <w:right w:w="108" w:type="dxa"/>
          </w:tblCellMar>
        </w:tblPrEx>
        <w:trPr>
          <w:trHeight w:val="312"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64717791">
            <w:pPr>
              <w:widowControl/>
              <w:jc w:val="left"/>
              <w:rPr>
                <w:rFonts w:ascii="宋体" w:hAnsi="宋体" w:cs="宋体"/>
                <w:color w:val="000000"/>
                <w:kern w:val="0"/>
                <w:sz w:val="18"/>
                <w:szCs w:val="18"/>
              </w:rPr>
            </w:pPr>
          </w:p>
        </w:tc>
        <w:tc>
          <w:tcPr>
            <w:tcW w:w="2248" w:type="dxa"/>
            <w:gridSpan w:val="2"/>
            <w:tcBorders>
              <w:top w:val="single" w:color="auto" w:sz="4" w:space="0"/>
              <w:left w:val="nil"/>
              <w:bottom w:val="single" w:color="auto" w:sz="4" w:space="0"/>
              <w:right w:val="single" w:color="auto" w:sz="4" w:space="0"/>
            </w:tcBorders>
            <w:shd w:val="clear" w:color="auto" w:fill="auto"/>
            <w:vAlign w:val="center"/>
          </w:tcPr>
          <w:p w14:paraId="0F3FEE1E">
            <w:pPr>
              <w:widowControl/>
              <w:jc w:val="center"/>
              <w:rPr>
                <w:rFonts w:ascii="宋体" w:hAnsi="宋体" w:cs="宋体"/>
                <w:color w:val="000000"/>
                <w:kern w:val="0"/>
                <w:sz w:val="18"/>
                <w:szCs w:val="18"/>
              </w:rPr>
            </w:pPr>
            <w:r>
              <w:rPr>
                <w:rFonts w:hint="eastAsia" w:ascii="宋体" w:hAnsi="宋体" w:cs="宋体"/>
                <w:color w:val="000000"/>
                <w:kern w:val="0"/>
                <w:sz w:val="18"/>
                <w:szCs w:val="18"/>
              </w:rPr>
              <w:t>林地</w:t>
            </w:r>
          </w:p>
        </w:tc>
        <w:tc>
          <w:tcPr>
            <w:tcW w:w="1026" w:type="dxa"/>
            <w:tcBorders>
              <w:top w:val="nil"/>
              <w:left w:val="nil"/>
              <w:bottom w:val="single" w:color="auto" w:sz="4" w:space="0"/>
              <w:right w:val="single" w:color="auto" w:sz="4" w:space="0"/>
            </w:tcBorders>
            <w:shd w:val="clear" w:color="auto" w:fill="auto"/>
            <w:noWrap/>
            <w:vAlign w:val="center"/>
          </w:tcPr>
          <w:p w14:paraId="15D3C419">
            <w:pPr>
              <w:widowControl/>
              <w:jc w:val="center"/>
              <w:rPr>
                <w:rFonts w:ascii="宋体" w:hAnsi="宋体" w:cs="宋体"/>
                <w:color w:val="000000"/>
                <w:kern w:val="0"/>
                <w:sz w:val="18"/>
                <w:szCs w:val="18"/>
              </w:rPr>
            </w:pPr>
            <w:r>
              <w:rPr>
                <w:rFonts w:hint="eastAsia" w:ascii="宋体" w:hAnsi="宋体" w:cs="宋体"/>
                <w:color w:val="000000"/>
                <w:kern w:val="0"/>
                <w:sz w:val="18"/>
                <w:szCs w:val="18"/>
              </w:rPr>
              <w:t>61455.47</w:t>
            </w:r>
          </w:p>
        </w:tc>
        <w:tc>
          <w:tcPr>
            <w:tcW w:w="960" w:type="dxa"/>
            <w:tcBorders>
              <w:top w:val="nil"/>
              <w:left w:val="nil"/>
              <w:bottom w:val="single" w:color="auto" w:sz="4" w:space="0"/>
              <w:right w:val="single" w:color="auto" w:sz="4" w:space="0"/>
            </w:tcBorders>
            <w:shd w:val="clear" w:color="auto" w:fill="auto"/>
            <w:vAlign w:val="center"/>
          </w:tcPr>
          <w:p w14:paraId="6669B3A5">
            <w:pPr>
              <w:widowControl/>
              <w:jc w:val="center"/>
              <w:rPr>
                <w:rFonts w:ascii="宋体" w:hAnsi="宋体" w:cs="宋体"/>
                <w:color w:val="000000"/>
                <w:kern w:val="0"/>
                <w:sz w:val="18"/>
                <w:szCs w:val="18"/>
              </w:rPr>
            </w:pPr>
            <w:r>
              <w:rPr>
                <w:rFonts w:hint="eastAsia" w:ascii="宋体" w:hAnsi="宋体" w:cs="宋体"/>
                <w:color w:val="000000"/>
                <w:kern w:val="0"/>
                <w:sz w:val="18"/>
                <w:szCs w:val="18"/>
              </w:rPr>
              <w:t>32.94%</w:t>
            </w:r>
          </w:p>
        </w:tc>
        <w:tc>
          <w:tcPr>
            <w:tcW w:w="1244" w:type="dxa"/>
            <w:tcBorders>
              <w:top w:val="nil"/>
              <w:left w:val="nil"/>
              <w:bottom w:val="single" w:color="auto" w:sz="4" w:space="0"/>
              <w:right w:val="single" w:color="auto" w:sz="4" w:space="0"/>
            </w:tcBorders>
            <w:shd w:val="clear" w:color="auto" w:fill="auto"/>
            <w:noWrap/>
            <w:vAlign w:val="center"/>
          </w:tcPr>
          <w:p w14:paraId="6191D795">
            <w:pPr>
              <w:widowControl/>
              <w:jc w:val="center"/>
              <w:rPr>
                <w:rFonts w:ascii="宋体" w:hAnsi="宋体" w:cs="宋体"/>
                <w:kern w:val="0"/>
                <w:sz w:val="18"/>
                <w:szCs w:val="18"/>
              </w:rPr>
            </w:pPr>
            <w:r>
              <w:rPr>
                <w:rFonts w:hint="eastAsia" w:ascii="宋体" w:hAnsi="宋体" w:cs="宋体"/>
                <w:kern w:val="0"/>
                <w:sz w:val="18"/>
                <w:szCs w:val="18"/>
              </w:rPr>
              <w:t xml:space="preserve">63987.69 </w:t>
            </w:r>
          </w:p>
        </w:tc>
        <w:tc>
          <w:tcPr>
            <w:tcW w:w="976" w:type="dxa"/>
            <w:tcBorders>
              <w:top w:val="nil"/>
              <w:left w:val="nil"/>
              <w:bottom w:val="single" w:color="auto" w:sz="4" w:space="0"/>
              <w:right w:val="single" w:color="auto" w:sz="4" w:space="0"/>
            </w:tcBorders>
            <w:shd w:val="clear" w:color="auto" w:fill="auto"/>
            <w:noWrap/>
            <w:vAlign w:val="center"/>
          </w:tcPr>
          <w:p w14:paraId="7D77D994">
            <w:pPr>
              <w:widowControl/>
              <w:jc w:val="center"/>
              <w:rPr>
                <w:rFonts w:ascii="宋体" w:hAnsi="宋体" w:cs="宋体"/>
                <w:color w:val="000000"/>
                <w:kern w:val="0"/>
                <w:sz w:val="18"/>
                <w:szCs w:val="18"/>
              </w:rPr>
            </w:pPr>
            <w:r>
              <w:rPr>
                <w:rFonts w:hint="eastAsia" w:ascii="宋体" w:hAnsi="宋体" w:cs="宋体"/>
                <w:color w:val="000000"/>
                <w:kern w:val="0"/>
                <w:sz w:val="18"/>
                <w:szCs w:val="18"/>
              </w:rPr>
              <w:t>34.30%</w:t>
            </w:r>
          </w:p>
        </w:tc>
        <w:tc>
          <w:tcPr>
            <w:tcW w:w="985" w:type="dxa"/>
            <w:tcBorders>
              <w:top w:val="nil"/>
              <w:left w:val="nil"/>
              <w:bottom w:val="single" w:color="auto" w:sz="4" w:space="0"/>
              <w:right w:val="single" w:color="auto" w:sz="4" w:space="0"/>
            </w:tcBorders>
            <w:shd w:val="clear" w:color="auto" w:fill="auto"/>
            <w:vAlign w:val="center"/>
          </w:tcPr>
          <w:p w14:paraId="2A584DF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2532.22 </w:t>
            </w:r>
          </w:p>
        </w:tc>
        <w:tc>
          <w:tcPr>
            <w:tcW w:w="960" w:type="dxa"/>
            <w:tcBorders>
              <w:top w:val="nil"/>
              <w:left w:val="nil"/>
              <w:bottom w:val="single" w:color="auto" w:sz="4" w:space="0"/>
              <w:right w:val="single" w:color="auto" w:sz="4" w:space="0"/>
            </w:tcBorders>
            <w:shd w:val="clear" w:color="auto" w:fill="auto"/>
            <w:vAlign w:val="center"/>
          </w:tcPr>
          <w:p w14:paraId="1B552B2D">
            <w:pPr>
              <w:widowControl/>
              <w:jc w:val="center"/>
              <w:rPr>
                <w:rFonts w:ascii="宋体" w:hAnsi="宋体" w:cs="宋体"/>
                <w:color w:val="000000"/>
                <w:kern w:val="0"/>
                <w:sz w:val="18"/>
                <w:szCs w:val="18"/>
              </w:rPr>
            </w:pPr>
            <w:r>
              <w:rPr>
                <w:rFonts w:hint="eastAsia" w:ascii="宋体" w:hAnsi="宋体" w:cs="宋体"/>
                <w:color w:val="000000"/>
                <w:kern w:val="0"/>
                <w:sz w:val="18"/>
                <w:szCs w:val="18"/>
              </w:rPr>
              <w:t>1.36%</w:t>
            </w:r>
          </w:p>
        </w:tc>
        <w:tc>
          <w:tcPr>
            <w:tcW w:w="1602" w:type="dxa"/>
            <w:tcBorders>
              <w:top w:val="nil"/>
              <w:left w:val="nil"/>
              <w:bottom w:val="single" w:color="auto" w:sz="4" w:space="0"/>
              <w:right w:val="single" w:color="auto" w:sz="4" w:space="0"/>
            </w:tcBorders>
            <w:shd w:val="clear" w:color="auto" w:fill="auto"/>
          </w:tcPr>
          <w:p w14:paraId="32D204D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F5CB5C2">
        <w:tblPrEx>
          <w:tblCellMar>
            <w:top w:w="0" w:type="dxa"/>
            <w:left w:w="108" w:type="dxa"/>
            <w:bottom w:w="0" w:type="dxa"/>
            <w:right w:w="108" w:type="dxa"/>
          </w:tblCellMar>
        </w:tblPrEx>
        <w:trPr>
          <w:trHeight w:val="312"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7570C354">
            <w:pPr>
              <w:widowControl/>
              <w:jc w:val="left"/>
              <w:rPr>
                <w:rFonts w:ascii="宋体" w:hAnsi="宋体" w:cs="宋体"/>
                <w:color w:val="000000"/>
                <w:kern w:val="0"/>
                <w:sz w:val="18"/>
                <w:szCs w:val="18"/>
              </w:rPr>
            </w:pPr>
          </w:p>
        </w:tc>
        <w:tc>
          <w:tcPr>
            <w:tcW w:w="2248" w:type="dxa"/>
            <w:gridSpan w:val="2"/>
            <w:tcBorders>
              <w:top w:val="single" w:color="auto" w:sz="4" w:space="0"/>
              <w:left w:val="nil"/>
              <w:bottom w:val="single" w:color="auto" w:sz="4" w:space="0"/>
              <w:right w:val="single" w:color="auto" w:sz="4" w:space="0"/>
            </w:tcBorders>
            <w:shd w:val="clear" w:color="auto" w:fill="auto"/>
            <w:vAlign w:val="center"/>
          </w:tcPr>
          <w:p w14:paraId="4EFB5E62">
            <w:pPr>
              <w:widowControl/>
              <w:jc w:val="center"/>
              <w:rPr>
                <w:rFonts w:ascii="宋体" w:hAnsi="宋体" w:cs="宋体"/>
                <w:color w:val="000000"/>
                <w:kern w:val="0"/>
                <w:sz w:val="18"/>
                <w:szCs w:val="18"/>
              </w:rPr>
            </w:pPr>
            <w:r>
              <w:rPr>
                <w:rFonts w:hint="eastAsia" w:ascii="宋体" w:hAnsi="宋体" w:cs="宋体"/>
                <w:color w:val="000000"/>
                <w:kern w:val="0"/>
                <w:sz w:val="18"/>
                <w:szCs w:val="18"/>
              </w:rPr>
              <w:t>牧草地</w:t>
            </w:r>
          </w:p>
        </w:tc>
        <w:tc>
          <w:tcPr>
            <w:tcW w:w="1026" w:type="dxa"/>
            <w:tcBorders>
              <w:top w:val="nil"/>
              <w:left w:val="nil"/>
              <w:bottom w:val="single" w:color="auto" w:sz="4" w:space="0"/>
              <w:right w:val="single" w:color="auto" w:sz="4" w:space="0"/>
            </w:tcBorders>
            <w:shd w:val="clear" w:color="auto" w:fill="auto"/>
            <w:noWrap/>
            <w:vAlign w:val="center"/>
          </w:tcPr>
          <w:p w14:paraId="488E820C">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960" w:type="dxa"/>
            <w:tcBorders>
              <w:top w:val="nil"/>
              <w:left w:val="nil"/>
              <w:bottom w:val="single" w:color="auto" w:sz="4" w:space="0"/>
              <w:right w:val="single" w:color="auto" w:sz="4" w:space="0"/>
            </w:tcBorders>
            <w:shd w:val="clear" w:color="auto" w:fill="auto"/>
            <w:vAlign w:val="center"/>
          </w:tcPr>
          <w:p w14:paraId="33C0BCF7">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244" w:type="dxa"/>
            <w:tcBorders>
              <w:top w:val="nil"/>
              <w:left w:val="nil"/>
              <w:bottom w:val="single" w:color="auto" w:sz="4" w:space="0"/>
              <w:right w:val="single" w:color="auto" w:sz="4" w:space="0"/>
            </w:tcBorders>
            <w:shd w:val="clear" w:color="auto" w:fill="auto"/>
            <w:noWrap/>
            <w:vAlign w:val="center"/>
          </w:tcPr>
          <w:p w14:paraId="03D4F4EE">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976" w:type="dxa"/>
            <w:tcBorders>
              <w:top w:val="nil"/>
              <w:left w:val="nil"/>
              <w:bottom w:val="single" w:color="auto" w:sz="4" w:space="0"/>
              <w:right w:val="single" w:color="auto" w:sz="4" w:space="0"/>
            </w:tcBorders>
            <w:shd w:val="clear" w:color="auto" w:fill="auto"/>
            <w:noWrap/>
            <w:vAlign w:val="center"/>
          </w:tcPr>
          <w:p w14:paraId="4CE36895">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85" w:type="dxa"/>
            <w:tcBorders>
              <w:top w:val="nil"/>
              <w:left w:val="nil"/>
              <w:bottom w:val="single" w:color="auto" w:sz="4" w:space="0"/>
              <w:right w:val="single" w:color="auto" w:sz="4" w:space="0"/>
            </w:tcBorders>
            <w:shd w:val="clear" w:color="auto" w:fill="auto"/>
            <w:vAlign w:val="center"/>
          </w:tcPr>
          <w:p w14:paraId="60287AA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5B844F08">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602" w:type="dxa"/>
            <w:tcBorders>
              <w:top w:val="nil"/>
              <w:left w:val="nil"/>
              <w:bottom w:val="single" w:color="auto" w:sz="4" w:space="0"/>
              <w:right w:val="single" w:color="auto" w:sz="4" w:space="0"/>
            </w:tcBorders>
            <w:shd w:val="clear" w:color="auto" w:fill="auto"/>
          </w:tcPr>
          <w:p w14:paraId="1AD450A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44861F34">
        <w:tblPrEx>
          <w:tblCellMar>
            <w:top w:w="0" w:type="dxa"/>
            <w:left w:w="108" w:type="dxa"/>
            <w:bottom w:w="0" w:type="dxa"/>
            <w:right w:w="108" w:type="dxa"/>
          </w:tblCellMar>
        </w:tblPrEx>
        <w:trPr>
          <w:trHeight w:val="312"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2C6F0215">
            <w:pPr>
              <w:widowControl/>
              <w:jc w:val="left"/>
              <w:rPr>
                <w:rFonts w:ascii="宋体" w:hAnsi="宋体" w:cs="宋体"/>
                <w:color w:val="000000"/>
                <w:kern w:val="0"/>
                <w:sz w:val="18"/>
                <w:szCs w:val="18"/>
              </w:rPr>
            </w:pPr>
          </w:p>
        </w:tc>
        <w:tc>
          <w:tcPr>
            <w:tcW w:w="2248" w:type="dxa"/>
            <w:gridSpan w:val="2"/>
            <w:tcBorders>
              <w:top w:val="single" w:color="auto" w:sz="4" w:space="0"/>
              <w:left w:val="nil"/>
              <w:bottom w:val="single" w:color="auto" w:sz="4" w:space="0"/>
              <w:right w:val="single" w:color="auto" w:sz="4" w:space="0"/>
            </w:tcBorders>
            <w:shd w:val="clear" w:color="auto" w:fill="auto"/>
            <w:vAlign w:val="center"/>
          </w:tcPr>
          <w:p w14:paraId="416AD5D9">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其他农用地</w:t>
            </w:r>
          </w:p>
        </w:tc>
        <w:tc>
          <w:tcPr>
            <w:tcW w:w="1026" w:type="dxa"/>
            <w:tcBorders>
              <w:top w:val="nil"/>
              <w:left w:val="nil"/>
              <w:bottom w:val="single" w:color="auto" w:sz="4" w:space="0"/>
              <w:right w:val="single" w:color="auto" w:sz="4" w:space="0"/>
            </w:tcBorders>
            <w:shd w:val="clear" w:color="auto" w:fill="auto"/>
            <w:noWrap/>
            <w:vAlign w:val="center"/>
          </w:tcPr>
          <w:p w14:paraId="6D9DB241">
            <w:pPr>
              <w:widowControl/>
              <w:jc w:val="center"/>
              <w:rPr>
                <w:rFonts w:ascii="宋体" w:hAnsi="宋体" w:cs="宋体"/>
                <w:color w:val="000000"/>
                <w:kern w:val="0"/>
                <w:sz w:val="18"/>
                <w:szCs w:val="18"/>
              </w:rPr>
            </w:pPr>
            <w:r>
              <w:rPr>
                <w:rFonts w:hint="eastAsia" w:ascii="宋体" w:hAnsi="宋体" w:cs="宋体"/>
                <w:color w:val="000000"/>
                <w:kern w:val="0"/>
                <w:sz w:val="18"/>
                <w:szCs w:val="18"/>
              </w:rPr>
              <w:t>9772.46</w:t>
            </w:r>
          </w:p>
        </w:tc>
        <w:tc>
          <w:tcPr>
            <w:tcW w:w="960" w:type="dxa"/>
            <w:tcBorders>
              <w:top w:val="nil"/>
              <w:left w:val="nil"/>
              <w:bottom w:val="single" w:color="auto" w:sz="4" w:space="0"/>
              <w:right w:val="single" w:color="auto" w:sz="4" w:space="0"/>
            </w:tcBorders>
            <w:shd w:val="clear" w:color="auto" w:fill="auto"/>
            <w:vAlign w:val="center"/>
          </w:tcPr>
          <w:p w14:paraId="558A4C63">
            <w:pPr>
              <w:widowControl/>
              <w:jc w:val="center"/>
              <w:rPr>
                <w:rFonts w:ascii="宋体" w:hAnsi="宋体" w:cs="宋体"/>
                <w:color w:val="000000"/>
                <w:kern w:val="0"/>
                <w:sz w:val="18"/>
                <w:szCs w:val="18"/>
              </w:rPr>
            </w:pPr>
            <w:r>
              <w:rPr>
                <w:rFonts w:hint="eastAsia" w:ascii="宋体" w:hAnsi="宋体" w:cs="宋体"/>
                <w:color w:val="000000"/>
                <w:kern w:val="0"/>
                <w:sz w:val="18"/>
                <w:szCs w:val="18"/>
              </w:rPr>
              <w:t>5.24%</w:t>
            </w:r>
          </w:p>
        </w:tc>
        <w:tc>
          <w:tcPr>
            <w:tcW w:w="1244" w:type="dxa"/>
            <w:tcBorders>
              <w:top w:val="nil"/>
              <w:left w:val="nil"/>
              <w:bottom w:val="single" w:color="auto" w:sz="4" w:space="0"/>
              <w:right w:val="single" w:color="auto" w:sz="4" w:space="0"/>
            </w:tcBorders>
            <w:shd w:val="clear" w:color="auto" w:fill="auto"/>
            <w:noWrap/>
            <w:vAlign w:val="center"/>
          </w:tcPr>
          <w:p w14:paraId="3FB470FA">
            <w:pPr>
              <w:widowControl/>
              <w:jc w:val="center"/>
              <w:rPr>
                <w:rFonts w:ascii="宋体" w:hAnsi="宋体" w:cs="宋体"/>
                <w:kern w:val="0"/>
                <w:sz w:val="18"/>
                <w:szCs w:val="18"/>
              </w:rPr>
            </w:pPr>
            <w:r>
              <w:rPr>
                <w:rFonts w:hint="eastAsia" w:ascii="宋体" w:hAnsi="宋体" w:cs="宋体"/>
                <w:kern w:val="0"/>
                <w:sz w:val="18"/>
                <w:szCs w:val="18"/>
              </w:rPr>
              <w:t xml:space="preserve">9116.01 </w:t>
            </w:r>
          </w:p>
        </w:tc>
        <w:tc>
          <w:tcPr>
            <w:tcW w:w="976" w:type="dxa"/>
            <w:tcBorders>
              <w:top w:val="nil"/>
              <w:left w:val="nil"/>
              <w:bottom w:val="single" w:color="auto" w:sz="4" w:space="0"/>
              <w:right w:val="single" w:color="auto" w:sz="4" w:space="0"/>
            </w:tcBorders>
            <w:shd w:val="clear" w:color="auto" w:fill="auto"/>
            <w:noWrap/>
            <w:vAlign w:val="center"/>
          </w:tcPr>
          <w:p w14:paraId="75B66BB0">
            <w:pPr>
              <w:widowControl/>
              <w:jc w:val="center"/>
              <w:rPr>
                <w:rFonts w:ascii="宋体" w:hAnsi="宋体" w:cs="宋体"/>
                <w:color w:val="000000"/>
                <w:kern w:val="0"/>
                <w:sz w:val="18"/>
                <w:szCs w:val="18"/>
              </w:rPr>
            </w:pPr>
            <w:r>
              <w:rPr>
                <w:rFonts w:hint="eastAsia" w:ascii="宋体" w:hAnsi="宋体" w:cs="宋体"/>
                <w:color w:val="000000"/>
                <w:kern w:val="0"/>
                <w:sz w:val="18"/>
                <w:szCs w:val="18"/>
              </w:rPr>
              <w:t>4.89%</w:t>
            </w:r>
          </w:p>
        </w:tc>
        <w:tc>
          <w:tcPr>
            <w:tcW w:w="985" w:type="dxa"/>
            <w:tcBorders>
              <w:top w:val="nil"/>
              <w:left w:val="nil"/>
              <w:bottom w:val="single" w:color="auto" w:sz="4" w:space="0"/>
              <w:right w:val="single" w:color="auto" w:sz="4" w:space="0"/>
            </w:tcBorders>
            <w:shd w:val="clear" w:color="auto" w:fill="auto"/>
            <w:vAlign w:val="center"/>
          </w:tcPr>
          <w:p w14:paraId="2B20D90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-656.45 </w:t>
            </w:r>
          </w:p>
        </w:tc>
        <w:tc>
          <w:tcPr>
            <w:tcW w:w="960" w:type="dxa"/>
            <w:tcBorders>
              <w:top w:val="nil"/>
              <w:left w:val="nil"/>
              <w:bottom w:val="single" w:color="auto" w:sz="4" w:space="0"/>
              <w:right w:val="single" w:color="auto" w:sz="4" w:space="0"/>
            </w:tcBorders>
            <w:shd w:val="clear" w:color="auto" w:fill="auto"/>
            <w:vAlign w:val="center"/>
          </w:tcPr>
          <w:p w14:paraId="4E1A9E7C">
            <w:pPr>
              <w:widowControl/>
              <w:jc w:val="center"/>
              <w:rPr>
                <w:rFonts w:ascii="宋体" w:hAnsi="宋体" w:cs="宋体"/>
                <w:color w:val="000000"/>
                <w:kern w:val="0"/>
                <w:sz w:val="18"/>
                <w:szCs w:val="18"/>
              </w:rPr>
            </w:pPr>
            <w:r>
              <w:rPr>
                <w:rFonts w:hint="eastAsia" w:ascii="宋体" w:hAnsi="宋体" w:cs="宋体"/>
                <w:color w:val="000000"/>
                <w:kern w:val="0"/>
                <w:sz w:val="18"/>
                <w:szCs w:val="18"/>
              </w:rPr>
              <w:t>-0.35%</w:t>
            </w:r>
          </w:p>
        </w:tc>
        <w:tc>
          <w:tcPr>
            <w:tcW w:w="1602" w:type="dxa"/>
            <w:tcBorders>
              <w:top w:val="nil"/>
              <w:left w:val="nil"/>
              <w:bottom w:val="single" w:color="auto" w:sz="4" w:space="0"/>
              <w:right w:val="single" w:color="auto" w:sz="4" w:space="0"/>
            </w:tcBorders>
            <w:shd w:val="clear" w:color="auto" w:fill="auto"/>
          </w:tcPr>
          <w:p w14:paraId="6D634B1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69D9DE88">
        <w:tblPrEx>
          <w:tblCellMar>
            <w:top w:w="0" w:type="dxa"/>
            <w:left w:w="108" w:type="dxa"/>
            <w:bottom w:w="0" w:type="dxa"/>
            <w:right w:w="108" w:type="dxa"/>
          </w:tblCellMar>
        </w:tblPrEx>
        <w:trPr>
          <w:trHeight w:val="864"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1A62C2B1">
            <w:pPr>
              <w:widowControl/>
              <w:jc w:val="left"/>
              <w:rPr>
                <w:rFonts w:ascii="宋体" w:hAnsi="宋体" w:cs="宋体"/>
                <w:color w:val="000000"/>
                <w:kern w:val="0"/>
                <w:sz w:val="18"/>
                <w:szCs w:val="18"/>
              </w:rPr>
            </w:pPr>
          </w:p>
        </w:tc>
        <w:tc>
          <w:tcPr>
            <w:tcW w:w="2248" w:type="dxa"/>
            <w:gridSpan w:val="2"/>
            <w:tcBorders>
              <w:top w:val="single" w:color="auto" w:sz="4" w:space="0"/>
              <w:left w:val="nil"/>
              <w:bottom w:val="single" w:color="auto" w:sz="4" w:space="0"/>
              <w:right w:val="single" w:color="auto" w:sz="4" w:space="0"/>
            </w:tcBorders>
            <w:shd w:val="clear" w:color="auto" w:fill="auto"/>
            <w:vAlign w:val="center"/>
          </w:tcPr>
          <w:p w14:paraId="12C9B4F0">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026" w:type="dxa"/>
            <w:tcBorders>
              <w:top w:val="nil"/>
              <w:left w:val="nil"/>
              <w:bottom w:val="single" w:color="auto" w:sz="4" w:space="0"/>
              <w:right w:val="single" w:color="auto" w:sz="4" w:space="0"/>
            </w:tcBorders>
            <w:shd w:val="clear" w:color="auto" w:fill="auto"/>
            <w:vAlign w:val="center"/>
          </w:tcPr>
          <w:p w14:paraId="369D8720">
            <w:pPr>
              <w:widowControl/>
              <w:jc w:val="center"/>
              <w:rPr>
                <w:rFonts w:ascii="宋体" w:hAnsi="宋体" w:cs="宋体"/>
                <w:color w:val="000000"/>
                <w:kern w:val="0"/>
                <w:sz w:val="18"/>
                <w:szCs w:val="18"/>
              </w:rPr>
            </w:pPr>
            <w:r>
              <w:rPr>
                <w:rFonts w:hint="eastAsia" w:ascii="宋体" w:hAnsi="宋体" w:cs="宋体"/>
                <w:color w:val="000000"/>
                <w:kern w:val="0"/>
                <w:sz w:val="18"/>
                <w:szCs w:val="18"/>
              </w:rPr>
              <w:t>105318.4</w:t>
            </w:r>
          </w:p>
        </w:tc>
        <w:tc>
          <w:tcPr>
            <w:tcW w:w="960" w:type="dxa"/>
            <w:tcBorders>
              <w:top w:val="nil"/>
              <w:left w:val="nil"/>
              <w:bottom w:val="single" w:color="auto" w:sz="4" w:space="0"/>
              <w:right w:val="single" w:color="auto" w:sz="4" w:space="0"/>
            </w:tcBorders>
            <w:shd w:val="clear" w:color="auto" w:fill="auto"/>
            <w:vAlign w:val="center"/>
          </w:tcPr>
          <w:p w14:paraId="035CCDB6">
            <w:pPr>
              <w:widowControl/>
              <w:jc w:val="center"/>
              <w:rPr>
                <w:rFonts w:ascii="宋体" w:hAnsi="宋体" w:cs="宋体"/>
                <w:color w:val="000000"/>
                <w:kern w:val="0"/>
                <w:sz w:val="18"/>
                <w:szCs w:val="18"/>
              </w:rPr>
            </w:pPr>
            <w:r>
              <w:rPr>
                <w:rFonts w:hint="eastAsia" w:ascii="宋体" w:hAnsi="宋体" w:cs="宋体"/>
                <w:color w:val="000000"/>
                <w:kern w:val="0"/>
                <w:sz w:val="18"/>
                <w:szCs w:val="18"/>
              </w:rPr>
              <w:t>56.45%</w:t>
            </w:r>
          </w:p>
        </w:tc>
        <w:tc>
          <w:tcPr>
            <w:tcW w:w="1244" w:type="dxa"/>
            <w:tcBorders>
              <w:top w:val="nil"/>
              <w:left w:val="nil"/>
              <w:bottom w:val="single" w:color="auto" w:sz="4" w:space="0"/>
              <w:right w:val="single" w:color="auto" w:sz="4" w:space="0"/>
            </w:tcBorders>
            <w:shd w:val="clear" w:color="auto" w:fill="auto"/>
            <w:noWrap/>
            <w:vAlign w:val="center"/>
          </w:tcPr>
          <w:p w14:paraId="2ED8CF54">
            <w:pPr>
              <w:widowControl/>
              <w:jc w:val="center"/>
              <w:rPr>
                <w:rFonts w:ascii="宋体" w:hAnsi="宋体" w:cs="宋体"/>
                <w:kern w:val="0"/>
                <w:sz w:val="18"/>
                <w:szCs w:val="18"/>
              </w:rPr>
            </w:pPr>
            <w:r>
              <w:rPr>
                <w:rFonts w:hint="eastAsia" w:ascii="宋体" w:hAnsi="宋体" w:cs="宋体"/>
                <w:kern w:val="0"/>
                <w:sz w:val="18"/>
                <w:szCs w:val="18"/>
              </w:rPr>
              <w:t xml:space="preserve">105194.16 </w:t>
            </w:r>
          </w:p>
        </w:tc>
        <w:tc>
          <w:tcPr>
            <w:tcW w:w="976" w:type="dxa"/>
            <w:tcBorders>
              <w:top w:val="nil"/>
              <w:left w:val="nil"/>
              <w:bottom w:val="single" w:color="auto" w:sz="4" w:space="0"/>
              <w:right w:val="single" w:color="auto" w:sz="4" w:space="0"/>
            </w:tcBorders>
            <w:shd w:val="clear" w:color="auto" w:fill="auto"/>
            <w:noWrap/>
            <w:vAlign w:val="center"/>
          </w:tcPr>
          <w:p w14:paraId="0639E918">
            <w:pPr>
              <w:widowControl/>
              <w:jc w:val="center"/>
              <w:rPr>
                <w:rFonts w:ascii="宋体" w:hAnsi="宋体" w:cs="宋体"/>
                <w:color w:val="000000"/>
                <w:kern w:val="0"/>
                <w:sz w:val="18"/>
                <w:szCs w:val="18"/>
              </w:rPr>
            </w:pPr>
            <w:r>
              <w:rPr>
                <w:rFonts w:hint="eastAsia" w:ascii="宋体" w:hAnsi="宋体" w:cs="宋体"/>
                <w:color w:val="000000"/>
                <w:kern w:val="0"/>
                <w:sz w:val="18"/>
                <w:szCs w:val="18"/>
              </w:rPr>
              <w:t>56.38%</w:t>
            </w:r>
          </w:p>
        </w:tc>
        <w:tc>
          <w:tcPr>
            <w:tcW w:w="985" w:type="dxa"/>
            <w:tcBorders>
              <w:top w:val="nil"/>
              <w:left w:val="nil"/>
              <w:bottom w:val="single" w:color="auto" w:sz="4" w:space="0"/>
              <w:right w:val="single" w:color="auto" w:sz="4" w:space="0"/>
            </w:tcBorders>
            <w:shd w:val="clear" w:color="auto" w:fill="auto"/>
            <w:vAlign w:val="center"/>
          </w:tcPr>
          <w:p w14:paraId="7504AF0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-124.24 </w:t>
            </w:r>
          </w:p>
        </w:tc>
        <w:tc>
          <w:tcPr>
            <w:tcW w:w="960" w:type="dxa"/>
            <w:tcBorders>
              <w:top w:val="nil"/>
              <w:left w:val="nil"/>
              <w:bottom w:val="single" w:color="auto" w:sz="4" w:space="0"/>
              <w:right w:val="single" w:color="auto" w:sz="4" w:space="0"/>
            </w:tcBorders>
            <w:shd w:val="clear" w:color="auto" w:fill="auto"/>
            <w:vAlign w:val="center"/>
          </w:tcPr>
          <w:p w14:paraId="366F47C1">
            <w:pPr>
              <w:widowControl/>
              <w:jc w:val="center"/>
              <w:rPr>
                <w:rFonts w:ascii="宋体" w:hAnsi="宋体" w:cs="宋体"/>
                <w:color w:val="000000"/>
                <w:kern w:val="0"/>
                <w:sz w:val="18"/>
                <w:szCs w:val="18"/>
              </w:rPr>
            </w:pPr>
            <w:r>
              <w:rPr>
                <w:rFonts w:hint="eastAsia" w:ascii="宋体" w:hAnsi="宋体" w:cs="宋体"/>
                <w:color w:val="000000"/>
                <w:kern w:val="0"/>
                <w:sz w:val="18"/>
                <w:szCs w:val="18"/>
              </w:rPr>
              <w:t>-0.07%</w:t>
            </w:r>
          </w:p>
        </w:tc>
        <w:tc>
          <w:tcPr>
            <w:tcW w:w="1602" w:type="dxa"/>
            <w:tcBorders>
              <w:top w:val="nil"/>
              <w:left w:val="nil"/>
              <w:bottom w:val="single" w:color="auto" w:sz="4" w:space="0"/>
              <w:right w:val="single" w:color="auto" w:sz="4" w:space="0"/>
            </w:tcBorders>
            <w:shd w:val="clear" w:color="auto" w:fill="auto"/>
          </w:tcPr>
          <w:p w14:paraId="04DF88DC">
            <w:pPr>
              <w:widowControl/>
              <w:jc w:val="center"/>
              <w:rPr>
                <w:rFonts w:ascii="宋体" w:hAnsi="宋体" w:cs="宋体"/>
                <w:color w:val="000000"/>
                <w:kern w:val="0"/>
                <w:sz w:val="18"/>
                <w:szCs w:val="18"/>
              </w:rPr>
            </w:pPr>
            <w:r>
              <w:rPr>
                <w:rFonts w:hint="eastAsia" w:ascii="宋体" w:hAnsi="宋体" w:cs="宋体"/>
                <w:color w:val="000000"/>
                <w:kern w:val="0"/>
                <w:sz w:val="18"/>
                <w:szCs w:val="18"/>
              </w:rPr>
              <w:t>不包含预留的15.65公顷新增建设占用农用地</w:t>
            </w:r>
          </w:p>
        </w:tc>
      </w:tr>
      <w:tr w14:paraId="0F52E43D">
        <w:tblPrEx>
          <w:tblCellMar>
            <w:top w:w="0" w:type="dxa"/>
            <w:left w:w="108" w:type="dxa"/>
            <w:bottom w:w="0" w:type="dxa"/>
            <w:right w:w="108" w:type="dxa"/>
          </w:tblCellMar>
        </w:tblPrEx>
        <w:trPr>
          <w:trHeight w:val="312" w:hRule="atLeast"/>
          <w:jc w:val="center"/>
        </w:trPr>
        <w:tc>
          <w:tcPr>
            <w:tcW w:w="588" w:type="dxa"/>
            <w:vMerge w:val="restart"/>
            <w:tcBorders>
              <w:top w:val="nil"/>
              <w:left w:val="single" w:color="auto" w:sz="4" w:space="0"/>
              <w:bottom w:val="single" w:color="auto" w:sz="4" w:space="0"/>
              <w:right w:val="single" w:color="auto" w:sz="4" w:space="0"/>
            </w:tcBorders>
            <w:shd w:val="clear" w:color="auto" w:fill="auto"/>
            <w:vAlign w:val="center"/>
          </w:tcPr>
          <w:p w14:paraId="31D07F9F">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w:t>
            </w:r>
          </w:p>
        </w:tc>
        <w:tc>
          <w:tcPr>
            <w:tcW w:w="412" w:type="dxa"/>
            <w:vMerge w:val="restart"/>
            <w:tcBorders>
              <w:top w:val="nil"/>
              <w:left w:val="single" w:color="auto" w:sz="4" w:space="0"/>
              <w:bottom w:val="single" w:color="auto" w:sz="4" w:space="0"/>
              <w:right w:val="single" w:color="auto" w:sz="4" w:space="0"/>
            </w:tcBorders>
            <w:shd w:val="clear" w:color="auto" w:fill="auto"/>
            <w:vAlign w:val="center"/>
          </w:tcPr>
          <w:p w14:paraId="7DFC9558">
            <w:pPr>
              <w:widowControl/>
              <w:jc w:val="center"/>
              <w:rPr>
                <w:rFonts w:ascii="宋体" w:hAnsi="宋体" w:cs="宋体"/>
                <w:color w:val="000000"/>
                <w:kern w:val="0"/>
                <w:sz w:val="18"/>
                <w:szCs w:val="18"/>
              </w:rPr>
            </w:pPr>
            <w:r>
              <w:rPr>
                <w:rFonts w:hint="eastAsia" w:ascii="宋体" w:hAnsi="宋体" w:cs="宋体"/>
                <w:color w:val="000000"/>
                <w:kern w:val="0"/>
                <w:sz w:val="18"/>
                <w:szCs w:val="18"/>
              </w:rPr>
              <w:t>城乡建设用地</w:t>
            </w:r>
          </w:p>
        </w:tc>
        <w:tc>
          <w:tcPr>
            <w:tcW w:w="1836" w:type="dxa"/>
            <w:tcBorders>
              <w:top w:val="nil"/>
              <w:left w:val="nil"/>
              <w:bottom w:val="single" w:color="auto" w:sz="4" w:space="0"/>
              <w:right w:val="single" w:color="auto" w:sz="4" w:space="0"/>
            </w:tcBorders>
            <w:shd w:val="clear" w:color="auto" w:fill="auto"/>
            <w:vAlign w:val="center"/>
          </w:tcPr>
          <w:p w14:paraId="5D49DEAC">
            <w:pPr>
              <w:widowControl/>
              <w:jc w:val="center"/>
              <w:rPr>
                <w:rFonts w:ascii="宋体" w:hAnsi="宋体" w:cs="宋体"/>
                <w:color w:val="000000"/>
                <w:kern w:val="0"/>
                <w:sz w:val="18"/>
                <w:szCs w:val="18"/>
              </w:rPr>
            </w:pPr>
            <w:r>
              <w:rPr>
                <w:rFonts w:hint="eastAsia" w:ascii="宋体" w:hAnsi="宋体" w:cs="宋体"/>
                <w:color w:val="000000"/>
                <w:kern w:val="0"/>
                <w:sz w:val="18"/>
                <w:szCs w:val="18"/>
              </w:rPr>
              <w:t>城镇用地</w:t>
            </w:r>
          </w:p>
        </w:tc>
        <w:tc>
          <w:tcPr>
            <w:tcW w:w="1026" w:type="dxa"/>
            <w:tcBorders>
              <w:top w:val="nil"/>
              <w:left w:val="nil"/>
              <w:bottom w:val="single" w:color="auto" w:sz="4" w:space="0"/>
              <w:right w:val="single" w:color="auto" w:sz="4" w:space="0"/>
            </w:tcBorders>
            <w:shd w:val="clear" w:color="auto" w:fill="auto"/>
            <w:vAlign w:val="center"/>
          </w:tcPr>
          <w:p w14:paraId="40F3A14C">
            <w:pPr>
              <w:widowControl/>
              <w:jc w:val="center"/>
              <w:rPr>
                <w:rFonts w:ascii="宋体" w:hAnsi="宋体" w:cs="宋体"/>
                <w:color w:val="000000"/>
                <w:kern w:val="0"/>
                <w:sz w:val="18"/>
                <w:szCs w:val="18"/>
              </w:rPr>
            </w:pPr>
            <w:r>
              <w:rPr>
                <w:rFonts w:hint="eastAsia" w:ascii="宋体" w:hAnsi="宋体" w:cs="宋体"/>
                <w:color w:val="000000"/>
                <w:kern w:val="0"/>
                <w:sz w:val="18"/>
                <w:szCs w:val="18"/>
              </w:rPr>
              <w:t>891.14</w:t>
            </w:r>
          </w:p>
        </w:tc>
        <w:tc>
          <w:tcPr>
            <w:tcW w:w="960" w:type="dxa"/>
            <w:tcBorders>
              <w:top w:val="nil"/>
              <w:left w:val="nil"/>
              <w:bottom w:val="single" w:color="auto" w:sz="4" w:space="0"/>
              <w:right w:val="single" w:color="auto" w:sz="4" w:space="0"/>
            </w:tcBorders>
            <w:shd w:val="clear" w:color="auto" w:fill="auto"/>
            <w:vAlign w:val="center"/>
          </w:tcPr>
          <w:p w14:paraId="37844B44">
            <w:pPr>
              <w:widowControl/>
              <w:jc w:val="center"/>
              <w:rPr>
                <w:rFonts w:ascii="宋体" w:hAnsi="宋体" w:cs="宋体"/>
                <w:color w:val="000000"/>
                <w:kern w:val="0"/>
                <w:sz w:val="18"/>
                <w:szCs w:val="18"/>
              </w:rPr>
            </w:pPr>
            <w:r>
              <w:rPr>
                <w:rFonts w:hint="eastAsia" w:ascii="宋体" w:hAnsi="宋体" w:cs="宋体"/>
                <w:color w:val="000000"/>
                <w:kern w:val="0"/>
                <w:sz w:val="18"/>
                <w:szCs w:val="18"/>
              </w:rPr>
              <w:t>0.48%</w:t>
            </w:r>
          </w:p>
        </w:tc>
        <w:tc>
          <w:tcPr>
            <w:tcW w:w="1244" w:type="dxa"/>
            <w:tcBorders>
              <w:top w:val="nil"/>
              <w:left w:val="nil"/>
              <w:bottom w:val="single" w:color="auto" w:sz="4" w:space="0"/>
              <w:right w:val="single" w:color="auto" w:sz="4" w:space="0"/>
            </w:tcBorders>
            <w:shd w:val="clear" w:color="auto" w:fill="auto"/>
            <w:noWrap/>
            <w:vAlign w:val="center"/>
          </w:tcPr>
          <w:p w14:paraId="05F0BA6C">
            <w:pPr>
              <w:widowControl/>
              <w:jc w:val="center"/>
              <w:rPr>
                <w:rFonts w:ascii="宋体" w:hAnsi="宋体" w:cs="宋体"/>
                <w:kern w:val="0"/>
                <w:sz w:val="18"/>
                <w:szCs w:val="18"/>
              </w:rPr>
            </w:pPr>
            <w:r>
              <w:rPr>
                <w:rFonts w:hint="eastAsia" w:ascii="宋体" w:hAnsi="宋体" w:cs="宋体"/>
                <w:kern w:val="0"/>
                <w:sz w:val="18"/>
                <w:szCs w:val="18"/>
              </w:rPr>
              <w:t xml:space="preserve">992.04 </w:t>
            </w:r>
          </w:p>
        </w:tc>
        <w:tc>
          <w:tcPr>
            <w:tcW w:w="976" w:type="dxa"/>
            <w:tcBorders>
              <w:top w:val="nil"/>
              <w:left w:val="nil"/>
              <w:bottom w:val="single" w:color="auto" w:sz="4" w:space="0"/>
              <w:right w:val="single" w:color="auto" w:sz="4" w:space="0"/>
            </w:tcBorders>
            <w:shd w:val="clear" w:color="auto" w:fill="auto"/>
            <w:noWrap/>
            <w:vAlign w:val="center"/>
          </w:tcPr>
          <w:p w14:paraId="5E649791">
            <w:pPr>
              <w:widowControl/>
              <w:jc w:val="center"/>
              <w:rPr>
                <w:rFonts w:ascii="宋体" w:hAnsi="宋体" w:cs="宋体"/>
                <w:color w:val="000000"/>
                <w:kern w:val="0"/>
                <w:sz w:val="18"/>
                <w:szCs w:val="18"/>
              </w:rPr>
            </w:pPr>
            <w:r>
              <w:rPr>
                <w:rFonts w:hint="eastAsia" w:ascii="宋体" w:hAnsi="宋体" w:cs="宋体"/>
                <w:color w:val="000000"/>
                <w:kern w:val="0"/>
                <w:sz w:val="18"/>
                <w:szCs w:val="18"/>
              </w:rPr>
              <w:t>0.53%</w:t>
            </w:r>
          </w:p>
        </w:tc>
        <w:tc>
          <w:tcPr>
            <w:tcW w:w="985" w:type="dxa"/>
            <w:tcBorders>
              <w:top w:val="nil"/>
              <w:left w:val="nil"/>
              <w:bottom w:val="single" w:color="auto" w:sz="4" w:space="0"/>
              <w:right w:val="single" w:color="auto" w:sz="4" w:space="0"/>
            </w:tcBorders>
            <w:shd w:val="clear" w:color="auto" w:fill="auto"/>
            <w:vAlign w:val="center"/>
          </w:tcPr>
          <w:p w14:paraId="159D328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100.90 </w:t>
            </w:r>
          </w:p>
        </w:tc>
        <w:tc>
          <w:tcPr>
            <w:tcW w:w="960" w:type="dxa"/>
            <w:tcBorders>
              <w:top w:val="nil"/>
              <w:left w:val="nil"/>
              <w:bottom w:val="single" w:color="auto" w:sz="4" w:space="0"/>
              <w:right w:val="single" w:color="auto" w:sz="4" w:space="0"/>
            </w:tcBorders>
            <w:shd w:val="clear" w:color="auto" w:fill="auto"/>
            <w:vAlign w:val="center"/>
          </w:tcPr>
          <w:p w14:paraId="1571BFEB">
            <w:pPr>
              <w:widowControl/>
              <w:jc w:val="center"/>
              <w:rPr>
                <w:rFonts w:ascii="宋体" w:hAnsi="宋体" w:cs="宋体"/>
                <w:color w:val="000000"/>
                <w:kern w:val="0"/>
                <w:sz w:val="18"/>
                <w:szCs w:val="18"/>
              </w:rPr>
            </w:pPr>
            <w:r>
              <w:rPr>
                <w:rFonts w:hint="eastAsia" w:ascii="宋体" w:hAnsi="宋体" w:cs="宋体"/>
                <w:color w:val="000000"/>
                <w:kern w:val="0"/>
                <w:sz w:val="18"/>
                <w:szCs w:val="18"/>
              </w:rPr>
              <w:t>0.05%</w:t>
            </w:r>
          </w:p>
        </w:tc>
        <w:tc>
          <w:tcPr>
            <w:tcW w:w="1602" w:type="dxa"/>
            <w:tcBorders>
              <w:top w:val="nil"/>
              <w:left w:val="nil"/>
              <w:bottom w:val="single" w:color="auto" w:sz="4" w:space="0"/>
              <w:right w:val="single" w:color="auto" w:sz="4" w:space="0"/>
            </w:tcBorders>
            <w:shd w:val="clear" w:color="auto" w:fill="auto"/>
          </w:tcPr>
          <w:p w14:paraId="111430E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5134043E">
        <w:tblPrEx>
          <w:tblCellMar>
            <w:top w:w="0" w:type="dxa"/>
            <w:left w:w="108" w:type="dxa"/>
            <w:bottom w:w="0" w:type="dxa"/>
            <w:right w:w="108" w:type="dxa"/>
          </w:tblCellMar>
        </w:tblPrEx>
        <w:trPr>
          <w:trHeight w:val="312"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2B907CAD">
            <w:pPr>
              <w:widowControl/>
              <w:jc w:val="left"/>
              <w:rPr>
                <w:rFonts w:ascii="宋体" w:hAnsi="宋体" w:cs="宋体"/>
                <w:color w:val="000000"/>
                <w:kern w:val="0"/>
                <w:sz w:val="18"/>
                <w:szCs w:val="18"/>
              </w:rPr>
            </w:pPr>
          </w:p>
        </w:tc>
        <w:tc>
          <w:tcPr>
            <w:tcW w:w="412" w:type="dxa"/>
            <w:vMerge w:val="continue"/>
            <w:tcBorders>
              <w:top w:val="nil"/>
              <w:left w:val="single" w:color="auto" w:sz="4" w:space="0"/>
              <w:bottom w:val="single" w:color="auto" w:sz="4" w:space="0"/>
              <w:right w:val="single" w:color="auto" w:sz="4" w:space="0"/>
            </w:tcBorders>
            <w:vAlign w:val="center"/>
          </w:tcPr>
          <w:p w14:paraId="52E25363">
            <w:pPr>
              <w:widowControl/>
              <w:jc w:val="left"/>
              <w:rPr>
                <w:rFonts w:ascii="宋体" w:hAnsi="宋体" w:cs="宋体"/>
                <w:color w:val="000000"/>
                <w:kern w:val="0"/>
                <w:sz w:val="18"/>
                <w:szCs w:val="18"/>
              </w:rPr>
            </w:pPr>
          </w:p>
        </w:tc>
        <w:tc>
          <w:tcPr>
            <w:tcW w:w="1836" w:type="dxa"/>
            <w:tcBorders>
              <w:top w:val="nil"/>
              <w:left w:val="nil"/>
              <w:bottom w:val="single" w:color="auto" w:sz="4" w:space="0"/>
              <w:right w:val="single" w:color="auto" w:sz="4" w:space="0"/>
            </w:tcBorders>
            <w:shd w:val="clear" w:color="auto" w:fill="auto"/>
            <w:vAlign w:val="center"/>
          </w:tcPr>
          <w:p w14:paraId="5C92E795">
            <w:pPr>
              <w:widowControl/>
              <w:jc w:val="center"/>
              <w:rPr>
                <w:rFonts w:ascii="宋体" w:hAnsi="宋体" w:cs="宋体"/>
                <w:color w:val="000000"/>
                <w:kern w:val="0"/>
                <w:sz w:val="18"/>
                <w:szCs w:val="18"/>
              </w:rPr>
            </w:pPr>
            <w:r>
              <w:rPr>
                <w:rFonts w:hint="eastAsia" w:ascii="宋体" w:hAnsi="宋体" w:cs="宋体"/>
                <w:color w:val="000000"/>
                <w:kern w:val="0"/>
                <w:sz w:val="18"/>
                <w:szCs w:val="18"/>
              </w:rPr>
              <w:t>农村居民点用地</w:t>
            </w:r>
          </w:p>
        </w:tc>
        <w:tc>
          <w:tcPr>
            <w:tcW w:w="1026" w:type="dxa"/>
            <w:tcBorders>
              <w:top w:val="nil"/>
              <w:left w:val="nil"/>
              <w:bottom w:val="single" w:color="auto" w:sz="4" w:space="0"/>
              <w:right w:val="single" w:color="auto" w:sz="4" w:space="0"/>
            </w:tcBorders>
            <w:shd w:val="clear" w:color="auto" w:fill="auto"/>
            <w:noWrap/>
            <w:vAlign w:val="center"/>
          </w:tcPr>
          <w:p w14:paraId="2B3FA7EA">
            <w:pPr>
              <w:widowControl/>
              <w:jc w:val="center"/>
              <w:rPr>
                <w:rFonts w:ascii="宋体" w:hAnsi="宋体" w:cs="宋体"/>
                <w:color w:val="000000"/>
                <w:kern w:val="0"/>
                <w:sz w:val="18"/>
                <w:szCs w:val="18"/>
              </w:rPr>
            </w:pPr>
            <w:r>
              <w:rPr>
                <w:rFonts w:hint="eastAsia" w:ascii="宋体" w:hAnsi="宋体" w:cs="宋体"/>
                <w:color w:val="000000"/>
                <w:kern w:val="0"/>
                <w:sz w:val="18"/>
                <w:szCs w:val="18"/>
              </w:rPr>
              <w:t>3251.57</w:t>
            </w:r>
          </w:p>
        </w:tc>
        <w:tc>
          <w:tcPr>
            <w:tcW w:w="960" w:type="dxa"/>
            <w:tcBorders>
              <w:top w:val="nil"/>
              <w:left w:val="nil"/>
              <w:bottom w:val="single" w:color="auto" w:sz="4" w:space="0"/>
              <w:right w:val="single" w:color="auto" w:sz="4" w:space="0"/>
            </w:tcBorders>
            <w:shd w:val="clear" w:color="auto" w:fill="auto"/>
            <w:vAlign w:val="center"/>
          </w:tcPr>
          <w:p w14:paraId="4F0D5D02">
            <w:pPr>
              <w:widowControl/>
              <w:jc w:val="center"/>
              <w:rPr>
                <w:rFonts w:ascii="宋体" w:hAnsi="宋体" w:cs="宋体"/>
                <w:color w:val="000000"/>
                <w:kern w:val="0"/>
                <w:sz w:val="18"/>
                <w:szCs w:val="18"/>
              </w:rPr>
            </w:pPr>
            <w:r>
              <w:rPr>
                <w:rFonts w:hint="eastAsia" w:ascii="宋体" w:hAnsi="宋体" w:cs="宋体"/>
                <w:color w:val="000000"/>
                <w:kern w:val="0"/>
                <w:sz w:val="18"/>
                <w:szCs w:val="18"/>
              </w:rPr>
              <w:t>1.74%</w:t>
            </w:r>
          </w:p>
        </w:tc>
        <w:tc>
          <w:tcPr>
            <w:tcW w:w="1244" w:type="dxa"/>
            <w:tcBorders>
              <w:top w:val="nil"/>
              <w:left w:val="nil"/>
              <w:bottom w:val="single" w:color="auto" w:sz="4" w:space="0"/>
              <w:right w:val="single" w:color="auto" w:sz="4" w:space="0"/>
            </w:tcBorders>
            <w:shd w:val="clear" w:color="auto" w:fill="auto"/>
            <w:noWrap/>
            <w:vAlign w:val="center"/>
          </w:tcPr>
          <w:p w14:paraId="481369B3">
            <w:pPr>
              <w:widowControl/>
              <w:jc w:val="center"/>
              <w:rPr>
                <w:rFonts w:ascii="宋体" w:hAnsi="宋体" w:cs="宋体"/>
                <w:kern w:val="0"/>
                <w:sz w:val="18"/>
                <w:szCs w:val="18"/>
              </w:rPr>
            </w:pPr>
            <w:r>
              <w:rPr>
                <w:rFonts w:hint="eastAsia" w:ascii="宋体" w:hAnsi="宋体" w:cs="宋体"/>
                <w:kern w:val="0"/>
                <w:sz w:val="18"/>
                <w:szCs w:val="18"/>
              </w:rPr>
              <w:t xml:space="preserve">3396.22 </w:t>
            </w:r>
          </w:p>
        </w:tc>
        <w:tc>
          <w:tcPr>
            <w:tcW w:w="976" w:type="dxa"/>
            <w:tcBorders>
              <w:top w:val="nil"/>
              <w:left w:val="nil"/>
              <w:bottom w:val="single" w:color="auto" w:sz="4" w:space="0"/>
              <w:right w:val="single" w:color="auto" w:sz="4" w:space="0"/>
            </w:tcBorders>
            <w:shd w:val="clear" w:color="auto" w:fill="auto"/>
            <w:noWrap/>
            <w:vAlign w:val="center"/>
          </w:tcPr>
          <w:p w14:paraId="3DB72A8E">
            <w:pPr>
              <w:widowControl/>
              <w:jc w:val="center"/>
              <w:rPr>
                <w:rFonts w:ascii="宋体" w:hAnsi="宋体" w:cs="宋体"/>
                <w:color w:val="000000"/>
                <w:kern w:val="0"/>
                <w:sz w:val="18"/>
                <w:szCs w:val="18"/>
              </w:rPr>
            </w:pPr>
            <w:r>
              <w:rPr>
                <w:rFonts w:hint="eastAsia" w:ascii="宋体" w:hAnsi="宋体" w:cs="宋体"/>
                <w:color w:val="000000"/>
                <w:kern w:val="0"/>
                <w:sz w:val="18"/>
                <w:szCs w:val="18"/>
              </w:rPr>
              <w:t>1.82%</w:t>
            </w:r>
          </w:p>
        </w:tc>
        <w:tc>
          <w:tcPr>
            <w:tcW w:w="985" w:type="dxa"/>
            <w:tcBorders>
              <w:top w:val="nil"/>
              <w:left w:val="nil"/>
              <w:bottom w:val="single" w:color="auto" w:sz="4" w:space="0"/>
              <w:right w:val="single" w:color="auto" w:sz="4" w:space="0"/>
            </w:tcBorders>
            <w:shd w:val="clear" w:color="auto" w:fill="auto"/>
            <w:vAlign w:val="center"/>
          </w:tcPr>
          <w:p w14:paraId="2F73D33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144.65 </w:t>
            </w:r>
          </w:p>
        </w:tc>
        <w:tc>
          <w:tcPr>
            <w:tcW w:w="960" w:type="dxa"/>
            <w:tcBorders>
              <w:top w:val="nil"/>
              <w:left w:val="nil"/>
              <w:bottom w:val="single" w:color="auto" w:sz="4" w:space="0"/>
              <w:right w:val="single" w:color="auto" w:sz="4" w:space="0"/>
            </w:tcBorders>
            <w:shd w:val="clear" w:color="auto" w:fill="auto"/>
            <w:vAlign w:val="center"/>
          </w:tcPr>
          <w:p w14:paraId="09EBDD89">
            <w:pPr>
              <w:widowControl/>
              <w:jc w:val="center"/>
              <w:rPr>
                <w:rFonts w:ascii="宋体" w:hAnsi="宋体" w:cs="宋体"/>
                <w:color w:val="000000"/>
                <w:kern w:val="0"/>
                <w:sz w:val="18"/>
                <w:szCs w:val="18"/>
              </w:rPr>
            </w:pPr>
            <w:r>
              <w:rPr>
                <w:rFonts w:hint="eastAsia" w:ascii="宋体" w:hAnsi="宋体" w:cs="宋体"/>
                <w:color w:val="000000"/>
                <w:kern w:val="0"/>
                <w:sz w:val="18"/>
                <w:szCs w:val="18"/>
              </w:rPr>
              <w:t>0.08%</w:t>
            </w:r>
          </w:p>
        </w:tc>
        <w:tc>
          <w:tcPr>
            <w:tcW w:w="1602" w:type="dxa"/>
            <w:tcBorders>
              <w:top w:val="nil"/>
              <w:left w:val="nil"/>
              <w:bottom w:val="single" w:color="auto" w:sz="4" w:space="0"/>
              <w:right w:val="single" w:color="auto" w:sz="4" w:space="0"/>
            </w:tcBorders>
            <w:shd w:val="clear" w:color="auto" w:fill="auto"/>
          </w:tcPr>
          <w:p w14:paraId="4DE2920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21C28368">
        <w:tblPrEx>
          <w:tblCellMar>
            <w:top w:w="0" w:type="dxa"/>
            <w:left w:w="108" w:type="dxa"/>
            <w:bottom w:w="0" w:type="dxa"/>
            <w:right w:w="108" w:type="dxa"/>
          </w:tblCellMar>
        </w:tblPrEx>
        <w:trPr>
          <w:trHeight w:val="312"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540B4C06">
            <w:pPr>
              <w:widowControl/>
              <w:jc w:val="left"/>
              <w:rPr>
                <w:rFonts w:ascii="宋体" w:hAnsi="宋体" w:cs="宋体"/>
                <w:color w:val="000000"/>
                <w:kern w:val="0"/>
                <w:sz w:val="18"/>
                <w:szCs w:val="18"/>
              </w:rPr>
            </w:pPr>
          </w:p>
        </w:tc>
        <w:tc>
          <w:tcPr>
            <w:tcW w:w="412" w:type="dxa"/>
            <w:vMerge w:val="continue"/>
            <w:tcBorders>
              <w:top w:val="nil"/>
              <w:left w:val="single" w:color="auto" w:sz="4" w:space="0"/>
              <w:bottom w:val="single" w:color="auto" w:sz="4" w:space="0"/>
              <w:right w:val="single" w:color="auto" w:sz="4" w:space="0"/>
            </w:tcBorders>
            <w:vAlign w:val="center"/>
          </w:tcPr>
          <w:p w14:paraId="18A96545">
            <w:pPr>
              <w:widowControl/>
              <w:jc w:val="left"/>
              <w:rPr>
                <w:rFonts w:ascii="宋体" w:hAnsi="宋体" w:cs="宋体"/>
                <w:color w:val="000000"/>
                <w:kern w:val="0"/>
                <w:sz w:val="18"/>
                <w:szCs w:val="18"/>
              </w:rPr>
            </w:pPr>
          </w:p>
        </w:tc>
        <w:tc>
          <w:tcPr>
            <w:tcW w:w="1836" w:type="dxa"/>
            <w:tcBorders>
              <w:top w:val="nil"/>
              <w:left w:val="nil"/>
              <w:bottom w:val="single" w:color="auto" w:sz="4" w:space="0"/>
              <w:right w:val="single" w:color="auto" w:sz="4" w:space="0"/>
            </w:tcBorders>
            <w:shd w:val="clear" w:color="auto" w:fill="auto"/>
            <w:vAlign w:val="center"/>
          </w:tcPr>
          <w:p w14:paraId="27527399">
            <w:pPr>
              <w:widowControl/>
              <w:jc w:val="center"/>
              <w:rPr>
                <w:rFonts w:ascii="宋体" w:hAnsi="宋体" w:cs="宋体"/>
                <w:color w:val="000000"/>
                <w:kern w:val="0"/>
                <w:sz w:val="18"/>
                <w:szCs w:val="18"/>
              </w:rPr>
            </w:pPr>
            <w:r>
              <w:rPr>
                <w:rFonts w:hint="eastAsia" w:ascii="宋体" w:hAnsi="宋体" w:cs="宋体"/>
                <w:color w:val="000000"/>
                <w:kern w:val="0"/>
                <w:sz w:val="18"/>
                <w:szCs w:val="18"/>
              </w:rPr>
              <w:t>采矿用地</w:t>
            </w:r>
          </w:p>
        </w:tc>
        <w:tc>
          <w:tcPr>
            <w:tcW w:w="1026" w:type="dxa"/>
            <w:tcBorders>
              <w:top w:val="nil"/>
              <w:left w:val="nil"/>
              <w:bottom w:val="single" w:color="auto" w:sz="4" w:space="0"/>
              <w:right w:val="single" w:color="auto" w:sz="4" w:space="0"/>
            </w:tcBorders>
            <w:shd w:val="clear" w:color="auto" w:fill="auto"/>
            <w:noWrap/>
            <w:vAlign w:val="center"/>
          </w:tcPr>
          <w:p w14:paraId="2E42FDC3">
            <w:pPr>
              <w:widowControl/>
              <w:jc w:val="center"/>
              <w:rPr>
                <w:rFonts w:ascii="宋体" w:hAnsi="宋体" w:cs="宋体"/>
                <w:color w:val="000000"/>
                <w:kern w:val="0"/>
                <w:sz w:val="18"/>
                <w:szCs w:val="18"/>
              </w:rPr>
            </w:pPr>
            <w:r>
              <w:rPr>
                <w:rFonts w:hint="eastAsia" w:ascii="宋体" w:hAnsi="宋体" w:cs="宋体"/>
                <w:color w:val="000000"/>
                <w:kern w:val="0"/>
                <w:sz w:val="18"/>
                <w:szCs w:val="18"/>
              </w:rPr>
              <w:t>912.83</w:t>
            </w:r>
          </w:p>
        </w:tc>
        <w:tc>
          <w:tcPr>
            <w:tcW w:w="960" w:type="dxa"/>
            <w:tcBorders>
              <w:top w:val="nil"/>
              <w:left w:val="nil"/>
              <w:bottom w:val="single" w:color="auto" w:sz="4" w:space="0"/>
              <w:right w:val="single" w:color="auto" w:sz="4" w:space="0"/>
            </w:tcBorders>
            <w:shd w:val="clear" w:color="auto" w:fill="auto"/>
            <w:vAlign w:val="center"/>
          </w:tcPr>
          <w:p w14:paraId="46543335">
            <w:pPr>
              <w:widowControl/>
              <w:jc w:val="center"/>
              <w:rPr>
                <w:rFonts w:ascii="宋体" w:hAnsi="宋体" w:cs="宋体"/>
                <w:color w:val="000000"/>
                <w:kern w:val="0"/>
                <w:sz w:val="18"/>
                <w:szCs w:val="18"/>
              </w:rPr>
            </w:pPr>
            <w:r>
              <w:rPr>
                <w:rFonts w:hint="eastAsia" w:ascii="宋体" w:hAnsi="宋体" w:cs="宋体"/>
                <w:color w:val="000000"/>
                <w:kern w:val="0"/>
                <w:sz w:val="18"/>
                <w:szCs w:val="18"/>
              </w:rPr>
              <w:t>0.49%</w:t>
            </w:r>
          </w:p>
        </w:tc>
        <w:tc>
          <w:tcPr>
            <w:tcW w:w="1244" w:type="dxa"/>
            <w:tcBorders>
              <w:top w:val="nil"/>
              <w:left w:val="nil"/>
              <w:bottom w:val="single" w:color="auto" w:sz="4" w:space="0"/>
              <w:right w:val="single" w:color="auto" w:sz="4" w:space="0"/>
            </w:tcBorders>
            <w:shd w:val="clear" w:color="auto" w:fill="auto"/>
            <w:noWrap/>
            <w:vAlign w:val="center"/>
          </w:tcPr>
          <w:p w14:paraId="09EC1685">
            <w:pPr>
              <w:widowControl/>
              <w:jc w:val="center"/>
              <w:rPr>
                <w:rFonts w:ascii="宋体" w:hAnsi="宋体" w:cs="宋体"/>
                <w:kern w:val="0"/>
                <w:sz w:val="18"/>
                <w:szCs w:val="18"/>
              </w:rPr>
            </w:pPr>
            <w:r>
              <w:rPr>
                <w:rFonts w:hint="eastAsia" w:ascii="宋体" w:hAnsi="宋体" w:cs="宋体"/>
                <w:kern w:val="0"/>
                <w:sz w:val="18"/>
                <w:szCs w:val="18"/>
              </w:rPr>
              <w:t xml:space="preserve">926.00 </w:t>
            </w:r>
          </w:p>
        </w:tc>
        <w:tc>
          <w:tcPr>
            <w:tcW w:w="976" w:type="dxa"/>
            <w:tcBorders>
              <w:top w:val="nil"/>
              <w:left w:val="nil"/>
              <w:bottom w:val="single" w:color="auto" w:sz="4" w:space="0"/>
              <w:right w:val="single" w:color="auto" w:sz="4" w:space="0"/>
            </w:tcBorders>
            <w:shd w:val="clear" w:color="auto" w:fill="auto"/>
            <w:noWrap/>
            <w:vAlign w:val="center"/>
          </w:tcPr>
          <w:p w14:paraId="23709493">
            <w:pPr>
              <w:widowControl/>
              <w:jc w:val="center"/>
              <w:rPr>
                <w:rFonts w:ascii="宋体" w:hAnsi="宋体" w:cs="宋体"/>
                <w:color w:val="000000"/>
                <w:kern w:val="0"/>
                <w:sz w:val="18"/>
                <w:szCs w:val="18"/>
              </w:rPr>
            </w:pPr>
            <w:r>
              <w:rPr>
                <w:rFonts w:hint="eastAsia" w:ascii="宋体" w:hAnsi="宋体" w:cs="宋体"/>
                <w:color w:val="000000"/>
                <w:kern w:val="0"/>
                <w:sz w:val="18"/>
                <w:szCs w:val="18"/>
              </w:rPr>
              <w:t>0.50%</w:t>
            </w:r>
          </w:p>
        </w:tc>
        <w:tc>
          <w:tcPr>
            <w:tcW w:w="985" w:type="dxa"/>
            <w:tcBorders>
              <w:top w:val="nil"/>
              <w:left w:val="nil"/>
              <w:bottom w:val="single" w:color="auto" w:sz="4" w:space="0"/>
              <w:right w:val="single" w:color="auto" w:sz="4" w:space="0"/>
            </w:tcBorders>
            <w:shd w:val="clear" w:color="auto" w:fill="auto"/>
            <w:vAlign w:val="center"/>
          </w:tcPr>
          <w:p w14:paraId="3762B7F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13.17 </w:t>
            </w:r>
          </w:p>
        </w:tc>
        <w:tc>
          <w:tcPr>
            <w:tcW w:w="960" w:type="dxa"/>
            <w:tcBorders>
              <w:top w:val="nil"/>
              <w:left w:val="nil"/>
              <w:bottom w:val="single" w:color="auto" w:sz="4" w:space="0"/>
              <w:right w:val="single" w:color="auto" w:sz="4" w:space="0"/>
            </w:tcBorders>
            <w:shd w:val="clear" w:color="auto" w:fill="auto"/>
            <w:vAlign w:val="center"/>
          </w:tcPr>
          <w:p w14:paraId="1EEB2B74">
            <w:pPr>
              <w:widowControl/>
              <w:jc w:val="center"/>
              <w:rPr>
                <w:rFonts w:ascii="宋体" w:hAnsi="宋体" w:cs="宋体"/>
                <w:color w:val="000000"/>
                <w:kern w:val="0"/>
                <w:sz w:val="18"/>
                <w:szCs w:val="18"/>
              </w:rPr>
            </w:pPr>
            <w:r>
              <w:rPr>
                <w:rFonts w:hint="eastAsia" w:ascii="宋体" w:hAnsi="宋体" w:cs="宋体"/>
                <w:color w:val="000000"/>
                <w:kern w:val="0"/>
                <w:sz w:val="18"/>
                <w:szCs w:val="18"/>
              </w:rPr>
              <w:t>0.01%</w:t>
            </w:r>
          </w:p>
        </w:tc>
        <w:tc>
          <w:tcPr>
            <w:tcW w:w="1602" w:type="dxa"/>
            <w:tcBorders>
              <w:top w:val="nil"/>
              <w:left w:val="nil"/>
              <w:bottom w:val="single" w:color="auto" w:sz="4" w:space="0"/>
              <w:right w:val="single" w:color="auto" w:sz="4" w:space="0"/>
            </w:tcBorders>
            <w:shd w:val="clear" w:color="auto" w:fill="auto"/>
          </w:tcPr>
          <w:p w14:paraId="262DD0D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593E1E9F">
        <w:tblPrEx>
          <w:tblCellMar>
            <w:top w:w="0" w:type="dxa"/>
            <w:left w:w="108" w:type="dxa"/>
            <w:bottom w:w="0" w:type="dxa"/>
            <w:right w:w="108" w:type="dxa"/>
          </w:tblCellMar>
        </w:tblPrEx>
        <w:trPr>
          <w:trHeight w:val="312"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2A28FA1D">
            <w:pPr>
              <w:widowControl/>
              <w:jc w:val="left"/>
              <w:rPr>
                <w:rFonts w:ascii="宋体" w:hAnsi="宋体" w:cs="宋体"/>
                <w:color w:val="000000"/>
                <w:kern w:val="0"/>
                <w:sz w:val="18"/>
                <w:szCs w:val="18"/>
              </w:rPr>
            </w:pPr>
          </w:p>
        </w:tc>
        <w:tc>
          <w:tcPr>
            <w:tcW w:w="412" w:type="dxa"/>
            <w:vMerge w:val="continue"/>
            <w:tcBorders>
              <w:top w:val="nil"/>
              <w:left w:val="single" w:color="auto" w:sz="4" w:space="0"/>
              <w:bottom w:val="single" w:color="auto" w:sz="4" w:space="0"/>
              <w:right w:val="single" w:color="auto" w:sz="4" w:space="0"/>
            </w:tcBorders>
            <w:vAlign w:val="center"/>
          </w:tcPr>
          <w:p w14:paraId="7AB9B402">
            <w:pPr>
              <w:widowControl/>
              <w:jc w:val="left"/>
              <w:rPr>
                <w:rFonts w:ascii="宋体" w:hAnsi="宋体" w:cs="宋体"/>
                <w:color w:val="000000"/>
                <w:kern w:val="0"/>
                <w:sz w:val="18"/>
                <w:szCs w:val="18"/>
              </w:rPr>
            </w:pPr>
          </w:p>
        </w:tc>
        <w:tc>
          <w:tcPr>
            <w:tcW w:w="1836" w:type="dxa"/>
            <w:tcBorders>
              <w:top w:val="nil"/>
              <w:left w:val="nil"/>
              <w:bottom w:val="single" w:color="auto" w:sz="4" w:space="0"/>
              <w:right w:val="single" w:color="auto" w:sz="4" w:space="0"/>
            </w:tcBorders>
            <w:shd w:val="clear" w:color="auto" w:fill="auto"/>
            <w:vAlign w:val="center"/>
          </w:tcPr>
          <w:p w14:paraId="57831A81">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其他独立建设用地</w:t>
            </w:r>
          </w:p>
        </w:tc>
        <w:tc>
          <w:tcPr>
            <w:tcW w:w="1026" w:type="dxa"/>
            <w:tcBorders>
              <w:top w:val="nil"/>
              <w:left w:val="nil"/>
              <w:bottom w:val="single" w:color="auto" w:sz="4" w:space="0"/>
              <w:right w:val="single" w:color="auto" w:sz="4" w:space="0"/>
            </w:tcBorders>
            <w:shd w:val="clear" w:color="auto" w:fill="auto"/>
            <w:noWrap/>
            <w:vAlign w:val="center"/>
          </w:tcPr>
          <w:p w14:paraId="7CE2375F">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960" w:type="dxa"/>
            <w:tcBorders>
              <w:top w:val="nil"/>
              <w:left w:val="nil"/>
              <w:bottom w:val="single" w:color="auto" w:sz="4" w:space="0"/>
              <w:right w:val="single" w:color="auto" w:sz="4" w:space="0"/>
            </w:tcBorders>
            <w:shd w:val="clear" w:color="auto" w:fill="auto"/>
            <w:vAlign w:val="center"/>
          </w:tcPr>
          <w:p w14:paraId="79145709">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244" w:type="dxa"/>
            <w:tcBorders>
              <w:top w:val="nil"/>
              <w:left w:val="nil"/>
              <w:bottom w:val="single" w:color="auto" w:sz="4" w:space="0"/>
              <w:right w:val="single" w:color="auto" w:sz="4" w:space="0"/>
            </w:tcBorders>
            <w:shd w:val="clear" w:color="auto" w:fill="auto"/>
            <w:noWrap/>
            <w:vAlign w:val="center"/>
          </w:tcPr>
          <w:p w14:paraId="3A123028">
            <w:pPr>
              <w:widowControl/>
              <w:jc w:val="center"/>
              <w:rPr>
                <w:rFonts w:ascii="宋体" w:hAnsi="宋体" w:cs="宋体"/>
                <w:kern w:val="0"/>
                <w:sz w:val="18"/>
                <w:szCs w:val="18"/>
              </w:rPr>
            </w:pPr>
            <w:r>
              <w:rPr>
                <w:rFonts w:hint="eastAsia" w:ascii="宋体" w:hAnsi="宋体" w:cs="宋体"/>
                <w:kern w:val="0"/>
                <w:sz w:val="18"/>
                <w:szCs w:val="18"/>
              </w:rPr>
              <w:t xml:space="preserve">38.28 </w:t>
            </w:r>
          </w:p>
        </w:tc>
        <w:tc>
          <w:tcPr>
            <w:tcW w:w="976" w:type="dxa"/>
            <w:tcBorders>
              <w:top w:val="nil"/>
              <w:left w:val="nil"/>
              <w:bottom w:val="single" w:color="auto" w:sz="4" w:space="0"/>
              <w:right w:val="single" w:color="auto" w:sz="4" w:space="0"/>
            </w:tcBorders>
            <w:shd w:val="clear" w:color="auto" w:fill="auto"/>
            <w:noWrap/>
            <w:vAlign w:val="center"/>
          </w:tcPr>
          <w:p w14:paraId="5F4B4C92">
            <w:pPr>
              <w:widowControl/>
              <w:jc w:val="center"/>
              <w:rPr>
                <w:rFonts w:ascii="宋体" w:hAnsi="宋体" w:cs="宋体"/>
                <w:color w:val="000000"/>
                <w:kern w:val="0"/>
                <w:sz w:val="18"/>
                <w:szCs w:val="18"/>
              </w:rPr>
            </w:pPr>
            <w:r>
              <w:rPr>
                <w:rFonts w:hint="eastAsia" w:ascii="宋体" w:hAnsi="宋体" w:cs="宋体"/>
                <w:color w:val="000000"/>
                <w:kern w:val="0"/>
                <w:sz w:val="18"/>
                <w:szCs w:val="18"/>
              </w:rPr>
              <w:t>0.02%</w:t>
            </w:r>
          </w:p>
        </w:tc>
        <w:tc>
          <w:tcPr>
            <w:tcW w:w="985" w:type="dxa"/>
            <w:tcBorders>
              <w:top w:val="nil"/>
              <w:left w:val="nil"/>
              <w:bottom w:val="single" w:color="auto" w:sz="4" w:space="0"/>
              <w:right w:val="single" w:color="auto" w:sz="4" w:space="0"/>
            </w:tcBorders>
            <w:shd w:val="clear" w:color="auto" w:fill="auto"/>
            <w:vAlign w:val="center"/>
          </w:tcPr>
          <w:p w14:paraId="7C06EE4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38.28 </w:t>
            </w:r>
          </w:p>
        </w:tc>
        <w:tc>
          <w:tcPr>
            <w:tcW w:w="960" w:type="dxa"/>
            <w:tcBorders>
              <w:top w:val="nil"/>
              <w:left w:val="nil"/>
              <w:bottom w:val="single" w:color="auto" w:sz="4" w:space="0"/>
              <w:right w:val="single" w:color="auto" w:sz="4" w:space="0"/>
            </w:tcBorders>
            <w:shd w:val="clear" w:color="auto" w:fill="auto"/>
            <w:vAlign w:val="center"/>
          </w:tcPr>
          <w:p w14:paraId="2DC48CD8">
            <w:pPr>
              <w:widowControl/>
              <w:jc w:val="center"/>
              <w:rPr>
                <w:rFonts w:ascii="宋体" w:hAnsi="宋体" w:cs="宋体"/>
                <w:color w:val="000000"/>
                <w:kern w:val="0"/>
                <w:sz w:val="18"/>
                <w:szCs w:val="18"/>
              </w:rPr>
            </w:pPr>
            <w:r>
              <w:rPr>
                <w:rFonts w:hint="eastAsia" w:ascii="宋体" w:hAnsi="宋体" w:cs="宋体"/>
                <w:color w:val="000000"/>
                <w:kern w:val="0"/>
                <w:sz w:val="18"/>
                <w:szCs w:val="18"/>
              </w:rPr>
              <w:t>0.02%</w:t>
            </w:r>
          </w:p>
        </w:tc>
        <w:tc>
          <w:tcPr>
            <w:tcW w:w="1602" w:type="dxa"/>
            <w:tcBorders>
              <w:top w:val="nil"/>
              <w:left w:val="nil"/>
              <w:bottom w:val="single" w:color="auto" w:sz="4" w:space="0"/>
              <w:right w:val="single" w:color="auto" w:sz="4" w:space="0"/>
            </w:tcBorders>
            <w:shd w:val="clear" w:color="auto" w:fill="auto"/>
          </w:tcPr>
          <w:p w14:paraId="4922B5C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3FC7DA7E">
        <w:tblPrEx>
          <w:tblCellMar>
            <w:top w:w="0" w:type="dxa"/>
            <w:left w:w="108" w:type="dxa"/>
            <w:bottom w:w="0" w:type="dxa"/>
            <w:right w:w="108" w:type="dxa"/>
          </w:tblCellMar>
        </w:tblPrEx>
        <w:trPr>
          <w:trHeight w:val="864"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5B2F19E4">
            <w:pPr>
              <w:widowControl/>
              <w:jc w:val="left"/>
              <w:rPr>
                <w:rFonts w:ascii="宋体" w:hAnsi="宋体" w:cs="宋体"/>
                <w:color w:val="000000"/>
                <w:kern w:val="0"/>
                <w:sz w:val="18"/>
                <w:szCs w:val="18"/>
              </w:rPr>
            </w:pPr>
          </w:p>
        </w:tc>
        <w:tc>
          <w:tcPr>
            <w:tcW w:w="412" w:type="dxa"/>
            <w:vMerge w:val="continue"/>
            <w:tcBorders>
              <w:top w:val="nil"/>
              <w:left w:val="single" w:color="auto" w:sz="4" w:space="0"/>
              <w:bottom w:val="single" w:color="auto" w:sz="4" w:space="0"/>
              <w:right w:val="single" w:color="auto" w:sz="4" w:space="0"/>
            </w:tcBorders>
            <w:vAlign w:val="center"/>
          </w:tcPr>
          <w:p w14:paraId="7511BF08">
            <w:pPr>
              <w:widowControl/>
              <w:jc w:val="left"/>
              <w:rPr>
                <w:rFonts w:ascii="宋体" w:hAnsi="宋体" w:cs="宋体"/>
                <w:color w:val="000000"/>
                <w:kern w:val="0"/>
                <w:sz w:val="18"/>
                <w:szCs w:val="18"/>
              </w:rPr>
            </w:pPr>
          </w:p>
        </w:tc>
        <w:tc>
          <w:tcPr>
            <w:tcW w:w="1836" w:type="dxa"/>
            <w:tcBorders>
              <w:top w:val="nil"/>
              <w:left w:val="nil"/>
              <w:bottom w:val="single" w:color="auto" w:sz="4" w:space="0"/>
              <w:right w:val="single" w:color="auto" w:sz="4" w:space="0"/>
            </w:tcBorders>
            <w:shd w:val="clear" w:color="auto" w:fill="auto"/>
            <w:vAlign w:val="center"/>
          </w:tcPr>
          <w:p w14:paraId="51EA2778">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026" w:type="dxa"/>
            <w:tcBorders>
              <w:top w:val="nil"/>
              <w:left w:val="nil"/>
              <w:bottom w:val="single" w:color="auto" w:sz="4" w:space="0"/>
              <w:right w:val="single" w:color="auto" w:sz="4" w:space="0"/>
            </w:tcBorders>
            <w:shd w:val="clear" w:color="auto" w:fill="auto"/>
            <w:vAlign w:val="center"/>
          </w:tcPr>
          <w:p w14:paraId="1EC2B4D5">
            <w:pPr>
              <w:widowControl/>
              <w:jc w:val="center"/>
              <w:rPr>
                <w:rFonts w:ascii="宋体" w:hAnsi="宋体" w:cs="宋体"/>
                <w:color w:val="000000"/>
                <w:kern w:val="0"/>
                <w:sz w:val="18"/>
                <w:szCs w:val="18"/>
              </w:rPr>
            </w:pPr>
            <w:r>
              <w:rPr>
                <w:rFonts w:hint="eastAsia" w:ascii="宋体" w:hAnsi="宋体" w:cs="宋体"/>
                <w:color w:val="000000"/>
                <w:kern w:val="0"/>
                <w:sz w:val="18"/>
                <w:szCs w:val="18"/>
              </w:rPr>
              <w:t>5055.54</w:t>
            </w:r>
          </w:p>
        </w:tc>
        <w:tc>
          <w:tcPr>
            <w:tcW w:w="960" w:type="dxa"/>
            <w:tcBorders>
              <w:top w:val="nil"/>
              <w:left w:val="nil"/>
              <w:bottom w:val="single" w:color="auto" w:sz="4" w:space="0"/>
              <w:right w:val="single" w:color="auto" w:sz="4" w:space="0"/>
            </w:tcBorders>
            <w:shd w:val="clear" w:color="auto" w:fill="auto"/>
            <w:vAlign w:val="center"/>
          </w:tcPr>
          <w:p w14:paraId="23DC0E71">
            <w:pPr>
              <w:widowControl/>
              <w:jc w:val="center"/>
              <w:rPr>
                <w:rFonts w:ascii="宋体" w:hAnsi="宋体" w:cs="宋体"/>
                <w:color w:val="000000"/>
                <w:kern w:val="0"/>
                <w:sz w:val="18"/>
                <w:szCs w:val="18"/>
              </w:rPr>
            </w:pPr>
            <w:r>
              <w:rPr>
                <w:rFonts w:hint="eastAsia" w:ascii="宋体" w:hAnsi="宋体" w:cs="宋体"/>
                <w:color w:val="000000"/>
                <w:kern w:val="0"/>
                <w:sz w:val="18"/>
                <w:szCs w:val="18"/>
              </w:rPr>
              <w:t>2.71%</w:t>
            </w:r>
          </w:p>
        </w:tc>
        <w:tc>
          <w:tcPr>
            <w:tcW w:w="1244" w:type="dxa"/>
            <w:tcBorders>
              <w:top w:val="nil"/>
              <w:left w:val="nil"/>
              <w:bottom w:val="single" w:color="auto" w:sz="4" w:space="0"/>
              <w:right w:val="single" w:color="auto" w:sz="4" w:space="0"/>
            </w:tcBorders>
            <w:shd w:val="clear" w:color="auto" w:fill="auto"/>
            <w:noWrap/>
            <w:vAlign w:val="center"/>
          </w:tcPr>
          <w:p w14:paraId="71E02D94">
            <w:pPr>
              <w:widowControl/>
              <w:jc w:val="center"/>
              <w:rPr>
                <w:rFonts w:ascii="宋体" w:hAnsi="宋体" w:cs="宋体"/>
                <w:kern w:val="0"/>
                <w:sz w:val="18"/>
                <w:szCs w:val="18"/>
              </w:rPr>
            </w:pPr>
            <w:r>
              <w:rPr>
                <w:rFonts w:hint="eastAsia" w:ascii="宋体" w:hAnsi="宋体" w:cs="宋体"/>
                <w:kern w:val="0"/>
                <w:sz w:val="18"/>
                <w:szCs w:val="18"/>
              </w:rPr>
              <w:t xml:space="preserve">5352.53 </w:t>
            </w:r>
          </w:p>
        </w:tc>
        <w:tc>
          <w:tcPr>
            <w:tcW w:w="976" w:type="dxa"/>
            <w:tcBorders>
              <w:top w:val="nil"/>
              <w:left w:val="nil"/>
              <w:bottom w:val="single" w:color="auto" w:sz="4" w:space="0"/>
              <w:right w:val="single" w:color="auto" w:sz="4" w:space="0"/>
            </w:tcBorders>
            <w:shd w:val="clear" w:color="auto" w:fill="auto"/>
            <w:noWrap/>
            <w:vAlign w:val="center"/>
          </w:tcPr>
          <w:p w14:paraId="7E188715">
            <w:pPr>
              <w:widowControl/>
              <w:jc w:val="center"/>
              <w:rPr>
                <w:rFonts w:ascii="宋体" w:hAnsi="宋体" w:cs="宋体"/>
                <w:color w:val="000000"/>
                <w:kern w:val="0"/>
                <w:sz w:val="18"/>
                <w:szCs w:val="18"/>
              </w:rPr>
            </w:pPr>
            <w:r>
              <w:rPr>
                <w:rFonts w:hint="eastAsia" w:ascii="宋体" w:hAnsi="宋体" w:cs="宋体"/>
                <w:color w:val="000000"/>
                <w:kern w:val="0"/>
                <w:sz w:val="18"/>
                <w:szCs w:val="18"/>
              </w:rPr>
              <w:t>2.87%</w:t>
            </w:r>
          </w:p>
        </w:tc>
        <w:tc>
          <w:tcPr>
            <w:tcW w:w="985" w:type="dxa"/>
            <w:tcBorders>
              <w:top w:val="nil"/>
              <w:left w:val="nil"/>
              <w:bottom w:val="single" w:color="auto" w:sz="4" w:space="0"/>
              <w:right w:val="single" w:color="auto" w:sz="4" w:space="0"/>
            </w:tcBorders>
            <w:shd w:val="clear" w:color="auto" w:fill="auto"/>
            <w:vAlign w:val="center"/>
          </w:tcPr>
          <w:p w14:paraId="6429992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296.99 </w:t>
            </w:r>
          </w:p>
        </w:tc>
        <w:tc>
          <w:tcPr>
            <w:tcW w:w="960" w:type="dxa"/>
            <w:tcBorders>
              <w:top w:val="nil"/>
              <w:left w:val="nil"/>
              <w:bottom w:val="single" w:color="auto" w:sz="4" w:space="0"/>
              <w:right w:val="single" w:color="auto" w:sz="4" w:space="0"/>
            </w:tcBorders>
            <w:shd w:val="clear" w:color="auto" w:fill="auto"/>
            <w:vAlign w:val="center"/>
          </w:tcPr>
          <w:p w14:paraId="39347842">
            <w:pPr>
              <w:widowControl/>
              <w:jc w:val="center"/>
              <w:rPr>
                <w:rFonts w:ascii="宋体" w:hAnsi="宋体" w:cs="宋体"/>
                <w:color w:val="000000"/>
                <w:kern w:val="0"/>
                <w:sz w:val="18"/>
                <w:szCs w:val="18"/>
              </w:rPr>
            </w:pPr>
            <w:r>
              <w:rPr>
                <w:rFonts w:hint="eastAsia" w:ascii="宋体" w:hAnsi="宋体" w:cs="宋体"/>
                <w:color w:val="000000"/>
                <w:kern w:val="0"/>
                <w:sz w:val="18"/>
                <w:szCs w:val="18"/>
              </w:rPr>
              <w:t>0.16%</w:t>
            </w:r>
          </w:p>
        </w:tc>
        <w:tc>
          <w:tcPr>
            <w:tcW w:w="1602" w:type="dxa"/>
            <w:tcBorders>
              <w:top w:val="nil"/>
              <w:left w:val="nil"/>
              <w:bottom w:val="single" w:color="auto" w:sz="4" w:space="0"/>
              <w:right w:val="single" w:color="auto" w:sz="4" w:space="0"/>
            </w:tcBorders>
            <w:shd w:val="clear" w:color="auto" w:fill="auto"/>
          </w:tcPr>
          <w:p w14:paraId="6F4E58D2">
            <w:pPr>
              <w:widowControl/>
              <w:jc w:val="center"/>
              <w:rPr>
                <w:rFonts w:ascii="宋体" w:hAnsi="宋体" w:cs="宋体"/>
                <w:color w:val="000000"/>
                <w:kern w:val="0"/>
                <w:sz w:val="18"/>
                <w:szCs w:val="18"/>
              </w:rPr>
            </w:pPr>
            <w:r>
              <w:rPr>
                <w:rFonts w:hint="eastAsia" w:ascii="宋体" w:hAnsi="宋体" w:cs="宋体"/>
                <w:color w:val="000000"/>
                <w:kern w:val="0"/>
                <w:sz w:val="18"/>
                <w:szCs w:val="18"/>
              </w:rPr>
              <w:t>不包含预留的15.65公顷城乡建设用地</w:t>
            </w:r>
          </w:p>
        </w:tc>
      </w:tr>
      <w:tr w14:paraId="3D2F04A5">
        <w:tblPrEx>
          <w:tblCellMar>
            <w:top w:w="0" w:type="dxa"/>
            <w:left w:w="108" w:type="dxa"/>
            <w:bottom w:w="0" w:type="dxa"/>
            <w:right w:w="108" w:type="dxa"/>
          </w:tblCellMar>
        </w:tblPrEx>
        <w:trPr>
          <w:trHeight w:val="312"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4E0F66B6">
            <w:pPr>
              <w:widowControl/>
              <w:jc w:val="left"/>
              <w:rPr>
                <w:rFonts w:ascii="宋体" w:hAnsi="宋体" w:cs="宋体"/>
                <w:color w:val="000000"/>
                <w:kern w:val="0"/>
                <w:sz w:val="18"/>
                <w:szCs w:val="18"/>
              </w:rPr>
            </w:pPr>
          </w:p>
        </w:tc>
        <w:tc>
          <w:tcPr>
            <w:tcW w:w="2248" w:type="dxa"/>
            <w:gridSpan w:val="2"/>
            <w:tcBorders>
              <w:top w:val="single" w:color="auto" w:sz="4" w:space="0"/>
              <w:left w:val="nil"/>
              <w:bottom w:val="single" w:color="auto" w:sz="4" w:space="0"/>
              <w:right w:val="single" w:color="auto" w:sz="4" w:space="0"/>
            </w:tcBorders>
            <w:shd w:val="clear" w:color="auto" w:fill="auto"/>
            <w:vAlign w:val="center"/>
          </w:tcPr>
          <w:p w14:paraId="086A10EF">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交通水利用地</w:t>
            </w:r>
          </w:p>
        </w:tc>
        <w:tc>
          <w:tcPr>
            <w:tcW w:w="1026" w:type="dxa"/>
            <w:tcBorders>
              <w:top w:val="nil"/>
              <w:left w:val="nil"/>
              <w:bottom w:val="single" w:color="auto" w:sz="4" w:space="0"/>
              <w:right w:val="single" w:color="auto" w:sz="4" w:space="0"/>
            </w:tcBorders>
            <w:shd w:val="clear" w:color="auto" w:fill="auto"/>
            <w:noWrap/>
            <w:vAlign w:val="center"/>
          </w:tcPr>
          <w:p w14:paraId="2F318365">
            <w:pPr>
              <w:widowControl/>
              <w:jc w:val="center"/>
              <w:rPr>
                <w:rFonts w:ascii="宋体" w:hAnsi="宋体" w:cs="宋体"/>
                <w:color w:val="000000"/>
                <w:kern w:val="0"/>
                <w:sz w:val="18"/>
                <w:szCs w:val="18"/>
              </w:rPr>
            </w:pPr>
            <w:r>
              <w:rPr>
                <w:rFonts w:hint="eastAsia" w:ascii="宋体" w:hAnsi="宋体" w:cs="宋体"/>
                <w:color w:val="000000"/>
                <w:kern w:val="0"/>
                <w:sz w:val="18"/>
                <w:szCs w:val="18"/>
              </w:rPr>
              <w:t>714.07</w:t>
            </w:r>
          </w:p>
        </w:tc>
        <w:tc>
          <w:tcPr>
            <w:tcW w:w="960" w:type="dxa"/>
            <w:tcBorders>
              <w:top w:val="nil"/>
              <w:left w:val="nil"/>
              <w:bottom w:val="single" w:color="auto" w:sz="4" w:space="0"/>
              <w:right w:val="single" w:color="auto" w:sz="4" w:space="0"/>
            </w:tcBorders>
            <w:shd w:val="clear" w:color="auto" w:fill="auto"/>
            <w:vAlign w:val="center"/>
          </w:tcPr>
          <w:p w14:paraId="1F50F8EF">
            <w:pPr>
              <w:widowControl/>
              <w:jc w:val="center"/>
              <w:rPr>
                <w:rFonts w:ascii="宋体" w:hAnsi="宋体" w:cs="宋体"/>
                <w:color w:val="000000"/>
                <w:kern w:val="0"/>
                <w:sz w:val="18"/>
                <w:szCs w:val="18"/>
              </w:rPr>
            </w:pPr>
            <w:r>
              <w:rPr>
                <w:rFonts w:hint="eastAsia" w:ascii="宋体" w:hAnsi="宋体" w:cs="宋体"/>
                <w:color w:val="000000"/>
                <w:kern w:val="0"/>
                <w:sz w:val="18"/>
                <w:szCs w:val="18"/>
              </w:rPr>
              <w:t>0.38%</w:t>
            </w:r>
          </w:p>
        </w:tc>
        <w:tc>
          <w:tcPr>
            <w:tcW w:w="1244" w:type="dxa"/>
            <w:tcBorders>
              <w:top w:val="nil"/>
              <w:left w:val="nil"/>
              <w:bottom w:val="single" w:color="auto" w:sz="4" w:space="0"/>
              <w:right w:val="single" w:color="auto" w:sz="4" w:space="0"/>
            </w:tcBorders>
            <w:shd w:val="clear" w:color="auto" w:fill="auto"/>
            <w:noWrap/>
            <w:vAlign w:val="center"/>
          </w:tcPr>
          <w:p w14:paraId="5196FB09">
            <w:pPr>
              <w:widowControl/>
              <w:jc w:val="center"/>
              <w:rPr>
                <w:rFonts w:ascii="宋体" w:hAnsi="宋体" w:cs="宋体"/>
                <w:kern w:val="0"/>
                <w:sz w:val="18"/>
                <w:szCs w:val="18"/>
              </w:rPr>
            </w:pPr>
            <w:r>
              <w:rPr>
                <w:rFonts w:hint="eastAsia" w:ascii="宋体" w:hAnsi="宋体" w:cs="宋体"/>
                <w:kern w:val="0"/>
                <w:sz w:val="18"/>
                <w:szCs w:val="18"/>
              </w:rPr>
              <w:t xml:space="preserve">741.85 </w:t>
            </w:r>
          </w:p>
        </w:tc>
        <w:tc>
          <w:tcPr>
            <w:tcW w:w="976" w:type="dxa"/>
            <w:tcBorders>
              <w:top w:val="nil"/>
              <w:left w:val="nil"/>
              <w:bottom w:val="single" w:color="auto" w:sz="4" w:space="0"/>
              <w:right w:val="single" w:color="auto" w:sz="4" w:space="0"/>
            </w:tcBorders>
            <w:shd w:val="clear" w:color="auto" w:fill="auto"/>
            <w:noWrap/>
            <w:vAlign w:val="center"/>
          </w:tcPr>
          <w:p w14:paraId="125CFF24">
            <w:pPr>
              <w:widowControl/>
              <w:jc w:val="center"/>
              <w:rPr>
                <w:rFonts w:ascii="宋体" w:hAnsi="宋体" w:cs="宋体"/>
                <w:color w:val="000000"/>
                <w:kern w:val="0"/>
                <w:sz w:val="18"/>
                <w:szCs w:val="18"/>
              </w:rPr>
            </w:pPr>
            <w:r>
              <w:rPr>
                <w:rFonts w:hint="eastAsia" w:ascii="宋体" w:hAnsi="宋体" w:cs="宋体"/>
                <w:color w:val="000000"/>
                <w:kern w:val="0"/>
                <w:sz w:val="18"/>
                <w:szCs w:val="18"/>
              </w:rPr>
              <w:t>0.40%</w:t>
            </w:r>
          </w:p>
        </w:tc>
        <w:tc>
          <w:tcPr>
            <w:tcW w:w="985" w:type="dxa"/>
            <w:tcBorders>
              <w:top w:val="nil"/>
              <w:left w:val="nil"/>
              <w:bottom w:val="single" w:color="auto" w:sz="4" w:space="0"/>
              <w:right w:val="single" w:color="auto" w:sz="4" w:space="0"/>
            </w:tcBorders>
            <w:shd w:val="clear" w:color="auto" w:fill="auto"/>
            <w:vAlign w:val="center"/>
          </w:tcPr>
          <w:p w14:paraId="5EC78C6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27.78 </w:t>
            </w:r>
          </w:p>
        </w:tc>
        <w:tc>
          <w:tcPr>
            <w:tcW w:w="960" w:type="dxa"/>
            <w:tcBorders>
              <w:top w:val="nil"/>
              <w:left w:val="nil"/>
              <w:bottom w:val="single" w:color="auto" w:sz="4" w:space="0"/>
              <w:right w:val="single" w:color="auto" w:sz="4" w:space="0"/>
            </w:tcBorders>
            <w:shd w:val="clear" w:color="auto" w:fill="auto"/>
            <w:vAlign w:val="center"/>
          </w:tcPr>
          <w:p w14:paraId="634DF550">
            <w:pPr>
              <w:widowControl/>
              <w:jc w:val="center"/>
              <w:rPr>
                <w:rFonts w:ascii="宋体" w:hAnsi="宋体" w:cs="宋体"/>
                <w:color w:val="000000"/>
                <w:kern w:val="0"/>
                <w:sz w:val="18"/>
                <w:szCs w:val="18"/>
              </w:rPr>
            </w:pPr>
            <w:r>
              <w:rPr>
                <w:rFonts w:hint="eastAsia" w:ascii="宋体" w:hAnsi="宋体" w:cs="宋体"/>
                <w:color w:val="000000"/>
                <w:kern w:val="0"/>
                <w:sz w:val="18"/>
                <w:szCs w:val="18"/>
              </w:rPr>
              <w:t>0.02%</w:t>
            </w:r>
          </w:p>
        </w:tc>
        <w:tc>
          <w:tcPr>
            <w:tcW w:w="1602" w:type="dxa"/>
            <w:tcBorders>
              <w:top w:val="nil"/>
              <w:left w:val="nil"/>
              <w:bottom w:val="single" w:color="auto" w:sz="4" w:space="0"/>
              <w:right w:val="single" w:color="auto" w:sz="4" w:space="0"/>
            </w:tcBorders>
            <w:shd w:val="clear" w:color="auto" w:fill="auto"/>
          </w:tcPr>
          <w:p w14:paraId="48B20E8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9AAA727">
        <w:tblPrEx>
          <w:tblCellMar>
            <w:top w:w="0" w:type="dxa"/>
            <w:left w:w="108" w:type="dxa"/>
            <w:bottom w:w="0" w:type="dxa"/>
            <w:right w:w="108" w:type="dxa"/>
          </w:tblCellMar>
        </w:tblPrEx>
        <w:trPr>
          <w:trHeight w:val="312"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459ACC69">
            <w:pPr>
              <w:widowControl/>
              <w:jc w:val="left"/>
              <w:rPr>
                <w:rFonts w:ascii="宋体" w:hAnsi="宋体" w:cs="宋体"/>
                <w:color w:val="000000"/>
                <w:kern w:val="0"/>
                <w:sz w:val="18"/>
                <w:szCs w:val="18"/>
              </w:rPr>
            </w:pPr>
          </w:p>
        </w:tc>
        <w:tc>
          <w:tcPr>
            <w:tcW w:w="2248" w:type="dxa"/>
            <w:gridSpan w:val="2"/>
            <w:tcBorders>
              <w:top w:val="single" w:color="auto" w:sz="4" w:space="0"/>
              <w:left w:val="nil"/>
              <w:bottom w:val="single" w:color="auto" w:sz="4" w:space="0"/>
              <w:right w:val="single" w:color="auto" w:sz="4" w:space="0"/>
            </w:tcBorders>
            <w:shd w:val="clear" w:color="auto" w:fill="auto"/>
            <w:vAlign w:val="center"/>
          </w:tcPr>
          <w:p w14:paraId="42744601">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其他建设用地</w:t>
            </w:r>
          </w:p>
        </w:tc>
        <w:tc>
          <w:tcPr>
            <w:tcW w:w="1026" w:type="dxa"/>
            <w:tcBorders>
              <w:top w:val="nil"/>
              <w:left w:val="nil"/>
              <w:bottom w:val="single" w:color="auto" w:sz="4" w:space="0"/>
              <w:right w:val="single" w:color="auto" w:sz="4" w:space="0"/>
            </w:tcBorders>
            <w:shd w:val="clear" w:color="auto" w:fill="auto"/>
            <w:noWrap/>
            <w:vAlign w:val="center"/>
          </w:tcPr>
          <w:p w14:paraId="0F8C0302">
            <w:pPr>
              <w:widowControl/>
              <w:jc w:val="center"/>
              <w:rPr>
                <w:rFonts w:ascii="宋体" w:hAnsi="宋体" w:cs="宋体"/>
                <w:color w:val="000000"/>
                <w:kern w:val="0"/>
                <w:sz w:val="18"/>
                <w:szCs w:val="18"/>
              </w:rPr>
            </w:pPr>
            <w:r>
              <w:rPr>
                <w:rFonts w:hint="eastAsia" w:ascii="宋体" w:hAnsi="宋体" w:cs="宋体"/>
                <w:color w:val="000000"/>
                <w:kern w:val="0"/>
                <w:sz w:val="18"/>
                <w:szCs w:val="18"/>
              </w:rPr>
              <w:t>46.55</w:t>
            </w:r>
          </w:p>
        </w:tc>
        <w:tc>
          <w:tcPr>
            <w:tcW w:w="960" w:type="dxa"/>
            <w:tcBorders>
              <w:top w:val="nil"/>
              <w:left w:val="nil"/>
              <w:bottom w:val="single" w:color="auto" w:sz="4" w:space="0"/>
              <w:right w:val="single" w:color="auto" w:sz="4" w:space="0"/>
            </w:tcBorders>
            <w:shd w:val="clear" w:color="auto" w:fill="auto"/>
            <w:vAlign w:val="center"/>
          </w:tcPr>
          <w:p w14:paraId="6D67496E">
            <w:pPr>
              <w:widowControl/>
              <w:jc w:val="center"/>
              <w:rPr>
                <w:rFonts w:ascii="宋体" w:hAnsi="宋体" w:cs="宋体"/>
                <w:color w:val="000000"/>
                <w:kern w:val="0"/>
                <w:sz w:val="18"/>
                <w:szCs w:val="18"/>
              </w:rPr>
            </w:pPr>
            <w:r>
              <w:rPr>
                <w:rFonts w:hint="eastAsia" w:ascii="宋体" w:hAnsi="宋体" w:cs="宋体"/>
                <w:color w:val="000000"/>
                <w:kern w:val="0"/>
                <w:sz w:val="18"/>
                <w:szCs w:val="18"/>
              </w:rPr>
              <w:t>0.02%</w:t>
            </w:r>
          </w:p>
        </w:tc>
        <w:tc>
          <w:tcPr>
            <w:tcW w:w="1244" w:type="dxa"/>
            <w:tcBorders>
              <w:top w:val="nil"/>
              <w:left w:val="nil"/>
              <w:bottom w:val="single" w:color="auto" w:sz="4" w:space="0"/>
              <w:right w:val="single" w:color="auto" w:sz="4" w:space="0"/>
            </w:tcBorders>
            <w:shd w:val="clear" w:color="auto" w:fill="auto"/>
            <w:noWrap/>
            <w:vAlign w:val="center"/>
          </w:tcPr>
          <w:p w14:paraId="42B78435">
            <w:pPr>
              <w:widowControl/>
              <w:jc w:val="center"/>
              <w:rPr>
                <w:rFonts w:ascii="宋体" w:hAnsi="宋体" w:cs="宋体"/>
                <w:kern w:val="0"/>
                <w:sz w:val="18"/>
                <w:szCs w:val="18"/>
              </w:rPr>
            </w:pPr>
            <w:r>
              <w:rPr>
                <w:rFonts w:hint="eastAsia" w:ascii="宋体" w:hAnsi="宋体" w:cs="宋体"/>
                <w:kern w:val="0"/>
                <w:sz w:val="18"/>
                <w:szCs w:val="18"/>
              </w:rPr>
              <w:t xml:space="preserve">45.63 </w:t>
            </w:r>
          </w:p>
        </w:tc>
        <w:tc>
          <w:tcPr>
            <w:tcW w:w="976" w:type="dxa"/>
            <w:tcBorders>
              <w:top w:val="nil"/>
              <w:left w:val="nil"/>
              <w:bottom w:val="single" w:color="auto" w:sz="4" w:space="0"/>
              <w:right w:val="single" w:color="auto" w:sz="4" w:space="0"/>
            </w:tcBorders>
            <w:shd w:val="clear" w:color="auto" w:fill="auto"/>
            <w:noWrap/>
            <w:vAlign w:val="center"/>
          </w:tcPr>
          <w:p w14:paraId="00F7835B">
            <w:pPr>
              <w:widowControl/>
              <w:jc w:val="center"/>
              <w:rPr>
                <w:rFonts w:ascii="宋体" w:hAnsi="宋体" w:cs="宋体"/>
                <w:color w:val="000000"/>
                <w:kern w:val="0"/>
                <w:sz w:val="18"/>
                <w:szCs w:val="18"/>
              </w:rPr>
            </w:pPr>
            <w:r>
              <w:rPr>
                <w:rFonts w:hint="eastAsia" w:ascii="宋体" w:hAnsi="宋体" w:cs="宋体"/>
                <w:color w:val="000000"/>
                <w:kern w:val="0"/>
                <w:sz w:val="18"/>
                <w:szCs w:val="18"/>
              </w:rPr>
              <w:t>0.02%</w:t>
            </w:r>
          </w:p>
        </w:tc>
        <w:tc>
          <w:tcPr>
            <w:tcW w:w="985" w:type="dxa"/>
            <w:tcBorders>
              <w:top w:val="nil"/>
              <w:left w:val="nil"/>
              <w:bottom w:val="single" w:color="auto" w:sz="4" w:space="0"/>
              <w:right w:val="single" w:color="auto" w:sz="4" w:space="0"/>
            </w:tcBorders>
            <w:shd w:val="clear" w:color="auto" w:fill="auto"/>
            <w:vAlign w:val="center"/>
          </w:tcPr>
          <w:p w14:paraId="5D4D8D6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-0.92 </w:t>
            </w:r>
          </w:p>
        </w:tc>
        <w:tc>
          <w:tcPr>
            <w:tcW w:w="960" w:type="dxa"/>
            <w:tcBorders>
              <w:top w:val="nil"/>
              <w:left w:val="nil"/>
              <w:bottom w:val="single" w:color="auto" w:sz="4" w:space="0"/>
              <w:right w:val="single" w:color="auto" w:sz="4" w:space="0"/>
            </w:tcBorders>
            <w:shd w:val="clear" w:color="auto" w:fill="auto"/>
            <w:vAlign w:val="center"/>
          </w:tcPr>
          <w:p w14:paraId="23D9845F">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602" w:type="dxa"/>
            <w:tcBorders>
              <w:top w:val="nil"/>
              <w:left w:val="nil"/>
              <w:bottom w:val="single" w:color="auto" w:sz="4" w:space="0"/>
              <w:right w:val="single" w:color="auto" w:sz="4" w:space="0"/>
            </w:tcBorders>
            <w:shd w:val="clear" w:color="auto" w:fill="auto"/>
          </w:tcPr>
          <w:p w14:paraId="48AE998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30B0C6B4">
        <w:tblPrEx>
          <w:tblCellMar>
            <w:top w:w="0" w:type="dxa"/>
            <w:left w:w="108" w:type="dxa"/>
            <w:bottom w:w="0" w:type="dxa"/>
            <w:right w:w="108" w:type="dxa"/>
          </w:tblCellMar>
        </w:tblPrEx>
        <w:trPr>
          <w:trHeight w:val="864"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1D81814A">
            <w:pPr>
              <w:widowControl/>
              <w:jc w:val="left"/>
              <w:rPr>
                <w:rFonts w:ascii="宋体" w:hAnsi="宋体" w:cs="宋体"/>
                <w:color w:val="000000"/>
                <w:kern w:val="0"/>
                <w:sz w:val="18"/>
                <w:szCs w:val="18"/>
              </w:rPr>
            </w:pPr>
          </w:p>
        </w:tc>
        <w:tc>
          <w:tcPr>
            <w:tcW w:w="2248" w:type="dxa"/>
            <w:gridSpan w:val="2"/>
            <w:tcBorders>
              <w:top w:val="single" w:color="auto" w:sz="4" w:space="0"/>
              <w:left w:val="nil"/>
              <w:bottom w:val="single" w:color="auto" w:sz="4" w:space="0"/>
              <w:right w:val="single" w:color="auto" w:sz="4" w:space="0"/>
            </w:tcBorders>
            <w:shd w:val="clear" w:color="auto" w:fill="auto"/>
            <w:vAlign w:val="center"/>
          </w:tcPr>
          <w:p w14:paraId="19B35572">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1026" w:type="dxa"/>
            <w:tcBorders>
              <w:top w:val="nil"/>
              <w:left w:val="nil"/>
              <w:bottom w:val="single" w:color="auto" w:sz="4" w:space="0"/>
              <w:right w:val="single" w:color="auto" w:sz="4" w:space="0"/>
            </w:tcBorders>
            <w:shd w:val="clear" w:color="auto" w:fill="auto"/>
            <w:vAlign w:val="center"/>
          </w:tcPr>
          <w:p w14:paraId="1B0E4592">
            <w:pPr>
              <w:widowControl/>
              <w:jc w:val="center"/>
              <w:rPr>
                <w:rFonts w:ascii="宋体" w:hAnsi="宋体" w:cs="宋体"/>
                <w:color w:val="000000"/>
                <w:kern w:val="0"/>
                <w:sz w:val="18"/>
                <w:szCs w:val="18"/>
              </w:rPr>
            </w:pPr>
            <w:r>
              <w:rPr>
                <w:rFonts w:hint="eastAsia" w:ascii="宋体" w:hAnsi="宋体" w:cs="宋体"/>
                <w:color w:val="000000"/>
                <w:kern w:val="0"/>
                <w:sz w:val="18"/>
                <w:szCs w:val="18"/>
              </w:rPr>
              <w:t>5816.16</w:t>
            </w:r>
          </w:p>
        </w:tc>
        <w:tc>
          <w:tcPr>
            <w:tcW w:w="960" w:type="dxa"/>
            <w:tcBorders>
              <w:top w:val="nil"/>
              <w:left w:val="nil"/>
              <w:bottom w:val="single" w:color="auto" w:sz="4" w:space="0"/>
              <w:right w:val="single" w:color="auto" w:sz="4" w:space="0"/>
            </w:tcBorders>
            <w:shd w:val="clear" w:color="auto" w:fill="auto"/>
            <w:vAlign w:val="center"/>
          </w:tcPr>
          <w:p w14:paraId="2572F400">
            <w:pPr>
              <w:widowControl/>
              <w:jc w:val="center"/>
              <w:rPr>
                <w:rFonts w:ascii="宋体" w:hAnsi="宋体" w:cs="宋体"/>
                <w:color w:val="000000"/>
                <w:kern w:val="0"/>
                <w:sz w:val="18"/>
                <w:szCs w:val="18"/>
              </w:rPr>
            </w:pPr>
            <w:r>
              <w:rPr>
                <w:rFonts w:hint="eastAsia" w:ascii="宋体" w:hAnsi="宋体" w:cs="宋体"/>
                <w:color w:val="000000"/>
                <w:kern w:val="0"/>
                <w:sz w:val="18"/>
                <w:szCs w:val="18"/>
              </w:rPr>
              <w:t>3.12%</w:t>
            </w:r>
          </w:p>
        </w:tc>
        <w:tc>
          <w:tcPr>
            <w:tcW w:w="1244" w:type="dxa"/>
            <w:tcBorders>
              <w:top w:val="nil"/>
              <w:left w:val="nil"/>
              <w:bottom w:val="single" w:color="auto" w:sz="4" w:space="0"/>
              <w:right w:val="single" w:color="auto" w:sz="4" w:space="0"/>
            </w:tcBorders>
            <w:shd w:val="clear" w:color="auto" w:fill="auto"/>
            <w:noWrap/>
            <w:vAlign w:val="center"/>
          </w:tcPr>
          <w:p w14:paraId="21FF8C60">
            <w:pPr>
              <w:widowControl/>
              <w:jc w:val="center"/>
              <w:rPr>
                <w:rFonts w:ascii="宋体" w:hAnsi="宋体" w:cs="宋体"/>
                <w:kern w:val="0"/>
                <w:sz w:val="18"/>
                <w:szCs w:val="18"/>
              </w:rPr>
            </w:pPr>
            <w:r>
              <w:rPr>
                <w:rFonts w:hint="eastAsia" w:ascii="宋体" w:hAnsi="宋体" w:cs="宋体"/>
                <w:kern w:val="0"/>
                <w:sz w:val="18"/>
                <w:szCs w:val="18"/>
              </w:rPr>
              <w:t xml:space="preserve">6140.01 </w:t>
            </w:r>
          </w:p>
        </w:tc>
        <w:tc>
          <w:tcPr>
            <w:tcW w:w="976" w:type="dxa"/>
            <w:tcBorders>
              <w:top w:val="nil"/>
              <w:left w:val="nil"/>
              <w:bottom w:val="single" w:color="auto" w:sz="4" w:space="0"/>
              <w:right w:val="single" w:color="auto" w:sz="4" w:space="0"/>
            </w:tcBorders>
            <w:shd w:val="clear" w:color="auto" w:fill="auto"/>
            <w:noWrap/>
            <w:vAlign w:val="center"/>
          </w:tcPr>
          <w:p w14:paraId="6B8FC95C">
            <w:pPr>
              <w:widowControl/>
              <w:jc w:val="center"/>
              <w:rPr>
                <w:rFonts w:ascii="宋体" w:hAnsi="宋体" w:cs="宋体"/>
                <w:color w:val="000000"/>
                <w:kern w:val="0"/>
                <w:sz w:val="18"/>
                <w:szCs w:val="18"/>
              </w:rPr>
            </w:pPr>
            <w:r>
              <w:rPr>
                <w:rFonts w:hint="eastAsia" w:ascii="宋体" w:hAnsi="宋体" w:cs="宋体"/>
                <w:color w:val="000000"/>
                <w:kern w:val="0"/>
                <w:sz w:val="18"/>
                <w:szCs w:val="18"/>
              </w:rPr>
              <w:t>3.29%</w:t>
            </w:r>
          </w:p>
        </w:tc>
        <w:tc>
          <w:tcPr>
            <w:tcW w:w="985" w:type="dxa"/>
            <w:tcBorders>
              <w:top w:val="nil"/>
              <w:left w:val="nil"/>
              <w:bottom w:val="single" w:color="auto" w:sz="4" w:space="0"/>
              <w:right w:val="single" w:color="auto" w:sz="4" w:space="0"/>
            </w:tcBorders>
            <w:shd w:val="clear" w:color="auto" w:fill="auto"/>
            <w:vAlign w:val="center"/>
          </w:tcPr>
          <w:p w14:paraId="4ECE2AC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323.85 </w:t>
            </w:r>
          </w:p>
        </w:tc>
        <w:tc>
          <w:tcPr>
            <w:tcW w:w="960" w:type="dxa"/>
            <w:tcBorders>
              <w:top w:val="nil"/>
              <w:left w:val="nil"/>
              <w:bottom w:val="single" w:color="auto" w:sz="4" w:space="0"/>
              <w:right w:val="single" w:color="auto" w:sz="4" w:space="0"/>
            </w:tcBorders>
            <w:shd w:val="clear" w:color="auto" w:fill="auto"/>
            <w:vAlign w:val="center"/>
          </w:tcPr>
          <w:p w14:paraId="5CF8CB24">
            <w:pPr>
              <w:widowControl/>
              <w:jc w:val="center"/>
              <w:rPr>
                <w:rFonts w:ascii="宋体" w:hAnsi="宋体" w:cs="宋体"/>
                <w:color w:val="000000"/>
                <w:kern w:val="0"/>
                <w:sz w:val="18"/>
                <w:szCs w:val="18"/>
              </w:rPr>
            </w:pPr>
            <w:r>
              <w:rPr>
                <w:rFonts w:hint="eastAsia" w:ascii="宋体" w:hAnsi="宋体" w:cs="宋体"/>
                <w:color w:val="000000"/>
                <w:kern w:val="0"/>
                <w:sz w:val="18"/>
                <w:szCs w:val="18"/>
              </w:rPr>
              <w:t>0.17%</w:t>
            </w:r>
          </w:p>
        </w:tc>
        <w:tc>
          <w:tcPr>
            <w:tcW w:w="1602" w:type="dxa"/>
            <w:tcBorders>
              <w:top w:val="nil"/>
              <w:left w:val="nil"/>
              <w:bottom w:val="single" w:color="auto" w:sz="4" w:space="0"/>
              <w:right w:val="single" w:color="auto" w:sz="4" w:space="0"/>
            </w:tcBorders>
            <w:shd w:val="clear" w:color="auto" w:fill="auto"/>
          </w:tcPr>
          <w:p w14:paraId="20302156">
            <w:pPr>
              <w:widowControl/>
              <w:jc w:val="center"/>
              <w:rPr>
                <w:rFonts w:ascii="宋体" w:hAnsi="宋体" w:cs="宋体"/>
                <w:color w:val="000000"/>
                <w:kern w:val="0"/>
                <w:sz w:val="18"/>
                <w:szCs w:val="18"/>
              </w:rPr>
            </w:pPr>
            <w:r>
              <w:rPr>
                <w:rFonts w:hint="eastAsia" w:ascii="宋体" w:hAnsi="宋体" w:cs="宋体"/>
                <w:color w:val="000000"/>
                <w:kern w:val="0"/>
                <w:sz w:val="18"/>
                <w:szCs w:val="18"/>
              </w:rPr>
              <w:t>不包含预留的15.65公顷城乡建设用地</w:t>
            </w:r>
          </w:p>
        </w:tc>
      </w:tr>
      <w:tr w14:paraId="5F6E5B71">
        <w:tblPrEx>
          <w:tblCellMar>
            <w:top w:w="0" w:type="dxa"/>
            <w:left w:w="108" w:type="dxa"/>
            <w:bottom w:w="0" w:type="dxa"/>
            <w:right w:w="108" w:type="dxa"/>
          </w:tblCellMar>
        </w:tblPrEx>
        <w:trPr>
          <w:trHeight w:val="312" w:hRule="atLeast"/>
          <w:jc w:val="center"/>
        </w:trPr>
        <w:tc>
          <w:tcPr>
            <w:tcW w:w="588" w:type="dxa"/>
            <w:vMerge w:val="restart"/>
            <w:tcBorders>
              <w:top w:val="nil"/>
              <w:left w:val="single" w:color="auto" w:sz="4" w:space="0"/>
              <w:bottom w:val="single" w:color="auto" w:sz="4" w:space="0"/>
              <w:right w:val="single" w:color="auto" w:sz="4" w:space="0"/>
            </w:tcBorders>
            <w:shd w:val="clear" w:color="auto" w:fill="auto"/>
            <w:vAlign w:val="center"/>
          </w:tcPr>
          <w:p w14:paraId="010EC95C">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其他土地</w:t>
            </w:r>
          </w:p>
        </w:tc>
        <w:tc>
          <w:tcPr>
            <w:tcW w:w="2248" w:type="dxa"/>
            <w:gridSpan w:val="2"/>
            <w:tcBorders>
              <w:top w:val="single" w:color="auto" w:sz="4" w:space="0"/>
              <w:left w:val="nil"/>
              <w:bottom w:val="single" w:color="auto" w:sz="4" w:space="0"/>
              <w:right w:val="single" w:color="auto" w:sz="4" w:space="0"/>
            </w:tcBorders>
            <w:shd w:val="clear" w:color="auto" w:fill="auto"/>
            <w:vAlign w:val="center"/>
          </w:tcPr>
          <w:p w14:paraId="1000171E">
            <w:pPr>
              <w:widowControl/>
              <w:jc w:val="center"/>
              <w:rPr>
                <w:rFonts w:ascii="宋体" w:hAnsi="宋体" w:cs="宋体"/>
                <w:color w:val="000000"/>
                <w:kern w:val="0"/>
                <w:sz w:val="18"/>
                <w:szCs w:val="18"/>
              </w:rPr>
            </w:pPr>
            <w:r>
              <w:rPr>
                <w:rFonts w:hint="eastAsia" w:ascii="宋体" w:hAnsi="宋体" w:cs="宋体"/>
                <w:color w:val="000000"/>
                <w:kern w:val="0"/>
                <w:sz w:val="18"/>
                <w:szCs w:val="18"/>
              </w:rPr>
              <w:t>水域</w:t>
            </w:r>
          </w:p>
        </w:tc>
        <w:tc>
          <w:tcPr>
            <w:tcW w:w="1026" w:type="dxa"/>
            <w:tcBorders>
              <w:top w:val="nil"/>
              <w:left w:val="nil"/>
              <w:bottom w:val="single" w:color="auto" w:sz="4" w:space="0"/>
              <w:right w:val="single" w:color="auto" w:sz="4" w:space="0"/>
            </w:tcBorders>
            <w:shd w:val="clear" w:color="auto" w:fill="auto"/>
            <w:noWrap/>
            <w:vAlign w:val="center"/>
          </w:tcPr>
          <w:p w14:paraId="64ADAF06">
            <w:pPr>
              <w:widowControl/>
              <w:jc w:val="center"/>
              <w:rPr>
                <w:rFonts w:ascii="宋体" w:hAnsi="宋体" w:cs="宋体"/>
                <w:color w:val="000000"/>
                <w:kern w:val="0"/>
                <w:sz w:val="18"/>
                <w:szCs w:val="18"/>
              </w:rPr>
            </w:pPr>
            <w:r>
              <w:rPr>
                <w:rFonts w:hint="eastAsia" w:ascii="宋体" w:hAnsi="宋体" w:cs="宋体"/>
                <w:color w:val="000000"/>
                <w:kern w:val="0"/>
                <w:sz w:val="18"/>
                <w:szCs w:val="18"/>
              </w:rPr>
              <w:t>4034.68</w:t>
            </w:r>
          </w:p>
        </w:tc>
        <w:tc>
          <w:tcPr>
            <w:tcW w:w="960" w:type="dxa"/>
            <w:tcBorders>
              <w:top w:val="nil"/>
              <w:left w:val="nil"/>
              <w:bottom w:val="single" w:color="auto" w:sz="4" w:space="0"/>
              <w:right w:val="single" w:color="auto" w:sz="4" w:space="0"/>
            </w:tcBorders>
            <w:shd w:val="clear" w:color="auto" w:fill="auto"/>
            <w:vAlign w:val="center"/>
          </w:tcPr>
          <w:p w14:paraId="4AA34E96">
            <w:pPr>
              <w:widowControl/>
              <w:jc w:val="center"/>
              <w:rPr>
                <w:rFonts w:ascii="宋体" w:hAnsi="宋体" w:cs="宋体"/>
                <w:color w:val="000000"/>
                <w:kern w:val="0"/>
                <w:sz w:val="18"/>
                <w:szCs w:val="18"/>
              </w:rPr>
            </w:pPr>
            <w:r>
              <w:rPr>
                <w:rFonts w:hint="eastAsia" w:ascii="宋体" w:hAnsi="宋体" w:cs="宋体"/>
                <w:color w:val="000000"/>
                <w:kern w:val="0"/>
                <w:sz w:val="18"/>
                <w:szCs w:val="18"/>
              </w:rPr>
              <w:t>2.16%</w:t>
            </w:r>
          </w:p>
        </w:tc>
        <w:tc>
          <w:tcPr>
            <w:tcW w:w="1244" w:type="dxa"/>
            <w:tcBorders>
              <w:top w:val="nil"/>
              <w:left w:val="nil"/>
              <w:bottom w:val="single" w:color="auto" w:sz="4" w:space="0"/>
              <w:right w:val="single" w:color="auto" w:sz="4" w:space="0"/>
            </w:tcBorders>
            <w:shd w:val="clear" w:color="auto" w:fill="auto"/>
            <w:noWrap/>
            <w:vAlign w:val="center"/>
          </w:tcPr>
          <w:p w14:paraId="33708F15">
            <w:pPr>
              <w:widowControl/>
              <w:jc w:val="center"/>
              <w:rPr>
                <w:rFonts w:ascii="宋体" w:hAnsi="宋体" w:cs="宋体"/>
                <w:kern w:val="0"/>
                <w:sz w:val="18"/>
                <w:szCs w:val="18"/>
              </w:rPr>
            </w:pPr>
            <w:r>
              <w:rPr>
                <w:rFonts w:hint="eastAsia" w:ascii="宋体" w:hAnsi="宋体" w:cs="宋体"/>
                <w:kern w:val="0"/>
                <w:sz w:val="18"/>
                <w:szCs w:val="18"/>
              </w:rPr>
              <w:t xml:space="preserve">4012.48 </w:t>
            </w:r>
          </w:p>
        </w:tc>
        <w:tc>
          <w:tcPr>
            <w:tcW w:w="976" w:type="dxa"/>
            <w:tcBorders>
              <w:top w:val="nil"/>
              <w:left w:val="nil"/>
              <w:bottom w:val="single" w:color="auto" w:sz="4" w:space="0"/>
              <w:right w:val="single" w:color="auto" w:sz="4" w:space="0"/>
            </w:tcBorders>
            <w:shd w:val="clear" w:color="auto" w:fill="auto"/>
            <w:noWrap/>
            <w:vAlign w:val="center"/>
          </w:tcPr>
          <w:p w14:paraId="58E534A4">
            <w:pPr>
              <w:widowControl/>
              <w:jc w:val="center"/>
              <w:rPr>
                <w:rFonts w:ascii="宋体" w:hAnsi="宋体" w:cs="宋体"/>
                <w:color w:val="000000"/>
                <w:kern w:val="0"/>
                <w:sz w:val="18"/>
                <w:szCs w:val="18"/>
              </w:rPr>
            </w:pPr>
            <w:r>
              <w:rPr>
                <w:rFonts w:hint="eastAsia" w:ascii="宋体" w:hAnsi="宋体" w:cs="宋体"/>
                <w:color w:val="000000"/>
                <w:kern w:val="0"/>
                <w:sz w:val="18"/>
                <w:szCs w:val="18"/>
              </w:rPr>
              <w:t>2.15%</w:t>
            </w:r>
          </w:p>
        </w:tc>
        <w:tc>
          <w:tcPr>
            <w:tcW w:w="985" w:type="dxa"/>
            <w:tcBorders>
              <w:top w:val="nil"/>
              <w:left w:val="nil"/>
              <w:bottom w:val="single" w:color="auto" w:sz="4" w:space="0"/>
              <w:right w:val="single" w:color="auto" w:sz="4" w:space="0"/>
            </w:tcBorders>
            <w:shd w:val="clear" w:color="auto" w:fill="auto"/>
            <w:vAlign w:val="center"/>
          </w:tcPr>
          <w:p w14:paraId="59F303D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-22.20 </w:t>
            </w:r>
          </w:p>
        </w:tc>
        <w:tc>
          <w:tcPr>
            <w:tcW w:w="960" w:type="dxa"/>
            <w:tcBorders>
              <w:top w:val="nil"/>
              <w:left w:val="nil"/>
              <w:bottom w:val="single" w:color="auto" w:sz="4" w:space="0"/>
              <w:right w:val="single" w:color="auto" w:sz="4" w:space="0"/>
            </w:tcBorders>
            <w:shd w:val="clear" w:color="auto" w:fill="auto"/>
            <w:vAlign w:val="center"/>
          </w:tcPr>
          <w:p w14:paraId="78FED601">
            <w:pPr>
              <w:widowControl/>
              <w:jc w:val="center"/>
              <w:rPr>
                <w:rFonts w:ascii="宋体" w:hAnsi="宋体" w:cs="宋体"/>
                <w:color w:val="000000"/>
                <w:kern w:val="0"/>
                <w:sz w:val="18"/>
                <w:szCs w:val="18"/>
              </w:rPr>
            </w:pPr>
            <w:r>
              <w:rPr>
                <w:rFonts w:hint="eastAsia" w:ascii="宋体" w:hAnsi="宋体" w:cs="宋体"/>
                <w:color w:val="000000"/>
                <w:kern w:val="0"/>
                <w:sz w:val="18"/>
                <w:szCs w:val="18"/>
              </w:rPr>
              <w:t>-0.01%</w:t>
            </w:r>
          </w:p>
        </w:tc>
        <w:tc>
          <w:tcPr>
            <w:tcW w:w="1602" w:type="dxa"/>
            <w:tcBorders>
              <w:top w:val="nil"/>
              <w:left w:val="nil"/>
              <w:bottom w:val="single" w:color="auto" w:sz="4" w:space="0"/>
              <w:right w:val="single" w:color="auto" w:sz="4" w:space="0"/>
            </w:tcBorders>
            <w:shd w:val="clear" w:color="auto" w:fill="auto"/>
          </w:tcPr>
          <w:p w14:paraId="25C622C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7321481A">
        <w:tblPrEx>
          <w:tblCellMar>
            <w:top w:w="0" w:type="dxa"/>
            <w:left w:w="108" w:type="dxa"/>
            <w:bottom w:w="0" w:type="dxa"/>
            <w:right w:w="108" w:type="dxa"/>
          </w:tblCellMar>
        </w:tblPrEx>
        <w:trPr>
          <w:trHeight w:val="312"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391518DE">
            <w:pPr>
              <w:widowControl/>
              <w:jc w:val="left"/>
              <w:rPr>
                <w:rFonts w:ascii="宋体" w:hAnsi="宋体" w:cs="宋体"/>
                <w:color w:val="000000"/>
                <w:kern w:val="0"/>
                <w:sz w:val="18"/>
                <w:szCs w:val="18"/>
              </w:rPr>
            </w:pPr>
          </w:p>
        </w:tc>
        <w:tc>
          <w:tcPr>
            <w:tcW w:w="2248" w:type="dxa"/>
            <w:gridSpan w:val="2"/>
            <w:tcBorders>
              <w:top w:val="single" w:color="auto" w:sz="4" w:space="0"/>
              <w:left w:val="nil"/>
              <w:bottom w:val="single" w:color="auto" w:sz="4" w:space="0"/>
              <w:right w:val="single" w:color="auto" w:sz="4" w:space="0"/>
            </w:tcBorders>
            <w:shd w:val="clear" w:color="auto" w:fill="auto"/>
            <w:vAlign w:val="center"/>
          </w:tcPr>
          <w:p w14:paraId="2BCDBE57">
            <w:pPr>
              <w:widowControl/>
              <w:jc w:val="center"/>
              <w:rPr>
                <w:rFonts w:ascii="宋体" w:hAnsi="宋体" w:cs="宋体"/>
                <w:color w:val="000000"/>
                <w:kern w:val="0"/>
                <w:sz w:val="18"/>
                <w:szCs w:val="18"/>
              </w:rPr>
            </w:pPr>
            <w:r>
              <w:rPr>
                <w:rFonts w:hint="eastAsia" w:ascii="宋体" w:hAnsi="宋体" w:cs="宋体"/>
                <w:color w:val="000000"/>
                <w:kern w:val="0"/>
                <w:sz w:val="18"/>
                <w:szCs w:val="18"/>
              </w:rPr>
              <w:t>自然保留地</w:t>
            </w:r>
          </w:p>
        </w:tc>
        <w:tc>
          <w:tcPr>
            <w:tcW w:w="1026" w:type="dxa"/>
            <w:tcBorders>
              <w:top w:val="nil"/>
              <w:left w:val="nil"/>
              <w:bottom w:val="single" w:color="auto" w:sz="4" w:space="0"/>
              <w:right w:val="single" w:color="auto" w:sz="4" w:space="0"/>
            </w:tcBorders>
            <w:shd w:val="clear" w:color="auto" w:fill="auto"/>
            <w:noWrap/>
            <w:vAlign w:val="center"/>
          </w:tcPr>
          <w:p w14:paraId="3F8E83C0">
            <w:pPr>
              <w:widowControl/>
              <w:jc w:val="center"/>
              <w:rPr>
                <w:rFonts w:ascii="宋体" w:hAnsi="宋体" w:cs="宋体"/>
                <w:color w:val="000000"/>
                <w:kern w:val="0"/>
                <w:sz w:val="18"/>
                <w:szCs w:val="18"/>
              </w:rPr>
            </w:pPr>
            <w:r>
              <w:rPr>
                <w:rFonts w:hint="eastAsia" w:ascii="宋体" w:hAnsi="宋体" w:cs="宋体"/>
                <w:color w:val="000000"/>
                <w:kern w:val="0"/>
                <w:sz w:val="18"/>
                <w:szCs w:val="18"/>
              </w:rPr>
              <w:t>71400.57</w:t>
            </w:r>
          </w:p>
        </w:tc>
        <w:tc>
          <w:tcPr>
            <w:tcW w:w="960" w:type="dxa"/>
            <w:tcBorders>
              <w:top w:val="nil"/>
              <w:left w:val="nil"/>
              <w:bottom w:val="single" w:color="auto" w:sz="4" w:space="0"/>
              <w:right w:val="single" w:color="auto" w:sz="4" w:space="0"/>
            </w:tcBorders>
            <w:shd w:val="clear" w:color="auto" w:fill="auto"/>
            <w:vAlign w:val="center"/>
          </w:tcPr>
          <w:p w14:paraId="1AC230CB">
            <w:pPr>
              <w:widowControl/>
              <w:jc w:val="center"/>
              <w:rPr>
                <w:rFonts w:ascii="宋体" w:hAnsi="宋体" w:cs="宋体"/>
                <w:color w:val="000000"/>
                <w:kern w:val="0"/>
                <w:sz w:val="18"/>
                <w:szCs w:val="18"/>
              </w:rPr>
            </w:pPr>
            <w:r>
              <w:rPr>
                <w:rFonts w:hint="eastAsia" w:ascii="宋体" w:hAnsi="宋体" w:cs="宋体"/>
                <w:color w:val="000000"/>
                <w:kern w:val="0"/>
                <w:sz w:val="18"/>
                <w:szCs w:val="18"/>
              </w:rPr>
              <w:t>38.27%</w:t>
            </w:r>
          </w:p>
        </w:tc>
        <w:tc>
          <w:tcPr>
            <w:tcW w:w="1244" w:type="dxa"/>
            <w:tcBorders>
              <w:top w:val="nil"/>
              <w:left w:val="nil"/>
              <w:bottom w:val="single" w:color="auto" w:sz="4" w:space="0"/>
              <w:right w:val="single" w:color="auto" w:sz="4" w:space="0"/>
            </w:tcBorders>
            <w:shd w:val="clear" w:color="auto" w:fill="auto"/>
            <w:noWrap/>
            <w:vAlign w:val="center"/>
          </w:tcPr>
          <w:p w14:paraId="1CAC4C83">
            <w:pPr>
              <w:widowControl/>
              <w:jc w:val="center"/>
              <w:rPr>
                <w:rFonts w:ascii="宋体" w:hAnsi="宋体" w:cs="宋体"/>
                <w:kern w:val="0"/>
                <w:sz w:val="18"/>
                <w:szCs w:val="18"/>
              </w:rPr>
            </w:pPr>
            <w:r>
              <w:rPr>
                <w:rFonts w:hint="eastAsia" w:ascii="宋体" w:hAnsi="宋体" w:cs="宋体"/>
                <w:kern w:val="0"/>
                <w:sz w:val="18"/>
                <w:szCs w:val="18"/>
              </w:rPr>
              <w:t xml:space="preserve">71223.16 </w:t>
            </w:r>
          </w:p>
        </w:tc>
        <w:tc>
          <w:tcPr>
            <w:tcW w:w="976" w:type="dxa"/>
            <w:tcBorders>
              <w:top w:val="nil"/>
              <w:left w:val="nil"/>
              <w:bottom w:val="single" w:color="auto" w:sz="4" w:space="0"/>
              <w:right w:val="single" w:color="auto" w:sz="4" w:space="0"/>
            </w:tcBorders>
            <w:shd w:val="clear" w:color="auto" w:fill="auto"/>
            <w:noWrap/>
            <w:vAlign w:val="center"/>
          </w:tcPr>
          <w:p w14:paraId="7E4F6304">
            <w:pPr>
              <w:widowControl/>
              <w:jc w:val="center"/>
              <w:rPr>
                <w:rFonts w:ascii="宋体" w:hAnsi="宋体" w:cs="宋体"/>
                <w:color w:val="000000"/>
                <w:kern w:val="0"/>
                <w:sz w:val="18"/>
                <w:szCs w:val="18"/>
              </w:rPr>
            </w:pPr>
            <w:r>
              <w:rPr>
                <w:rFonts w:hint="eastAsia" w:ascii="宋体" w:hAnsi="宋体" w:cs="宋体"/>
                <w:color w:val="000000"/>
                <w:kern w:val="0"/>
                <w:sz w:val="18"/>
                <w:szCs w:val="18"/>
              </w:rPr>
              <w:t>38.18%</w:t>
            </w:r>
          </w:p>
        </w:tc>
        <w:tc>
          <w:tcPr>
            <w:tcW w:w="985" w:type="dxa"/>
            <w:tcBorders>
              <w:top w:val="nil"/>
              <w:left w:val="nil"/>
              <w:bottom w:val="single" w:color="auto" w:sz="4" w:space="0"/>
              <w:right w:val="single" w:color="auto" w:sz="4" w:space="0"/>
            </w:tcBorders>
            <w:shd w:val="clear" w:color="auto" w:fill="auto"/>
            <w:vAlign w:val="center"/>
          </w:tcPr>
          <w:p w14:paraId="0F86DB1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-177.41 </w:t>
            </w:r>
          </w:p>
        </w:tc>
        <w:tc>
          <w:tcPr>
            <w:tcW w:w="960" w:type="dxa"/>
            <w:tcBorders>
              <w:top w:val="nil"/>
              <w:left w:val="nil"/>
              <w:bottom w:val="single" w:color="auto" w:sz="4" w:space="0"/>
              <w:right w:val="single" w:color="auto" w:sz="4" w:space="0"/>
            </w:tcBorders>
            <w:shd w:val="clear" w:color="auto" w:fill="auto"/>
            <w:vAlign w:val="center"/>
          </w:tcPr>
          <w:p w14:paraId="0FA91B14">
            <w:pPr>
              <w:widowControl/>
              <w:jc w:val="center"/>
              <w:rPr>
                <w:rFonts w:ascii="宋体" w:hAnsi="宋体" w:cs="宋体"/>
                <w:color w:val="000000"/>
                <w:kern w:val="0"/>
                <w:sz w:val="18"/>
                <w:szCs w:val="18"/>
              </w:rPr>
            </w:pPr>
            <w:r>
              <w:rPr>
                <w:rFonts w:hint="eastAsia" w:ascii="宋体" w:hAnsi="宋体" w:cs="宋体"/>
                <w:color w:val="000000"/>
                <w:kern w:val="0"/>
                <w:sz w:val="18"/>
                <w:szCs w:val="18"/>
              </w:rPr>
              <w:t>-0.09%</w:t>
            </w:r>
          </w:p>
        </w:tc>
        <w:tc>
          <w:tcPr>
            <w:tcW w:w="1602" w:type="dxa"/>
            <w:tcBorders>
              <w:top w:val="nil"/>
              <w:left w:val="nil"/>
              <w:bottom w:val="single" w:color="auto" w:sz="4" w:space="0"/>
              <w:right w:val="single" w:color="auto" w:sz="4" w:space="0"/>
            </w:tcBorders>
            <w:shd w:val="clear" w:color="auto" w:fill="auto"/>
          </w:tcPr>
          <w:p w14:paraId="35CB834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47F8AFAE">
        <w:tblPrEx>
          <w:tblCellMar>
            <w:top w:w="0" w:type="dxa"/>
            <w:left w:w="108" w:type="dxa"/>
            <w:bottom w:w="0" w:type="dxa"/>
            <w:right w:w="108" w:type="dxa"/>
          </w:tblCellMar>
        </w:tblPrEx>
        <w:trPr>
          <w:trHeight w:val="312" w:hRule="atLeast"/>
          <w:jc w:val="center"/>
        </w:trPr>
        <w:tc>
          <w:tcPr>
            <w:tcW w:w="588" w:type="dxa"/>
            <w:vMerge w:val="continue"/>
            <w:tcBorders>
              <w:top w:val="nil"/>
              <w:left w:val="single" w:color="auto" w:sz="4" w:space="0"/>
              <w:bottom w:val="single" w:color="auto" w:sz="4" w:space="0"/>
              <w:right w:val="single" w:color="auto" w:sz="4" w:space="0"/>
            </w:tcBorders>
            <w:vAlign w:val="center"/>
          </w:tcPr>
          <w:p w14:paraId="0DD15CB0">
            <w:pPr>
              <w:widowControl/>
              <w:jc w:val="left"/>
              <w:rPr>
                <w:rFonts w:ascii="宋体" w:hAnsi="宋体" w:cs="宋体"/>
                <w:color w:val="000000"/>
                <w:kern w:val="0"/>
                <w:sz w:val="18"/>
                <w:szCs w:val="18"/>
              </w:rPr>
            </w:pPr>
          </w:p>
        </w:tc>
        <w:tc>
          <w:tcPr>
            <w:tcW w:w="2248" w:type="dxa"/>
            <w:gridSpan w:val="2"/>
            <w:tcBorders>
              <w:top w:val="single" w:color="auto" w:sz="4" w:space="0"/>
              <w:left w:val="nil"/>
              <w:bottom w:val="single" w:color="auto" w:sz="4" w:space="0"/>
              <w:right w:val="single" w:color="auto" w:sz="4" w:space="0"/>
            </w:tcBorders>
            <w:shd w:val="clear" w:color="auto" w:fill="auto"/>
            <w:vAlign w:val="center"/>
          </w:tcPr>
          <w:p w14:paraId="48EC2F2E">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026" w:type="dxa"/>
            <w:tcBorders>
              <w:top w:val="nil"/>
              <w:left w:val="nil"/>
              <w:bottom w:val="single" w:color="auto" w:sz="4" w:space="0"/>
              <w:right w:val="single" w:color="auto" w:sz="4" w:space="0"/>
            </w:tcBorders>
            <w:shd w:val="clear" w:color="auto" w:fill="auto"/>
            <w:vAlign w:val="center"/>
          </w:tcPr>
          <w:p w14:paraId="2F4F6A9C">
            <w:pPr>
              <w:widowControl/>
              <w:jc w:val="center"/>
              <w:rPr>
                <w:rFonts w:ascii="宋体" w:hAnsi="宋体" w:cs="宋体"/>
                <w:color w:val="000000"/>
                <w:kern w:val="0"/>
                <w:sz w:val="18"/>
                <w:szCs w:val="18"/>
              </w:rPr>
            </w:pPr>
            <w:r>
              <w:rPr>
                <w:rFonts w:hint="eastAsia" w:ascii="宋体" w:hAnsi="宋体" w:cs="宋体"/>
                <w:color w:val="000000"/>
                <w:kern w:val="0"/>
                <w:sz w:val="18"/>
                <w:szCs w:val="18"/>
              </w:rPr>
              <w:t>75435.25</w:t>
            </w:r>
          </w:p>
        </w:tc>
        <w:tc>
          <w:tcPr>
            <w:tcW w:w="960" w:type="dxa"/>
            <w:tcBorders>
              <w:top w:val="nil"/>
              <w:left w:val="nil"/>
              <w:bottom w:val="single" w:color="auto" w:sz="4" w:space="0"/>
              <w:right w:val="single" w:color="auto" w:sz="4" w:space="0"/>
            </w:tcBorders>
            <w:shd w:val="clear" w:color="auto" w:fill="auto"/>
            <w:vAlign w:val="center"/>
          </w:tcPr>
          <w:p w14:paraId="5B4CD1E4">
            <w:pPr>
              <w:widowControl/>
              <w:jc w:val="center"/>
              <w:rPr>
                <w:rFonts w:ascii="宋体" w:hAnsi="宋体" w:cs="宋体"/>
                <w:color w:val="000000"/>
                <w:kern w:val="0"/>
                <w:sz w:val="18"/>
                <w:szCs w:val="18"/>
              </w:rPr>
            </w:pPr>
            <w:r>
              <w:rPr>
                <w:rFonts w:hint="eastAsia" w:ascii="宋体" w:hAnsi="宋体" w:cs="宋体"/>
                <w:color w:val="000000"/>
                <w:kern w:val="0"/>
                <w:sz w:val="18"/>
                <w:szCs w:val="18"/>
              </w:rPr>
              <w:t>40.43%</w:t>
            </w:r>
          </w:p>
        </w:tc>
        <w:tc>
          <w:tcPr>
            <w:tcW w:w="1244" w:type="dxa"/>
            <w:tcBorders>
              <w:top w:val="nil"/>
              <w:left w:val="nil"/>
              <w:bottom w:val="single" w:color="auto" w:sz="4" w:space="0"/>
              <w:right w:val="single" w:color="auto" w:sz="4" w:space="0"/>
            </w:tcBorders>
            <w:shd w:val="clear" w:color="auto" w:fill="auto"/>
            <w:noWrap/>
            <w:vAlign w:val="center"/>
          </w:tcPr>
          <w:p w14:paraId="2CFC5427">
            <w:pPr>
              <w:widowControl/>
              <w:jc w:val="center"/>
              <w:rPr>
                <w:rFonts w:ascii="宋体" w:hAnsi="宋体" w:cs="宋体"/>
                <w:kern w:val="0"/>
                <w:sz w:val="18"/>
                <w:szCs w:val="18"/>
              </w:rPr>
            </w:pPr>
            <w:r>
              <w:rPr>
                <w:rFonts w:hint="eastAsia" w:ascii="宋体" w:hAnsi="宋体" w:cs="宋体"/>
                <w:kern w:val="0"/>
                <w:sz w:val="18"/>
                <w:szCs w:val="18"/>
              </w:rPr>
              <w:t xml:space="preserve">75235.64 </w:t>
            </w:r>
          </w:p>
        </w:tc>
        <w:tc>
          <w:tcPr>
            <w:tcW w:w="976" w:type="dxa"/>
            <w:tcBorders>
              <w:top w:val="nil"/>
              <w:left w:val="nil"/>
              <w:bottom w:val="single" w:color="auto" w:sz="4" w:space="0"/>
              <w:right w:val="single" w:color="auto" w:sz="4" w:space="0"/>
            </w:tcBorders>
            <w:shd w:val="clear" w:color="auto" w:fill="auto"/>
            <w:noWrap/>
            <w:vAlign w:val="center"/>
          </w:tcPr>
          <w:p w14:paraId="46D07F4B">
            <w:pPr>
              <w:widowControl/>
              <w:jc w:val="center"/>
              <w:rPr>
                <w:rFonts w:ascii="宋体" w:hAnsi="宋体" w:cs="宋体"/>
                <w:color w:val="000000"/>
                <w:kern w:val="0"/>
                <w:sz w:val="18"/>
                <w:szCs w:val="18"/>
              </w:rPr>
            </w:pPr>
            <w:r>
              <w:rPr>
                <w:rFonts w:hint="eastAsia" w:ascii="宋体" w:hAnsi="宋体" w:cs="宋体"/>
                <w:color w:val="000000"/>
                <w:kern w:val="0"/>
                <w:sz w:val="18"/>
                <w:szCs w:val="18"/>
              </w:rPr>
              <w:t>40.33%</w:t>
            </w:r>
          </w:p>
        </w:tc>
        <w:tc>
          <w:tcPr>
            <w:tcW w:w="985" w:type="dxa"/>
            <w:tcBorders>
              <w:top w:val="nil"/>
              <w:left w:val="nil"/>
              <w:bottom w:val="single" w:color="auto" w:sz="4" w:space="0"/>
              <w:right w:val="single" w:color="auto" w:sz="4" w:space="0"/>
            </w:tcBorders>
            <w:shd w:val="clear" w:color="auto" w:fill="auto"/>
            <w:vAlign w:val="center"/>
          </w:tcPr>
          <w:p w14:paraId="79F2A8F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-199.61 </w:t>
            </w:r>
          </w:p>
        </w:tc>
        <w:tc>
          <w:tcPr>
            <w:tcW w:w="960" w:type="dxa"/>
            <w:tcBorders>
              <w:top w:val="nil"/>
              <w:left w:val="nil"/>
              <w:bottom w:val="single" w:color="auto" w:sz="4" w:space="0"/>
              <w:right w:val="single" w:color="auto" w:sz="4" w:space="0"/>
            </w:tcBorders>
            <w:shd w:val="clear" w:color="auto" w:fill="auto"/>
            <w:vAlign w:val="center"/>
          </w:tcPr>
          <w:p w14:paraId="6D13243D">
            <w:pPr>
              <w:widowControl/>
              <w:jc w:val="center"/>
              <w:rPr>
                <w:rFonts w:ascii="宋体" w:hAnsi="宋体" w:cs="宋体"/>
                <w:color w:val="000000"/>
                <w:kern w:val="0"/>
                <w:sz w:val="18"/>
                <w:szCs w:val="18"/>
              </w:rPr>
            </w:pPr>
            <w:r>
              <w:rPr>
                <w:rFonts w:hint="eastAsia" w:ascii="宋体" w:hAnsi="宋体" w:cs="宋体"/>
                <w:color w:val="000000"/>
                <w:kern w:val="0"/>
                <w:sz w:val="18"/>
                <w:szCs w:val="18"/>
              </w:rPr>
              <w:t>-0.10%</w:t>
            </w:r>
          </w:p>
        </w:tc>
        <w:tc>
          <w:tcPr>
            <w:tcW w:w="1602" w:type="dxa"/>
            <w:tcBorders>
              <w:top w:val="nil"/>
              <w:left w:val="nil"/>
              <w:bottom w:val="single" w:color="auto" w:sz="4" w:space="0"/>
              <w:right w:val="single" w:color="auto" w:sz="4" w:space="0"/>
            </w:tcBorders>
            <w:shd w:val="clear" w:color="auto" w:fill="auto"/>
          </w:tcPr>
          <w:p w14:paraId="040C85B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14:paraId="19974DB7">
        <w:tblPrEx>
          <w:tblCellMar>
            <w:top w:w="0" w:type="dxa"/>
            <w:left w:w="108" w:type="dxa"/>
            <w:bottom w:w="0" w:type="dxa"/>
            <w:right w:w="108" w:type="dxa"/>
          </w:tblCellMar>
        </w:tblPrEx>
        <w:trPr>
          <w:trHeight w:val="312" w:hRule="atLeast"/>
          <w:jc w:val="center"/>
        </w:trPr>
        <w:tc>
          <w:tcPr>
            <w:tcW w:w="283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E374BB3">
            <w:pPr>
              <w:widowControl/>
              <w:jc w:val="center"/>
              <w:rPr>
                <w:rFonts w:ascii="宋体" w:hAnsi="宋体" w:cs="宋体"/>
                <w:color w:val="000000"/>
                <w:kern w:val="0"/>
                <w:sz w:val="18"/>
                <w:szCs w:val="18"/>
              </w:rPr>
            </w:pPr>
            <w:r>
              <w:rPr>
                <w:rFonts w:hint="eastAsia" w:ascii="宋体" w:hAnsi="宋体" w:cs="宋体"/>
                <w:color w:val="000000"/>
                <w:kern w:val="0"/>
                <w:sz w:val="18"/>
                <w:szCs w:val="18"/>
              </w:rPr>
              <w:t>总计</w:t>
            </w:r>
          </w:p>
        </w:tc>
        <w:tc>
          <w:tcPr>
            <w:tcW w:w="1026" w:type="dxa"/>
            <w:tcBorders>
              <w:top w:val="nil"/>
              <w:left w:val="nil"/>
              <w:bottom w:val="single" w:color="auto" w:sz="4" w:space="0"/>
              <w:right w:val="single" w:color="auto" w:sz="4" w:space="0"/>
            </w:tcBorders>
            <w:shd w:val="clear" w:color="auto" w:fill="auto"/>
            <w:noWrap/>
            <w:vAlign w:val="center"/>
          </w:tcPr>
          <w:p w14:paraId="5D4EF5B3">
            <w:pPr>
              <w:widowControl/>
              <w:jc w:val="center"/>
              <w:rPr>
                <w:rFonts w:ascii="宋体" w:hAnsi="宋体" w:cs="宋体"/>
                <w:color w:val="000000"/>
                <w:kern w:val="0"/>
                <w:sz w:val="18"/>
                <w:szCs w:val="18"/>
              </w:rPr>
            </w:pPr>
            <w:r>
              <w:rPr>
                <w:rFonts w:hint="eastAsia" w:ascii="宋体" w:hAnsi="宋体" w:cs="宋体"/>
                <w:color w:val="000000"/>
                <w:kern w:val="0"/>
                <w:sz w:val="18"/>
                <w:szCs w:val="18"/>
              </w:rPr>
              <w:t>186569.81</w:t>
            </w:r>
          </w:p>
        </w:tc>
        <w:tc>
          <w:tcPr>
            <w:tcW w:w="960" w:type="dxa"/>
            <w:tcBorders>
              <w:top w:val="nil"/>
              <w:left w:val="nil"/>
              <w:bottom w:val="single" w:color="auto" w:sz="4" w:space="0"/>
              <w:right w:val="single" w:color="auto" w:sz="4" w:space="0"/>
            </w:tcBorders>
            <w:shd w:val="clear" w:color="auto" w:fill="auto"/>
            <w:vAlign w:val="center"/>
          </w:tcPr>
          <w:p w14:paraId="43C38D12">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244" w:type="dxa"/>
            <w:tcBorders>
              <w:top w:val="nil"/>
              <w:left w:val="nil"/>
              <w:bottom w:val="single" w:color="auto" w:sz="4" w:space="0"/>
              <w:right w:val="single" w:color="auto" w:sz="4" w:space="0"/>
            </w:tcBorders>
            <w:shd w:val="clear" w:color="auto" w:fill="auto"/>
            <w:noWrap/>
            <w:vAlign w:val="center"/>
          </w:tcPr>
          <w:p w14:paraId="5656AEFE">
            <w:pPr>
              <w:widowControl/>
              <w:jc w:val="center"/>
              <w:rPr>
                <w:rFonts w:ascii="宋体" w:hAnsi="宋体" w:cs="宋体"/>
                <w:color w:val="000000"/>
                <w:kern w:val="0"/>
                <w:sz w:val="18"/>
                <w:szCs w:val="18"/>
              </w:rPr>
            </w:pPr>
            <w:r>
              <w:rPr>
                <w:rFonts w:hint="eastAsia" w:ascii="宋体" w:hAnsi="宋体" w:cs="宋体"/>
                <w:color w:val="000000"/>
                <w:kern w:val="0"/>
                <w:sz w:val="18"/>
                <w:szCs w:val="18"/>
              </w:rPr>
              <w:t>186569.81</w:t>
            </w:r>
          </w:p>
        </w:tc>
        <w:tc>
          <w:tcPr>
            <w:tcW w:w="976" w:type="dxa"/>
            <w:tcBorders>
              <w:top w:val="nil"/>
              <w:left w:val="nil"/>
              <w:bottom w:val="single" w:color="auto" w:sz="4" w:space="0"/>
              <w:right w:val="single" w:color="auto" w:sz="4" w:space="0"/>
            </w:tcBorders>
            <w:shd w:val="clear" w:color="auto" w:fill="auto"/>
            <w:noWrap/>
            <w:vAlign w:val="center"/>
          </w:tcPr>
          <w:p w14:paraId="2C2E7031">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985" w:type="dxa"/>
            <w:tcBorders>
              <w:top w:val="nil"/>
              <w:left w:val="nil"/>
              <w:bottom w:val="single" w:color="auto" w:sz="4" w:space="0"/>
              <w:right w:val="single" w:color="auto" w:sz="4" w:space="0"/>
            </w:tcBorders>
            <w:shd w:val="clear" w:color="auto" w:fill="auto"/>
            <w:vAlign w:val="center"/>
          </w:tcPr>
          <w:p w14:paraId="729F000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960" w:type="dxa"/>
            <w:tcBorders>
              <w:top w:val="nil"/>
              <w:left w:val="nil"/>
              <w:bottom w:val="single" w:color="auto" w:sz="4" w:space="0"/>
              <w:right w:val="single" w:color="auto" w:sz="4" w:space="0"/>
            </w:tcBorders>
            <w:shd w:val="clear" w:color="auto" w:fill="auto"/>
            <w:vAlign w:val="center"/>
          </w:tcPr>
          <w:p w14:paraId="67ED9321">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602" w:type="dxa"/>
            <w:tcBorders>
              <w:top w:val="nil"/>
              <w:left w:val="nil"/>
              <w:bottom w:val="single" w:color="auto" w:sz="4" w:space="0"/>
              <w:right w:val="single" w:color="auto" w:sz="4" w:space="0"/>
            </w:tcBorders>
            <w:shd w:val="clear" w:color="auto" w:fill="auto"/>
          </w:tcPr>
          <w:p w14:paraId="1F7C5C3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bl>
    <w:p w14:paraId="339A8CFE">
      <w:pPr>
        <w:widowControl/>
        <w:jc w:val="left"/>
        <w:rPr>
          <w:rFonts w:ascii="宋体" w:hAnsi="宋体" w:cs="宋体"/>
          <w:color w:val="000000"/>
          <w:kern w:val="0"/>
          <w:sz w:val="18"/>
          <w:szCs w:val="18"/>
        </w:rPr>
      </w:pPr>
      <w:bookmarkStart w:id="177" w:name="_Toc248203343"/>
      <w:bookmarkStart w:id="178" w:name="_Toc268881877"/>
      <w:r>
        <w:rPr>
          <w:rFonts w:hint="eastAsia" w:ascii="宋体" w:hAnsi="宋体" w:cs="宋体"/>
          <w:color w:val="000000"/>
          <w:kern w:val="0"/>
          <w:sz w:val="18"/>
          <w:szCs w:val="18"/>
        </w:rPr>
        <w:t>注：按照云南省相关要求，东川区预留农村居民点用地15.65公顷，并安排相应新增建设占用农用地指标15.65公顷，其中新增建设占用耕地指标13公顷。</w:t>
      </w:r>
    </w:p>
    <w:p w14:paraId="1716459E"/>
    <w:p w14:paraId="15BAC0D9"/>
    <w:p w14:paraId="38D4A34F"/>
    <w:p w14:paraId="26A1D21E"/>
    <w:p w14:paraId="29EA7760"/>
    <w:p w14:paraId="22A127CF"/>
    <w:p w14:paraId="6D0934DD"/>
    <w:p w14:paraId="02F2D031"/>
    <w:p w14:paraId="53E85230"/>
    <w:p w14:paraId="558863BD">
      <w:pPr>
        <w:pStyle w:val="2"/>
        <w:spacing w:line="240" w:lineRule="atLeast"/>
        <w:jc w:val="left"/>
        <w:rPr>
          <w:color w:val="000000"/>
        </w:rPr>
      </w:pPr>
      <w:bookmarkStart w:id="179" w:name="_Toc491074924"/>
      <w:r>
        <w:rPr>
          <w:rFonts w:hint="eastAsia" w:ascii="黑体" w:eastAsia="黑体"/>
          <w:b w:val="0"/>
          <w:color w:val="000000"/>
          <w:sz w:val="24"/>
          <w:szCs w:val="24"/>
        </w:rPr>
        <w:t xml:space="preserve">附表3  </w:t>
      </w:r>
      <w:bookmarkEnd w:id="177"/>
      <w:r>
        <w:rPr>
          <w:rFonts w:hint="eastAsia" w:ascii="黑体" w:eastAsia="黑体"/>
          <w:b w:val="0"/>
          <w:color w:val="000000"/>
          <w:sz w:val="24"/>
          <w:szCs w:val="24"/>
        </w:rPr>
        <w:t>东川区各乡镇规划指标控制表</w:t>
      </w:r>
      <w:bookmarkEnd w:id="178"/>
      <w:r>
        <w:rPr>
          <w:rFonts w:hint="eastAsia" w:ascii="黑体" w:eastAsia="黑体"/>
          <w:b w:val="0"/>
          <w:color w:val="000000"/>
          <w:sz w:val="24"/>
          <w:szCs w:val="24"/>
        </w:rPr>
        <w:t>（2020年）</w:t>
      </w:r>
      <w:bookmarkEnd w:id="179"/>
      <w:r>
        <w:rPr>
          <w:rFonts w:hint="eastAsia" w:ascii="黑体" w:eastAsia="黑体"/>
          <w:b w:val="0"/>
          <w:color w:val="000000"/>
          <w:sz w:val="24"/>
          <w:szCs w:val="24"/>
        </w:rPr>
        <w:t xml:space="preserve"> </w:t>
      </w:r>
      <w:r>
        <w:rPr>
          <w:rFonts w:hint="eastAsia"/>
          <w:color w:val="000000"/>
        </w:rPr>
        <w:t xml:space="preserve">                                                                       </w:t>
      </w:r>
    </w:p>
    <w:p w14:paraId="6A57C4B0">
      <w:pPr>
        <w:jc w:val="right"/>
        <w:rPr>
          <w:rFonts w:ascii="宋体" w:hAnsi="宋体"/>
          <w:sz w:val="18"/>
          <w:szCs w:val="18"/>
        </w:rPr>
      </w:pPr>
      <w:r>
        <w:rPr>
          <w:rFonts w:hint="eastAsia" w:ascii="宋体" w:hAnsi="宋体"/>
          <w:sz w:val="18"/>
          <w:szCs w:val="18"/>
        </w:rPr>
        <w:t>单位：公顷</w:t>
      </w:r>
    </w:p>
    <w:tbl>
      <w:tblPr>
        <w:tblStyle w:val="27"/>
        <w:tblW w:w="9664" w:type="dxa"/>
        <w:tblInd w:w="95" w:type="dxa"/>
        <w:tblLayout w:type="autofit"/>
        <w:tblCellMar>
          <w:top w:w="0" w:type="dxa"/>
          <w:left w:w="108" w:type="dxa"/>
          <w:bottom w:w="0" w:type="dxa"/>
          <w:right w:w="108" w:type="dxa"/>
        </w:tblCellMar>
      </w:tblPr>
      <w:tblGrid>
        <w:gridCol w:w="1116"/>
        <w:gridCol w:w="1300"/>
        <w:gridCol w:w="1196"/>
        <w:gridCol w:w="1220"/>
        <w:gridCol w:w="1220"/>
        <w:gridCol w:w="1220"/>
        <w:gridCol w:w="1196"/>
        <w:gridCol w:w="1196"/>
      </w:tblGrid>
      <w:tr w14:paraId="66EFC487">
        <w:tblPrEx>
          <w:tblCellMar>
            <w:top w:w="0" w:type="dxa"/>
            <w:left w:w="108" w:type="dxa"/>
            <w:bottom w:w="0" w:type="dxa"/>
            <w:right w:w="108" w:type="dxa"/>
          </w:tblCellMar>
        </w:tblPrEx>
        <w:trPr>
          <w:trHeight w:val="648" w:hRule="atLeast"/>
        </w:trPr>
        <w:tc>
          <w:tcPr>
            <w:tcW w:w="11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B7448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行政区</w:t>
            </w:r>
          </w:p>
        </w:tc>
        <w:tc>
          <w:tcPr>
            <w:tcW w:w="1300" w:type="dxa"/>
            <w:tcBorders>
              <w:top w:val="single" w:color="auto" w:sz="4" w:space="0"/>
              <w:left w:val="nil"/>
              <w:bottom w:val="single" w:color="auto" w:sz="4" w:space="0"/>
              <w:right w:val="single" w:color="auto" w:sz="4" w:space="0"/>
            </w:tcBorders>
            <w:shd w:val="clear" w:color="auto" w:fill="auto"/>
            <w:vAlign w:val="center"/>
          </w:tcPr>
          <w:p w14:paraId="073E9A8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耕地保有量</w:t>
            </w:r>
          </w:p>
        </w:tc>
        <w:tc>
          <w:tcPr>
            <w:tcW w:w="1196" w:type="dxa"/>
            <w:tcBorders>
              <w:top w:val="single" w:color="auto" w:sz="4" w:space="0"/>
              <w:left w:val="nil"/>
              <w:bottom w:val="single" w:color="auto" w:sz="4" w:space="0"/>
              <w:right w:val="single" w:color="auto" w:sz="4" w:space="0"/>
            </w:tcBorders>
            <w:shd w:val="clear" w:color="auto" w:fill="auto"/>
            <w:vAlign w:val="center"/>
          </w:tcPr>
          <w:p w14:paraId="331E9F0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基本农田保护面积</w:t>
            </w:r>
          </w:p>
        </w:tc>
        <w:tc>
          <w:tcPr>
            <w:tcW w:w="1220" w:type="dxa"/>
            <w:tcBorders>
              <w:top w:val="single" w:color="auto" w:sz="4" w:space="0"/>
              <w:left w:val="nil"/>
              <w:bottom w:val="single" w:color="auto" w:sz="4" w:space="0"/>
              <w:right w:val="single" w:color="auto" w:sz="4" w:space="0"/>
            </w:tcBorders>
            <w:shd w:val="clear" w:color="auto" w:fill="auto"/>
            <w:vAlign w:val="center"/>
          </w:tcPr>
          <w:p w14:paraId="09ADB2DC">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建设用地总规模</w:t>
            </w:r>
          </w:p>
        </w:tc>
        <w:tc>
          <w:tcPr>
            <w:tcW w:w="1220" w:type="dxa"/>
            <w:tcBorders>
              <w:top w:val="single" w:color="auto" w:sz="4" w:space="0"/>
              <w:left w:val="nil"/>
              <w:bottom w:val="single" w:color="auto" w:sz="4" w:space="0"/>
              <w:right w:val="single" w:color="auto" w:sz="4" w:space="0"/>
            </w:tcBorders>
            <w:shd w:val="clear" w:color="auto" w:fill="auto"/>
            <w:vAlign w:val="center"/>
          </w:tcPr>
          <w:p w14:paraId="620ED59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城乡建设用地规模</w:t>
            </w:r>
          </w:p>
        </w:tc>
        <w:tc>
          <w:tcPr>
            <w:tcW w:w="1220" w:type="dxa"/>
            <w:tcBorders>
              <w:top w:val="single" w:color="auto" w:sz="4" w:space="0"/>
              <w:left w:val="nil"/>
              <w:bottom w:val="single" w:color="auto" w:sz="4" w:space="0"/>
              <w:right w:val="single" w:color="auto" w:sz="4" w:space="0"/>
            </w:tcBorders>
            <w:shd w:val="clear" w:color="auto" w:fill="auto"/>
            <w:vAlign w:val="center"/>
          </w:tcPr>
          <w:p w14:paraId="0F0EBBF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新增建设用地规模</w:t>
            </w:r>
          </w:p>
        </w:tc>
        <w:tc>
          <w:tcPr>
            <w:tcW w:w="1196" w:type="dxa"/>
            <w:tcBorders>
              <w:top w:val="single" w:color="auto" w:sz="4" w:space="0"/>
              <w:left w:val="nil"/>
              <w:bottom w:val="single" w:color="auto" w:sz="4" w:space="0"/>
              <w:right w:val="single" w:color="auto" w:sz="4" w:space="0"/>
            </w:tcBorders>
            <w:shd w:val="clear" w:color="auto" w:fill="auto"/>
            <w:vAlign w:val="center"/>
          </w:tcPr>
          <w:p w14:paraId="1DCE118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新增建设占用耕地规模</w:t>
            </w:r>
          </w:p>
        </w:tc>
        <w:tc>
          <w:tcPr>
            <w:tcW w:w="1196" w:type="dxa"/>
            <w:tcBorders>
              <w:top w:val="single" w:color="auto" w:sz="4" w:space="0"/>
              <w:left w:val="nil"/>
              <w:bottom w:val="single" w:color="auto" w:sz="4" w:space="0"/>
              <w:right w:val="single" w:color="auto" w:sz="4" w:space="0"/>
            </w:tcBorders>
            <w:shd w:val="clear" w:color="auto" w:fill="auto"/>
            <w:vAlign w:val="center"/>
          </w:tcPr>
          <w:p w14:paraId="6B670B5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土地整治补充耕地规模</w:t>
            </w:r>
          </w:p>
        </w:tc>
      </w:tr>
      <w:tr w14:paraId="2D395BE7">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6E7DACEB">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300" w:type="dxa"/>
            <w:tcBorders>
              <w:top w:val="nil"/>
              <w:left w:val="nil"/>
              <w:bottom w:val="single" w:color="auto" w:sz="4" w:space="0"/>
              <w:right w:val="single" w:color="auto" w:sz="4" w:space="0"/>
            </w:tcBorders>
            <w:shd w:val="clear" w:color="auto" w:fill="auto"/>
            <w:noWrap/>
            <w:vAlign w:val="center"/>
          </w:tcPr>
          <w:p w14:paraId="553ACD4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5443.28 </w:t>
            </w:r>
          </w:p>
        </w:tc>
        <w:tc>
          <w:tcPr>
            <w:tcW w:w="1196" w:type="dxa"/>
            <w:tcBorders>
              <w:top w:val="nil"/>
              <w:left w:val="nil"/>
              <w:bottom w:val="single" w:color="auto" w:sz="4" w:space="0"/>
              <w:right w:val="single" w:color="auto" w:sz="4" w:space="0"/>
            </w:tcBorders>
            <w:shd w:val="clear" w:color="auto" w:fill="auto"/>
            <w:noWrap/>
            <w:vAlign w:val="center"/>
          </w:tcPr>
          <w:p w14:paraId="65F50292">
            <w:pPr>
              <w:widowControl/>
              <w:jc w:val="center"/>
              <w:rPr>
                <w:rFonts w:ascii="宋体" w:hAnsi="宋体" w:cs="宋体"/>
                <w:color w:val="000000"/>
                <w:kern w:val="0"/>
                <w:sz w:val="18"/>
                <w:szCs w:val="18"/>
              </w:rPr>
            </w:pPr>
            <w:r>
              <w:rPr>
                <w:rFonts w:hint="eastAsia" w:ascii="宋体" w:hAnsi="宋体" w:cs="宋体"/>
                <w:color w:val="000000"/>
                <w:kern w:val="0"/>
                <w:sz w:val="18"/>
                <w:szCs w:val="18"/>
              </w:rPr>
              <w:t>4733</w:t>
            </w:r>
          </w:p>
        </w:tc>
        <w:tc>
          <w:tcPr>
            <w:tcW w:w="1220" w:type="dxa"/>
            <w:tcBorders>
              <w:top w:val="nil"/>
              <w:left w:val="nil"/>
              <w:bottom w:val="single" w:color="auto" w:sz="4" w:space="0"/>
              <w:right w:val="single" w:color="auto" w:sz="4" w:space="0"/>
            </w:tcBorders>
            <w:shd w:val="clear" w:color="auto" w:fill="auto"/>
            <w:vAlign w:val="center"/>
          </w:tcPr>
          <w:p w14:paraId="0563EAA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643.46 </w:t>
            </w:r>
          </w:p>
        </w:tc>
        <w:tc>
          <w:tcPr>
            <w:tcW w:w="1220" w:type="dxa"/>
            <w:tcBorders>
              <w:top w:val="nil"/>
              <w:left w:val="nil"/>
              <w:bottom w:val="single" w:color="auto" w:sz="4" w:space="0"/>
              <w:right w:val="single" w:color="auto" w:sz="4" w:space="0"/>
            </w:tcBorders>
            <w:shd w:val="clear" w:color="auto" w:fill="auto"/>
            <w:vAlign w:val="center"/>
          </w:tcPr>
          <w:p w14:paraId="7120600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497.12 </w:t>
            </w:r>
          </w:p>
        </w:tc>
        <w:tc>
          <w:tcPr>
            <w:tcW w:w="1220" w:type="dxa"/>
            <w:tcBorders>
              <w:top w:val="nil"/>
              <w:left w:val="nil"/>
              <w:bottom w:val="single" w:color="auto" w:sz="4" w:space="0"/>
              <w:right w:val="single" w:color="auto" w:sz="4" w:space="0"/>
            </w:tcBorders>
            <w:shd w:val="clear" w:color="auto" w:fill="auto"/>
            <w:vAlign w:val="center"/>
          </w:tcPr>
          <w:p w14:paraId="04C38AE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18.84 </w:t>
            </w:r>
          </w:p>
        </w:tc>
        <w:tc>
          <w:tcPr>
            <w:tcW w:w="1196" w:type="dxa"/>
            <w:tcBorders>
              <w:top w:val="nil"/>
              <w:left w:val="nil"/>
              <w:bottom w:val="single" w:color="auto" w:sz="4" w:space="0"/>
              <w:right w:val="single" w:color="auto" w:sz="4" w:space="0"/>
            </w:tcBorders>
            <w:shd w:val="clear" w:color="auto" w:fill="auto"/>
            <w:noWrap/>
            <w:vAlign w:val="center"/>
          </w:tcPr>
          <w:p w14:paraId="1A47670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18.04 </w:t>
            </w:r>
          </w:p>
        </w:tc>
        <w:tc>
          <w:tcPr>
            <w:tcW w:w="1196" w:type="dxa"/>
            <w:tcBorders>
              <w:top w:val="nil"/>
              <w:left w:val="nil"/>
              <w:bottom w:val="single" w:color="auto" w:sz="4" w:space="0"/>
              <w:right w:val="single" w:color="auto" w:sz="4" w:space="0"/>
            </w:tcBorders>
            <w:shd w:val="clear" w:color="auto" w:fill="auto"/>
            <w:noWrap/>
            <w:vAlign w:val="center"/>
          </w:tcPr>
          <w:p w14:paraId="798250C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14.53 </w:t>
            </w:r>
          </w:p>
        </w:tc>
      </w:tr>
      <w:tr w14:paraId="3CC06C1E">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427E11BC">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300" w:type="dxa"/>
            <w:tcBorders>
              <w:top w:val="nil"/>
              <w:left w:val="nil"/>
              <w:bottom w:val="single" w:color="auto" w:sz="4" w:space="0"/>
              <w:right w:val="single" w:color="auto" w:sz="4" w:space="0"/>
            </w:tcBorders>
            <w:shd w:val="clear" w:color="auto" w:fill="auto"/>
            <w:noWrap/>
            <w:vAlign w:val="center"/>
          </w:tcPr>
          <w:p w14:paraId="718C787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6594.60 </w:t>
            </w:r>
          </w:p>
        </w:tc>
        <w:tc>
          <w:tcPr>
            <w:tcW w:w="1196" w:type="dxa"/>
            <w:tcBorders>
              <w:top w:val="nil"/>
              <w:left w:val="nil"/>
              <w:bottom w:val="single" w:color="auto" w:sz="4" w:space="0"/>
              <w:right w:val="single" w:color="auto" w:sz="4" w:space="0"/>
            </w:tcBorders>
            <w:shd w:val="clear" w:color="auto" w:fill="auto"/>
            <w:noWrap/>
            <w:vAlign w:val="center"/>
          </w:tcPr>
          <w:p w14:paraId="06BBEDDB">
            <w:pPr>
              <w:widowControl/>
              <w:jc w:val="center"/>
              <w:rPr>
                <w:rFonts w:ascii="宋体" w:hAnsi="宋体" w:cs="宋体"/>
                <w:color w:val="000000"/>
                <w:kern w:val="0"/>
                <w:sz w:val="18"/>
                <w:szCs w:val="18"/>
              </w:rPr>
            </w:pPr>
            <w:r>
              <w:rPr>
                <w:rFonts w:hint="eastAsia" w:ascii="宋体" w:hAnsi="宋体" w:cs="宋体"/>
                <w:color w:val="000000"/>
                <w:kern w:val="0"/>
                <w:sz w:val="18"/>
                <w:szCs w:val="18"/>
              </w:rPr>
              <w:t>4473</w:t>
            </w:r>
          </w:p>
        </w:tc>
        <w:tc>
          <w:tcPr>
            <w:tcW w:w="1220" w:type="dxa"/>
            <w:tcBorders>
              <w:top w:val="nil"/>
              <w:left w:val="nil"/>
              <w:bottom w:val="single" w:color="auto" w:sz="4" w:space="0"/>
              <w:right w:val="single" w:color="auto" w:sz="4" w:space="0"/>
            </w:tcBorders>
            <w:shd w:val="clear" w:color="auto" w:fill="auto"/>
            <w:vAlign w:val="center"/>
          </w:tcPr>
          <w:p w14:paraId="7A2C248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2528.88 </w:t>
            </w:r>
          </w:p>
        </w:tc>
        <w:tc>
          <w:tcPr>
            <w:tcW w:w="1220" w:type="dxa"/>
            <w:tcBorders>
              <w:top w:val="nil"/>
              <w:left w:val="nil"/>
              <w:bottom w:val="single" w:color="auto" w:sz="4" w:space="0"/>
              <w:right w:val="single" w:color="auto" w:sz="4" w:space="0"/>
            </w:tcBorders>
            <w:shd w:val="clear" w:color="auto" w:fill="auto"/>
            <w:vAlign w:val="center"/>
          </w:tcPr>
          <w:p w14:paraId="34488BF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2318.87 </w:t>
            </w:r>
          </w:p>
        </w:tc>
        <w:tc>
          <w:tcPr>
            <w:tcW w:w="1220" w:type="dxa"/>
            <w:tcBorders>
              <w:top w:val="nil"/>
              <w:left w:val="nil"/>
              <w:bottom w:val="single" w:color="auto" w:sz="4" w:space="0"/>
              <w:right w:val="single" w:color="auto" w:sz="4" w:space="0"/>
            </w:tcBorders>
            <w:shd w:val="clear" w:color="auto" w:fill="auto"/>
            <w:vAlign w:val="center"/>
          </w:tcPr>
          <w:p w14:paraId="0A03603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148.71 </w:t>
            </w:r>
          </w:p>
        </w:tc>
        <w:tc>
          <w:tcPr>
            <w:tcW w:w="1196" w:type="dxa"/>
            <w:tcBorders>
              <w:top w:val="nil"/>
              <w:left w:val="nil"/>
              <w:bottom w:val="single" w:color="auto" w:sz="4" w:space="0"/>
              <w:right w:val="single" w:color="auto" w:sz="4" w:space="0"/>
            </w:tcBorders>
            <w:shd w:val="clear" w:color="auto" w:fill="auto"/>
            <w:noWrap/>
            <w:vAlign w:val="center"/>
          </w:tcPr>
          <w:p w14:paraId="2445E21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80.50 </w:t>
            </w:r>
          </w:p>
        </w:tc>
        <w:tc>
          <w:tcPr>
            <w:tcW w:w="1196" w:type="dxa"/>
            <w:tcBorders>
              <w:top w:val="nil"/>
              <w:left w:val="nil"/>
              <w:bottom w:val="single" w:color="auto" w:sz="4" w:space="0"/>
              <w:right w:val="single" w:color="auto" w:sz="4" w:space="0"/>
            </w:tcBorders>
            <w:shd w:val="clear" w:color="auto" w:fill="auto"/>
            <w:noWrap/>
            <w:vAlign w:val="center"/>
          </w:tcPr>
          <w:p w14:paraId="4458060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55.68 </w:t>
            </w:r>
          </w:p>
        </w:tc>
      </w:tr>
      <w:tr w14:paraId="63741D1B">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1F61C7A4">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300" w:type="dxa"/>
            <w:tcBorders>
              <w:top w:val="nil"/>
              <w:left w:val="nil"/>
              <w:bottom w:val="single" w:color="auto" w:sz="4" w:space="0"/>
              <w:right w:val="single" w:color="auto" w:sz="4" w:space="0"/>
            </w:tcBorders>
            <w:shd w:val="clear" w:color="auto" w:fill="auto"/>
            <w:noWrap/>
            <w:vAlign w:val="center"/>
          </w:tcPr>
          <w:p w14:paraId="4358EA8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3389.53 </w:t>
            </w:r>
          </w:p>
        </w:tc>
        <w:tc>
          <w:tcPr>
            <w:tcW w:w="1196" w:type="dxa"/>
            <w:tcBorders>
              <w:top w:val="nil"/>
              <w:left w:val="nil"/>
              <w:bottom w:val="single" w:color="auto" w:sz="4" w:space="0"/>
              <w:right w:val="single" w:color="auto" w:sz="4" w:space="0"/>
            </w:tcBorders>
            <w:shd w:val="clear" w:color="auto" w:fill="auto"/>
            <w:noWrap/>
            <w:vAlign w:val="center"/>
          </w:tcPr>
          <w:p w14:paraId="49B95B35">
            <w:pPr>
              <w:widowControl/>
              <w:jc w:val="center"/>
              <w:rPr>
                <w:rFonts w:ascii="宋体" w:hAnsi="宋体" w:cs="宋体"/>
                <w:color w:val="000000"/>
                <w:kern w:val="0"/>
                <w:sz w:val="18"/>
                <w:szCs w:val="18"/>
              </w:rPr>
            </w:pPr>
            <w:r>
              <w:rPr>
                <w:rFonts w:hint="eastAsia" w:ascii="宋体" w:hAnsi="宋体" w:cs="宋体"/>
                <w:color w:val="000000"/>
                <w:kern w:val="0"/>
                <w:sz w:val="18"/>
                <w:szCs w:val="18"/>
              </w:rPr>
              <w:t>2873</w:t>
            </w:r>
          </w:p>
        </w:tc>
        <w:tc>
          <w:tcPr>
            <w:tcW w:w="1220" w:type="dxa"/>
            <w:tcBorders>
              <w:top w:val="nil"/>
              <w:left w:val="nil"/>
              <w:bottom w:val="single" w:color="auto" w:sz="4" w:space="0"/>
              <w:right w:val="single" w:color="auto" w:sz="4" w:space="0"/>
            </w:tcBorders>
            <w:shd w:val="clear" w:color="auto" w:fill="auto"/>
            <w:vAlign w:val="center"/>
          </w:tcPr>
          <w:p w14:paraId="6EC43DF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553.21 </w:t>
            </w:r>
          </w:p>
        </w:tc>
        <w:tc>
          <w:tcPr>
            <w:tcW w:w="1220" w:type="dxa"/>
            <w:tcBorders>
              <w:top w:val="nil"/>
              <w:left w:val="nil"/>
              <w:bottom w:val="single" w:color="auto" w:sz="4" w:space="0"/>
              <w:right w:val="single" w:color="auto" w:sz="4" w:space="0"/>
            </w:tcBorders>
            <w:shd w:val="clear" w:color="auto" w:fill="auto"/>
            <w:vAlign w:val="center"/>
          </w:tcPr>
          <w:p w14:paraId="6423E46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417.72 </w:t>
            </w:r>
          </w:p>
        </w:tc>
        <w:tc>
          <w:tcPr>
            <w:tcW w:w="1220" w:type="dxa"/>
            <w:tcBorders>
              <w:top w:val="nil"/>
              <w:left w:val="nil"/>
              <w:bottom w:val="single" w:color="auto" w:sz="4" w:space="0"/>
              <w:right w:val="single" w:color="auto" w:sz="4" w:space="0"/>
            </w:tcBorders>
            <w:shd w:val="clear" w:color="auto" w:fill="auto"/>
            <w:vAlign w:val="center"/>
          </w:tcPr>
          <w:p w14:paraId="4E0E564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13.98 </w:t>
            </w:r>
          </w:p>
        </w:tc>
        <w:tc>
          <w:tcPr>
            <w:tcW w:w="1196" w:type="dxa"/>
            <w:tcBorders>
              <w:top w:val="nil"/>
              <w:left w:val="nil"/>
              <w:bottom w:val="single" w:color="auto" w:sz="4" w:space="0"/>
              <w:right w:val="single" w:color="auto" w:sz="4" w:space="0"/>
            </w:tcBorders>
            <w:shd w:val="clear" w:color="auto" w:fill="auto"/>
            <w:noWrap/>
            <w:vAlign w:val="center"/>
          </w:tcPr>
          <w:p w14:paraId="0A69D91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10.32 </w:t>
            </w:r>
          </w:p>
        </w:tc>
        <w:tc>
          <w:tcPr>
            <w:tcW w:w="1196" w:type="dxa"/>
            <w:tcBorders>
              <w:top w:val="nil"/>
              <w:left w:val="nil"/>
              <w:bottom w:val="single" w:color="auto" w:sz="4" w:space="0"/>
              <w:right w:val="single" w:color="auto" w:sz="4" w:space="0"/>
            </w:tcBorders>
            <w:shd w:val="clear" w:color="auto" w:fill="auto"/>
            <w:noWrap/>
            <w:vAlign w:val="center"/>
          </w:tcPr>
          <w:p w14:paraId="31032F1B">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r>
      <w:tr w14:paraId="797B8358">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40F9D514">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300" w:type="dxa"/>
            <w:tcBorders>
              <w:top w:val="nil"/>
              <w:left w:val="nil"/>
              <w:bottom w:val="single" w:color="auto" w:sz="4" w:space="0"/>
              <w:right w:val="single" w:color="auto" w:sz="4" w:space="0"/>
            </w:tcBorders>
            <w:shd w:val="clear" w:color="auto" w:fill="auto"/>
            <w:noWrap/>
            <w:vAlign w:val="center"/>
          </w:tcPr>
          <w:p w14:paraId="6D8CD28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5502.31 </w:t>
            </w:r>
          </w:p>
        </w:tc>
        <w:tc>
          <w:tcPr>
            <w:tcW w:w="1196" w:type="dxa"/>
            <w:tcBorders>
              <w:top w:val="nil"/>
              <w:left w:val="nil"/>
              <w:bottom w:val="single" w:color="auto" w:sz="4" w:space="0"/>
              <w:right w:val="single" w:color="auto" w:sz="4" w:space="0"/>
            </w:tcBorders>
            <w:shd w:val="clear" w:color="auto" w:fill="auto"/>
            <w:noWrap/>
            <w:vAlign w:val="center"/>
          </w:tcPr>
          <w:p w14:paraId="5FD5E269">
            <w:pPr>
              <w:widowControl/>
              <w:jc w:val="center"/>
              <w:rPr>
                <w:rFonts w:ascii="宋体" w:hAnsi="宋体" w:cs="宋体"/>
                <w:color w:val="000000"/>
                <w:kern w:val="0"/>
                <w:sz w:val="18"/>
                <w:szCs w:val="18"/>
              </w:rPr>
            </w:pPr>
            <w:r>
              <w:rPr>
                <w:rFonts w:hint="eastAsia" w:ascii="宋体" w:hAnsi="宋体" w:cs="宋体"/>
                <w:color w:val="000000"/>
                <w:kern w:val="0"/>
                <w:sz w:val="18"/>
                <w:szCs w:val="18"/>
              </w:rPr>
              <w:t>4727</w:t>
            </w:r>
          </w:p>
        </w:tc>
        <w:tc>
          <w:tcPr>
            <w:tcW w:w="1220" w:type="dxa"/>
            <w:tcBorders>
              <w:top w:val="nil"/>
              <w:left w:val="nil"/>
              <w:bottom w:val="single" w:color="auto" w:sz="4" w:space="0"/>
              <w:right w:val="single" w:color="auto" w:sz="4" w:space="0"/>
            </w:tcBorders>
            <w:shd w:val="clear" w:color="auto" w:fill="auto"/>
            <w:vAlign w:val="center"/>
          </w:tcPr>
          <w:p w14:paraId="51FDEBF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480.64 </w:t>
            </w:r>
          </w:p>
        </w:tc>
        <w:tc>
          <w:tcPr>
            <w:tcW w:w="1220" w:type="dxa"/>
            <w:tcBorders>
              <w:top w:val="nil"/>
              <w:left w:val="nil"/>
              <w:bottom w:val="single" w:color="auto" w:sz="4" w:space="0"/>
              <w:right w:val="single" w:color="auto" w:sz="4" w:space="0"/>
            </w:tcBorders>
            <w:shd w:val="clear" w:color="auto" w:fill="auto"/>
            <w:vAlign w:val="center"/>
          </w:tcPr>
          <w:p w14:paraId="7AE5B87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412.89 </w:t>
            </w:r>
          </w:p>
        </w:tc>
        <w:tc>
          <w:tcPr>
            <w:tcW w:w="1220" w:type="dxa"/>
            <w:tcBorders>
              <w:top w:val="nil"/>
              <w:left w:val="nil"/>
              <w:bottom w:val="single" w:color="auto" w:sz="4" w:space="0"/>
              <w:right w:val="single" w:color="auto" w:sz="4" w:space="0"/>
            </w:tcBorders>
            <w:shd w:val="clear" w:color="auto" w:fill="auto"/>
            <w:vAlign w:val="center"/>
          </w:tcPr>
          <w:p w14:paraId="2CFC2FC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77.32 </w:t>
            </w:r>
          </w:p>
        </w:tc>
        <w:tc>
          <w:tcPr>
            <w:tcW w:w="1196" w:type="dxa"/>
            <w:tcBorders>
              <w:top w:val="nil"/>
              <w:left w:val="nil"/>
              <w:bottom w:val="single" w:color="auto" w:sz="4" w:space="0"/>
              <w:right w:val="single" w:color="auto" w:sz="4" w:space="0"/>
            </w:tcBorders>
            <w:shd w:val="clear" w:color="auto" w:fill="auto"/>
            <w:noWrap/>
            <w:vAlign w:val="center"/>
          </w:tcPr>
          <w:p w14:paraId="11B20C6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50.19 </w:t>
            </w:r>
          </w:p>
        </w:tc>
        <w:tc>
          <w:tcPr>
            <w:tcW w:w="1196" w:type="dxa"/>
            <w:tcBorders>
              <w:top w:val="nil"/>
              <w:left w:val="nil"/>
              <w:bottom w:val="single" w:color="auto" w:sz="4" w:space="0"/>
              <w:right w:val="single" w:color="auto" w:sz="4" w:space="0"/>
            </w:tcBorders>
            <w:shd w:val="clear" w:color="auto" w:fill="auto"/>
            <w:noWrap/>
            <w:vAlign w:val="center"/>
          </w:tcPr>
          <w:p w14:paraId="63BCAB6B">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r>
      <w:tr w14:paraId="415035F5">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33CC0F64">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300" w:type="dxa"/>
            <w:tcBorders>
              <w:top w:val="nil"/>
              <w:left w:val="nil"/>
              <w:bottom w:val="single" w:color="auto" w:sz="4" w:space="0"/>
              <w:right w:val="single" w:color="auto" w:sz="4" w:space="0"/>
            </w:tcBorders>
            <w:shd w:val="clear" w:color="auto" w:fill="auto"/>
            <w:noWrap/>
            <w:vAlign w:val="center"/>
          </w:tcPr>
          <w:p w14:paraId="772EC6E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3354.71 </w:t>
            </w:r>
          </w:p>
        </w:tc>
        <w:tc>
          <w:tcPr>
            <w:tcW w:w="1196" w:type="dxa"/>
            <w:tcBorders>
              <w:top w:val="nil"/>
              <w:left w:val="nil"/>
              <w:bottom w:val="single" w:color="auto" w:sz="4" w:space="0"/>
              <w:right w:val="single" w:color="auto" w:sz="4" w:space="0"/>
            </w:tcBorders>
            <w:shd w:val="clear" w:color="auto" w:fill="auto"/>
            <w:noWrap/>
            <w:vAlign w:val="center"/>
          </w:tcPr>
          <w:p w14:paraId="57456900">
            <w:pPr>
              <w:widowControl/>
              <w:jc w:val="center"/>
              <w:rPr>
                <w:rFonts w:ascii="宋体" w:hAnsi="宋体" w:cs="宋体"/>
                <w:color w:val="000000"/>
                <w:kern w:val="0"/>
                <w:sz w:val="18"/>
                <w:szCs w:val="18"/>
              </w:rPr>
            </w:pPr>
            <w:r>
              <w:rPr>
                <w:rFonts w:hint="eastAsia" w:ascii="宋体" w:hAnsi="宋体" w:cs="宋体"/>
                <w:color w:val="000000"/>
                <w:kern w:val="0"/>
                <w:sz w:val="18"/>
                <w:szCs w:val="18"/>
              </w:rPr>
              <w:t>2647</w:t>
            </w:r>
          </w:p>
        </w:tc>
        <w:tc>
          <w:tcPr>
            <w:tcW w:w="1220" w:type="dxa"/>
            <w:tcBorders>
              <w:top w:val="nil"/>
              <w:left w:val="nil"/>
              <w:bottom w:val="single" w:color="auto" w:sz="4" w:space="0"/>
              <w:right w:val="single" w:color="auto" w:sz="4" w:space="0"/>
            </w:tcBorders>
            <w:shd w:val="clear" w:color="auto" w:fill="auto"/>
            <w:vAlign w:val="center"/>
          </w:tcPr>
          <w:p w14:paraId="4DC8A92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952.05 </w:t>
            </w:r>
          </w:p>
        </w:tc>
        <w:tc>
          <w:tcPr>
            <w:tcW w:w="1220" w:type="dxa"/>
            <w:tcBorders>
              <w:top w:val="nil"/>
              <w:left w:val="nil"/>
              <w:bottom w:val="single" w:color="auto" w:sz="4" w:space="0"/>
              <w:right w:val="single" w:color="auto" w:sz="4" w:space="0"/>
            </w:tcBorders>
            <w:shd w:val="clear" w:color="auto" w:fill="auto"/>
            <w:vAlign w:val="center"/>
          </w:tcPr>
          <w:p w14:paraId="473B249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854.88 </w:t>
            </w:r>
          </w:p>
        </w:tc>
        <w:tc>
          <w:tcPr>
            <w:tcW w:w="1220" w:type="dxa"/>
            <w:tcBorders>
              <w:top w:val="nil"/>
              <w:left w:val="nil"/>
              <w:bottom w:val="single" w:color="auto" w:sz="4" w:space="0"/>
              <w:right w:val="single" w:color="auto" w:sz="4" w:space="0"/>
            </w:tcBorders>
            <w:shd w:val="clear" w:color="auto" w:fill="auto"/>
            <w:vAlign w:val="center"/>
          </w:tcPr>
          <w:p w14:paraId="2D0B1C7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15.76 </w:t>
            </w:r>
          </w:p>
        </w:tc>
        <w:tc>
          <w:tcPr>
            <w:tcW w:w="1196" w:type="dxa"/>
            <w:tcBorders>
              <w:top w:val="nil"/>
              <w:left w:val="nil"/>
              <w:bottom w:val="single" w:color="auto" w:sz="4" w:space="0"/>
              <w:right w:val="single" w:color="auto" w:sz="4" w:space="0"/>
            </w:tcBorders>
            <w:shd w:val="clear" w:color="auto" w:fill="auto"/>
            <w:noWrap/>
            <w:vAlign w:val="center"/>
          </w:tcPr>
          <w:p w14:paraId="2255415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5.88 </w:t>
            </w:r>
          </w:p>
        </w:tc>
        <w:tc>
          <w:tcPr>
            <w:tcW w:w="1196" w:type="dxa"/>
            <w:tcBorders>
              <w:top w:val="nil"/>
              <w:left w:val="nil"/>
              <w:bottom w:val="single" w:color="auto" w:sz="4" w:space="0"/>
              <w:right w:val="single" w:color="auto" w:sz="4" w:space="0"/>
            </w:tcBorders>
            <w:shd w:val="clear" w:color="auto" w:fill="auto"/>
            <w:noWrap/>
            <w:vAlign w:val="center"/>
          </w:tcPr>
          <w:p w14:paraId="123283F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29.65 </w:t>
            </w:r>
          </w:p>
        </w:tc>
      </w:tr>
      <w:tr w14:paraId="7DBEE010">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618E9D2F">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300" w:type="dxa"/>
            <w:tcBorders>
              <w:top w:val="nil"/>
              <w:left w:val="nil"/>
              <w:bottom w:val="single" w:color="auto" w:sz="4" w:space="0"/>
              <w:right w:val="single" w:color="auto" w:sz="4" w:space="0"/>
            </w:tcBorders>
            <w:shd w:val="clear" w:color="auto" w:fill="auto"/>
            <w:noWrap/>
            <w:vAlign w:val="center"/>
          </w:tcPr>
          <w:p w14:paraId="091EB88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3502.39 </w:t>
            </w:r>
          </w:p>
        </w:tc>
        <w:tc>
          <w:tcPr>
            <w:tcW w:w="1196" w:type="dxa"/>
            <w:tcBorders>
              <w:top w:val="nil"/>
              <w:left w:val="nil"/>
              <w:bottom w:val="single" w:color="auto" w:sz="4" w:space="0"/>
              <w:right w:val="single" w:color="auto" w:sz="4" w:space="0"/>
            </w:tcBorders>
            <w:shd w:val="clear" w:color="auto" w:fill="auto"/>
            <w:noWrap/>
            <w:vAlign w:val="center"/>
          </w:tcPr>
          <w:p w14:paraId="2CC76189">
            <w:pPr>
              <w:widowControl/>
              <w:jc w:val="center"/>
              <w:rPr>
                <w:rFonts w:ascii="宋体" w:hAnsi="宋体" w:cs="宋体"/>
                <w:color w:val="000000"/>
                <w:kern w:val="0"/>
                <w:sz w:val="18"/>
                <w:szCs w:val="18"/>
              </w:rPr>
            </w:pPr>
            <w:r>
              <w:rPr>
                <w:rFonts w:hint="eastAsia" w:ascii="宋体" w:hAnsi="宋体" w:cs="宋体"/>
                <w:color w:val="000000"/>
                <w:kern w:val="0"/>
                <w:sz w:val="18"/>
                <w:szCs w:val="18"/>
              </w:rPr>
              <w:t>2493</w:t>
            </w:r>
          </w:p>
        </w:tc>
        <w:tc>
          <w:tcPr>
            <w:tcW w:w="1220" w:type="dxa"/>
            <w:tcBorders>
              <w:top w:val="nil"/>
              <w:left w:val="nil"/>
              <w:bottom w:val="single" w:color="auto" w:sz="4" w:space="0"/>
              <w:right w:val="single" w:color="auto" w:sz="4" w:space="0"/>
            </w:tcBorders>
            <w:shd w:val="clear" w:color="auto" w:fill="auto"/>
            <w:vAlign w:val="center"/>
          </w:tcPr>
          <w:p w14:paraId="228CDE3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561.45 </w:t>
            </w:r>
          </w:p>
        </w:tc>
        <w:tc>
          <w:tcPr>
            <w:tcW w:w="1220" w:type="dxa"/>
            <w:tcBorders>
              <w:top w:val="nil"/>
              <w:left w:val="nil"/>
              <w:bottom w:val="single" w:color="auto" w:sz="4" w:space="0"/>
              <w:right w:val="single" w:color="auto" w:sz="4" w:space="0"/>
            </w:tcBorders>
            <w:shd w:val="clear" w:color="auto" w:fill="auto"/>
            <w:vAlign w:val="center"/>
          </w:tcPr>
          <w:p w14:paraId="6AF0455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479.66 </w:t>
            </w:r>
          </w:p>
        </w:tc>
        <w:tc>
          <w:tcPr>
            <w:tcW w:w="1220" w:type="dxa"/>
            <w:tcBorders>
              <w:top w:val="nil"/>
              <w:left w:val="nil"/>
              <w:bottom w:val="single" w:color="auto" w:sz="4" w:space="0"/>
              <w:right w:val="single" w:color="auto" w:sz="4" w:space="0"/>
            </w:tcBorders>
            <w:shd w:val="clear" w:color="auto" w:fill="auto"/>
            <w:vAlign w:val="center"/>
          </w:tcPr>
          <w:p w14:paraId="258EED8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18.41 </w:t>
            </w:r>
          </w:p>
        </w:tc>
        <w:tc>
          <w:tcPr>
            <w:tcW w:w="1196" w:type="dxa"/>
            <w:tcBorders>
              <w:top w:val="nil"/>
              <w:left w:val="nil"/>
              <w:bottom w:val="single" w:color="auto" w:sz="4" w:space="0"/>
              <w:right w:val="single" w:color="auto" w:sz="4" w:space="0"/>
            </w:tcBorders>
            <w:shd w:val="clear" w:color="auto" w:fill="auto"/>
            <w:noWrap/>
            <w:vAlign w:val="center"/>
          </w:tcPr>
          <w:p w14:paraId="65E294F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15.93 </w:t>
            </w:r>
          </w:p>
        </w:tc>
        <w:tc>
          <w:tcPr>
            <w:tcW w:w="1196" w:type="dxa"/>
            <w:tcBorders>
              <w:top w:val="nil"/>
              <w:left w:val="nil"/>
              <w:bottom w:val="single" w:color="auto" w:sz="4" w:space="0"/>
              <w:right w:val="single" w:color="auto" w:sz="4" w:space="0"/>
            </w:tcBorders>
            <w:shd w:val="clear" w:color="auto" w:fill="auto"/>
            <w:noWrap/>
            <w:vAlign w:val="center"/>
          </w:tcPr>
          <w:p w14:paraId="098A37E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59.65 </w:t>
            </w:r>
          </w:p>
        </w:tc>
      </w:tr>
      <w:tr w14:paraId="7590101C">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510E2A69">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300" w:type="dxa"/>
            <w:tcBorders>
              <w:top w:val="nil"/>
              <w:left w:val="nil"/>
              <w:bottom w:val="single" w:color="auto" w:sz="4" w:space="0"/>
              <w:right w:val="single" w:color="auto" w:sz="4" w:space="0"/>
            </w:tcBorders>
            <w:shd w:val="clear" w:color="auto" w:fill="auto"/>
            <w:noWrap/>
            <w:vAlign w:val="center"/>
          </w:tcPr>
          <w:p w14:paraId="2B51F3C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727.04 </w:t>
            </w:r>
          </w:p>
        </w:tc>
        <w:tc>
          <w:tcPr>
            <w:tcW w:w="1196" w:type="dxa"/>
            <w:tcBorders>
              <w:top w:val="nil"/>
              <w:left w:val="nil"/>
              <w:bottom w:val="single" w:color="auto" w:sz="4" w:space="0"/>
              <w:right w:val="single" w:color="auto" w:sz="4" w:space="0"/>
            </w:tcBorders>
            <w:shd w:val="clear" w:color="auto" w:fill="auto"/>
            <w:noWrap/>
            <w:vAlign w:val="center"/>
          </w:tcPr>
          <w:p w14:paraId="38C76402">
            <w:pPr>
              <w:widowControl/>
              <w:jc w:val="center"/>
              <w:rPr>
                <w:rFonts w:ascii="宋体" w:hAnsi="宋体" w:cs="宋体"/>
                <w:color w:val="000000"/>
                <w:kern w:val="0"/>
                <w:sz w:val="18"/>
                <w:szCs w:val="18"/>
              </w:rPr>
            </w:pPr>
            <w:r>
              <w:rPr>
                <w:rFonts w:hint="eastAsia" w:ascii="宋体" w:hAnsi="宋体" w:cs="宋体"/>
                <w:color w:val="000000"/>
                <w:kern w:val="0"/>
                <w:sz w:val="18"/>
                <w:szCs w:val="18"/>
              </w:rPr>
              <w:t>526</w:t>
            </w:r>
          </w:p>
        </w:tc>
        <w:tc>
          <w:tcPr>
            <w:tcW w:w="1220" w:type="dxa"/>
            <w:tcBorders>
              <w:top w:val="nil"/>
              <w:left w:val="nil"/>
              <w:bottom w:val="single" w:color="auto" w:sz="4" w:space="0"/>
              <w:right w:val="single" w:color="auto" w:sz="4" w:space="0"/>
            </w:tcBorders>
            <w:shd w:val="clear" w:color="auto" w:fill="auto"/>
            <w:vAlign w:val="center"/>
          </w:tcPr>
          <w:p w14:paraId="589CE97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284.30 </w:t>
            </w:r>
          </w:p>
        </w:tc>
        <w:tc>
          <w:tcPr>
            <w:tcW w:w="1220" w:type="dxa"/>
            <w:tcBorders>
              <w:top w:val="nil"/>
              <w:left w:val="nil"/>
              <w:bottom w:val="single" w:color="auto" w:sz="4" w:space="0"/>
              <w:right w:val="single" w:color="auto" w:sz="4" w:space="0"/>
            </w:tcBorders>
            <w:shd w:val="clear" w:color="auto" w:fill="auto"/>
            <w:vAlign w:val="center"/>
          </w:tcPr>
          <w:p w14:paraId="46F5230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251.82 </w:t>
            </w:r>
          </w:p>
        </w:tc>
        <w:tc>
          <w:tcPr>
            <w:tcW w:w="1220" w:type="dxa"/>
            <w:tcBorders>
              <w:top w:val="nil"/>
              <w:left w:val="nil"/>
              <w:bottom w:val="single" w:color="auto" w:sz="4" w:space="0"/>
              <w:right w:val="single" w:color="auto" w:sz="4" w:space="0"/>
            </w:tcBorders>
            <w:shd w:val="clear" w:color="auto" w:fill="auto"/>
            <w:vAlign w:val="center"/>
          </w:tcPr>
          <w:p w14:paraId="0BD30B1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23.26 </w:t>
            </w:r>
          </w:p>
        </w:tc>
        <w:tc>
          <w:tcPr>
            <w:tcW w:w="1196" w:type="dxa"/>
            <w:tcBorders>
              <w:top w:val="nil"/>
              <w:left w:val="nil"/>
              <w:bottom w:val="single" w:color="auto" w:sz="4" w:space="0"/>
              <w:right w:val="single" w:color="auto" w:sz="4" w:space="0"/>
            </w:tcBorders>
            <w:shd w:val="clear" w:color="auto" w:fill="auto"/>
            <w:noWrap/>
            <w:vAlign w:val="center"/>
          </w:tcPr>
          <w:p w14:paraId="7AAE85E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6.64 </w:t>
            </w:r>
          </w:p>
        </w:tc>
        <w:tc>
          <w:tcPr>
            <w:tcW w:w="1196" w:type="dxa"/>
            <w:tcBorders>
              <w:top w:val="nil"/>
              <w:left w:val="nil"/>
              <w:bottom w:val="single" w:color="auto" w:sz="4" w:space="0"/>
              <w:right w:val="single" w:color="auto" w:sz="4" w:space="0"/>
            </w:tcBorders>
            <w:shd w:val="clear" w:color="auto" w:fill="auto"/>
            <w:noWrap/>
            <w:vAlign w:val="center"/>
          </w:tcPr>
          <w:p w14:paraId="4104D0CC">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r>
      <w:tr w14:paraId="57264818">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4D1EF5C0">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300" w:type="dxa"/>
            <w:tcBorders>
              <w:top w:val="nil"/>
              <w:left w:val="nil"/>
              <w:bottom w:val="single" w:color="auto" w:sz="4" w:space="0"/>
              <w:right w:val="single" w:color="auto" w:sz="4" w:space="0"/>
            </w:tcBorders>
            <w:shd w:val="clear" w:color="auto" w:fill="auto"/>
            <w:noWrap/>
            <w:vAlign w:val="center"/>
          </w:tcPr>
          <w:p w14:paraId="6B3E489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983.14 </w:t>
            </w:r>
          </w:p>
        </w:tc>
        <w:tc>
          <w:tcPr>
            <w:tcW w:w="1196" w:type="dxa"/>
            <w:tcBorders>
              <w:top w:val="nil"/>
              <w:left w:val="nil"/>
              <w:bottom w:val="single" w:color="auto" w:sz="4" w:space="0"/>
              <w:right w:val="single" w:color="auto" w:sz="4" w:space="0"/>
            </w:tcBorders>
            <w:shd w:val="clear" w:color="auto" w:fill="auto"/>
            <w:noWrap/>
            <w:vAlign w:val="center"/>
          </w:tcPr>
          <w:p w14:paraId="4428B3AD">
            <w:pPr>
              <w:widowControl/>
              <w:jc w:val="center"/>
              <w:rPr>
                <w:rFonts w:ascii="宋体" w:hAnsi="宋体" w:cs="宋体"/>
                <w:color w:val="000000"/>
                <w:kern w:val="0"/>
                <w:sz w:val="18"/>
                <w:szCs w:val="18"/>
              </w:rPr>
            </w:pPr>
            <w:r>
              <w:rPr>
                <w:rFonts w:hint="eastAsia" w:ascii="宋体" w:hAnsi="宋体" w:cs="宋体"/>
                <w:color w:val="000000"/>
                <w:kern w:val="0"/>
                <w:sz w:val="18"/>
                <w:szCs w:val="18"/>
              </w:rPr>
              <w:t>593</w:t>
            </w:r>
          </w:p>
        </w:tc>
        <w:tc>
          <w:tcPr>
            <w:tcW w:w="1220" w:type="dxa"/>
            <w:tcBorders>
              <w:top w:val="nil"/>
              <w:left w:val="nil"/>
              <w:bottom w:val="single" w:color="auto" w:sz="4" w:space="0"/>
              <w:right w:val="single" w:color="auto" w:sz="4" w:space="0"/>
            </w:tcBorders>
            <w:shd w:val="clear" w:color="auto" w:fill="auto"/>
            <w:vAlign w:val="center"/>
          </w:tcPr>
          <w:p w14:paraId="0EB2D77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136.35 </w:t>
            </w:r>
          </w:p>
        </w:tc>
        <w:tc>
          <w:tcPr>
            <w:tcW w:w="1220" w:type="dxa"/>
            <w:tcBorders>
              <w:top w:val="nil"/>
              <w:left w:val="nil"/>
              <w:bottom w:val="single" w:color="auto" w:sz="4" w:space="0"/>
              <w:right w:val="single" w:color="auto" w:sz="4" w:space="0"/>
            </w:tcBorders>
            <w:shd w:val="clear" w:color="auto" w:fill="auto"/>
            <w:vAlign w:val="center"/>
          </w:tcPr>
          <w:p w14:paraId="32006B3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119.97 </w:t>
            </w:r>
          </w:p>
        </w:tc>
        <w:tc>
          <w:tcPr>
            <w:tcW w:w="1220" w:type="dxa"/>
            <w:tcBorders>
              <w:top w:val="nil"/>
              <w:left w:val="nil"/>
              <w:bottom w:val="single" w:color="auto" w:sz="4" w:space="0"/>
              <w:right w:val="single" w:color="auto" w:sz="4" w:space="0"/>
            </w:tcBorders>
            <w:shd w:val="clear" w:color="auto" w:fill="auto"/>
            <w:vAlign w:val="center"/>
          </w:tcPr>
          <w:p w14:paraId="41D6634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7.75 </w:t>
            </w:r>
          </w:p>
        </w:tc>
        <w:tc>
          <w:tcPr>
            <w:tcW w:w="1196" w:type="dxa"/>
            <w:tcBorders>
              <w:top w:val="nil"/>
              <w:left w:val="nil"/>
              <w:bottom w:val="single" w:color="auto" w:sz="4" w:space="0"/>
              <w:right w:val="single" w:color="auto" w:sz="4" w:space="0"/>
            </w:tcBorders>
            <w:shd w:val="clear" w:color="auto" w:fill="auto"/>
            <w:noWrap/>
            <w:vAlign w:val="center"/>
          </w:tcPr>
          <w:p w14:paraId="4A802E1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2.82 </w:t>
            </w:r>
          </w:p>
        </w:tc>
        <w:tc>
          <w:tcPr>
            <w:tcW w:w="1196" w:type="dxa"/>
            <w:tcBorders>
              <w:top w:val="nil"/>
              <w:left w:val="nil"/>
              <w:bottom w:val="single" w:color="auto" w:sz="4" w:space="0"/>
              <w:right w:val="single" w:color="auto" w:sz="4" w:space="0"/>
            </w:tcBorders>
            <w:shd w:val="clear" w:color="auto" w:fill="auto"/>
            <w:noWrap/>
            <w:vAlign w:val="center"/>
          </w:tcPr>
          <w:p w14:paraId="27BB997E">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r>
      <w:tr w14:paraId="03304503">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6D5A23E3">
            <w:pPr>
              <w:widowControl/>
              <w:jc w:val="center"/>
              <w:rPr>
                <w:rFonts w:ascii="宋体" w:hAnsi="宋体" w:cs="宋体"/>
                <w:color w:val="000000"/>
                <w:kern w:val="0"/>
                <w:sz w:val="18"/>
                <w:szCs w:val="18"/>
              </w:rPr>
            </w:pPr>
            <w:r>
              <w:rPr>
                <w:rFonts w:hint="eastAsia" w:ascii="宋体" w:hAnsi="宋体" w:cs="宋体"/>
                <w:color w:val="000000"/>
                <w:kern w:val="0"/>
                <w:sz w:val="18"/>
                <w:szCs w:val="18"/>
              </w:rPr>
              <w:t>预留</w:t>
            </w:r>
          </w:p>
        </w:tc>
        <w:tc>
          <w:tcPr>
            <w:tcW w:w="1300" w:type="dxa"/>
            <w:tcBorders>
              <w:top w:val="nil"/>
              <w:left w:val="nil"/>
              <w:bottom w:val="single" w:color="auto" w:sz="4" w:space="0"/>
              <w:right w:val="single" w:color="auto" w:sz="4" w:space="0"/>
            </w:tcBorders>
            <w:shd w:val="clear" w:color="auto" w:fill="auto"/>
            <w:noWrap/>
            <w:vAlign w:val="center"/>
          </w:tcPr>
          <w:p w14:paraId="6EA685C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96" w:type="dxa"/>
            <w:tcBorders>
              <w:top w:val="nil"/>
              <w:left w:val="nil"/>
              <w:bottom w:val="single" w:color="auto" w:sz="4" w:space="0"/>
              <w:right w:val="single" w:color="auto" w:sz="4" w:space="0"/>
            </w:tcBorders>
            <w:shd w:val="clear" w:color="auto" w:fill="auto"/>
            <w:noWrap/>
            <w:vAlign w:val="center"/>
          </w:tcPr>
          <w:p w14:paraId="39BB9BA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20" w:type="dxa"/>
            <w:tcBorders>
              <w:top w:val="nil"/>
              <w:left w:val="nil"/>
              <w:bottom w:val="single" w:color="auto" w:sz="4" w:space="0"/>
              <w:right w:val="single" w:color="auto" w:sz="4" w:space="0"/>
            </w:tcBorders>
            <w:shd w:val="clear" w:color="auto" w:fill="auto"/>
            <w:vAlign w:val="center"/>
          </w:tcPr>
          <w:p w14:paraId="5AFBF80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15.65 </w:t>
            </w:r>
          </w:p>
        </w:tc>
        <w:tc>
          <w:tcPr>
            <w:tcW w:w="1220" w:type="dxa"/>
            <w:tcBorders>
              <w:top w:val="nil"/>
              <w:left w:val="nil"/>
              <w:bottom w:val="single" w:color="auto" w:sz="4" w:space="0"/>
              <w:right w:val="single" w:color="auto" w:sz="4" w:space="0"/>
            </w:tcBorders>
            <w:shd w:val="clear" w:color="auto" w:fill="auto"/>
            <w:noWrap/>
            <w:vAlign w:val="center"/>
          </w:tcPr>
          <w:p w14:paraId="54E6C876">
            <w:pPr>
              <w:widowControl/>
              <w:jc w:val="center"/>
              <w:rPr>
                <w:rFonts w:ascii="宋体" w:hAnsi="宋体" w:cs="宋体"/>
                <w:color w:val="000000"/>
                <w:kern w:val="0"/>
                <w:sz w:val="18"/>
                <w:szCs w:val="18"/>
              </w:rPr>
            </w:pPr>
            <w:r>
              <w:rPr>
                <w:rFonts w:hint="eastAsia" w:ascii="宋体" w:hAnsi="宋体" w:cs="宋体"/>
                <w:color w:val="000000"/>
                <w:kern w:val="0"/>
                <w:sz w:val="18"/>
                <w:szCs w:val="18"/>
              </w:rPr>
              <w:t>15.65</w:t>
            </w:r>
          </w:p>
        </w:tc>
        <w:tc>
          <w:tcPr>
            <w:tcW w:w="1220" w:type="dxa"/>
            <w:tcBorders>
              <w:top w:val="nil"/>
              <w:left w:val="nil"/>
              <w:bottom w:val="single" w:color="auto" w:sz="4" w:space="0"/>
              <w:right w:val="single" w:color="auto" w:sz="4" w:space="0"/>
            </w:tcBorders>
            <w:shd w:val="clear" w:color="auto" w:fill="auto"/>
            <w:noWrap/>
            <w:vAlign w:val="center"/>
          </w:tcPr>
          <w:p w14:paraId="13AF43BE">
            <w:pPr>
              <w:widowControl/>
              <w:jc w:val="center"/>
              <w:rPr>
                <w:rFonts w:ascii="宋体" w:hAnsi="宋体" w:cs="宋体"/>
                <w:color w:val="000000"/>
                <w:kern w:val="0"/>
                <w:sz w:val="18"/>
                <w:szCs w:val="18"/>
              </w:rPr>
            </w:pPr>
            <w:r>
              <w:rPr>
                <w:rFonts w:hint="eastAsia" w:ascii="宋体" w:hAnsi="宋体" w:cs="宋体"/>
                <w:color w:val="000000"/>
                <w:kern w:val="0"/>
                <w:sz w:val="18"/>
                <w:szCs w:val="18"/>
              </w:rPr>
              <w:t>15.65</w:t>
            </w:r>
          </w:p>
        </w:tc>
        <w:tc>
          <w:tcPr>
            <w:tcW w:w="1196" w:type="dxa"/>
            <w:tcBorders>
              <w:top w:val="nil"/>
              <w:left w:val="nil"/>
              <w:bottom w:val="single" w:color="auto" w:sz="4" w:space="0"/>
              <w:right w:val="single" w:color="auto" w:sz="4" w:space="0"/>
            </w:tcBorders>
            <w:shd w:val="clear" w:color="auto" w:fill="auto"/>
            <w:noWrap/>
            <w:vAlign w:val="center"/>
          </w:tcPr>
          <w:p w14:paraId="0390DA43">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96" w:type="dxa"/>
            <w:tcBorders>
              <w:top w:val="nil"/>
              <w:left w:val="nil"/>
              <w:bottom w:val="single" w:color="auto" w:sz="4" w:space="0"/>
              <w:right w:val="single" w:color="auto" w:sz="4" w:space="0"/>
            </w:tcBorders>
            <w:shd w:val="clear" w:color="auto" w:fill="auto"/>
            <w:noWrap/>
            <w:vAlign w:val="center"/>
          </w:tcPr>
          <w:p w14:paraId="06DE0EE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14:paraId="48354624">
        <w:tblPrEx>
          <w:tblCellMar>
            <w:top w:w="0" w:type="dxa"/>
            <w:left w:w="108" w:type="dxa"/>
            <w:bottom w:w="0" w:type="dxa"/>
            <w:right w:w="108" w:type="dxa"/>
          </w:tblCellMar>
        </w:tblPrEx>
        <w:trPr>
          <w:trHeight w:val="288" w:hRule="atLeast"/>
        </w:trPr>
        <w:tc>
          <w:tcPr>
            <w:tcW w:w="1116" w:type="dxa"/>
            <w:tcBorders>
              <w:top w:val="nil"/>
              <w:left w:val="single" w:color="auto" w:sz="4" w:space="0"/>
              <w:bottom w:val="single" w:color="auto" w:sz="4" w:space="0"/>
              <w:right w:val="single" w:color="auto" w:sz="4" w:space="0"/>
            </w:tcBorders>
            <w:shd w:val="clear" w:color="auto" w:fill="auto"/>
            <w:noWrap/>
            <w:vAlign w:val="center"/>
          </w:tcPr>
          <w:p w14:paraId="41ADE50F">
            <w:pPr>
              <w:widowControl/>
              <w:jc w:val="center"/>
              <w:rPr>
                <w:rFonts w:ascii="宋体" w:hAnsi="宋体" w:cs="宋体"/>
                <w:color w:val="000000"/>
                <w:kern w:val="0"/>
                <w:sz w:val="18"/>
                <w:szCs w:val="18"/>
              </w:rPr>
            </w:pPr>
            <w:r>
              <w:rPr>
                <w:rFonts w:hint="eastAsia" w:ascii="宋体" w:hAnsi="宋体" w:cs="宋体"/>
                <w:color w:val="000000"/>
                <w:kern w:val="0"/>
                <w:sz w:val="18"/>
                <w:szCs w:val="18"/>
              </w:rPr>
              <w:t>东川区</w:t>
            </w:r>
          </w:p>
        </w:tc>
        <w:tc>
          <w:tcPr>
            <w:tcW w:w="1300" w:type="dxa"/>
            <w:tcBorders>
              <w:top w:val="nil"/>
              <w:left w:val="nil"/>
              <w:bottom w:val="single" w:color="auto" w:sz="4" w:space="0"/>
              <w:right w:val="single" w:color="auto" w:sz="4" w:space="0"/>
            </w:tcBorders>
            <w:shd w:val="clear" w:color="auto" w:fill="auto"/>
            <w:noWrap/>
            <w:vAlign w:val="center"/>
          </w:tcPr>
          <w:p w14:paraId="2BA96ADA">
            <w:pPr>
              <w:widowControl/>
              <w:jc w:val="center"/>
              <w:rPr>
                <w:rFonts w:ascii="宋体" w:hAnsi="宋体" w:cs="宋体"/>
                <w:color w:val="000000"/>
                <w:kern w:val="0"/>
                <w:sz w:val="18"/>
                <w:szCs w:val="18"/>
              </w:rPr>
            </w:pPr>
            <w:r>
              <w:rPr>
                <w:rFonts w:hint="eastAsia" w:ascii="宋体" w:hAnsi="宋体" w:cs="宋体"/>
                <w:color w:val="000000"/>
                <w:kern w:val="0"/>
                <w:sz w:val="18"/>
                <w:szCs w:val="18"/>
              </w:rPr>
              <w:t>29497</w:t>
            </w:r>
          </w:p>
        </w:tc>
        <w:tc>
          <w:tcPr>
            <w:tcW w:w="1196" w:type="dxa"/>
            <w:tcBorders>
              <w:top w:val="nil"/>
              <w:left w:val="nil"/>
              <w:bottom w:val="single" w:color="auto" w:sz="4" w:space="0"/>
              <w:right w:val="single" w:color="auto" w:sz="4" w:space="0"/>
            </w:tcBorders>
            <w:shd w:val="clear" w:color="auto" w:fill="auto"/>
            <w:noWrap/>
            <w:vAlign w:val="center"/>
          </w:tcPr>
          <w:p w14:paraId="03FD4C83">
            <w:pPr>
              <w:widowControl/>
              <w:jc w:val="center"/>
              <w:rPr>
                <w:rFonts w:ascii="宋体" w:hAnsi="宋体" w:cs="宋体"/>
                <w:color w:val="000000"/>
                <w:kern w:val="0"/>
                <w:sz w:val="18"/>
                <w:szCs w:val="18"/>
              </w:rPr>
            </w:pPr>
            <w:r>
              <w:rPr>
                <w:rFonts w:hint="eastAsia" w:ascii="宋体" w:hAnsi="宋体" w:cs="宋体"/>
                <w:color w:val="000000"/>
                <w:kern w:val="0"/>
                <w:sz w:val="18"/>
                <w:szCs w:val="18"/>
              </w:rPr>
              <w:t>23066</w:t>
            </w:r>
          </w:p>
        </w:tc>
        <w:tc>
          <w:tcPr>
            <w:tcW w:w="1220" w:type="dxa"/>
            <w:tcBorders>
              <w:top w:val="nil"/>
              <w:left w:val="nil"/>
              <w:bottom w:val="single" w:color="auto" w:sz="4" w:space="0"/>
              <w:right w:val="single" w:color="auto" w:sz="4" w:space="0"/>
            </w:tcBorders>
            <w:shd w:val="clear" w:color="auto" w:fill="auto"/>
            <w:vAlign w:val="center"/>
          </w:tcPr>
          <w:p w14:paraId="0DB988D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6156.00 </w:t>
            </w:r>
          </w:p>
        </w:tc>
        <w:tc>
          <w:tcPr>
            <w:tcW w:w="1220" w:type="dxa"/>
            <w:tcBorders>
              <w:top w:val="nil"/>
              <w:left w:val="nil"/>
              <w:bottom w:val="single" w:color="auto" w:sz="4" w:space="0"/>
              <w:right w:val="single" w:color="auto" w:sz="4" w:space="0"/>
            </w:tcBorders>
            <w:shd w:val="clear" w:color="auto" w:fill="auto"/>
            <w:vAlign w:val="center"/>
          </w:tcPr>
          <w:p w14:paraId="69671456">
            <w:pPr>
              <w:widowControl/>
              <w:jc w:val="center"/>
              <w:rPr>
                <w:rFonts w:ascii="宋体" w:hAnsi="宋体" w:cs="宋体"/>
                <w:color w:val="000000"/>
                <w:kern w:val="0"/>
                <w:sz w:val="18"/>
                <w:szCs w:val="18"/>
              </w:rPr>
            </w:pPr>
            <w:r>
              <w:rPr>
                <w:rFonts w:hint="eastAsia" w:ascii="宋体" w:hAnsi="宋体" w:cs="宋体"/>
                <w:color w:val="000000"/>
                <w:kern w:val="0"/>
                <w:sz w:val="18"/>
                <w:szCs w:val="18"/>
              </w:rPr>
              <w:t>5368.57</w:t>
            </w:r>
          </w:p>
        </w:tc>
        <w:tc>
          <w:tcPr>
            <w:tcW w:w="1220" w:type="dxa"/>
            <w:tcBorders>
              <w:top w:val="nil"/>
              <w:left w:val="nil"/>
              <w:bottom w:val="single" w:color="auto" w:sz="4" w:space="0"/>
              <w:right w:val="single" w:color="auto" w:sz="4" w:space="0"/>
            </w:tcBorders>
            <w:shd w:val="clear" w:color="auto" w:fill="auto"/>
            <w:noWrap/>
            <w:vAlign w:val="center"/>
          </w:tcPr>
          <w:p w14:paraId="22F214F5">
            <w:pPr>
              <w:widowControl/>
              <w:jc w:val="center"/>
              <w:rPr>
                <w:rFonts w:ascii="宋体" w:hAnsi="宋体" w:cs="宋体"/>
                <w:color w:val="000000"/>
                <w:kern w:val="0"/>
                <w:sz w:val="18"/>
                <w:szCs w:val="18"/>
              </w:rPr>
            </w:pPr>
            <w:r>
              <w:rPr>
                <w:rFonts w:hint="eastAsia" w:ascii="宋体" w:hAnsi="宋体" w:cs="宋体"/>
                <w:color w:val="000000"/>
                <w:kern w:val="0"/>
                <w:sz w:val="18"/>
                <w:szCs w:val="18"/>
              </w:rPr>
              <w:t>339.69</w:t>
            </w:r>
          </w:p>
        </w:tc>
        <w:tc>
          <w:tcPr>
            <w:tcW w:w="1196" w:type="dxa"/>
            <w:tcBorders>
              <w:top w:val="nil"/>
              <w:left w:val="nil"/>
              <w:bottom w:val="single" w:color="auto" w:sz="4" w:space="0"/>
              <w:right w:val="single" w:color="auto" w:sz="4" w:space="0"/>
            </w:tcBorders>
            <w:shd w:val="clear" w:color="auto" w:fill="auto"/>
            <w:noWrap/>
            <w:vAlign w:val="center"/>
          </w:tcPr>
          <w:p w14:paraId="422F7BDA">
            <w:pPr>
              <w:widowControl/>
              <w:jc w:val="center"/>
              <w:rPr>
                <w:rFonts w:ascii="宋体" w:hAnsi="宋体" w:cs="宋体"/>
                <w:color w:val="000000"/>
                <w:kern w:val="0"/>
                <w:sz w:val="18"/>
                <w:szCs w:val="18"/>
              </w:rPr>
            </w:pPr>
            <w:r>
              <w:rPr>
                <w:rFonts w:hint="eastAsia" w:ascii="宋体" w:hAnsi="宋体" w:cs="宋体"/>
                <w:color w:val="000000"/>
                <w:kern w:val="0"/>
                <w:sz w:val="18"/>
                <w:szCs w:val="18"/>
              </w:rPr>
              <w:t>203.32</w:t>
            </w:r>
          </w:p>
        </w:tc>
        <w:tc>
          <w:tcPr>
            <w:tcW w:w="1196" w:type="dxa"/>
            <w:tcBorders>
              <w:top w:val="nil"/>
              <w:left w:val="nil"/>
              <w:bottom w:val="single" w:color="auto" w:sz="4" w:space="0"/>
              <w:right w:val="single" w:color="auto" w:sz="4" w:space="0"/>
            </w:tcBorders>
            <w:shd w:val="clear" w:color="auto" w:fill="auto"/>
            <w:noWrap/>
            <w:vAlign w:val="center"/>
          </w:tcPr>
          <w:p w14:paraId="1CE85D7F">
            <w:pPr>
              <w:widowControl/>
              <w:jc w:val="center"/>
              <w:rPr>
                <w:rFonts w:ascii="宋体" w:hAnsi="宋体" w:cs="宋体"/>
                <w:color w:val="000000"/>
                <w:kern w:val="0"/>
                <w:sz w:val="18"/>
                <w:szCs w:val="18"/>
              </w:rPr>
            </w:pPr>
            <w:r>
              <w:rPr>
                <w:rFonts w:hint="eastAsia" w:ascii="宋体" w:hAnsi="宋体" w:cs="宋体"/>
                <w:color w:val="000000"/>
                <w:kern w:val="0"/>
                <w:sz w:val="18"/>
                <w:szCs w:val="18"/>
              </w:rPr>
              <w:t>159.51</w:t>
            </w:r>
          </w:p>
        </w:tc>
      </w:tr>
      <w:bookmarkEnd w:id="176"/>
    </w:tbl>
    <w:p w14:paraId="31062897">
      <w:pPr>
        <w:pStyle w:val="2"/>
        <w:spacing w:line="240" w:lineRule="atLeast"/>
        <w:jc w:val="left"/>
        <w:rPr>
          <w:rFonts w:ascii="黑体" w:eastAsia="黑体"/>
          <w:b w:val="0"/>
          <w:color w:val="000000"/>
          <w:sz w:val="24"/>
          <w:szCs w:val="24"/>
        </w:rPr>
      </w:pPr>
      <w:bookmarkStart w:id="180" w:name="_Toc268160768"/>
      <w:bookmarkStart w:id="181" w:name="_Toc491074925"/>
      <w:r>
        <w:rPr>
          <w:rFonts w:hint="eastAsia" w:ascii="黑体" w:eastAsia="黑体"/>
          <w:b w:val="0"/>
          <w:color w:val="000000"/>
          <w:sz w:val="24"/>
          <w:szCs w:val="24"/>
        </w:rPr>
        <w:t>附表4  东川区土地利用用途分区表</w:t>
      </w:r>
      <w:bookmarkEnd w:id="180"/>
      <w:bookmarkEnd w:id="181"/>
    </w:p>
    <w:p w14:paraId="06B59502">
      <w:pPr>
        <w:jc w:val="right"/>
        <w:rPr>
          <w:rFonts w:ascii="宋体" w:hAnsi="宋体" w:cs="宋体"/>
          <w:color w:val="000000"/>
          <w:kern w:val="0"/>
          <w:sz w:val="18"/>
          <w:szCs w:val="18"/>
        </w:rPr>
      </w:pPr>
      <w:r>
        <w:rPr>
          <w:rFonts w:hint="eastAsia" w:ascii="宋体" w:hAnsi="宋体" w:cs="宋体"/>
          <w:color w:val="000000"/>
          <w:kern w:val="0"/>
          <w:sz w:val="18"/>
          <w:szCs w:val="18"/>
        </w:rPr>
        <w:t>单位:公顷,%</w:t>
      </w:r>
    </w:p>
    <w:tbl>
      <w:tblPr>
        <w:tblStyle w:val="27"/>
        <w:tblW w:w="10862" w:type="dxa"/>
        <w:jc w:val="center"/>
        <w:tblLayout w:type="autofit"/>
        <w:tblCellMar>
          <w:top w:w="0" w:type="dxa"/>
          <w:left w:w="108" w:type="dxa"/>
          <w:bottom w:w="0" w:type="dxa"/>
          <w:right w:w="108" w:type="dxa"/>
        </w:tblCellMar>
      </w:tblPr>
      <w:tblGrid>
        <w:gridCol w:w="940"/>
        <w:gridCol w:w="1160"/>
        <w:gridCol w:w="1037"/>
        <w:gridCol w:w="992"/>
        <w:gridCol w:w="1026"/>
        <w:gridCol w:w="1026"/>
        <w:gridCol w:w="1160"/>
        <w:gridCol w:w="1160"/>
        <w:gridCol w:w="1085"/>
        <w:gridCol w:w="1276"/>
      </w:tblGrid>
      <w:tr w14:paraId="64B475B1">
        <w:tblPrEx>
          <w:tblCellMar>
            <w:top w:w="0" w:type="dxa"/>
            <w:left w:w="108" w:type="dxa"/>
            <w:bottom w:w="0" w:type="dxa"/>
            <w:right w:w="108" w:type="dxa"/>
          </w:tblCellMar>
        </w:tblPrEx>
        <w:trPr>
          <w:trHeight w:val="312" w:hRule="atLeast"/>
          <w:jc w:val="center"/>
        </w:trPr>
        <w:tc>
          <w:tcPr>
            <w:tcW w:w="9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E69E0A1">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行政区</w:t>
            </w:r>
          </w:p>
        </w:tc>
        <w:tc>
          <w:tcPr>
            <w:tcW w:w="11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B3A222">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一般农地区</w:t>
            </w:r>
          </w:p>
        </w:tc>
        <w:tc>
          <w:tcPr>
            <w:tcW w:w="10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F04513">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基本农田</w:t>
            </w:r>
          </w:p>
          <w:p w14:paraId="6DA408F2">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保护区</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C04A94">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城镇村建设用地区</w:t>
            </w:r>
          </w:p>
        </w:tc>
        <w:tc>
          <w:tcPr>
            <w:tcW w:w="10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3481C6">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独立</w:t>
            </w:r>
          </w:p>
          <w:p w14:paraId="375429D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工矿区</w:t>
            </w:r>
          </w:p>
        </w:tc>
        <w:tc>
          <w:tcPr>
            <w:tcW w:w="10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B5B252C">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风景旅</w:t>
            </w:r>
          </w:p>
          <w:p w14:paraId="1BE9A5F7">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游用地</w:t>
            </w:r>
          </w:p>
        </w:tc>
        <w:tc>
          <w:tcPr>
            <w:tcW w:w="11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8359AF">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生态环境安全控制区</w:t>
            </w:r>
          </w:p>
        </w:tc>
        <w:tc>
          <w:tcPr>
            <w:tcW w:w="11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31F902">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林业用地区</w:t>
            </w:r>
          </w:p>
        </w:tc>
        <w:tc>
          <w:tcPr>
            <w:tcW w:w="1085" w:type="dxa"/>
            <w:vMerge w:val="restart"/>
            <w:tcBorders>
              <w:top w:val="single" w:color="auto" w:sz="4" w:space="0"/>
              <w:left w:val="single" w:color="auto" w:sz="4" w:space="0"/>
              <w:bottom w:val="single" w:color="000000" w:sz="4" w:space="0"/>
              <w:right w:val="nil"/>
            </w:tcBorders>
            <w:shd w:val="clear" w:color="auto" w:fill="auto"/>
            <w:vAlign w:val="center"/>
          </w:tcPr>
          <w:p w14:paraId="269374C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其他</w:t>
            </w:r>
          </w:p>
          <w:p w14:paraId="5C457DEA">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用地区</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6B497C0">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合计</w:t>
            </w:r>
          </w:p>
        </w:tc>
      </w:tr>
      <w:tr w14:paraId="4CDE5167">
        <w:tblPrEx>
          <w:tblCellMar>
            <w:top w:w="0" w:type="dxa"/>
            <w:left w:w="108" w:type="dxa"/>
            <w:bottom w:w="0" w:type="dxa"/>
            <w:right w:w="108" w:type="dxa"/>
          </w:tblCellMar>
        </w:tblPrEx>
        <w:trPr>
          <w:trHeight w:val="312" w:hRule="atLeast"/>
          <w:jc w:val="center"/>
        </w:trPr>
        <w:tc>
          <w:tcPr>
            <w:tcW w:w="940" w:type="dxa"/>
            <w:vMerge w:val="continue"/>
            <w:tcBorders>
              <w:top w:val="single" w:color="auto" w:sz="4" w:space="0"/>
              <w:left w:val="single" w:color="auto" w:sz="4" w:space="0"/>
              <w:bottom w:val="single" w:color="auto" w:sz="4" w:space="0"/>
              <w:right w:val="single" w:color="auto" w:sz="4" w:space="0"/>
            </w:tcBorders>
            <w:vAlign w:val="center"/>
          </w:tcPr>
          <w:p w14:paraId="6B8A70F2">
            <w:pPr>
              <w:widowControl/>
              <w:jc w:val="center"/>
              <w:rPr>
                <w:rFonts w:ascii="宋体" w:hAnsi="宋体" w:cs="宋体"/>
                <w:color w:val="000000"/>
                <w:kern w:val="0"/>
                <w:sz w:val="18"/>
                <w:szCs w:val="18"/>
              </w:rPr>
            </w:pPr>
          </w:p>
        </w:tc>
        <w:tc>
          <w:tcPr>
            <w:tcW w:w="1160" w:type="dxa"/>
            <w:vMerge w:val="continue"/>
            <w:tcBorders>
              <w:top w:val="single" w:color="auto" w:sz="4" w:space="0"/>
              <w:left w:val="single" w:color="auto" w:sz="4" w:space="0"/>
              <w:bottom w:val="single" w:color="auto" w:sz="4" w:space="0"/>
              <w:right w:val="single" w:color="auto" w:sz="4" w:space="0"/>
            </w:tcBorders>
            <w:vAlign w:val="center"/>
          </w:tcPr>
          <w:p w14:paraId="227DB665">
            <w:pPr>
              <w:widowControl/>
              <w:jc w:val="center"/>
              <w:rPr>
                <w:rFonts w:ascii="宋体" w:hAnsi="宋体" w:cs="宋体"/>
                <w:color w:val="000000"/>
                <w:kern w:val="0"/>
                <w:sz w:val="18"/>
                <w:szCs w:val="18"/>
              </w:rPr>
            </w:pPr>
          </w:p>
        </w:tc>
        <w:tc>
          <w:tcPr>
            <w:tcW w:w="1037" w:type="dxa"/>
            <w:vMerge w:val="continue"/>
            <w:tcBorders>
              <w:top w:val="single" w:color="auto" w:sz="4" w:space="0"/>
              <w:left w:val="single" w:color="auto" w:sz="4" w:space="0"/>
              <w:bottom w:val="single" w:color="auto" w:sz="4" w:space="0"/>
              <w:right w:val="single" w:color="auto" w:sz="4" w:space="0"/>
            </w:tcBorders>
            <w:vAlign w:val="center"/>
          </w:tcPr>
          <w:p w14:paraId="55E05966">
            <w:pPr>
              <w:widowControl/>
              <w:jc w:val="center"/>
              <w:rPr>
                <w:rFonts w:ascii="宋体" w:hAnsi="宋体" w:cs="宋体"/>
                <w:color w:val="000000"/>
                <w:kern w:val="0"/>
                <w:sz w:val="18"/>
                <w:szCs w:val="18"/>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122A4D0C">
            <w:pPr>
              <w:widowControl/>
              <w:jc w:val="center"/>
              <w:rPr>
                <w:rFonts w:ascii="宋体" w:hAnsi="宋体" w:cs="宋体"/>
                <w:color w:val="000000"/>
                <w:kern w:val="0"/>
                <w:sz w:val="18"/>
                <w:szCs w:val="18"/>
              </w:rPr>
            </w:pPr>
          </w:p>
        </w:tc>
        <w:tc>
          <w:tcPr>
            <w:tcW w:w="1026" w:type="dxa"/>
            <w:vMerge w:val="continue"/>
            <w:tcBorders>
              <w:top w:val="single" w:color="auto" w:sz="4" w:space="0"/>
              <w:left w:val="single" w:color="auto" w:sz="4" w:space="0"/>
              <w:bottom w:val="single" w:color="auto" w:sz="4" w:space="0"/>
              <w:right w:val="single" w:color="auto" w:sz="4" w:space="0"/>
            </w:tcBorders>
            <w:vAlign w:val="center"/>
          </w:tcPr>
          <w:p w14:paraId="50F33F23">
            <w:pPr>
              <w:widowControl/>
              <w:jc w:val="center"/>
              <w:rPr>
                <w:rFonts w:ascii="宋体" w:hAnsi="宋体" w:cs="宋体"/>
                <w:color w:val="000000"/>
                <w:kern w:val="0"/>
                <w:sz w:val="18"/>
                <w:szCs w:val="18"/>
              </w:rPr>
            </w:pPr>
          </w:p>
        </w:tc>
        <w:tc>
          <w:tcPr>
            <w:tcW w:w="1026" w:type="dxa"/>
            <w:vMerge w:val="continue"/>
            <w:tcBorders>
              <w:top w:val="single" w:color="auto" w:sz="4" w:space="0"/>
              <w:left w:val="single" w:color="auto" w:sz="4" w:space="0"/>
              <w:bottom w:val="single" w:color="auto" w:sz="4" w:space="0"/>
              <w:right w:val="single" w:color="auto" w:sz="4" w:space="0"/>
            </w:tcBorders>
            <w:vAlign w:val="center"/>
          </w:tcPr>
          <w:p w14:paraId="0981E14C">
            <w:pPr>
              <w:widowControl/>
              <w:jc w:val="center"/>
              <w:rPr>
                <w:rFonts w:ascii="宋体" w:hAnsi="宋体" w:cs="宋体"/>
                <w:color w:val="000000"/>
                <w:kern w:val="0"/>
                <w:sz w:val="18"/>
                <w:szCs w:val="18"/>
              </w:rPr>
            </w:pPr>
          </w:p>
        </w:tc>
        <w:tc>
          <w:tcPr>
            <w:tcW w:w="1160" w:type="dxa"/>
            <w:vMerge w:val="continue"/>
            <w:tcBorders>
              <w:top w:val="single" w:color="auto" w:sz="4" w:space="0"/>
              <w:left w:val="single" w:color="auto" w:sz="4" w:space="0"/>
              <w:bottom w:val="single" w:color="auto" w:sz="4" w:space="0"/>
              <w:right w:val="single" w:color="auto" w:sz="4" w:space="0"/>
            </w:tcBorders>
            <w:vAlign w:val="center"/>
          </w:tcPr>
          <w:p w14:paraId="05B347D3">
            <w:pPr>
              <w:widowControl/>
              <w:jc w:val="center"/>
              <w:rPr>
                <w:rFonts w:ascii="宋体" w:hAnsi="宋体" w:cs="宋体"/>
                <w:color w:val="000000"/>
                <w:kern w:val="0"/>
                <w:sz w:val="18"/>
                <w:szCs w:val="18"/>
              </w:rPr>
            </w:pPr>
          </w:p>
        </w:tc>
        <w:tc>
          <w:tcPr>
            <w:tcW w:w="1160" w:type="dxa"/>
            <w:vMerge w:val="continue"/>
            <w:tcBorders>
              <w:top w:val="single" w:color="auto" w:sz="4" w:space="0"/>
              <w:left w:val="single" w:color="auto" w:sz="4" w:space="0"/>
              <w:bottom w:val="single" w:color="auto" w:sz="4" w:space="0"/>
              <w:right w:val="single" w:color="auto" w:sz="4" w:space="0"/>
            </w:tcBorders>
            <w:vAlign w:val="center"/>
          </w:tcPr>
          <w:p w14:paraId="4CFAF339">
            <w:pPr>
              <w:widowControl/>
              <w:jc w:val="center"/>
              <w:rPr>
                <w:rFonts w:ascii="宋体" w:hAnsi="宋体" w:cs="宋体"/>
                <w:color w:val="000000"/>
                <w:kern w:val="0"/>
                <w:sz w:val="18"/>
                <w:szCs w:val="18"/>
              </w:rPr>
            </w:pPr>
          </w:p>
        </w:tc>
        <w:tc>
          <w:tcPr>
            <w:tcW w:w="1085" w:type="dxa"/>
            <w:vMerge w:val="continue"/>
            <w:tcBorders>
              <w:top w:val="single" w:color="auto" w:sz="4" w:space="0"/>
              <w:left w:val="single" w:color="auto" w:sz="4" w:space="0"/>
              <w:bottom w:val="single" w:color="000000" w:sz="4" w:space="0"/>
              <w:right w:val="nil"/>
            </w:tcBorders>
            <w:vAlign w:val="center"/>
          </w:tcPr>
          <w:p w14:paraId="41296771">
            <w:pPr>
              <w:widowControl/>
              <w:jc w:val="center"/>
              <w:rPr>
                <w:rFonts w:ascii="宋体" w:hAnsi="宋体" w:cs="宋体"/>
                <w:color w:val="000000"/>
                <w:kern w:val="0"/>
                <w:sz w:val="18"/>
                <w:szCs w:val="18"/>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0FECFE6E">
            <w:pPr>
              <w:widowControl/>
              <w:jc w:val="center"/>
              <w:rPr>
                <w:rFonts w:ascii="宋体" w:hAnsi="宋体" w:cs="宋体"/>
                <w:color w:val="000000"/>
                <w:kern w:val="0"/>
                <w:sz w:val="18"/>
                <w:szCs w:val="18"/>
              </w:rPr>
            </w:pPr>
          </w:p>
        </w:tc>
      </w:tr>
      <w:tr w14:paraId="47AB45FA">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3959A77E">
            <w:pPr>
              <w:widowControl/>
              <w:jc w:val="center"/>
              <w:rPr>
                <w:rFonts w:ascii="宋体" w:hAnsi="宋体" w:cs="宋体"/>
                <w:color w:val="000000"/>
                <w:kern w:val="0"/>
                <w:sz w:val="18"/>
                <w:szCs w:val="18"/>
              </w:rPr>
            </w:pPr>
            <w:r>
              <w:rPr>
                <w:rFonts w:hint="eastAsia" w:ascii="宋体" w:hAnsi="宋体" w:cs="宋体"/>
                <w:color w:val="000000"/>
                <w:kern w:val="0"/>
                <w:sz w:val="18"/>
                <w:szCs w:val="18"/>
              </w:rPr>
              <w:t>阿旺镇</w:t>
            </w:r>
          </w:p>
        </w:tc>
        <w:tc>
          <w:tcPr>
            <w:tcW w:w="1160" w:type="dxa"/>
            <w:tcBorders>
              <w:top w:val="nil"/>
              <w:left w:val="nil"/>
              <w:bottom w:val="single" w:color="auto" w:sz="4" w:space="0"/>
              <w:right w:val="single" w:color="auto" w:sz="4" w:space="0"/>
            </w:tcBorders>
            <w:shd w:val="clear" w:color="auto" w:fill="auto"/>
            <w:noWrap/>
            <w:vAlign w:val="center"/>
          </w:tcPr>
          <w:p w14:paraId="03022EC4">
            <w:pPr>
              <w:widowControl/>
              <w:jc w:val="center"/>
              <w:rPr>
                <w:rFonts w:ascii="宋体" w:hAnsi="宋体" w:cs="宋体"/>
                <w:color w:val="000000"/>
                <w:kern w:val="0"/>
                <w:sz w:val="18"/>
                <w:szCs w:val="18"/>
              </w:rPr>
            </w:pPr>
            <w:r>
              <w:rPr>
                <w:rFonts w:hint="eastAsia" w:ascii="宋体" w:hAnsi="宋体" w:cs="宋体"/>
                <w:color w:val="000000"/>
                <w:kern w:val="0"/>
                <w:sz w:val="18"/>
                <w:szCs w:val="18"/>
              </w:rPr>
              <w:t>2573.03</w:t>
            </w:r>
          </w:p>
        </w:tc>
        <w:tc>
          <w:tcPr>
            <w:tcW w:w="1037" w:type="dxa"/>
            <w:tcBorders>
              <w:top w:val="nil"/>
              <w:left w:val="nil"/>
              <w:bottom w:val="single" w:color="auto" w:sz="4" w:space="0"/>
              <w:right w:val="single" w:color="auto" w:sz="4" w:space="0"/>
            </w:tcBorders>
            <w:shd w:val="clear" w:color="auto" w:fill="auto"/>
            <w:noWrap/>
            <w:vAlign w:val="center"/>
          </w:tcPr>
          <w:p w14:paraId="40840381">
            <w:pPr>
              <w:widowControl/>
              <w:jc w:val="center"/>
              <w:rPr>
                <w:rFonts w:ascii="宋体" w:hAnsi="宋体" w:cs="宋体"/>
                <w:color w:val="000000"/>
                <w:kern w:val="0"/>
                <w:sz w:val="18"/>
                <w:szCs w:val="18"/>
              </w:rPr>
            </w:pPr>
            <w:r>
              <w:rPr>
                <w:rFonts w:hint="eastAsia" w:ascii="宋体" w:hAnsi="宋体" w:cs="宋体"/>
                <w:color w:val="000000"/>
                <w:kern w:val="0"/>
                <w:sz w:val="18"/>
                <w:szCs w:val="18"/>
              </w:rPr>
              <w:t>4737.63</w:t>
            </w:r>
          </w:p>
        </w:tc>
        <w:tc>
          <w:tcPr>
            <w:tcW w:w="992" w:type="dxa"/>
            <w:tcBorders>
              <w:top w:val="nil"/>
              <w:left w:val="nil"/>
              <w:bottom w:val="single" w:color="auto" w:sz="4" w:space="0"/>
              <w:right w:val="single" w:color="auto" w:sz="4" w:space="0"/>
            </w:tcBorders>
            <w:shd w:val="clear" w:color="auto" w:fill="auto"/>
            <w:noWrap/>
            <w:vAlign w:val="center"/>
          </w:tcPr>
          <w:p w14:paraId="32996419">
            <w:pPr>
              <w:widowControl/>
              <w:jc w:val="center"/>
              <w:rPr>
                <w:rFonts w:ascii="宋体" w:hAnsi="宋体" w:cs="宋体"/>
                <w:color w:val="000000"/>
                <w:kern w:val="0"/>
                <w:sz w:val="18"/>
                <w:szCs w:val="18"/>
              </w:rPr>
            </w:pPr>
            <w:r>
              <w:rPr>
                <w:rFonts w:hint="eastAsia" w:ascii="宋体" w:hAnsi="宋体" w:cs="宋体"/>
                <w:color w:val="000000"/>
                <w:kern w:val="0"/>
                <w:sz w:val="18"/>
                <w:szCs w:val="18"/>
              </w:rPr>
              <w:t>466.34</w:t>
            </w:r>
          </w:p>
        </w:tc>
        <w:tc>
          <w:tcPr>
            <w:tcW w:w="1026" w:type="dxa"/>
            <w:tcBorders>
              <w:top w:val="nil"/>
              <w:left w:val="nil"/>
              <w:bottom w:val="single" w:color="auto" w:sz="4" w:space="0"/>
              <w:right w:val="single" w:color="auto" w:sz="4" w:space="0"/>
            </w:tcBorders>
            <w:shd w:val="clear" w:color="auto" w:fill="auto"/>
            <w:noWrap/>
            <w:vAlign w:val="center"/>
          </w:tcPr>
          <w:p w14:paraId="1BAFE77B">
            <w:pPr>
              <w:widowControl/>
              <w:jc w:val="center"/>
              <w:rPr>
                <w:rFonts w:ascii="宋体" w:hAnsi="宋体" w:cs="宋体"/>
                <w:color w:val="000000"/>
                <w:kern w:val="0"/>
                <w:sz w:val="18"/>
                <w:szCs w:val="18"/>
              </w:rPr>
            </w:pPr>
            <w:r>
              <w:rPr>
                <w:rFonts w:hint="eastAsia" w:ascii="宋体" w:hAnsi="宋体" w:cs="宋体"/>
                <w:color w:val="000000"/>
                <w:kern w:val="0"/>
                <w:sz w:val="18"/>
                <w:szCs w:val="18"/>
              </w:rPr>
              <w:t>35.93</w:t>
            </w:r>
          </w:p>
        </w:tc>
        <w:tc>
          <w:tcPr>
            <w:tcW w:w="1026" w:type="dxa"/>
            <w:tcBorders>
              <w:top w:val="nil"/>
              <w:left w:val="nil"/>
              <w:bottom w:val="single" w:color="auto" w:sz="4" w:space="0"/>
              <w:right w:val="single" w:color="auto" w:sz="4" w:space="0"/>
            </w:tcBorders>
            <w:shd w:val="clear" w:color="auto" w:fill="auto"/>
            <w:noWrap/>
            <w:vAlign w:val="center"/>
          </w:tcPr>
          <w:p w14:paraId="66EDE19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6.29 </w:t>
            </w:r>
          </w:p>
        </w:tc>
        <w:tc>
          <w:tcPr>
            <w:tcW w:w="1160" w:type="dxa"/>
            <w:tcBorders>
              <w:top w:val="nil"/>
              <w:left w:val="nil"/>
              <w:bottom w:val="single" w:color="auto" w:sz="4" w:space="0"/>
              <w:right w:val="single" w:color="auto" w:sz="4" w:space="0"/>
            </w:tcBorders>
            <w:shd w:val="clear" w:color="auto" w:fill="auto"/>
            <w:noWrap/>
            <w:vAlign w:val="center"/>
          </w:tcPr>
          <w:p w14:paraId="7ABDE8F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tcBorders>
              <w:top w:val="nil"/>
              <w:left w:val="nil"/>
              <w:bottom w:val="single" w:color="auto" w:sz="4" w:space="0"/>
              <w:right w:val="single" w:color="auto" w:sz="4" w:space="0"/>
            </w:tcBorders>
            <w:shd w:val="clear" w:color="auto" w:fill="auto"/>
            <w:noWrap/>
            <w:vAlign w:val="center"/>
          </w:tcPr>
          <w:p w14:paraId="1146A067">
            <w:pPr>
              <w:widowControl/>
              <w:jc w:val="center"/>
              <w:rPr>
                <w:rFonts w:ascii="宋体" w:hAnsi="宋体" w:cs="宋体"/>
                <w:color w:val="000000"/>
                <w:kern w:val="0"/>
                <w:sz w:val="18"/>
                <w:szCs w:val="18"/>
              </w:rPr>
            </w:pPr>
            <w:r>
              <w:rPr>
                <w:rFonts w:hint="eastAsia" w:ascii="宋体" w:hAnsi="宋体" w:cs="宋体"/>
                <w:color w:val="000000"/>
                <w:kern w:val="0"/>
                <w:sz w:val="18"/>
                <w:szCs w:val="18"/>
              </w:rPr>
              <w:t>9428.52</w:t>
            </w:r>
          </w:p>
        </w:tc>
        <w:tc>
          <w:tcPr>
            <w:tcW w:w="1085" w:type="dxa"/>
            <w:tcBorders>
              <w:top w:val="nil"/>
              <w:left w:val="nil"/>
              <w:bottom w:val="single" w:color="auto" w:sz="4" w:space="0"/>
              <w:right w:val="nil"/>
            </w:tcBorders>
            <w:shd w:val="clear" w:color="auto" w:fill="auto"/>
            <w:noWrap/>
            <w:vAlign w:val="center"/>
          </w:tcPr>
          <w:p w14:paraId="6B25C14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10231.88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3B09B293">
            <w:pPr>
              <w:widowControl/>
              <w:jc w:val="center"/>
              <w:rPr>
                <w:rFonts w:ascii="宋体" w:hAnsi="宋体" w:cs="宋体"/>
                <w:color w:val="000000"/>
                <w:kern w:val="0"/>
                <w:sz w:val="18"/>
                <w:szCs w:val="18"/>
              </w:rPr>
            </w:pPr>
            <w:r>
              <w:rPr>
                <w:rFonts w:hint="eastAsia" w:ascii="宋体" w:hAnsi="宋体" w:cs="宋体"/>
                <w:color w:val="000000"/>
                <w:kern w:val="0"/>
                <w:sz w:val="18"/>
                <w:szCs w:val="18"/>
              </w:rPr>
              <w:t>27479.62</w:t>
            </w:r>
          </w:p>
        </w:tc>
      </w:tr>
      <w:tr w14:paraId="3A59304B">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49DBBF18">
            <w:pPr>
              <w:widowControl/>
              <w:jc w:val="center"/>
              <w:rPr>
                <w:rFonts w:ascii="宋体" w:hAnsi="宋体" w:cs="宋体"/>
                <w:color w:val="000000"/>
                <w:kern w:val="0"/>
                <w:sz w:val="18"/>
                <w:szCs w:val="18"/>
              </w:rPr>
            </w:pPr>
            <w:r>
              <w:rPr>
                <w:rFonts w:hint="eastAsia" w:ascii="宋体" w:hAnsi="宋体" w:cs="宋体"/>
                <w:color w:val="000000"/>
                <w:kern w:val="0"/>
                <w:sz w:val="18"/>
                <w:szCs w:val="18"/>
              </w:rPr>
              <w:t>铜都街道</w:t>
            </w:r>
          </w:p>
        </w:tc>
        <w:tc>
          <w:tcPr>
            <w:tcW w:w="1160" w:type="dxa"/>
            <w:tcBorders>
              <w:top w:val="nil"/>
              <w:left w:val="nil"/>
              <w:bottom w:val="single" w:color="auto" w:sz="4" w:space="0"/>
              <w:right w:val="single" w:color="auto" w:sz="4" w:space="0"/>
            </w:tcBorders>
            <w:shd w:val="clear" w:color="auto" w:fill="auto"/>
            <w:noWrap/>
            <w:vAlign w:val="center"/>
          </w:tcPr>
          <w:p w14:paraId="0A10683E">
            <w:pPr>
              <w:widowControl/>
              <w:jc w:val="center"/>
              <w:rPr>
                <w:rFonts w:ascii="宋体" w:hAnsi="宋体" w:cs="宋体"/>
                <w:color w:val="000000"/>
                <w:kern w:val="0"/>
                <w:sz w:val="18"/>
                <w:szCs w:val="18"/>
              </w:rPr>
            </w:pPr>
            <w:r>
              <w:rPr>
                <w:rFonts w:hint="eastAsia" w:ascii="宋体" w:hAnsi="宋体" w:cs="宋体"/>
                <w:color w:val="000000"/>
                <w:kern w:val="0"/>
                <w:sz w:val="18"/>
                <w:szCs w:val="18"/>
              </w:rPr>
              <w:t>5554.75</w:t>
            </w:r>
          </w:p>
        </w:tc>
        <w:tc>
          <w:tcPr>
            <w:tcW w:w="1037" w:type="dxa"/>
            <w:tcBorders>
              <w:top w:val="nil"/>
              <w:left w:val="nil"/>
              <w:bottom w:val="single" w:color="auto" w:sz="4" w:space="0"/>
              <w:right w:val="single" w:color="auto" w:sz="4" w:space="0"/>
            </w:tcBorders>
            <w:shd w:val="clear" w:color="auto" w:fill="auto"/>
            <w:noWrap/>
            <w:vAlign w:val="center"/>
          </w:tcPr>
          <w:p w14:paraId="63CDCC10">
            <w:pPr>
              <w:widowControl/>
              <w:jc w:val="center"/>
              <w:rPr>
                <w:rFonts w:ascii="宋体" w:hAnsi="宋体" w:cs="宋体"/>
                <w:color w:val="000000"/>
                <w:kern w:val="0"/>
                <w:sz w:val="18"/>
                <w:szCs w:val="18"/>
              </w:rPr>
            </w:pPr>
            <w:r>
              <w:rPr>
                <w:rFonts w:hint="eastAsia" w:ascii="宋体" w:hAnsi="宋体" w:cs="宋体"/>
                <w:color w:val="000000"/>
                <w:kern w:val="0"/>
                <w:sz w:val="18"/>
                <w:szCs w:val="18"/>
              </w:rPr>
              <w:t>4485.71</w:t>
            </w:r>
          </w:p>
        </w:tc>
        <w:tc>
          <w:tcPr>
            <w:tcW w:w="992" w:type="dxa"/>
            <w:tcBorders>
              <w:top w:val="nil"/>
              <w:left w:val="nil"/>
              <w:bottom w:val="single" w:color="auto" w:sz="4" w:space="0"/>
              <w:right w:val="single" w:color="auto" w:sz="4" w:space="0"/>
            </w:tcBorders>
            <w:shd w:val="clear" w:color="auto" w:fill="auto"/>
            <w:noWrap/>
            <w:vAlign w:val="center"/>
          </w:tcPr>
          <w:p w14:paraId="43715B08">
            <w:pPr>
              <w:widowControl/>
              <w:jc w:val="center"/>
              <w:rPr>
                <w:rFonts w:ascii="宋体" w:hAnsi="宋体" w:cs="宋体"/>
                <w:color w:val="000000"/>
                <w:kern w:val="0"/>
                <w:sz w:val="18"/>
                <w:szCs w:val="18"/>
              </w:rPr>
            </w:pPr>
            <w:r>
              <w:rPr>
                <w:rFonts w:hint="eastAsia" w:ascii="宋体" w:hAnsi="宋体" w:cs="宋体"/>
                <w:color w:val="000000"/>
                <w:kern w:val="0"/>
                <w:sz w:val="18"/>
                <w:szCs w:val="18"/>
              </w:rPr>
              <w:t>1905.14</w:t>
            </w:r>
          </w:p>
        </w:tc>
        <w:tc>
          <w:tcPr>
            <w:tcW w:w="1026" w:type="dxa"/>
            <w:tcBorders>
              <w:top w:val="nil"/>
              <w:left w:val="nil"/>
              <w:bottom w:val="single" w:color="auto" w:sz="4" w:space="0"/>
              <w:right w:val="single" w:color="auto" w:sz="4" w:space="0"/>
            </w:tcBorders>
            <w:shd w:val="clear" w:color="auto" w:fill="auto"/>
            <w:noWrap/>
            <w:vAlign w:val="center"/>
          </w:tcPr>
          <w:p w14:paraId="08B4FEE2">
            <w:pPr>
              <w:widowControl/>
              <w:jc w:val="center"/>
              <w:rPr>
                <w:rFonts w:ascii="宋体" w:hAnsi="宋体" w:cs="宋体"/>
                <w:color w:val="000000"/>
                <w:kern w:val="0"/>
                <w:sz w:val="18"/>
                <w:szCs w:val="18"/>
              </w:rPr>
            </w:pPr>
            <w:r>
              <w:rPr>
                <w:rFonts w:hint="eastAsia" w:ascii="宋体" w:hAnsi="宋体" w:cs="宋体"/>
                <w:color w:val="000000"/>
                <w:kern w:val="0"/>
                <w:sz w:val="18"/>
                <w:szCs w:val="18"/>
              </w:rPr>
              <w:t>440.11</w:t>
            </w:r>
          </w:p>
        </w:tc>
        <w:tc>
          <w:tcPr>
            <w:tcW w:w="1026" w:type="dxa"/>
            <w:tcBorders>
              <w:top w:val="nil"/>
              <w:left w:val="nil"/>
              <w:bottom w:val="single" w:color="auto" w:sz="4" w:space="0"/>
              <w:right w:val="single" w:color="auto" w:sz="4" w:space="0"/>
            </w:tcBorders>
            <w:shd w:val="clear" w:color="auto" w:fill="auto"/>
            <w:noWrap/>
            <w:vAlign w:val="center"/>
          </w:tcPr>
          <w:p w14:paraId="473C0C3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85.41 </w:t>
            </w:r>
          </w:p>
        </w:tc>
        <w:tc>
          <w:tcPr>
            <w:tcW w:w="1160" w:type="dxa"/>
            <w:tcBorders>
              <w:top w:val="nil"/>
              <w:left w:val="nil"/>
              <w:bottom w:val="single" w:color="auto" w:sz="4" w:space="0"/>
              <w:right w:val="single" w:color="auto" w:sz="4" w:space="0"/>
            </w:tcBorders>
            <w:shd w:val="clear" w:color="auto" w:fill="auto"/>
            <w:noWrap/>
            <w:vAlign w:val="center"/>
          </w:tcPr>
          <w:p w14:paraId="75ADE19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tcBorders>
              <w:top w:val="nil"/>
              <w:left w:val="nil"/>
              <w:bottom w:val="single" w:color="auto" w:sz="4" w:space="0"/>
              <w:right w:val="single" w:color="auto" w:sz="4" w:space="0"/>
            </w:tcBorders>
            <w:shd w:val="clear" w:color="auto" w:fill="auto"/>
            <w:noWrap/>
            <w:vAlign w:val="center"/>
          </w:tcPr>
          <w:p w14:paraId="3F44FB47">
            <w:pPr>
              <w:widowControl/>
              <w:jc w:val="center"/>
              <w:rPr>
                <w:rFonts w:ascii="宋体" w:hAnsi="宋体" w:cs="宋体"/>
                <w:color w:val="000000"/>
                <w:kern w:val="0"/>
                <w:sz w:val="18"/>
                <w:szCs w:val="18"/>
              </w:rPr>
            </w:pPr>
            <w:r>
              <w:rPr>
                <w:rFonts w:hint="eastAsia" w:ascii="宋体" w:hAnsi="宋体" w:cs="宋体"/>
                <w:color w:val="000000"/>
                <w:kern w:val="0"/>
                <w:sz w:val="18"/>
                <w:szCs w:val="18"/>
              </w:rPr>
              <w:t>7847.17</w:t>
            </w:r>
          </w:p>
        </w:tc>
        <w:tc>
          <w:tcPr>
            <w:tcW w:w="1085" w:type="dxa"/>
            <w:tcBorders>
              <w:top w:val="nil"/>
              <w:left w:val="nil"/>
              <w:bottom w:val="single" w:color="auto" w:sz="4" w:space="0"/>
              <w:right w:val="nil"/>
            </w:tcBorders>
            <w:shd w:val="clear" w:color="auto" w:fill="auto"/>
            <w:noWrap/>
            <w:vAlign w:val="center"/>
          </w:tcPr>
          <w:p w14:paraId="77F56AF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15583.40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283134D8">
            <w:pPr>
              <w:widowControl/>
              <w:jc w:val="center"/>
              <w:rPr>
                <w:rFonts w:ascii="宋体" w:hAnsi="宋体" w:cs="宋体"/>
                <w:color w:val="000000"/>
                <w:kern w:val="0"/>
                <w:sz w:val="18"/>
                <w:szCs w:val="18"/>
              </w:rPr>
            </w:pPr>
            <w:r>
              <w:rPr>
                <w:rFonts w:hint="eastAsia" w:ascii="宋体" w:hAnsi="宋体" w:cs="宋体"/>
                <w:color w:val="000000"/>
                <w:kern w:val="0"/>
                <w:sz w:val="18"/>
                <w:szCs w:val="18"/>
              </w:rPr>
              <w:t>35901.69</w:t>
            </w:r>
          </w:p>
        </w:tc>
      </w:tr>
      <w:tr w14:paraId="0577F665">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50E9103C">
            <w:pPr>
              <w:widowControl/>
              <w:jc w:val="center"/>
              <w:rPr>
                <w:rFonts w:ascii="宋体" w:hAnsi="宋体" w:cs="宋体"/>
                <w:color w:val="000000"/>
                <w:kern w:val="0"/>
                <w:sz w:val="18"/>
                <w:szCs w:val="18"/>
              </w:rPr>
            </w:pPr>
            <w:r>
              <w:rPr>
                <w:rFonts w:hint="eastAsia" w:ascii="宋体" w:hAnsi="宋体" w:cs="宋体"/>
                <w:color w:val="000000"/>
                <w:kern w:val="0"/>
                <w:sz w:val="18"/>
                <w:szCs w:val="18"/>
              </w:rPr>
              <w:t>乌龙镇</w:t>
            </w:r>
          </w:p>
        </w:tc>
        <w:tc>
          <w:tcPr>
            <w:tcW w:w="1160" w:type="dxa"/>
            <w:tcBorders>
              <w:top w:val="nil"/>
              <w:left w:val="nil"/>
              <w:bottom w:val="single" w:color="auto" w:sz="4" w:space="0"/>
              <w:right w:val="single" w:color="auto" w:sz="4" w:space="0"/>
            </w:tcBorders>
            <w:shd w:val="clear" w:color="auto" w:fill="auto"/>
            <w:noWrap/>
            <w:vAlign w:val="center"/>
          </w:tcPr>
          <w:p w14:paraId="6F0354AE">
            <w:pPr>
              <w:widowControl/>
              <w:jc w:val="center"/>
              <w:rPr>
                <w:rFonts w:ascii="宋体" w:hAnsi="宋体" w:cs="宋体"/>
                <w:color w:val="000000"/>
                <w:kern w:val="0"/>
                <w:sz w:val="18"/>
                <w:szCs w:val="18"/>
              </w:rPr>
            </w:pPr>
            <w:r>
              <w:rPr>
                <w:rFonts w:hint="eastAsia" w:ascii="宋体" w:hAnsi="宋体" w:cs="宋体"/>
                <w:color w:val="000000"/>
                <w:kern w:val="0"/>
                <w:sz w:val="18"/>
                <w:szCs w:val="18"/>
              </w:rPr>
              <w:t>1493.44</w:t>
            </w:r>
          </w:p>
        </w:tc>
        <w:tc>
          <w:tcPr>
            <w:tcW w:w="1037" w:type="dxa"/>
            <w:tcBorders>
              <w:top w:val="nil"/>
              <w:left w:val="nil"/>
              <w:bottom w:val="single" w:color="auto" w:sz="4" w:space="0"/>
              <w:right w:val="single" w:color="auto" w:sz="4" w:space="0"/>
            </w:tcBorders>
            <w:shd w:val="clear" w:color="auto" w:fill="auto"/>
            <w:noWrap/>
            <w:vAlign w:val="center"/>
          </w:tcPr>
          <w:p w14:paraId="4352F293">
            <w:pPr>
              <w:widowControl/>
              <w:jc w:val="center"/>
              <w:rPr>
                <w:rFonts w:ascii="宋体" w:hAnsi="宋体" w:cs="宋体"/>
                <w:color w:val="000000"/>
                <w:kern w:val="0"/>
                <w:sz w:val="18"/>
                <w:szCs w:val="18"/>
              </w:rPr>
            </w:pPr>
            <w:r>
              <w:rPr>
                <w:rFonts w:hint="eastAsia" w:ascii="宋体" w:hAnsi="宋体" w:cs="宋体"/>
                <w:color w:val="000000"/>
                <w:kern w:val="0"/>
                <w:sz w:val="18"/>
                <w:szCs w:val="18"/>
              </w:rPr>
              <w:t>2878.93</w:t>
            </w:r>
          </w:p>
        </w:tc>
        <w:tc>
          <w:tcPr>
            <w:tcW w:w="992" w:type="dxa"/>
            <w:tcBorders>
              <w:top w:val="nil"/>
              <w:left w:val="nil"/>
              <w:bottom w:val="single" w:color="auto" w:sz="4" w:space="0"/>
              <w:right w:val="single" w:color="auto" w:sz="4" w:space="0"/>
            </w:tcBorders>
            <w:shd w:val="clear" w:color="auto" w:fill="auto"/>
            <w:noWrap/>
            <w:vAlign w:val="center"/>
          </w:tcPr>
          <w:p w14:paraId="1EA70BDB">
            <w:pPr>
              <w:widowControl/>
              <w:jc w:val="center"/>
              <w:rPr>
                <w:rFonts w:ascii="宋体" w:hAnsi="宋体" w:cs="宋体"/>
                <w:color w:val="000000"/>
                <w:kern w:val="0"/>
                <w:sz w:val="18"/>
                <w:szCs w:val="18"/>
              </w:rPr>
            </w:pPr>
            <w:r>
              <w:rPr>
                <w:rFonts w:hint="eastAsia" w:ascii="宋体" w:hAnsi="宋体" w:cs="宋体"/>
                <w:color w:val="000000"/>
                <w:kern w:val="0"/>
                <w:sz w:val="18"/>
                <w:szCs w:val="18"/>
              </w:rPr>
              <w:t>419.48</w:t>
            </w:r>
          </w:p>
        </w:tc>
        <w:tc>
          <w:tcPr>
            <w:tcW w:w="1026" w:type="dxa"/>
            <w:tcBorders>
              <w:top w:val="nil"/>
              <w:left w:val="nil"/>
              <w:bottom w:val="single" w:color="auto" w:sz="4" w:space="0"/>
              <w:right w:val="single" w:color="auto" w:sz="4" w:space="0"/>
            </w:tcBorders>
            <w:shd w:val="clear" w:color="auto" w:fill="auto"/>
            <w:noWrap/>
            <w:vAlign w:val="center"/>
          </w:tcPr>
          <w:p w14:paraId="34DFDF90">
            <w:pPr>
              <w:widowControl/>
              <w:jc w:val="center"/>
              <w:rPr>
                <w:rFonts w:ascii="宋体" w:hAnsi="宋体" w:cs="宋体"/>
                <w:color w:val="000000"/>
                <w:kern w:val="0"/>
                <w:sz w:val="18"/>
                <w:szCs w:val="18"/>
              </w:rPr>
            </w:pPr>
            <w:r>
              <w:rPr>
                <w:rFonts w:hint="eastAsia" w:ascii="宋体" w:hAnsi="宋体" w:cs="宋体"/>
                <w:color w:val="000000"/>
                <w:kern w:val="0"/>
                <w:sz w:val="18"/>
                <w:szCs w:val="18"/>
              </w:rPr>
              <w:t>1.01</w:t>
            </w:r>
          </w:p>
        </w:tc>
        <w:tc>
          <w:tcPr>
            <w:tcW w:w="1026" w:type="dxa"/>
            <w:tcBorders>
              <w:top w:val="nil"/>
              <w:left w:val="nil"/>
              <w:bottom w:val="single" w:color="auto" w:sz="4" w:space="0"/>
              <w:right w:val="single" w:color="auto" w:sz="4" w:space="0"/>
            </w:tcBorders>
            <w:shd w:val="clear" w:color="auto" w:fill="auto"/>
            <w:noWrap/>
            <w:vAlign w:val="center"/>
          </w:tcPr>
          <w:p w14:paraId="12219F9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2.63 </w:t>
            </w:r>
          </w:p>
        </w:tc>
        <w:tc>
          <w:tcPr>
            <w:tcW w:w="1160" w:type="dxa"/>
            <w:tcBorders>
              <w:top w:val="nil"/>
              <w:left w:val="nil"/>
              <w:bottom w:val="single" w:color="auto" w:sz="4" w:space="0"/>
              <w:right w:val="single" w:color="auto" w:sz="4" w:space="0"/>
            </w:tcBorders>
            <w:shd w:val="clear" w:color="auto" w:fill="auto"/>
            <w:noWrap/>
            <w:vAlign w:val="center"/>
          </w:tcPr>
          <w:p w14:paraId="1844D89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tcBorders>
              <w:top w:val="nil"/>
              <w:left w:val="nil"/>
              <w:bottom w:val="single" w:color="auto" w:sz="4" w:space="0"/>
              <w:right w:val="single" w:color="auto" w:sz="4" w:space="0"/>
            </w:tcBorders>
            <w:shd w:val="clear" w:color="auto" w:fill="auto"/>
            <w:noWrap/>
            <w:vAlign w:val="center"/>
          </w:tcPr>
          <w:p w14:paraId="48DD7DE3">
            <w:pPr>
              <w:widowControl/>
              <w:jc w:val="center"/>
              <w:rPr>
                <w:rFonts w:ascii="宋体" w:hAnsi="宋体" w:cs="宋体"/>
                <w:color w:val="000000"/>
                <w:kern w:val="0"/>
                <w:sz w:val="18"/>
                <w:szCs w:val="18"/>
              </w:rPr>
            </w:pPr>
            <w:r>
              <w:rPr>
                <w:rFonts w:hint="eastAsia" w:ascii="宋体" w:hAnsi="宋体" w:cs="宋体"/>
                <w:color w:val="000000"/>
                <w:kern w:val="0"/>
                <w:sz w:val="18"/>
                <w:szCs w:val="18"/>
              </w:rPr>
              <w:t>3727.2</w:t>
            </w:r>
          </w:p>
        </w:tc>
        <w:tc>
          <w:tcPr>
            <w:tcW w:w="1085" w:type="dxa"/>
            <w:tcBorders>
              <w:top w:val="nil"/>
              <w:left w:val="nil"/>
              <w:bottom w:val="single" w:color="auto" w:sz="4" w:space="0"/>
              <w:right w:val="nil"/>
            </w:tcBorders>
            <w:shd w:val="clear" w:color="auto" w:fill="auto"/>
            <w:noWrap/>
            <w:vAlign w:val="center"/>
          </w:tcPr>
          <w:p w14:paraId="601B2F2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4639.51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72DFF431">
            <w:pPr>
              <w:widowControl/>
              <w:jc w:val="center"/>
              <w:rPr>
                <w:rFonts w:ascii="宋体" w:hAnsi="宋体" w:cs="宋体"/>
                <w:color w:val="000000"/>
                <w:kern w:val="0"/>
                <w:sz w:val="18"/>
                <w:szCs w:val="18"/>
              </w:rPr>
            </w:pPr>
            <w:r>
              <w:rPr>
                <w:rFonts w:hint="eastAsia" w:ascii="宋体" w:hAnsi="宋体" w:cs="宋体"/>
                <w:color w:val="000000"/>
                <w:kern w:val="0"/>
                <w:sz w:val="18"/>
                <w:szCs w:val="18"/>
              </w:rPr>
              <w:t>13162.2</w:t>
            </w:r>
          </w:p>
        </w:tc>
      </w:tr>
      <w:tr w14:paraId="1668BB00">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0EF58B7F">
            <w:pPr>
              <w:widowControl/>
              <w:jc w:val="center"/>
              <w:rPr>
                <w:rFonts w:ascii="宋体" w:hAnsi="宋体" w:cs="宋体"/>
                <w:color w:val="000000"/>
                <w:kern w:val="0"/>
                <w:sz w:val="18"/>
                <w:szCs w:val="18"/>
              </w:rPr>
            </w:pPr>
            <w:r>
              <w:rPr>
                <w:rFonts w:hint="eastAsia" w:ascii="宋体" w:hAnsi="宋体" w:cs="宋体"/>
                <w:color w:val="000000"/>
                <w:kern w:val="0"/>
                <w:sz w:val="18"/>
                <w:szCs w:val="18"/>
              </w:rPr>
              <w:t>红土地镇</w:t>
            </w:r>
          </w:p>
        </w:tc>
        <w:tc>
          <w:tcPr>
            <w:tcW w:w="1160" w:type="dxa"/>
            <w:tcBorders>
              <w:top w:val="nil"/>
              <w:left w:val="nil"/>
              <w:bottom w:val="single" w:color="auto" w:sz="4" w:space="0"/>
              <w:right w:val="single" w:color="auto" w:sz="4" w:space="0"/>
            </w:tcBorders>
            <w:shd w:val="clear" w:color="auto" w:fill="auto"/>
            <w:noWrap/>
            <w:vAlign w:val="center"/>
          </w:tcPr>
          <w:p w14:paraId="0CA7C00C">
            <w:pPr>
              <w:widowControl/>
              <w:jc w:val="center"/>
              <w:rPr>
                <w:rFonts w:ascii="宋体" w:hAnsi="宋体" w:cs="宋体"/>
                <w:color w:val="000000"/>
                <w:kern w:val="0"/>
                <w:sz w:val="18"/>
                <w:szCs w:val="18"/>
              </w:rPr>
            </w:pPr>
            <w:r>
              <w:rPr>
                <w:rFonts w:hint="eastAsia" w:ascii="宋体" w:hAnsi="宋体" w:cs="宋体"/>
                <w:color w:val="000000"/>
                <w:kern w:val="0"/>
                <w:sz w:val="18"/>
                <w:szCs w:val="18"/>
              </w:rPr>
              <w:t>2388.4</w:t>
            </w:r>
          </w:p>
        </w:tc>
        <w:tc>
          <w:tcPr>
            <w:tcW w:w="1037" w:type="dxa"/>
            <w:tcBorders>
              <w:top w:val="nil"/>
              <w:left w:val="nil"/>
              <w:bottom w:val="single" w:color="auto" w:sz="4" w:space="0"/>
              <w:right w:val="single" w:color="auto" w:sz="4" w:space="0"/>
            </w:tcBorders>
            <w:shd w:val="clear" w:color="auto" w:fill="auto"/>
            <w:noWrap/>
            <w:vAlign w:val="center"/>
          </w:tcPr>
          <w:p w14:paraId="06F35A92">
            <w:pPr>
              <w:widowControl/>
              <w:jc w:val="center"/>
              <w:rPr>
                <w:rFonts w:ascii="宋体" w:hAnsi="宋体" w:cs="宋体"/>
                <w:color w:val="000000"/>
                <w:kern w:val="0"/>
                <w:sz w:val="18"/>
                <w:szCs w:val="18"/>
              </w:rPr>
            </w:pPr>
            <w:r>
              <w:rPr>
                <w:rFonts w:hint="eastAsia" w:ascii="宋体" w:hAnsi="宋体" w:cs="宋体"/>
                <w:color w:val="000000"/>
                <w:kern w:val="0"/>
                <w:sz w:val="18"/>
                <w:szCs w:val="18"/>
              </w:rPr>
              <w:t>4730.67</w:t>
            </w:r>
          </w:p>
        </w:tc>
        <w:tc>
          <w:tcPr>
            <w:tcW w:w="992" w:type="dxa"/>
            <w:tcBorders>
              <w:top w:val="nil"/>
              <w:left w:val="nil"/>
              <w:bottom w:val="single" w:color="auto" w:sz="4" w:space="0"/>
              <w:right w:val="single" w:color="auto" w:sz="4" w:space="0"/>
            </w:tcBorders>
            <w:shd w:val="clear" w:color="auto" w:fill="auto"/>
            <w:noWrap/>
            <w:vAlign w:val="center"/>
          </w:tcPr>
          <w:p w14:paraId="5FEB5B2F">
            <w:pPr>
              <w:widowControl/>
              <w:jc w:val="center"/>
              <w:rPr>
                <w:rFonts w:ascii="宋体" w:hAnsi="宋体" w:cs="宋体"/>
                <w:color w:val="000000"/>
                <w:kern w:val="0"/>
                <w:sz w:val="18"/>
                <w:szCs w:val="18"/>
              </w:rPr>
            </w:pPr>
            <w:r>
              <w:rPr>
                <w:rFonts w:hint="eastAsia" w:ascii="宋体" w:hAnsi="宋体" w:cs="宋体"/>
                <w:color w:val="000000"/>
                <w:kern w:val="0"/>
                <w:sz w:val="18"/>
                <w:szCs w:val="18"/>
              </w:rPr>
              <w:t>384.68</w:t>
            </w:r>
          </w:p>
        </w:tc>
        <w:tc>
          <w:tcPr>
            <w:tcW w:w="1026" w:type="dxa"/>
            <w:tcBorders>
              <w:top w:val="nil"/>
              <w:left w:val="nil"/>
              <w:bottom w:val="single" w:color="auto" w:sz="4" w:space="0"/>
              <w:right w:val="single" w:color="auto" w:sz="4" w:space="0"/>
            </w:tcBorders>
            <w:shd w:val="clear" w:color="auto" w:fill="auto"/>
            <w:noWrap/>
            <w:vAlign w:val="center"/>
          </w:tcPr>
          <w:p w14:paraId="6324339E">
            <w:pPr>
              <w:widowControl/>
              <w:jc w:val="center"/>
              <w:rPr>
                <w:rFonts w:ascii="宋体" w:hAnsi="宋体" w:cs="宋体"/>
                <w:color w:val="000000"/>
                <w:kern w:val="0"/>
                <w:sz w:val="18"/>
                <w:szCs w:val="18"/>
              </w:rPr>
            </w:pPr>
            <w:r>
              <w:rPr>
                <w:rFonts w:hint="eastAsia" w:ascii="宋体" w:hAnsi="宋体" w:cs="宋体"/>
                <w:color w:val="000000"/>
                <w:kern w:val="0"/>
                <w:sz w:val="18"/>
                <w:szCs w:val="18"/>
              </w:rPr>
              <w:t>33.2</w:t>
            </w:r>
          </w:p>
        </w:tc>
        <w:tc>
          <w:tcPr>
            <w:tcW w:w="1026" w:type="dxa"/>
            <w:tcBorders>
              <w:top w:val="nil"/>
              <w:left w:val="nil"/>
              <w:bottom w:val="single" w:color="auto" w:sz="4" w:space="0"/>
              <w:right w:val="single" w:color="auto" w:sz="4" w:space="0"/>
            </w:tcBorders>
            <w:shd w:val="clear" w:color="auto" w:fill="auto"/>
            <w:noWrap/>
            <w:vAlign w:val="center"/>
          </w:tcPr>
          <w:p w14:paraId="2811E83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27.89 </w:t>
            </w:r>
          </w:p>
        </w:tc>
        <w:tc>
          <w:tcPr>
            <w:tcW w:w="1160" w:type="dxa"/>
            <w:tcBorders>
              <w:top w:val="nil"/>
              <w:left w:val="nil"/>
              <w:bottom w:val="single" w:color="auto" w:sz="4" w:space="0"/>
              <w:right w:val="single" w:color="auto" w:sz="4" w:space="0"/>
            </w:tcBorders>
            <w:shd w:val="clear" w:color="auto" w:fill="auto"/>
            <w:noWrap/>
            <w:vAlign w:val="center"/>
          </w:tcPr>
          <w:p w14:paraId="3936899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2617.64 </w:t>
            </w:r>
          </w:p>
        </w:tc>
        <w:tc>
          <w:tcPr>
            <w:tcW w:w="1160" w:type="dxa"/>
            <w:tcBorders>
              <w:top w:val="nil"/>
              <w:left w:val="nil"/>
              <w:bottom w:val="single" w:color="auto" w:sz="4" w:space="0"/>
              <w:right w:val="single" w:color="auto" w:sz="4" w:space="0"/>
            </w:tcBorders>
            <w:shd w:val="clear" w:color="auto" w:fill="auto"/>
            <w:noWrap/>
            <w:vAlign w:val="center"/>
          </w:tcPr>
          <w:p w14:paraId="4313AF9D">
            <w:pPr>
              <w:widowControl/>
              <w:jc w:val="center"/>
              <w:rPr>
                <w:rFonts w:ascii="宋体" w:hAnsi="宋体" w:cs="宋体"/>
                <w:color w:val="000000"/>
                <w:kern w:val="0"/>
                <w:sz w:val="18"/>
                <w:szCs w:val="18"/>
              </w:rPr>
            </w:pPr>
            <w:r>
              <w:rPr>
                <w:rFonts w:hint="eastAsia" w:ascii="宋体" w:hAnsi="宋体" w:cs="宋体"/>
                <w:color w:val="000000"/>
                <w:kern w:val="0"/>
                <w:sz w:val="18"/>
                <w:szCs w:val="18"/>
              </w:rPr>
              <w:t>14098.44</w:t>
            </w:r>
          </w:p>
        </w:tc>
        <w:tc>
          <w:tcPr>
            <w:tcW w:w="1085" w:type="dxa"/>
            <w:tcBorders>
              <w:top w:val="nil"/>
              <w:left w:val="nil"/>
              <w:bottom w:val="single" w:color="auto" w:sz="4" w:space="0"/>
              <w:right w:val="nil"/>
            </w:tcBorders>
            <w:shd w:val="clear" w:color="auto" w:fill="auto"/>
            <w:noWrap/>
            <w:vAlign w:val="center"/>
          </w:tcPr>
          <w:p w14:paraId="452DE3D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5918.26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49D501EE">
            <w:pPr>
              <w:widowControl/>
              <w:jc w:val="center"/>
              <w:rPr>
                <w:rFonts w:ascii="宋体" w:hAnsi="宋体" w:cs="宋体"/>
                <w:color w:val="000000"/>
                <w:kern w:val="0"/>
                <w:sz w:val="18"/>
                <w:szCs w:val="18"/>
              </w:rPr>
            </w:pPr>
            <w:r>
              <w:rPr>
                <w:rFonts w:hint="eastAsia" w:ascii="宋体" w:hAnsi="宋体" w:cs="宋体"/>
                <w:color w:val="000000"/>
                <w:kern w:val="0"/>
                <w:sz w:val="18"/>
                <w:szCs w:val="18"/>
              </w:rPr>
              <w:t>30199.18</w:t>
            </w:r>
          </w:p>
        </w:tc>
      </w:tr>
      <w:tr w14:paraId="17667718">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4DA44750">
            <w:pPr>
              <w:widowControl/>
              <w:jc w:val="center"/>
              <w:rPr>
                <w:rFonts w:ascii="宋体" w:hAnsi="宋体" w:cs="宋体"/>
                <w:color w:val="000000"/>
                <w:kern w:val="0"/>
                <w:sz w:val="18"/>
                <w:szCs w:val="18"/>
              </w:rPr>
            </w:pPr>
            <w:r>
              <w:rPr>
                <w:rFonts w:hint="eastAsia" w:ascii="宋体" w:hAnsi="宋体" w:cs="宋体"/>
                <w:color w:val="000000"/>
                <w:kern w:val="0"/>
                <w:sz w:val="18"/>
                <w:szCs w:val="18"/>
              </w:rPr>
              <w:t>汤丹镇</w:t>
            </w:r>
          </w:p>
        </w:tc>
        <w:tc>
          <w:tcPr>
            <w:tcW w:w="1160" w:type="dxa"/>
            <w:tcBorders>
              <w:top w:val="nil"/>
              <w:left w:val="nil"/>
              <w:bottom w:val="single" w:color="auto" w:sz="4" w:space="0"/>
              <w:right w:val="single" w:color="auto" w:sz="4" w:space="0"/>
            </w:tcBorders>
            <w:shd w:val="clear" w:color="auto" w:fill="auto"/>
            <w:noWrap/>
            <w:vAlign w:val="center"/>
          </w:tcPr>
          <w:p w14:paraId="48B5BF98">
            <w:pPr>
              <w:widowControl/>
              <w:jc w:val="center"/>
              <w:rPr>
                <w:rFonts w:ascii="宋体" w:hAnsi="宋体" w:cs="宋体"/>
                <w:color w:val="000000"/>
                <w:kern w:val="0"/>
                <w:sz w:val="18"/>
                <w:szCs w:val="18"/>
              </w:rPr>
            </w:pPr>
            <w:r>
              <w:rPr>
                <w:rFonts w:hint="eastAsia" w:ascii="宋体" w:hAnsi="宋体" w:cs="宋体"/>
                <w:color w:val="000000"/>
                <w:kern w:val="0"/>
                <w:sz w:val="18"/>
                <w:szCs w:val="18"/>
              </w:rPr>
              <w:t>1972.82</w:t>
            </w:r>
          </w:p>
        </w:tc>
        <w:tc>
          <w:tcPr>
            <w:tcW w:w="1037" w:type="dxa"/>
            <w:tcBorders>
              <w:top w:val="nil"/>
              <w:left w:val="nil"/>
              <w:bottom w:val="single" w:color="auto" w:sz="4" w:space="0"/>
              <w:right w:val="single" w:color="auto" w:sz="4" w:space="0"/>
            </w:tcBorders>
            <w:shd w:val="clear" w:color="auto" w:fill="auto"/>
            <w:noWrap/>
            <w:vAlign w:val="center"/>
          </w:tcPr>
          <w:p w14:paraId="4D45FEF5">
            <w:pPr>
              <w:widowControl/>
              <w:jc w:val="center"/>
              <w:rPr>
                <w:rFonts w:ascii="宋体" w:hAnsi="宋体" w:cs="宋体"/>
                <w:color w:val="000000"/>
                <w:kern w:val="0"/>
                <w:sz w:val="18"/>
                <w:szCs w:val="18"/>
              </w:rPr>
            </w:pPr>
            <w:r>
              <w:rPr>
                <w:rFonts w:hint="eastAsia" w:ascii="宋体" w:hAnsi="宋体" w:cs="宋体"/>
                <w:color w:val="000000"/>
                <w:kern w:val="0"/>
                <w:sz w:val="18"/>
                <w:szCs w:val="18"/>
              </w:rPr>
              <w:t>2652.92</w:t>
            </w:r>
          </w:p>
        </w:tc>
        <w:tc>
          <w:tcPr>
            <w:tcW w:w="992" w:type="dxa"/>
            <w:tcBorders>
              <w:top w:val="nil"/>
              <w:left w:val="nil"/>
              <w:bottom w:val="single" w:color="auto" w:sz="4" w:space="0"/>
              <w:right w:val="single" w:color="auto" w:sz="4" w:space="0"/>
            </w:tcBorders>
            <w:shd w:val="clear" w:color="auto" w:fill="auto"/>
            <w:noWrap/>
            <w:vAlign w:val="center"/>
          </w:tcPr>
          <w:p w14:paraId="2048C17C">
            <w:pPr>
              <w:widowControl/>
              <w:jc w:val="center"/>
              <w:rPr>
                <w:rFonts w:ascii="宋体" w:hAnsi="宋体" w:cs="宋体"/>
                <w:color w:val="000000"/>
                <w:kern w:val="0"/>
                <w:sz w:val="18"/>
                <w:szCs w:val="18"/>
              </w:rPr>
            </w:pPr>
            <w:r>
              <w:rPr>
                <w:rFonts w:hint="eastAsia" w:ascii="宋体" w:hAnsi="宋体" w:cs="宋体"/>
                <w:color w:val="000000"/>
                <w:kern w:val="0"/>
                <w:sz w:val="18"/>
                <w:szCs w:val="18"/>
              </w:rPr>
              <w:t>559.76</w:t>
            </w:r>
          </w:p>
        </w:tc>
        <w:tc>
          <w:tcPr>
            <w:tcW w:w="1026" w:type="dxa"/>
            <w:tcBorders>
              <w:top w:val="nil"/>
              <w:left w:val="nil"/>
              <w:bottom w:val="single" w:color="auto" w:sz="4" w:space="0"/>
              <w:right w:val="single" w:color="auto" w:sz="4" w:space="0"/>
            </w:tcBorders>
            <w:shd w:val="clear" w:color="auto" w:fill="auto"/>
            <w:noWrap/>
            <w:vAlign w:val="center"/>
          </w:tcPr>
          <w:p w14:paraId="62927656">
            <w:pPr>
              <w:widowControl/>
              <w:jc w:val="center"/>
              <w:rPr>
                <w:rFonts w:ascii="宋体" w:hAnsi="宋体" w:cs="宋体"/>
                <w:color w:val="000000"/>
                <w:kern w:val="0"/>
                <w:sz w:val="18"/>
                <w:szCs w:val="18"/>
              </w:rPr>
            </w:pPr>
            <w:r>
              <w:rPr>
                <w:rFonts w:hint="eastAsia" w:ascii="宋体" w:hAnsi="宋体" w:cs="宋体"/>
                <w:color w:val="000000"/>
                <w:kern w:val="0"/>
                <w:sz w:val="18"/>
                <w:szCs w:val="18"/>
              </w:rPr>
              <w:t>313.12</w:t>
            </w:r>
          </w:p>
        </w:tc>
        <w:tc>
          <w:tcPr>
            <w:tcW w:w="1026" w:type="dxa"/>
            <w:tcBorders>
              <w:top w:val="nil"/>
              <w:left w:val="nil"/>
              <w:bottom w:val="single" w:color="auto" w:sz="4" w:space="0"/>
              <w:right w:val="single" w:color="auto" w:sz="4" w:space="0"/>
            </w:tcBorders>
            <w:shd w:val="clear" w:color="auto" w:fill="auto"/>
            <w:noWrap/>
            <w:vAlign w:val="center"/>
          </w:tcPr>
          <w:p w14:paraId="549452C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2.90 </w:t>
            </w:r>
          </w:p>
        </w:tc>
        <w:tc>
          <w:tcPr>
            <w:tcW w:w="1160" w:type="dxa"/>
            <w:tcBorders>
              <w:top w:val="nil"/>
              <w:left w:val="nil"/>
              <w:bottom w:val="single" w:color="auto" w:sz="4" w:space="0"/>
              <w:right w:val="single" w:color="auto" w:sz="4" w:space="0"/>
            </w:tcBorders>
            <w:shd w:val="clear" w:color="auto" w:fill="auto"/>
            <w:noWrap/>
            <w:vAlign w:val="center"/>
          </w:tcPr>
          <w:p w14:paraId="74250BF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96.64 </w:t>
            </w:r>
          </w:p>
        </w:tc>
        <w:tc>
          <w:tcPr>
            <w:tcW w:w="1160" w:type="dxa"/>
            <w:tcBorders>
              <w:top w:val="nil"/>
              <w:left w:val="nil"/>
              <w:bottom w:val="single" w:color="auto" w:sz="4" w:space="0"/>
              <w:right w:val="single" w:color="auto" w:sz="4" w:space="0"/>
            </w:tcBorders>
            <w:shd w:val="clear" w:color="auto" w:fill="auto"/>
            <w:noWrap/>
            <w:vAlign w:val="center"/>
          </w:tcPr>
          <w:p w14:paraId="2A9A061B">
            <w:pPr>
              <w:widowControl/>
              <w:jc w:val="center"/>
              <w:rPr>
                <w:rFonts w:ascii="宋体" w:hAnsi="宋体" w:cs="宋体"/>
                <w:color w:val="000000"/>
                <w:kern w:val="0"/>
                <w:sz w:val="18"/>
                <w:szCs w:val="18"/>
              </w:rPr>
            </w:pPr>
            <w:r>
              <w:rPr>
                <w:rFonts w:hint="eastAsia" w:ascii="宋体" w:hAnsi="宋体" w:cs="宋体"/>
                <w:color w:val="000000"/>
                <w:kern w:val="0"/>
                <w:sz w:val="18"/>
                <w:szCs w:val="18"/>
              </w:rPr>
              <w:t>10904.6</w:t>
            </w:r>
          </w:p>
        </w:tc>
        <w:tc>
          <w:tcPr>
            <w:tcW w:w="1085" w:type="dxa"/>
            <w:tcBorders>
              <w:top w:val="nil"/>
              <w:left w:val="nil"/>
              <w:bottom w:val="single" w:color="auto" w:sz="4" w:space="0"/>
              <w:right w:val="nil"/>
            </w:tcBorders>
            <w:shd w:val="clear" w:color="auto" w:fill="auto"/>
            <w:noWrap/>
            <w:vAlign w:val="center"/>
          </w:tcPr>
          <w:p w14:paraId="66DF28E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12648.49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5253D70B">
            <w:pPr>
              <w:widowControl/>
              <w:jc w:val="center"/>
              <w:rPr>
                <w:rFonts w:ascii="宋体" w:hAnsi="宋体" w:cs="宋体"/>
                <w:color w:val="000000"/>
                <w:kern w:val="0"/>
                <w:sz w:val="18"/>
                <w:szCs w:val="18"/>
              </w:rPr>
            </w:pPr>
            <w:r>
              <w:rPr>
                <w:rFonts w:hint="eastAsia" w:ascii="宋体" w:hAnsi="宋体" w:cs="宋体"/>
                <w:color w:val="000000"/>
                <w:kern w:val="0"/>
                <w:sz w:val="18"/>
                <w:szCs w:val="18"/>
              </w:rPr>
              <w:t>29151.25</w:t>
            </w:r>
          </w:p>
        </w:tc>
      </w:tr>
      <w:tr w14:paraId="6022F68C">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092E28BA">
            <w:pPr>
              <w:widowControl/>
              <w:jc w:val="center"/>
              <w:rPr>
                <w:rFonts w:ascii="宋体" w:hAnsi="宋体" w:cs="宋体"/>
                <w:color w:val="000000"/>
                <w:kern w:val="0"/>
                <w:sz w:val="18"/>
                <w:szCs w:val="18"/>
              </w:rPr>
            </w:pPr>
            <w:r>
              <w:rPr>
                <w:rFonts w:hint="eastAsia" w:ascii="宋体" w:hAnsi="宋体" w:cs="宋体"/>
                <w:color w:val="000000"/>
                <w:kern w:val="0"/>
                <w:sz w:val="18"/>
                <w:szCs w:val="18"/>
              </w:rPr>
              <w:t>拖布卡镇</w:t>
            </w:r>
          </w:p>
        </w:tc>
        <w:tc>
          <w:tcPr>
            <w:tcW w:w="1160" w:type="dxa"/>
            <w:tcBorders>
              <w:top w:val="nil"/>
              <w:left w:val="nil"/>
              <w:bottom w:val="single" w:color="auto" w:sz="4" w:space="0"/>
              <w:right w:val="single" w:color="auto" w:sz="4" w:space="0"/>
            </w:tcBorders>
            <w:shd w:val="clear" w:color="auto" w:fill="auto"/>
            <w:noWrap/>
            <w:vAlign w:val="center"/>
          </w:tcPr>
          <w:p w14:paraId="712D60AC">
            <w:pPr>
              <w:widowControl/>
              <w:jc w:val="center"/>
              <w:rPr>
                <w:rFonts w:ascii="宋体" w:hAnsi="宋体" w:cs="宋体"/>
                <w:color w:val="000000"/>
                <w:kern w:val="0"/>
                <w:sz w:val="18"/>
                <w:szCs w:val="18"/>
              </w:rPr>
            </w:pPr>
            <w:r>
              <w:rPr>
                <w:rFonts w:hint="eastAsia" w:ascii="宋体" w:hAnsi="宋体" w:cs="宋体"/>
                <w:color w:val="000000"/>
                <w:kern w:val="0"/>
                <w:sz w:val="18"/>
                <w:szCs w:val="18"/>
              </w:rPr>
              <w:t>2156.91</w:t>
            </w:r>
          </w:p>
        </w:tc>
        <w:tc>
          <w:tcPr>
            <w:tcW w:w="1037" w:type="dxa"/>
            <w:tcBorders>
              <w:top w:val="nil"/>
              <w:left w:val="nil"/>
              <w:bottom w:val="single" w:color="auto" w:sz="4" w:space="0"/>
              <w:right w:val="single" w:color="auto" w:sz="4" w:space="0"/>
            </w:tcBorders>
            <w:shd w:val="clear" w:color="auto" w:fill="auto"/>
            <w:noWrap/>
            <w:vAlign w:val="center"/>
          </w:tcPr>
          <w:p w14:paraId="2A23C80D">
            <w:pPr>
              <w:widowControl/>
              <w:jc w:val="center"/>
              <w:rPr>
                <w:rFonts w:ascii="宋体" w:hAnsi="宋体" w:cs="宋体"/>
                <w:color w:val="000000"/>
                <w:kern w:val="0"/>
                <w:sz w:val="18"/>
                <w:szCs w:val="18"/>
              </w:rPr>
            </w:pPr>
            <w:r>
              <w:rPr>
                <w:rFonts w:hint="eastAsia" w:ascii="宋体" w:hAnsi="宋体" w:cs="宋体"/>
                <w:color w:val="000000"/>
                <w:kern w:val="0"/>
                <w:sz w:val="18"/>
                <w:szCs w:val="18"/>
              </w:rPr>
              <w:t>2494.26</w:t>
            </w:r>
          </w:p>
        </w:tc>
        <w:tc>
          <w:tcPr>
            <w:tcW w:w="992" w:type="dxa"/>
            <w:tcBorders>
              <w:top w:val="nil"/>
              <w:left w:val="nil"/>
              <w:bottom w:val="single" w:color="auto" w:sz="4" w:space="0"/>
              <w:right w:val="single" w:color="auto" w:sz="4" w:space="0"/>
            </w:tcBorders>
            <w:shd w:val="clear" w:color="auto" w:fill="auto"/>
            <w:noWrap/>
            <w:vAlign w:val="center"/>
          </w:tcPr>
          <w:p w14:paraId="1B441828">
            <w:pPr>
              <w:widowControl/>
              <w:jc w:val="center"/>
              <w:rPr>
                <w:rFonts w:ascii="宋体" w:hAnsi="宋体" w:cs="宋体"/>
                <w:color w:val="000000"/>
                <w:kern w:val="0"/>
                <w:sz w:val="18"/>
                <w:szCs w:val="18"/>
              </w:rPr>
            </w:pPr>
            <w:r>
              <w:rPr>
                <w:rFonts w:hint="eastAsia" w:ascii="宋体" w:hAnsi="宋体" w:cs="宋体"/>
                <w:color w:val="000000"/>
                <w:kern w:val="0"/>
                <w:sz w:val="18"/>
                <w:szCs w:val="18"/>
              </w:rPr>
              <w:t>462.67</w:t>
            </w:r>
          </w:p>
        </w:tc>
        <w:tc>
          <w:tcPr>
            <w:tcW w:w="1026" w:type="dxa"/>
            <w:tcBorders>
              <w:top w:val="nil"/>
              <w:left w:val="nil"/>
              <w:bottom w:val="single" w:color="auto" w:sz="4" w:space="0"/>
              <w:right w:val="single" w:color="auto" w:sz="4" w:space="0"/>
            </w:tcBorders>
            <w:shd w:val="clear" w:color="auto" w:fill="auto"/>
            <w:noWrap/>
            <w:vAlign w:val="center"/>
          </w:tcPr>
          <w:p w14:paraId="50ADE9BA">
            <w:pPr>
              <w:widowControl/>
              <w:jc w:val="center"/>
              <w:rPr>
                <w:rFonts w:ascii="宋体" w:hAnsi="宋体" w:cs="宋体"/>
                <w:color w:val="000000"/>
                <w:kern w:val="0"/>
                <w:sz w:val="18"/>
                <w:szCs w:val="18"/>
              </w:rPr>
            </w:pPr>
            <w:r>
              <w:rPr>
                <w:rFonts w:hint="eastAsia" w:ascii="宋体" w:hAnsi="宋体" w:cs="宋体"/>
                <w:color w:val="000000"/>
                <w:kern w:val="0"/>
                <w:sz w:val="18"/>
                <w:szCs w:val="18"/>
              </w:rPr>
              <w:t>22.17</w:t>
            </w:r>
          </w:p>
        </w:tc>
        <w:tc>
          <w:tcPr>
            <w:tcW w:w="1026" w:type="dxa"/>
            <w:tcBorders>
              <w:top w:val="nil"/>
              <w:left w:val="nil"/>
              <w:bottom w:val="single" w:color="auto" w:sz="4" w:space="0"/>
              <w:right w:val="single" w:color="auto" w:sz="4" w:space="0"/>
            </w:tcBorders>
            <w:shd w:val="clear" w:color="auto" w:fill="auto"/>
            <w:noWrap/>
            <w:vAlign w:val="center"/>
          </w:tcPr>
          <w:p w14:paraId="4760276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tcBorders>
              <w:top w:val="nil"/>
              <w:left w:val="nil"/>
              <w:bottom w:val="single" w:color="auto" w:sz="4" w:space="0"/>
              <w:right w:val="single" w:color="auto" w:sz="4" w:space="0"/>
            </w:tcBorders>
            <w:shd w:val="clear" w:color="auto" w:fill="auto"/>
            <w:noWrap/>
            <w:vAlign w:val="center"/>
          </w:tcPr>
          <w:p w14:paraId="0522AD1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75.14 </w:t>
            </w:r>
          </w:p>
        </w:tc>
        <w:tc>
          <w:tcPr>
            <w:tcW w:w="1160" w:type="dxa"/>
            <w:tcBorders>
              <w:top w:val="nil"/>
              <w:left w:val="nil"/>
              <w:bottom w:val="single" w:color="auto" w:sz="4" w:space="0"/>
              <w:right w:val="single" w:color="auto" w:sz="4" w:space="0"/>
            </w:tcBorders>
            <w:shd w:val="clear" w:color="auto" w:fill="auto"/>
            <w:noWrap/>
            <w:vAlign w:val="center"/>
          </w:tcPr>
          <w:p w14:paraId="7CBFAF49">
            <w:pPr>
              <w:widowControl/>
              <w:jc w:val="center"/>
              <w:rPr>
                <w:rFonts w:ascii="宋体" w:hAnsi="宋体" w:cs="宋体"/>
                <w:color w:val="000000"/>
                <w:kern w:val="0"/>
                <w:sz w:val="18"/>
                <w:szCs w:val="18"/>
              </w:rPr>
            </w:pPr>
            <w:r>
              <w:rPr>
                <w:rFonts w:hint="eastAsia" w:ascii="宋体" w:hAnsi="宋体" w:cs="宋体"/>
                <w:color w:val="000000"/>
                <w:kern w:val="0"/>
                <w:sz w:val="18"/>
                <w:szCs w:val="18"/>
              </w:rPr>
              <w:t>5270.26</w:t>
            </w:r>
          </w:p>
        </w:tc>
        <w:tc>
          <w:tcPr>
            <w:tcW w:w="1085" w:type="dxa"/>
            <w:tcBorders>
              <w:top w:val="nil"/>
              <w:left w:val="nil"/>
              <w:bottom w:val="single" w:color="auto" w:sz="4" w:space="0"/>
              <w:right w:val="nil"/>
            </w:tcBorders>
            <w:shd w:val="clear" w:color="auto" w:fill="auto"/>
            <w:noWrap/>
            <w:vAlign w:val="center"/>
          </w:tcPr>
          <w:p w14:paraId="1F2B4ED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8911.73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133A37E2">
            <w:pPr>
              <w:widowControl/>
              <w:jc w:val="center"/>
              <w:rPr>
                <w:rFonts w:ascii="宋体" w:hAnsi="宋体" w:cs="宋体"/>
                <w:color w:val="000000"/>
                <w:kern w:val="0"/>
                <w:sz w:val="18"/>
                <w:szCs w:val="18"/>
              </w:rPr>
            </w:pPr>
            <w:r>
              <w:rPr>
                <w:rFonts w:hint="eastAsia" w:ascii="宋体" w:hAnsi="宋体" w:cs="宋体"/>
                <w:color w:val="000000"/>
                <w:kern w:val="0"/>
                <w:sz w:val="18"/>
                <w:szCs w:val="18"/>
              </w:rPr>
              <w:t>19393.14</w:t>
            </w:r>
          </w:p>
        </w:tc>
      </w:tr>
      <w:tr w14:paraId="0F9E28A2">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523316D2">
            <w:pPr>
              <w:widowControl/>
              <w:jc w:val="center"/>
              <w:rPr>
                <w:rFonts w:ascii="宋体" w:hAnsi="宋体" w:cs="宋体"/>
                <w:color w:val="000000"/>
                <w:kern w:val="0"/>
                <w:sz w:val="18"/>
                <w:szCs w:val="18"/>
              </w:rPr>
            </w:pPr>
            <w:r>
              <w:rPr>
                <w:rFonts w:hint="eastAsia" w:ascii="宋体" w:hAnsi="宋体" w:cs="宋体"/>
                <w:color w:val="000000"/>
                <w:kern w:val="0"/>
                <w:sz w:val="18"/>
                <w:szCs w:val="18"/>
              </w:rPr>
              <w:t>因民镇</w:t>
            </w:r>
          </w:p>
        </w:tc>
        <w:tc>
          <w:tcPr>
            <w:tcW w:w="1160" w:type="dxa"/>
            <w:tcBorders>
              <w:top w:val="nil"/>
              <w:left w:val="nil"/>
              <w:bottom w:val="single" w:color="auto" w:sz="4" w:space="0"/>
              <w:right w:val="single" w:color="auto" w:sz="4" w:space="0"/>
            </w:tcBorders>
            <w:shd w:val="clear" w:color="auto" w:fill="auto"/>
            <w:noWrap/>
            <w:vAlign w:val="center"/>
          </w:tcPr>
          <w:p w14:paraId="48E238CB">
            <w:pPr>
              <w:widowControl/>
              <w:jc w:val="center"/>
              <w:rPr>
                <w:rFonts w:ascii="宋体" w:hAnsi="宋体" w:cs="宋体"/>
                <w:color w:val="000000"/>
                <w:kern w:val="0"/>
                <w:sz w:val="18"/>
                <w:szCs w:val="18"/>
              </w:rPr>
            </w:pPr>
            <w:r>
              <w:rPr>
                <w:rFonts w:hint="eastAsia" w:ascii="宋体" w:hAnsi="宋体" w:cs="宋体"/>
                <w:color w:val="000000"/>
                <w:kern w:val="0"/>
                <w:sz w:val="18"/>
                <w:szCs w:val="18"/>
              </w:rPr>
              <w:t>542.38</w:t>
            </w:r>
          </w:p>
        </w:tc>
        <w:tc>
          <w:tcPr>
            <w:tcW w:w="1037" w:type="dxa"/>
            <w:tcBorders>
              <w:top w:val="nil"/>
              <w:left w:val="nil"/>
              <w:bottom w:val="single" w:color="auto" w:sz="4" w:space="0"/>
              <w:right w:val="single" w:color="auto" w:sz="4" w:space="0"/>
            </w:tcBorders>
            <w:shd w:val="clear" w:color="auto" w:fill="auto"/>
            <w:noWrap/>
            <w:vAlign w:val="center"/>
          </w:tcPr>
          <w:p w14:paraId="671A3A0B">
            <w:pPr>
              <w:widowControl/>
              <w:jc w:val="center"/>
              <w:rPr>
                <w:rFonts w:ascii="宋体" w:hAnsi="宋体" w:cs="宋体"/>
                <w:color w:val="000000"/>
                <w:kern w:val="0"/>
                <w:sz w:val="18"/>
                <w:szCs w:val="18"/>
              </w:rPr>
            </w:pPr>
            <w:r>
              <w:rPr>
                <w:rFonts w:hint="eastAsia" w:ascii="宋体" w:hAnsi="宋体" w:cs="宋体"/>
                <w:color w:val="000000"/>
                <w:kern w:val="0"/>
                <w:sz w:val="18"/>
                <w:szCs w:val="18"/>
              </w:rPr>
              <w:t>528.12</w:t>
            </w:r>
          </w:p>
        </w:tc>
        <w:tc>
          <w:tcPr>
            <w:tcW w:w="992" w:type="dxa"/>
            <w:tcBorders>
              <w:top w:val="nil"/>
              <w:left w:val="nil"/>
              <w:bottom w:val="single" w:color="auto" w:sz="4" w:space="0"/>
              <w:right w:val="single" w:color="auto" w:sz="4" w:space="0"/>
            </w:tcBorders>
            <w:shd w:val="clear" w:color="auto" w:fill="auto"/>
            <w:noWrap/>
            <w:vAlign w:val="center"/>
          </w:tcPr>
          <w:p w14:paraId="2E690D85">
            <w:pPr>
              <w:widowControl/>
              <w:jc w:val="center"/>
              <w:rPr>
                <w:rFonts w:ascii="宋体" w:hAnsi="宋体" w:cs="宋体"/>
                <w:color w:val="000000"/>
                <w:kern w:val="0"/>
                <w:sz w:val="18"/>
                <w:szCs w:val="18"/>
              </w:rPr>
            </w:pPr>
            <w:r>
              <w:rPr>
                <w:rFonts w:hint="eastAsia" w:ascii="宋体" w:hAnsi="宋体" w:cs="宋体"/>
                <w:color w:val="000000"/>
                <w:kern w:val="0"/>
                <w:sz w:val="18"/>
                <w:szCs w:val="18"/>
              </w:rPr>
              <w:t>142.36</w:t>
            </w:r>
          </w:p>
        </w:tc>
        <w:tc>
          <w:tcPr>
            <w:tcW w:w="1026" w:type="dxa"/>
            <w:tcBorders>
              <w:top w:val="nil"/>
              <w:left w:val="nil"/>
              <w:bottom w:val="single" w:color="auto" w:sz="4" w:space="0"/>
              <w:right w:val="single" w:color="auto" w:sz="4" w:space="0"/>
            </w:tcBorders>
            <w:shd w:val="clear" w:color="auto" w:fill="auto"/>
            <w:noWrap/>
            <w:vAlign w:val="center"/>
          </w:tcPr>
          <w:p w14:paraId="73F713E1">
            <w:pPr>
              <w:widowControl/>
              <w:jc w:val="center"/>
              <w:rPr>
                <w:rFonts w:ascii="宋体" w:hAnsi="宋体" w:cs="宋体"/>
                <w:color w:val="000000"/>
                <w:kern w:val="0"/>
                <w:sz w:val="18"/>
                <w:szCs w:val="18"/>
              </w:rPr>
            </w:pPr>
            <w:r>
              <w:rPr>
                <w:rFonts w:hint="eastAsia" w:ascii="宋体" w:hAnsi="宋体" w:cs="宋体"/>
                <w:color w:val="000000"/>
                <w:kern w:val="0"/>
                <w:sz w:val="18"/>
                <w:szCs w:val="18"/>
              </w:rPr>
              <w:t>116.05</w:t>
            </w:r>
          </w:p>
        </w:tc>
        <w:tc>
          <w:tcPr>
            <w:tcW w:w="1026" w:type="dxa"/>
            <w:tcBorders>
              <w:top w:val="nil"/>
              <w:left w:val="nil"/>
              <w:bottom w:val="single" w:color="auto" w:sz="4" w:space="0"/>
              <w:right w:val="single" w:color="auto" w:sz="4" w:space="0"/>
            </w:tcBorders>
            <w:shd w:val="clear" w:color="auto" w:fill="auto"/>
            <w:noWrap/>
            <w:vAlign w:val="center"/>
          </w:tcPr>
          <w:p w14:paraId="21FAB4F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tcBorders>
              <w:top w:val="nil"/>
              <w:left w:val="nil"/>
              <w:bottom w:val="single" w:color="auto" w:sz="4" w:space="0"/>
              <w:right w:val="single" w:color="auto" w:sz="4" w:space="0"/>
            </w:tcBorders>
            <w:shd w:val="clear" w:color="auto" w:fill="auto"/>
            <w:noWrap/>
            <w:vAlign w:val="center"/>
          </w:tcPr>
          <w:p w14:paraId="73055C0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187.48 </w:t>
            </w:r>
          </w:p>
        </w:tc>
        <w:tc>
          <w:tcPr>
            <w:tcW w:w="1160" w:type="dxa"/>
            <w:tcBorders>
              <w:top w:val="nil"/>
              <w:left w:val="nil"/>
              <w:bottom w:val="single" w:color="auto" w:sz="4" w:space="0"/>
              <w:right w:val="single" w:color="auto" w:sz="4" w:space="0"/>
            </w:tcBorders>
            <w:shd w:val="clear" w:color="auto" w:fill="auto"/>
            <w:noWrap/>
            <w:vAlign w:val="center"/>
          </w:tcPr>
          <w:p w14:paraId="6A405810">
            <w:pPr>
              <w:widowControl/>
              <w:jc w:val="center"/>
              <w:rPr>
                <w:rFonts w:ascii="宋体" w:hAnsi="宋体" w:cs="宋体"/>
                <w:color w:val="000000"/>
                <w:kern w:val="0"/>
                <w:sz w:val="18"/>
                <w:szCs w:val="18"/>
              </w:rPr>
            </w:pPr>
            <w:r>
              <w:rPr>
                <w:rFonts w:hint="eastAsia" w:ascii="宋体" w:hAnsi="宋体" w:cs="宋体"/>
                <w:color w:val="000000"/>
                <w:kern w:val="0"/>
                <w:sz w:val="18"/>
                <w:szCs w:val="18"/>
              </w:rPr>
              <w:t>7366.14</w:t>
            </w:r>
          </w:p>
        </w:tc>
        <w:tc>
          <w:tcPr>
            <w:tcW w:w="1085" w:type="dxa"/>
            <w:tcBorders>
              <w:top w:val="nil"/>
              <w:left w:val="nil"/>
              <w:bottom w:val="single" w:color="auto" w:sz="4" w:space="0"/>
              <w:right w:val="nil"/>
            </w:tcBorders>
            <w:shd w:val="clear" w:color="auto" w:fill="auto"/>
            <w:noWrap/>
            <w:vAlign w:val="center"/>
          </w:tcPr>
          <w:p w14:paraId="255C190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5634.05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18CE6248">
            <w:pPr>
              <w:widowControl/>
              <w:jc w:val="center"/>
              <w:rPr>
                <w:rFonts w:ascii="宋体" w:hAnsi="宋体" w:cs="宋体"/>
                <w:color w:val="000000"/>
                <w:kern w:val="0"/>
                <w:sz w:val="18"/>
                <w:szCs w:val="18"/>
              </w:rPr>
            </w:pPr>
            <w:r>
              <w:rPr>
                <w:rFonts w:hint="eastAsia" w:ascii="宋体" w:hAnsi="宋体" w:cs="宋体"/>
                <w:color w:val="000000"/>
                <w:kern w:val="0"/>
                <w:sz w:val="18"/>
                <w:szCs w:val="18"/>
              </w:rPr>
              <w:t>14516.58</w:t>
            </w:r>
          </w:p>
        </w:tc>
      </w:tr>
      <w:tr w14:paraId="2C9CCD91">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68AF83C2">
            <w:pPr>
              <w:widowControl/>
              <w:jc w:val="center"/>
              <w:rPr>
                <w:rFonts w:ascii="宋体" w:hAnsi="宋体" w:cs="宋体"/>
                <w:color w:val="000000"/>
                <w:kern w:val="0"/>
                <w:sz w:val="18"/>
                <w:szCs w:val="18"/>
              </w:rPr>
            </w:pPr>
            <w:r>
              <w:rPr>
                <w:rFonts w:hint="eastAsia" w:ascii="宋体" w:hAnsi="宋体" w:cs="宋体"/>
                <w:color w:val="000000"/>
                <w:kern w:val="0"/>
                <w:sz w:val="18"/>
                <w:szCs w:val="18"/>
              </w:rPr>
              <w:t>舍块乡</w:t>
            </w:r>
          </w:p>
        </w:tc>
        <w:tc>
          <w:tcPr>
            <w:tcW w:w="1160" w:type="dxa"/>
            <w:tcBorders>
              <w:top w:val="nil"/>
              <w:left w:val="nil"/>
              <w:bottom w:val="single" w:color="auto" w:sz="4" w:space="0"/>
              <w:right w:val="single" w:color="auto" w:sz="4" w:space="0"/>
            </w:tcBorders>
            <w:shd w:val="clear" w:color="auto" w:fill="auto"/>
            <w:noWrap/>
            <w:vAlign w:val="center"/>
          </w:tcPr>
          <w:p w14:paraId="24D9FCF9">
            <w:pPr>
              <w:widowControl/>
              <w:jc w:val="center"/>
              <w:rPr>
                <w:rFonts w:ascii="宋体" w:hAnsi="宋体" w:cs="宋体"/>
                <w:color w:val="000000"/>
                <w:kern w:val="0"/>
                <w:sz w:val="18"/>
                <w:szCs w:val="18"/>
              </w:rPr>
            </w:pPr>
            <w:r>
              <w:rPr>
                <w:rFonts w:hint="eastAsia" w:ascii="宋体" w:hAnsi="宋体" w:cs="宋体"/>
                <w:color w:val="000000"/>
                <w:kern w:val="0"/>
                <w:sz w:val="18"/>
                <w:szCs w:val="18"/>
              </w:rPr>
              <w:t>758.18</w:t>
            </w:r>
          </w:p>
        </w:tc>
        <w:tc>
          <w:tcPr>
            <w:tcW w:w="1037" w:type="dxa"/>
            <w:tcBorders>
              <w:top w:val="nil"/>
              <w:left w:val="nil"/>
              <w:bottom w:val="single" w:color="auto" w:sz="4" w:space="0"/>
              <w:right w:val="single" w:color="auto" w:sz="4" w:space="0"/>
            </w:tcBorders>
            <w:shd w:val="clear" w:color="auto" w:fill="auto"/>
            <w:noWrap/>
            <w:vAlign w:val="center"/>
          </w:tcPr>
          <w:p w14:paraId="1976C1D8">
            <w:pPr>
              <w:widowControl/>
              <w:jc w:val="center"/>
              <w:rPr>
                <w:rFonts w:ascii="宋体" w:hAnsi="宋体" w:cs="宋体"/>
                <w:color w:val="000000"/>
                <w:kern w:val="0"/>
                <w:sz w:val="18"/>
                <w:szCs w:val="18"/>
              </w:rPr>
            </w:pPr>
            <w:r>
              <w:rPr>
                <w:rFonts w:hint="eastAsia" w:ascii="宋体" w:hAnsi="宋体" w:cs="宋体"/>
                <w:color w:val="000000"/>
                <w:kern w:val="0"/>
                <w:sz w:val="18"/>
                <w:szCs w:val="18"/>
              </w:rPr>
              <w:t>598.54</w:t>
            </w:r>
          </w:p>
        </w:tc>
        <w:tc>
          <w:tcPr>
            <w:tcW w:w="992" w:type="dxa"/>
            <w:tcBorders>
              <w:top w:val="nil"/>
              <w:left w:val="nil"/>
              <w:bottom w:val="single" w:color="auto" w:sz="4" w:space="0"/>
              <w:right w:val="single" w:color="auto" w:sz="4" w:space="0"/>
            </w:tcBorders>
            <w:shd w:val="clear" w:color="auto" w:fill="auto"/>
            <w:noWrap/>
            <w:vAlign w:val="center"/>
          </w:tcPr>
          <w:p w14:paraId="55E339D4">
            <w:pPr>
              <w:widowControl/>
              <w:jc w:val="center"/>
              <w:rPr>
                <w:rFonts w:ascii="宋体" w:hAnsi="宋体" w:cs="宋体"/>
                <w:color w:val="000000"/>
                <w:kern w:val="0"/>
                <w:sz w:val="18"/>
                <w:szCs w:val="18"/>
              </w:rPr>
            </w:pPr>
            <w:r>
              <w:rPr>
                <w:rFonts w:hint="eastAsia" w:ascii="宋体" w:hAnsi="宋体" w:cs="宋体"/>
                <w:color w:val="000000"/>
                <w:kern w:val="0"/>
                <w:sz w:val="18"/>
                <w:szCs w:val="18"/>
              </w:rPr>
              <w:t>93.54</w:t>
            </w:r>
          </w:p>
        </w:tc>
        <w:tc>
          <w:tcPr>
            <w:tcW w:w="1026" w:type="dxa"/>
            <w:tcBorders>
              <w:top w:val="nil"/>
              <w:left w:val="nil"/>
              <w:bottom w:val="single" w:color="auto" w:sz="4" w:space="0"/>
              <w:right w:val="single" w:color="auto" w:sz="4" w:space="0"/>
            </w:tcBorders>
            <w:shd w:val="clear" w:color="auto" w:fill="auto"/>
            <w:noWrap/>
            <w:vAlign w:val="center"/>
          </w:tcPr>
          <w:p w14:paraId="10AD207C">
            <w:pPr>
              <w:widowControl/>
              <w:jc w:val="center"/>
              <w:rPr>
                <w:rFonts w:ascii="宋体" w:hAnsi="宋体" w:cs="宋体"/>
                <w:color w:val="000000"/>
                <w:kern w:val="0"/>
                <w:sz w:val="18"/>
                <w:szCs w:val="18"/>
              </w:rPr>
            </w:pPr>
            <w:r>
              <w:rPr>
                <w:rFonts w:hint="eastAsia" w:ascii="宋体" w:hAnsi="宋体" w:cs="宋体"/>
                <w:color w:val="000000"/>
                <w:kern w:val="0"/>
                <w:sz w:val="18"/>
                <w:szCs w:val="18"/>
              </w:rPr>
              <w:t>27.72</w:t>
            </w:r>
          </w:p>
        </w:tc>
        <w:tc>
          <w:tcPr>
            <w:tcW w:w="1026" w:type="dxa"/>
            <w:tcBorders>
              <w:top w:val="nil"/>
              <w:left w:val="nil"/>
              <w:bottom w:val="single" w:color="auto" w:sz="4" w:space="0"/>
              <w:right w:val="single" w:color="auto" w:sz="4" w:space="0"/>
            </w:tcBorders>
            <w:shd w:val="clear" w:color="auto" w:fill="auto"/>
            <w:noWrap/>
            <w:vAlign w:val="center"/>
          </w:tcPr>
          <w:p w14:paraId="4465243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0.00 </w:t>
            </w:r>
          </w:p>
        </w:tc>
        <w:tc>
          <w:tcPr>
            <w:tcW w:w="1160" w:type="dxa"/>
            <w:tcBorders>
              <w:top w:val="nil"/>
              <w:left w:val="nil"/>
              <w:bottom w:val="single" w:color="auto" w:sz="4" w:space="0"/>
              <w:right w:val="single" w:color="auto" w:sz="4" w:space="0"/>
            </w:tcBorders>
            <w:shd w:val="clear" w:color="auto" w:fill="auto"/>
            <w:noWrap/>
            <w:vAlign w:val="center"/>
          </w:tcPr>
          <w:p w14:paraId="1DA0BA4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1197.64 </w:t>
            </w:r>
          </w:p>
        </w:tc>
        <w:tc>
          <w:tcPr>
            <w:tcW w:w="1160" w:type="dxa"/>
            <w:tcBorders>
              <w:top w:val="nil"/>
              <w:left w:val="nil"/>
              <w:bottom w:val="single" w:color="auto" w:sz="4" w:space="0"/>
              <w:right w:val="single" w:color="auto" w:sz="4" w:space="0"/>
            </w:tcBorders>
            <w:shd w:val="clear" w:color="auto" w:fill="auto"/>
            <w:noWrap/>
            <w:vAlign w:val="center"/>
          </w:tcPr>
          <w:p w14:paraId="5751F7CE">
            <w:pPr>
              <w:widowControl/>
              <w:jc w:val="center"/>
              <w:rPr>
                <w:rFonts w:ascii="宋体" w:hAnsi="宋体" w:cs="宋体"/>
                <w:color w:val="000000"/>
                <w:kern w:val="0"/>
                <w:sz w:val="18"/>
                <w:szCs w:val="18"/>
              </w:rPr>
            </w:pPr>
            <w:r>
              <w:rPr>
                <w:rFonts w:hint="eastAsia" w:ascii="宋体" w:hAnsi="宋体" w:cs="宋体"/>
                <w:color w:val="000000"/>
                <w:kern w:val="0"/>
                <w:sz w:val="18"/>
                <w:szCs w:val="18"/>
              </w:rPr>
              <w:t>6221.41</w:t>
            </w:r>
          </w:p>
        </w:tc>
        <w:tc>
          <w:tcPr>
            <w:tcW w:w="1085" w:type="dxa"/>
            <w:tcBorders>
              <w:top w:val="nil"/>
              <w:left w:val="nil"/>
              <w:bottom w:val="single" w:color="auto" w:sz="4" w:space="0"/>
              <w:right w:val="nil"/>
            </w:tcBorders>
            <w:shd w:val="clear" w:color="auto" w:fill="auto"/>
            <w:noWrap/>
            <w:vAlign w:val="center"/>
          </w:tcPr>
          <w:p w14:paraId="5812830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7869.11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093C89B2">
            <w:pPr>
              <w:widowControl/>
              <w:jc w:val="center"/>
              <w:rPr>
                <w:rFonts w:ascii="宋体" w:hAnsi="宋体" w:cs="宋体"/>
                <w:color w:val="000000"/>
                <w:kern w:val="0"/>
                <w:sz w:val="18"/>
                <w:szCs w:val="18"/>
              </w:rPr>
            </w:pPr>
            <w:r>
              <w:rPr>
                <w:rFonts w:hint="eastAsia" w:ascii="宋体" w:hAnsi="宋体" w:cs="宋体"/>
                <w:color w:val="000000"/>
                <w:kern w:val="0"/>
                <w:sz w:val="18"/>
                <w:szCs w:val="18"/>
              </w:rPr>
              <w:t>16766.14</w:t>
            </w:r>
          </w:p>
        </w:tc>
      </w:tr>
      <w:tr w14:paraId="53C48212">
        <w:tblPrEx>
          <w:tblCellMar>
            <w:top w:w="0" w:type="dxa"/>
            <w:left w:w="108" w:type="dxa"/>
            <w:bottom w:w="0" w:type="dxa"/>
            <w:right w:w="108" w:type="dxa"/>
          </w:tblCellMar>
        </w:tblPrEx>
        <w:trPr>
          <w:trHeight w:val="312" w:hRule="atLeast"/>
          <w:jc w:val="center"/>
        </w:trPr>
        <w:tc>
          <w:tcPr>
            <w:tcW w:w="940" w:type="dxa"/>
            <w:tcBorders>
              <w:top w:val="nil"/>
              <w:left w:val="single" w:color="auto" w:sz="4" w:space="0"/>
              <w:bottom w:val="single" w:color="auto" w:sz="4" w:space="0"/>
              <w:right w:val="single" w:color="auto" w:sz="4" w:space="0"/>
            </w:tcBorders>
            <w:shd w:val="clear" w:color="auto" w:fill="auto"/>
            <w:noWrap/>
            <w:vAlign w:val="center"/>
          </w:tcPr>
          <w:p w14:paraId="398C0A5D">
            <w:pPr>
              <w:widowControl/>
              <w:jc w:val="center"/>
              <w:rPr>
                <w:rFonts w:ascii="宋体" w:hAnsi="宋体" w:cs="宋体"/>
                <w:color w:val="000000"/>
                <w:kern w:val="0"/>
                <w:sz w:val="18"/>
                <w:szCs w:val="18"/>
              </w:rPr>
            </w:pPr>
            <w:r>
              <w:rPr>
                <w:rFonts w:hint="eastAsia" w:ascii="宋体" w:hAnsi="宋体" w:cs="宋体"/>
                <w:color w:val="000000"/>
                <w:kern w:val="0"/>
                <w:sz w:val="18"/>
                <w:szCs w:val="18"/>
              </w:rPr>
              <w:t>总计</w:t>
            </w:r>
          </w:p>
        </w:tc>
        <w:tc>
          <w:tcPr>
            <w:tcW w:w="1160" w:type="dxa"/>
            <w:tcBorders>
              <w:top w:val="nil"/>
              <w:left w:val="nil"/>
              <w:bottom w:val="single" w:color="auto" w:sz="4" w:space="0"/>
              <w:right w:val="single" w:color="auto" w:sz="4" w:space="0"/>
            </w:tcBorders>
            <w:shd w:val="clear" w:color="auto" w:fill="auto"/>
            <w:noWrap/>
            <w:vAlign w:val="center"/>
          </w:tcPr>
          <w:p w14:paraId="1AE953C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17438.91 </w:t>
            </w:r>
          </w:p>
        </w:tc>
        <w:tc>
          <w:tcPr>
            <w:tcW w:w="1037" w:type="dxa"/>
            <w:tcBorders>
              <w:top w:val="nil"/>
              <w:left w:val="nil"/>
              <w:bottom w:val="single" w:color="auto" w:sz="4" w:space="0"/>
              <w:right w:val="single" w:color="auto" w:sz="4" w:space="0"/>
            </w:tcBorders>
            <w:shd w:val="clear" w:color="auto" w:fill="auto"/>
            <w:noWrap/>
            <w:vAlign w:val="center"/>
          </w:tcPr>
          <w:p w14:paraId="05F48B4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23106.77 </w:t>
            </w:r>
          </w:p>
        </w:tc>
        <w:tc>
          <w:tcPr>
            <w:tcW w:w="992" w:type="dxa"/>
            <w:tcBorders>
              <w:top w:val="nil"/>
              <w:left w:val="nil"/>
              <w:bottom w:val="single" w:color="auto" w:sz="4" w:space="0"/>
              <w:right w:val="single" w:color="auto" w:sz="4" w:space="0"/>
            </w:tcBorders>
            <w:shd w:val="clear" w:color="auto" w:fill="auto"/>
            <w:noWrap/>
            <w:vAlign w:val="center"/>
          </w:tcPr>
          <w:p w14:paraId="7BFDA79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4433.97 </w:t>
            </w:r>
          </w:p>
        </w:tc>
        <w:tc>
          <w:tcPr>
            <w:tcW w:w="1026" w:type="dxa"/>
            <w:tcBorders>
              <w:top w:val="nil"/>
              <w:left w:val="nil"/>
              <w:bottom w:val="single" w:color="auto" w:sz="4" w:space="0"/>
              <w:right w:val="single" w:color="auto" w:sz="4" w:space="0"/>
            </w:tcBorders>
            <w:shd w:val="clear" w:color="auto" w:fill="auto"/>
            <w:noWrap/>
            <w:vAlign w:val="center"/>
          </w:tcPr>
          <w:p w14:paraId="2320368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989.31 </w:t>
            </w:r>
          </w:p>
        </w:tc>
        <w:tc>
          <w:tcPr>
            <w:tcW w:w="1026" w:type="dxa"/>
            <w:tcBorders>
              <w:top w:val="nil"/>
              <w:left w:val="nil"/>
              <w:bottom w:val="single" w:color="auto" w:sz="4" w:space="0"/>
              <w:right w:val="single" w:color="auto" w:sz="4" w:space="0"/>
            </w:tcBorders>
            <w:shd w:val="clear" w:color="auto" w:fill="auto"/>
            <w:noWrap/>
            <w:vAlign w:val="center"/>
          </w:tcPr>
          <w:p w14:paraId="037EF20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125.12 </w:t>
            </w:r>
          </w:p>
        </w:tc>
        <w:tc>
          <w:tcPr>
            <w:tcW w:w="1160" w:type="dxa"/>
            <w:tcBorders>
              <w:top w:val="nil"/>
              <w:left w:val="nil"/>
              <w:bottom w:val="single" w:color="auto" w:sz="4" w:space="0"/>
              <w:right w:val="single" w:color="auto" w:sz="4" w:space="0"/>
            </w:tcBorders>
            <w:shd w:val="clear" w:color="auto" w:fill="auto"/>
            <w:noWrap/>
            <w:vAlign w:val="center"/>
          </w:tcPr>
          <w:p w14:paraId="4CCB720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10033.68 </w:t>
            </w:r>
          </w:p>
        </w:tc>
        <w:tc>
          <w:tcPr>
            <w:tcW w:w="1160" w:type="dxa"/>
            <w:tcBorders>
              <w:top w:val="nil"/>
              <w:left w:val="nil"/>
              <w:bottom w:val="single" w:color="auto" w:sz="4" w:space="0"/>
              <w:right w:val="single" w:color="auto" w:sz="4" w:space="0"/>
            </w:tcBorders>
            <w:shd w:val="clear" w:color="auto" w:fill="auto"/>
            <w:noWrap/>
            <w:vAlign w:val="center"/>
          </w:tcPr>
          <w:p w14:paraId="5AFB7E2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64863.75 </w:t>
            </w:r>
          </w:p>
        </w:tc>
        <w:tc>
          <w:tcPr>
            <w:tcW w:w="1085" w:type="dxa"/>
            <w:tcBorders>
              <w:top w:val="nil"/>
              <w:left w:val="nil"/>
              <w:bottom w:val="single" w:color="auto" w:sz="4" w:space="0"/>
              <w:right w:val="nil"/>
            </w:tcBorders>
            <w:shd w:val="clear" w:color="auto" w:fill="auto"/>
            <w:noWrap/>
            <w:vAlign w:val="center"/>
          </w:tcPr>
          <w:p w14:paraId="03F0FCC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65578.30 </w:t>
            </w:r>
          </w:p>
        </w:tc>
        <w:tc>
          <w:tcPr>
            <w:tcW w:w="1276" w:type="dxa"/>
            <w:tcBorders>
              <w:top w:val="nil"/>
              <w:left w:val="single" w:color="auto" w:sz="4" w:space="0"/>
              <w:bottom w:val="single" w:color="auto" w:sz="4" w:space="0"/>
              <w:right w:val="single" w:color="auto" w:sz="4" w:space="0"/>
            </w:tcBorders>
            <w:shd w:val="clear" w:color="auto" w:fill="auto"/>
            <w:noWrap/>
            <w:vAlign w:val="center"/>
          </w:tcPr>
          <w:p w14:paraId="53CBED01">
            <w:pPr>
              <w:widowControl/>
              <w:jc w:val="center"/>
              <w:rPr>
                <w:rFonts w:ascii="宋体" w:hAnsi="宋体" w:cs="宋体"/>
                <w:color w:val="000000"/>
                <w:kern w:val="0"/>
                <w:sz w:val="18"/>
                <w:szCs w:val="18"/>
              </w:rPr>
            </w:pPr>
            <w:r>
              <w:rPr>
                <w:rFonts w:hint="eastAsia" w:ascii="宋体" w:hAnsi="宋体" w:cs="宋体"/>
                <w:color w:val="000000"/>
                <w:kern w:val="0"/>
                <w:sz w:val="18"/>
                <w:szCs w:val="18"/>
              </w:rPr>
              <w:t>186569.81</w:t>
            </w:r>
          </w:p>
        </w:tc>
      </w:tr>
    </w:tbl>
    <w:p w14:paraId="60AB47AD">
      <w:pPr>
        <w:widowControl/>
        <w:jc w:val="center"/>
        <w:rPr>
          <w:rFonts w:ascii="宋体" w:hAnsi="宋体" w:cs="宋体"/>
          <w:color w:val="000000"/>
          <w:kern w:val="0"/>
          <w:sz w:val="18"/>
          <w:szCs w:val="18"/>
        </w:rPr>
      </w:pPr>
    </w:p>
    <w:p w14:paraId="37A1A764">
      <w:pPr>
        <w:jc w:val="left"/>
        <w:rPr>
          <w:color w:val="000000"/>
        </w:rPr>
      </w:pPr>
    </w:p>
    <w:p w14:paraId="7386459B">
      <w:pPr>
        <w:jc w:val="left"/>
        <w:rPr>
          <w:color w:val="000000"/>
        </w:rPr>
      </w:pPr>
    </w:p>
    <w:p w14:paraId="435C483D">
      <w:pPr>
        <w:jc w:val="left"/>
        <w:rPr>
          <w:color w:val="000000"/>
        </w:rPr>
      </w:pPr>
    </w:p>
    <w:p w14:paraId="04C6D789">
      <w:pPr>
        <w:jc w:val="left"/>
        <w:rPr>
          <w:color w:val="000000"/>
        </w:rPr>
      </w:pPr>
    </w:p>
    <w:p w14:paraId="0C1F21D3">
      <w:pPr>
        <w:jc w:val="left"/>
        <w:rPr>
          <w:color w:val="000000"/>
        </w:rPr>
      </w:pPr>
    </w:p>
    <w:p w14:paraId="175FD0DD">
      <w:pPr>
        <w:jc w:val="left"/>
        <w:rPr>
          <w:color w:val="000000"/>
        </w:rPr>
      </w:pPr>
    </w:p>
    <w:p w14:paraId="5487785E">
      <w:pPr>
        <w:jc w:val="left"/>
        <w:rPr>
          <w:color w:val="000000"/>
        </w:rPr>
      </w:pPr>
    </w:p>
    <w:p w14:paraId="18E51817">
      <w:pPr>
        <w:jc w:val="left"/>
        <w:rPr>
          <w:color w:val="000000"/>
        </w:rPr>
      </w:pPr>
    </w:p>
    <w:p w14:paraId="14C7DC23">
      <w:pPr>
        <w:jc w:val="left"/>
        <w:rPr>
          <w:color w:val="000000"/>
        </w:rPr>
      </w:pPr>
    </w:p>
    <w:p w14:paraId="16A1152D">
      <w:pPr>
        <w:pStyle w:val="2"/>
        <w:spacing w:line="240" w:lineRule="atLeast"/>
        <w:jc w:val="left"/>
        <w:rPr>
          <w:rFonts w:ascii="黑体" w:eastAsia="黑体"/>
          <w:b w:val="0"/>
          <w:color w:val="000000"/>
          <w:sz w:val="24"/>
          <w:szCs w:val="24"/>
        </w:rPr>
      </w:pPr>
      <w:bookmarkStart w:id="182" w:name="_Toc491074926"/>
      <w:r>
        <w:rPr>
          <w:rFonts w:hint="eastAsia" w:ascii="黑体" w:eastAsia="黑体"/>
          <w:b w:val="0"/>
          <w:color w:val="000000"/>
          <w:sz w:val="24"/>
          <w:szCs w:val="24"/>
        </w:rPr>
        <w:t>附表5  东川区基础设施及重点项目情况表（2010-2020年）</w:t>
      </w:r>
      <w:bookmarkEnd w:id="182"/>
    </w:p>
    <w:p w14:paraId="24C2B59E">
      <w:pPr>
        <w:jc w:val="right"/>
      </w:pPr>
      <w:r>
        <w:rPr>
          <w:rFonts w:hint="eastAsia"/>
        </w:rPr>
        <w:t xml:space="preserve">        </w:t>
      </w:r>
      <w:r>
        <w:rPr>
          <w:rFonts w:hint="eastAsia" w:ascii="宋体" w:hAnsi="宋体" w:cs="宋体"/>
          <w:color w:val="000000"/>
          <w:kern w:val="0"/>
          <w:sz w:val="18"/>
          <w:szCs w:val="18"/>
        </w:rPr>
        <w:t>单位：公顷</w:t>
      </w:r>
      <w:bookmarkEnd w:id="168"/>
      <w:bookmarkEnd w:id="169"/>
      <w:bookmarkEnd w:id="170"/>
    </w:p>
    <w:tbl>
      <w:tblPr>
        <w:tblStyle w:val="27"/>
        <w:tblW w:w="11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3659"/>
        <w:gridCol w:w="796"/>
        <w:gridCol w:w="1206"/>
        <w:gridCol w:w="1026"/>
        <w:gridCol w:w="946"/>
        <w:gridCol w:w="854"/>
        <w:gridCol w:w="1489"/>
        <w:gridCol w:w="577"/>
      </w:tblGrid>
      <w:tr w14:paraId="09D7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restart"/>
            <w:shd w:val="clear" w:color="auto" w:fill="auto"/>
            <w:vAlign w:val="center"/>
          </w:tcPr>
          <w:p w14:paraId="3F29301C">
            <w:pPr>
              <w:widowControl/>
              <w:jc w:val="center"/>
              <w:rPr>
                <w:rFonts w:ascii="宋体" w:hAnsi="宋体" w:cs="宋体"/>
                <w:b/>
                <w:kern w:val="0"/>
                <w:sz w:val="18"/>
                <w:szCs w:val="18"/>
              </w:rPr>
            </w:pPr>
            <w:r>
              <w:rPr>
                <w:rFonts w:hint="eastAsia" w:ascii="宋体" w:hAnsi="宋体" w:cs="宋体"/>
                <w:b/>
                <w:kern w:val="0"/>
                <w:sz w:val="18"/>
                <w:szCs w:val="18"/>
              </w:rPr>
              <w:t>项目</w:t>
            </w:r>
          </w:p>
          <w:p w14:paraId="1AAA802C">
            <w:pPr>
              <w:widowControl/>
              <w:jc w:val="center"/>
              <w:rPr>
                <w:rFonts w:ascii="宋体" w:hAnsi="宋体" w:cs="宋体"/>
                <w:b/>
                <w:kern w:val="0"/>
                <w:sz w:val="18"/>
                <w:szCs w:val="18"/>
              </w:rPr>
            </w:pPr>
            <w:r>
              <w:rPr>
                <w:rFonts w:hint="eastAsia" w:ascii="宋体" w:hAnsi="宋体" w:cs="宋体"/>
                <w:b/>
                <w:kern w:val="0"/>
                <w:sz w:val="18"/>
                <w:szCs w:val="18"/>
              </w:rPr>
              <w:t>类型</w:t>
            </w:r>
          </w:p>
        </w:tc>
        <w:tc>
          <w:tcPr>
            <w:tcW w:w="3659" w:type="dxa"/>
            <w:vMerge w:val="restart"/>
            <w:shd w:val="clear" w:color="auto" w:fill="auto"/>
            <w:vAlign w:val="center"/>
          </w:tcPr>
          <w:p w14:paraId="2BD9097C">
            <w:pPr>
              <w:widowControl/>
              <w:jc w:val="center"/>
              <w:rPr>
                <w:rFonts w:ascii="宋体" w:hAnsi="宋体" w:cs="宋体"/>
                <w:b/>
                <w:kern w:val="0"/>
                <w:sz w:val="18"/>
                <w:szCs w:val="18"/>
              </w:rPr>
            </w:pPr>
            <w:r>
              <w:rPr>
                <w:rFonts w:hint="eastAsia" w:ascii="宋体" w:hAnsi="宋体" w:cs="宋体"/>
                <w:b/>
                <w:kern w:val="0"/>
                <w:sz w:val="18"/>
                <w:szCs w:val="18"/>
              </w:rPr>
              <w:t>项目名称</w:t>
            </w:r>
          </w:p>
        </w:tc>
        <w:tc>
          <w:tcPr>
            <w:tcW w:w="796" w:type="dxa"/>
            <w:vMerge w:val="restart"/>
            <w:shd w:val="clear" w:color="auto" w:fill="auto"/>
            <w:vAlign w:val="center"/>
          </w:tcPr>
          <w:p w14:paraId="7726E29A">
            <w:pPr>
              <w:widowControl/>
              <w:jc w:val="center"/>
              <w:rPr>
                <w:rFonts w:ascii="宋体" w:hAnsi="宋体" w:cs="宋体"/>
                <w:b/>
                <w:kern w:val="0"/>
                <w:sz w:val="18"/>
                <w:szCs w:val="18"/>
              </w:rPr>
            </w:pPr>
            <w:r>
              <w:rPr>
                <w:rFonts w:hint="eastAsia" w:ascii="宋体" w:hAnsi="宋体" w:cs="宋体"/>
                <w:b/>
                <w:kern w:val="0"/>
                <w:sz w:val="18"/>
                <w:szCs w:val="18"/>
              </w:rPr>
              <w:t>建设</w:t>
            </w:r>
          </w:p>
          <w:p w14:paraId="3E784B59">
            <w:pPr>
              <w:widowControl/>
              <w:jc w:val="center"/>
              <w:rPr>
                <w:rFonts w:ascii="宋体" w:hAnsi="宋体" w:cs="宋体"/>
                <w:b/>
                <w:kern w:val="0"/>
                <w:sz w:val="18"/>
                <w:szCs w:val="18"/>
              </w:rPr>
            </w:pPr>
            <w:r>
              <w:rPr>
                <w:rFonts w:hint="eastAsia" w:ascii="宋体" w:hAnsi="宋体" w:cs="宋体"/>
                <w:b/>
                <w:kern w:val="0"/>
                <w:sz w:val="18"/>
                <w:szCs w:val="18"/>
              </w:rPr>
              <w:t>性质</w:t>
            </w:r>
          </w:p>
        </w:tc>
        <w:tc>
          <w:tcPr>
            <w:tcW w:w="1206" w:type="dxa"/>
            <w:vMerge w:val="restart"/>
            <w:shd w:val="clear" w:color="auto" w:fill="auto"/>
            <w:vAlign w:val="center"/>
          </w:tcPr>
          <w:p w14:paraId="3E51FBE6">
            <w:pPr>
              <w:widowControl/>
              <w:jc w:val="center"/>
              <w:rPr>
                <w:rFonts w:ascii="宋体" w:hAnsi="宋体" w:cs="宋体"/>
                <w:b/>
                <w:kern w:val="0"/>
                <w:sz w:val="18"/>
                <w:szCs w:val="18"/>
              </w:rPr>
            </w:pPr>
            <w:r>
              <w:rPr>
                <w:rFonts w:hint="eastAsia" w:ascii="宋体" w:hAnsi="宋体" w:cs="宋体"/>
                <w:b/>
                <w:kern w:val="0"/>
                <w:sz w:val="18"/>
                <w:szCs w:val="18"/>
              </w:rPr>
              <w:t>建设年限</w:t>
            </w:r>
          </w:p>
        </w:tc>
        <w:tc>
          <w:tcPr>
            <w:tcW w:w="1026" w:type="dxa"/>
            <w:vMerge w:val="restart"/>
            <w:shd w:val="clear" w:color="auto" w:fill="auto"/>
            <w:vAlign w:val="center"/>
          </w:tcPr>
          <w:p w14:paraId="6EFC04BE">
            <w:pPr>
              <w:widowControl/>
              <w:jc w:val="center"/>
              <w:rPr>
                <w:rFonts w:ascii="宋体" w:hAnsi="宋体" w:cs="宋体"/>
                <w:b/>
                <w:kern w:val="0"/>
                <w:sz w:val="18"/>
                <w:szCs w:val="18"/>
              </w:rPr>
            </w:pPr>
            <w:r>
              <w:rPr>
                <w:rFonts w:hint="eastAsia" w:ascii="宋体" w:hAnsi="宋体" w:cs="宋体"/>
                <w:b/>
                <w:kern w:val="0"/>
                <w:sz w:val="18"/>
                <w:szCs w:val="18"/>
              </w:rPr>
              <w:t>用地</w:t>
            </w:r>
          </w:p>
          <w:p w14:paraId="596324BD">
            <w:pPr>
              <w:widowControl/>
              <w:jc w:val="center"/>
              <w:rPr>
                <w:rFonts w:ascii="宋体" w:hAnsi="宋体" w:cs="宋体"/>
                <w:b/>
                <w:kern w:val="0"/>
                <w:sz w:val="18"/>
                <w:szCs w:val="18"/>
              </w:rPr>
            </w:pPr>
            <w:r>
              <w:rPr>
                <w:rFonts w:hint="eastAsia" w:ascii="宋体" w:hAnsi="宋体" w:cs="宋体"/>
                <w:b/>
                <w:kern w:val="0"/>
                <w:sz w:val="18"/>
                <w:szCs w:val="18"/>
              </w:rPr>
              <w:t>规模</w:t>
            </w:r>
          </w:p>
        </w:tc>
        <w:tc>
          <w:tcPr>
            <w:tcW w:w="1800" w:type="dxa"/>
            <w:gridSpan w:val="2"/>
            <w:shd w:val="clear" w:color="auto" w:fill="auto"/>
            <w:vAlign w:val="center"/>
          </w:tcPr>
          <w:p w14:paraId="4C3493E5">
            <w:pPr>
              <w:widowControl/>
              <w:jc w:val="center"/>
              <w:rPr>
                <w:rFonts w:ascii="宋体" w:hAnsi="宋体" w:cs="宋体"/>
                <w:b/>
                <w:kern w:val="0"/>
                <w:sz w:val="18"/>
                <w:szCs w:val="18"/>
              </w:rPr>
            </w:pPr>
            <w:r>
              <w:rPr>
                <w:rFonts w:hint="eastAsia" w:ascii="宋体" w:hAnsi="宋体" w:cs="宋体"/>
                <w:b/>
                <w:kern w:val="0"/>
                <w:sz w:val="18"/>
                <w:szCs w:val="18"/>
              </w:rPr>
              <w:t>新增建设用地</w:t>
            </w:r>
          </w:p>
        </w:tc>
        <w:tc>
          <w:tcPr>
            <w:tcW w:w="1489" w:type="dxa"/>
            <w:vMerge w:val="restart"/>
            <w:shd w:val="clear" w:color="auto" w:fill="auto"/>
            <w:vAlign w:val="center"/>
          </w:tcPr>
          <w:p w14:paraId="28C78821">
            <w:pPr>
              <w:widowControl/>
              <w:jc w:val="center"/>
              <w:rPr>
                <w:rFonts w:ascii="宋体" w:hAnsi="宋体" w:cs="宋体"/>
                <w:b/>
                <w:kern w:val="0"/>
                <w:sz w:val="18"/>
                <w:szCs w:val="18"/>
              </w:rPr>
            </w:pPr>
            <w:r>
              <w:rPr>
                <w:rFonts w:hint="eastAsia" w:ascii="宋体" w:hAnsi="宋体" w:cs="宋体"/>
                <w:b/>
                <w:kern w:val="0"/>
                <w:sz w:val="18"/>
                <w:szCs w:val="18"/>
              </w:rPr>
              <w:t>涉及村（镇）</w:t>
            </w:r>
          </w:p>
        </w:tc>
        <w:tc>
          <w:tcPr>
            <w:tcW w:w="577" w:type="dxa"/>
            <w:vMerge w:val="restart"/>
            <w:shd w:val="clear" w:color="auto" w:fill="auto"/>
            <w:vAlign w:val="center"/>
          </w:tcPr>
          <w:p w14:paraId="350BB3DD">
            <w:pPr>
              <w:widowControl/>
              <w:jc w:val="center"/>
              <w:rPr>
                <w:rFonts w:ascii="宋体" w:hAnsi="宋体" w:cs="宋体"/>
                <w:b/>
                <w:kern w:val="0"/>
                <w:sz w:val="18"/>
                <w:szCs w:val="18"/>
              </w:rPr>
            </w:pPr>
            <w:r>
              <w:rPr>
                <w:rFonts w:hint="eastAsia" w:ascii="宋体" w:hAnsi="宋体" w:cs="宋体"/>
                <w:b/>
                <w:kern w:val="0"/>
                <w:sz w:val="18"/>
                <w:szCs w:val="18"/>
              </w:rPr>
              <w:t>备</w:t>
            </w:r>
          </w:p>
          <w:p w14:paraId="2F8B90CD">
            <w:pPr>
              <w:widowControl/>
              <w:jc w:val="center"/>
              <w:rPr>
                <w:rFonts w:ascii="宋体" w:hAnsi="宋体" w:cs="宋体"/>
                <w:b/>
                <w:kern w:val="0"/>
                <w:sz w:val="18"/>
                <w:szCs w:val="18"/>
              </w:rPr>
            </w:pPr>
            <w:r>
              <w:rPr>
                <w:rFonts w:hint="eastAsia" w:ascii="宋体" w:hAnsi="宋体" w:cs="宋体"/>
                <w:b/>
                <w:kern w:val="0"/>
                <w:sz w:val="18"/>
                <w:szCs w:val="18"/>
              </w:rPr>
              <w:t>注</w:t>
            </w:r>
          </w:p>
        </w:tc>
      </w:tr>
      <w:tr w14:paraId="0E3B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0EC17A6">
            <w:pPr>
              <w:widowControl/>
              <w:jc w:val="center"/>
              <w:rPr>
                <w:rFonts w:ascii="宋体" w:hAnsi="宋体" w:cs="宋体"/>
                <w:kern w:val="0"/>
                <w:sz w:val="18"/>
                <w:szCs w:val="18"/>
              </w:rPr>
            </w:pPr>
          </w:p>
        </w:tc>
        <w:tc>
          <w:tcPr>
            <w:tcW w:w="3659" w:type="dxa"/>
            <w:vMerge w:val="continue"/>
            <w:vAlign w:val="center"/>
          </w:tcPr>
          <w:p w14:paraId="5817AC7B">
            <w:pPr>
              <w:widowControl/>
              <w:jc w:val="center"/>
              <w:rPr>
                <w:rFonts w:ascii="宋体" w:hAnsi="宋体" w:cs="宋体"/>
                <w:kern w:val="0"/>
                <w:sz w:val="18"/>
                <w:szCs w:val="18"/>
              </w:rPr>
            </w:pPr>
          </w:p>
        </w:tc>
        <w:tc>
          <w:tcPr>
            <w:tcW w:w="796" w:type="dxa"/>
            <w:vMerge w:val="continue"/>
            <w:vAlign w:val="center"/>
          </w:tcPr>
          <w:p w14:paraId="41500FF4">
            <w:pPr>
              <w:widowControl/>
              <w:jc w:val="center"/>
              <w:rPr>
                <w:rFonts w:ascii="宋体" w:hAnsi="宋体" w:cs="宋体"/>
                <w:kern w:val="0"/>
                <w:sz w:val="18"/>
                <w:szCs w:val="18"/>
              </w:rPr>
            </w:pPr>
          </w:p>
        </w:tc>
        <w:tc>
          <w:tcPr>
            <w:tcW w:w="1206" w:type="dxa"/>
            <w:vMerge w:val="continue"/>
            <w:vAlign w:val="center"/>
          </w:tcPr>
          <w:p w14:paraId="3E9D209A">
            <w:pPr>
              <w:widowControl/>
              <w:jc w:val="center"/>
              <w:rPr>
                <w:rFonts w:ascii="宋体" w:hAnsi="宋体" w:cs="宋体"/>
                <w:kern w:val="0"/>
                <w:sz w:val="18"/>
                <w:szCs w:val="18"/>
              </w:rPr>
            </w:pPr>
          </w:p>
        </w:tc>
        <w:tc>
          <w:tcPr>
            <w:tcW w:w="1026" w:type="dxa"/>
            <w:vMerge w:val="continue"/>
            <w:vAlign w:val="center"/>
          </w:tcPr>
          <w:p w14:paraId="0BA61ECD">
            <w:pPr>
              <w:widowControl/>
              <w:jc w:val="center"/>
              <w:rPr>
                <w:rFonts w:ascii="宋体" w:hAnsi="宋体" w:cs="宋体"/>
                <w:kern w:val="0"/>
                <w:sz w:val="18"/>
                <w:szCs w:val="18"/>
              </w:rPr>
            </w:pPr>
          </w:p>
        </w:tc>
        <w:tc>
          <w:tcPr>
            <w:tcW w:w="946" w:type="dxa"/>
            <w:shd w:val="clear" w:color="auto" w:fill="auto"/>
            <w:vAlign w:val="center"/>
          </w:tcPr>
          <w:p w14:paraId="5C526926">
            <w:pPr>
              <w:widowControl/>
              <w:jc w:val="center"/>
              <w:rPr>
                <w:rFonts w:ascii="宋体" w:hAnsi="宋体" w:cs="宋体"/>
                <w:kern w:val="0"/>
                <w:sz w:val="18"/>
                <w:szCs w:val="18"/>
              </w:rPr>
            </w:pPr>
          </w:p>
        </w:tc>
        <w:tc>
          <w:tcPr>
            <w:tcW w:w="854" w:type="dxa"/>
            <w:shd w:val="clear" w:color="auto" w:fill="auto"/>
            <w:vAlign w:val="center"/>
          </w:tcPr>
          <w:p w14:paraId="0F45E7A1">
            <w:pPr>
              <w:widowControl/>
              <w:jc w:val="center"/>
              <w:rPr>
                <w:rFonts w:ascii="宋体" w:hAnsi="宋体" w:cs="宋体"/>
                <w:b/>
                <w:kern w:val="0"/>
                <w:sz w:val="18"/>
                <w:szCs w:val="18"/>
              </w:rPr>
            </w:pPr>
            <w:r>
              <w:rPr>
                <w:rFonts w:hint="eastAsia" w:ascii="宋体" w:hAnsi="宋体" w:cs="宋体"/>
                <w:b/>
                <w:kern w:val="0"/>
                <w:sz w:val="18"/>
                <w:szCs w:val="18"/>
              </w:rPr>
              <w:t>其中占用耕地</w:t>
            </w:r>
          </w:p>
        </w:tc>
        <w:tc>
          <w:tcPr>
            <w:tcW w:w="1489" w:type="dxa"/>
            <w:vMerge w:val="continue"/>
            <w:vAlign w:val="center"/>
          </w:tcPr>
          <w:p w14:paraId="37FCA2FA">
            <w:pPr>
              <w:widowControl/>
              <w:jc w:val="center"/>
              <w:rPr>
                <w:rFonts w:ascii="宋体" w:hAnsi="宋体" w:cs="宋体"/>
                <w:kern w:val="0"/>
                <w:sz w:val="18"/>
                <w:szCs w:val="18"/>
              </w:rPr>
            </w:pPr>
          </w:p>
        </w:tc>
        <w:tc>
          <w:tcPr>
            <w:tcW w:w="577" w:type="dxa"/>
            <w:vMerge w:val="continue"/>
            <w:vAlign w:val="center"/>
          </w:tcPr>
          <w:p w14:paraId="52C770E4">
            <w:pPr>
              <w:widowControl/>
              <w:jc w:val="center"/>
              <w:rPr>
                <w:rFonts w:ascii="宋体" w:hAnsi="宋体" w:cs="宋体"/>
                <w:kern w:val="0"/>
                <w:sz w:val="18"/>
                <w:szCs w:val="18"/>
              </w:rPr>
            </w:pPr>
          </w:p>
        </w:tc>
      </w:tr>
      <w:tr w14:paraId="23A4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restart"/>
            <w:shd w:val="clear" w:color="auto" w:fill="auto"/>
            <w:noWrap/>
            <w:vAlign w:val="center"/>
          </w:tcPr>
          <w:p w14:paraId="384FD3F3">
            <w:pPr>
              <w:widowControl/>
              <w:jc w:val="center"/>
              <w:rPr>
                <w:rFonts w:ascii="宋体" w:hAnsi="宋体" w:cs="宋体"/>
                <w:kern w:val="0"/>
                <w:sz w:val="18"/>
                <w:szCs w:val="18"/>
              </w:rPr>
            </w:pPr>
            <w:r>
              <w:rPr>
                <w:rFonts w:hint="eastAsia" w:ascii="宋体" w:hAnsi="宋体" w:cs="宋体"/>
                <w:kern w:val="0"/>
                <w:sz w:val="18"/>
                <w:szCs w:val="18"/>
              </w:rPr>
              <w:t>1.交通</w:t>
            </w:r>
          </w:p>
        </w:tc>
        <w:tc>
          <w:tcPr>
            <w:tcW w:w="3659" w:type="dxa"/>
            <w:shd w:val="clear" w:color="auto" w:fill="auto"/>
            <w:noWrap/>
            <w:vAlign w:val="center"/>
          </w:tcPr>
          <w:p w14:paraId="380A4378">
            <w:pPr>
              <w:widowControl/>
              <w:jc w:val="center"/>
              <w:rPr>
                <w:rFonts w:ascii="宋体" w:hAnsi="宋体" w:cs="宋体"/>
                <w:kern w:val="0"/>
                <w:sz w:val="18"/>
                <w:szCs w:val="18"/>
              </w:rPr>
            </w:pPr>
            <w:r>
              <w:rPr>
                <w:rFonts w:hint="eastAsia" w:ascii="宋体" w:hAnsi="宋体" w:cs="宋体"/>
                <w:kern w:val="0"/>
                <w:sz w:val="18"/>
                <w:szCs w:val="18"/>
              </w:rPr>
              <w:t>龙东格公路二级改一级</w:t>
            </w:r>
          </w:p>
        </w:tc>
        <w:tc>
          <w:tcPr>
            <w:tcW w:w="796" w:type="dxa"/>
            <w:shd w:val="clear" w:color="auto" w:fill="auto"/>
            <w:noWrap/>
            <w:vAlign w:val="center"/>
          </w:tcPr>
          <w:p w14:paraId="2EE5C940">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0F876E38">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33D91340">
            <w:pPr>
              <w:widowControl/>
              <w:jc w:val="center"/>
              <w:rPr>
                <w:rFonts w:ascii="宋体" w:hAnsi="宋体" w:cs="宋体"/>
                <w:kern w:val="0"/>
                <w:sz w:val="18"/>
                <w:szCs w:val="18"/>
              </w:rPr>
            </w:pPr>
            <w:r>
              <w:rPr>
                <w:rFonts w:hint="eastAsia" w:ascii="宋体" w:hAnsi="宋体" w:cs="宋体"/>
                <w:kern w:val="0"/>
                <w:sz w:val="18"/>
                <w:szCs w:val="18"/>
              </w:rPr>
              <w:t>157.66</w:t>
            </w:r>
          </w:p>
        </w:tc>
        <w:tc>
          <w:tcPr>
            <w:tcW w:w="946" w:type="dxa"/>
            <w:shd w:val="clear" w:color="auto" w:fill="auto"/>
            <w:noWrap/>
            <w:vAlign w:val="center"/>
          </w:tcPr>
          <w:p w14:paraId="52DEE757">
            <w:pPr>
              <w:widowControl/>
              <w:jc w:val="center"/>
              <w:rPr>
                <w:rFonts w:ascii="宋体" w:hAnsi="宋体" w:cs="宋体"/>
                <w:kern w:val="0"/>
                <w:sz w:val="18"/>
                <w:szCs w:val="18"/>
              </w:rPr>
            </w:pPr>
            <w:r>
              <w:rPr>
                <w:rFonts w:hint="eastAsia" w:ascii="宋体" w:hAnsi="宋体" w:cs="宋体"/>
                <w:kern w:val="0"/>
                <w:sz w:val="18"/>
                <w:szCs w:val="18"/>
              </w:rPr>
              <w:t>157.66</w:t>
            </w:r>
          </w:p>
        </w:tc>
        <w:tc>
          <w:tcPr>
            <w:tcW w:w="854" w:type="dxa"/>
            <w:shd w:val="clear" w:color="auto" w:fill="auto"/>
            <w:noWrap/>
            <w:vAlign w:val="center"/>
          </w:tcPr>
          <w:p w14:paraId="059C74C4">
            <w:pPr>
              <w:widowControl/>
              <w:jc w:val="center"/>
              <w:rPr>
                <w:rFonts w:ascii="宋体" w:hAnsi="宋体" w:cs="宋体"/>
                <w:kern w:val="0"/>
                <w:sz w:val="18"/>
                <w:szCs w:val="18"/>
              </w:rPr>
            </w:pPr>
            <w:r>
              <w:rPr>
                <w:rFonts w:hint="eastAsia" w:ascii="宋体" w:hAnsi="宋体" w:cs="宋体"/>
                <w:kern w:val="0"/>
                <w:sz w:val="18"/>
                <w:szCs w:val="18"/>
              </w:rPr>
              <w:t>37.39</w:t>
            </w:r>
          </w:p>
        </w:tc>
        <w:tc>
          <w:tcPr>
            <w:tcW w:w="1489" w:type="dxa"/>
            <w:shd w:val="clear" w:color="auto" w:fill="auto"/>
            <w:noWrap/>
            <w:vAlign w:val="center"/>
          </w:tcPr>
          <w:p w14:paraId="525B8C72">
            <w:pPr>
              <w:widowControl/>
              <w:jc w:val="center"/>
              <w:rPr>
                <w:rFonts w:ascii="宋体" w:hAnsi="宋体" w:cs="宋体"/>
                <w:kern w:val="0"/>
                <w:sz w:val="15"/>
                <w:szCs w:val="15"/>
              </w:rPr>
            </w:pPr>
            <w:r>
              <w:rPr>
                <w:rFonts w:hint="eastAsia" w:ascii="宋体" w:hAnsi="宋体" w:cs="宋体"/>
                <w:kern w:val="0"/>
                <w:sz w:val="15"/>
                <w:szCs w:val="15"/>
              </w:rPr>
              <w:t>铜都街道;汤丹镇;拖布卡镇;阿旺镇</w:t>
            </w:r>
          </w:p>
        </w:tc>
        <w:tc>
          <w:tcPr>
            <w:tcW w:w="577" w:type="dxa"/>
            <w:shd w:val="clear" w:color="auto" w:fill="auto"/>
            <w:noWrap/>
            <w:vAlign w:val="center"/>
          </w:tcPr>
          <w:p w14:paraId="381F2955">
            <w:pPr>
              <w:widowControl/>
              <w:jc w:val="center"/>
              <w:rPr>
                <w:rFonts w:ascii="宋体" w:hAnsi="宋体" w:cs="宋体"/>
                <w:kern w:val="0"/>
                <w:sz w:val="18"/>
                <w:szCs w:val="18"/>
              </w:rPr>
            </w:pPr>
          </w:p>
        </w:tc>
      </w:tr>
      <w:tr w14:paraId="5B0E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7018565">
            <w:pPr>
              <w:widowControl/>
              <w:jc w:val="center"/>
              <w:rPr>
                <w:rFonts w:ascii="宋体" w:hAnsi="宋体" w:cs="宋体"/>
                <w:kern w:val="0"/>
                <w:sz w:val="18"/>
                <w:szCs w:val="18"/>
              </w:rPr>
            </w:pPr>
          </w:p>
        </w:tc>
        <w:tc>
          <w:tcPr>
            <w:tcW w:w="3659" w:type="dxa"/>
            <w:shd w:val="clear" w:color="auto" w:fill="auto"/>
            <w:noWrap/>
            <w:vAlign w:val="center"/>
          </w:tcPr>
          <w:p w14:paraId="19CEE441">
            <w:pPr>
              <w:widowControl/>
              <w:jc w:val="center"/>
              <w:rPr>
                <w:rFonts w:ascii="宋体" w:hAnsi="宋体" w:cs="宋体"/>
                <w:kern w:val="0"/>
                <w:sz w:val="18"/>
                <w:szCs w:val="18"/>
              </w:rPr>
            </w:pPr>
            <w:r>
              <w:rPr>
                <w:rFonts w:hint="eastAsia" w:ascii="宋体" w:hAnsi="宋体" w:cs="宋体"/>
                <w:kern w:val="0"/>
                <w:sz w:val="18"/>
                <w:szCs w:val="18"/>
              </w:rPr>
              <w:t>功东高速公路</w:t>
            </w:r>
          </w:p>
        </w:tc>
        <w:tc>
          <w:tcPr>
            <w:tcW w:w="796" w:type="dxa"/>
            <w:shd w:val="clear" w:color="auto" w:fill="auto"/>
            <w:vAlign w:val="center"/>
          </w:tcPr>
          <w:p w14:paraId="2E01D644">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AA902AD">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284841E0">
            <w:pPr>
              <w:widowControl/>
              <w:jc w:val="center"/>
              <w:rPr>
                <w:rFonts w:ascii="宋体" w:hAnsi="宋体" w:cs="宋体"/>
                <w:kern w:val="0"/>
                <w:sz w:val="18"/>
                <w:szCs w:val="18"/>
              </w:rPr>
            </w:pPr>
            <w:r>
              <w:rPr>
                <w:rFonts w:hint="eastAsia" w:ascii="宋体" w:hAnsi="宋体" w:cs="宋体"/>
                <w:kern w:val="0"/>
                <w:sz w:val="18"/>
                <w:szCs w:val="18"/>
              </w:rPr>
              <w:t>72.97</w:t>
            </w:r>
          </w:p>
        </w:tc>
        <w:tc>
          <w:tcPr>
            <w:tcW w:w="946" w:type="dxa"/>
            <w:shd w:val="clear" w:color="auto" w:fill="auto"/>
            <w:noWrap/>
            <w:vAlign w:val="center"/>
          </w:tcPr>
          <w:p w14:paraId="2034D2CB">
            <w:pPr>
              <w:widowControl/>
              <w:jc w:val="center"/>
              <w:rPr>
                <w:rFonts w:ascii="宋体" w:hAnsi="宋体" w:cs="宋体"/>
                <w:kern w:val="0"/>
                <w:sz w:val="18"/>
                <w:szCs w:val="18"/>
              </w:rPr>
            </w:pPr>
            <w:r>
              <w:rPr>
                <w:rFonts w:hint="eastAsia" w:ascii="宋体" w:hAnsi="宋体" w:cs="宋体"/>
                <w:kern w:val="0"/>
                <w:sz w:val="18"/>
                <w:szCs w:val="18"/>
              </w:rPr>
              <w:t>72.97</w:t>
            </w:r>
          </w:p>
        </w:tc>
        <w:tc>
          <w:tcPr>
            <w:tcW w:w="854" w:type="dxa"/>
            <w:shd w:val="clear" w:color="auto" w:fill="auto"/>
            <w:noWrap/>
            <w:vAlign w:val="center"/>
          </w:tcPr>
          <w:p w14:paraId="6E87C1B3">
            <w:pPr>
              <w:widowControl/>
              <w:jc w:val="center"/>
              <w:rPr>
                <w:rFonts w:ascii="宋体" w:hAnsi="宋体" w:cs="宋体"/>
                <w:kern w:val="0"/>
                <w:sz w:val="18"/>
                <w:szCs w:val="18"/>
              </w:rPr>
            </w:pPr>
            <w:r>
              <w:rPr>
                <w:rFonts w:hint="eastAsia" w:ascii="宋体" w:hAnsi="宋体" w:cs="宋体"/>
                <w:kern w:val="0"/>
                <w:sz w:val="18"/>
                <w:szCs w:val="18"/>
              </w:rPr>
              <w:t>24.03</w:t>
            </w:r>
          </w:p>
        </w:tc>
        <w:tc>
          <w:tcPr>
            <w:tcW w:w="1489" w:type="dxa"/>
            <w:shd w:val="clear" w:color="auto" w:fill="auto"/>
            <w:noWrap/>
            <w:vAlign w:val="center"/>
          </w:tcPr>
          <w:p w14:paraId="26C8372B">
            <w:pPr>
              <w:widowControl/>
              <w:jc w:val="center"/>
              <w:rPr>
                <w:rFonts w:ascii="宋体" w:hAnsi="宋体" w:cs="宋体"/>
                <w:kern w:val="0"/>
                <w:sz w:val="15"/>
                <w:szCs w:val="15"/>
              </w:rPr>
            </w:pPr>
            <w:r>
              <w:rPr>
                <w:rFonts w:hint="eastAsia" w:ascii="宋体" w:hAnsi="宋体" w:cs="宋体"/>
                <w:kern w:val="0"/>
                <w:sz w:val="15"/>
                <w:szCs w:val="15"/>
              </w:rPr>
              <w:t>铜都街道;乌龙镇;阿旺镇</w:t>
            </w:r>
          </w:p>
        </w:tc>
        <w:tc>
          <w:tcPr>
            <w:tcW w:w="577" w:type="dxa"/>
            <w:shd w:val="clear" w:color="auto" w:fill="auto"/>
            <w:noWrap/>
            <w:vAlign w:val="center"/>
          </w:tcPr>
          <w:p w14:paraId="450B5562">
            <w:pPr>
              <w:widowControl/>
              <w:jc w:val="center"/>
              <w:rPr>
                <w:rFonts w:ascii="宋体" w:hAnsi="宋体" w:cs="宋体"/>
                <w:kern w:val="0"/>
                <w:sz w:val="18"/>
                <w:szCs w:val="18"/>
              </w:rPr>
            </w:pPr>
          </w:p>
        </w:tc>
      </w:tr>
      <w:tr w14:paraId="6496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17EE2C3">
            <w:pPr>
              <w:widowControl/>
              <w:jc w:val="center"/>
              <w:rPr>
                <w:rFonts w:ascii="宋体" w:hAnsi="宋体" w:cs="宋体"/>
                <w:kern w:val="0"/>
                <w:sz w:val="18"/>
                <w:szCs w:val="18"/>
              </w:rPr>
            </w:pPr>
          </w:p>
        </w:tc>
        <w:tc>
          <w:tcPr>
            <w:tcW w:w="3659" w:type="dxa"/>
            <w:shd w:val="clear" w:color="auto" w:fill="auto"/>
            <w:noWrap/>
            <w:vAlign w:val="center"/>
          </w:tcPr>
          <w:p w14:paraId="3B1EAB3B">
            <w:pPr>
              <w:widowControl/>
              <w:jc w:val="center"/>
              <w:rPr>
                <w:rFonts w:ascii="宋体" w:hAnsi="宋体" w:cs="宋体"/>
                <w:kern w:val="0"/>
                <w:sz w:val="18"/>
                <w:szCs w:val="18"/>
              </w:rPr>
            </w:pPr>
            <w:r>
              <w:rPr>
                <w:rFonts w:hint="eastAsia" w:ascii="宋体" w:hAnsi="宋体" w:cs="宋体"/>
                <w:kern w:val="0"/>
                <w:sz w:val="18"/>
                <w:szCs w:val="18"/>
              </w:rPr>
              <w:t>云南省S25昆明至巧家高速公路东川至格勒段工程</w:t>
            </w:r>
          </w:p>
        </w:tc>
        <w:tc>
          <w:tcPr>
            <w:tcW w:w="796" w:type="dxa"/>
            <w:shd w:val="clear" w:color="auto" w:fill="auto"/>
            <w:noWrap/>
            <w:vAlign w:val="center"/>
          </w:tcPr>
          <w:p w14:paraId="5BC10AF0">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467BAF0">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143E72F1">
            <w:pPr>
              <w:widowControl/>
              <w:jc w:val="center"/>
              <w:rPr>
                <w:rFonts w:ascii="宋体" w:hAnsi="宋体" w:cs="宋体"/>
                <w:kern w:val="0"/>
                <w:sz w:val="18"/>
                <w:szCs w:val="18"/>
              </w:rPr>
            </w:pPr>
            <w:r>
              <w:rPr>
                <w:rFonts w:hint="eastAsia" w:ascii="宋体" w:hAnsi="宋体" w:cs="宋体"/>
                <w:kern w:val="0"/>
                <w:sz w:val="18"/>
                <w:szCs w:val="18"/>
              </w:rPr>
              <w:t>211.80</w:t>
            </w:r>
          </w:p>
        </w:tc>
        <w:tc>
          <w:tcPr>
            <w:tcW w:w="946" w:type="dxa"/>
            <w:shd w:val="clear" w:color="auto" w:fill="auto"/>
            <w:noWrap/>
            <w:vAlign w:val="center"/>
          </w:tcPr>
          <w:p w14:paraId="22547502">
            <w:pPr>
              <w:widowControl/>
              <w:jc w:val="center"/>
              <w:rPr>
                <w:rFonts w:ascii="宋体" w:hAnsi="宋体" w:cs="宋体"/>
                <w:kern w:val="0"/>
                <w:sz w:val="18"/>
                <w:szCs w:val="18"/>
              </w:rPr>
            </w:pPr>
            <w:r>
              <w:rPr>
                <w:rFonts w:hint="eastAsia" w:ascii="宋体" w:hAnsi="宋体" w:cs="宋体"/>
                <w:kern w:val="0"/>
                <w:sz w:val="18"/>
                <w:szCs w:val="18"/>
              </w:rPr>
              <w:t>207</w:t>
            </w:r>
          </w:p>
        </w:tc>
        <w:tc>
          <w:tcPr>
            <w:tcW w:w="854" w:type="dxa"/>
            <w:shd w:val="clear" w:color="auto" w:fill="auto"/>
            <w:noWrap/>
            <w:vAlign w:val="center"/>
          </w:tcPr>
          <w:p w14:paraId="47D395DD">
            <w:pPr>
              <w:widowControl/>
              <w:jc w:val="center"/>
              <w:rPr>
                <w:rFonts w:ascii="宋体" w:hAnsi="宋体" w:cs="宋体"/>
                <w:kern w:val="0"/>
                <w:sz w:val="18"/>
                <w:szCs w:val="18"/>
              </w:rPr>
            </w:pPr>
            <w:r>
              <w:rPr>
                <w:rFonts w:hint="eastAsia" w:ascii="宋体" w:hAnsi="宋体" w:cs="宋体"/>
                <w:kern w:val="0"/>
                <w:sz w:val="18"/>
                <w:szCs w:val="18"/>
              </w:rPr>
              <w:t>78.07</w:t>
            </w:r>
          </w:p>
        </w:tc>
        <w:tc>
          <w:tcPr>
            <w:tcW w:w="1489" w:type="dxa"/>
            <w:shd w:val="clear" w:color="auto" w:fill="auto"/>
            <w:noWrap/>
            <w:vAlign w:val="center"/>
          </w:tcPr>
          <w:p w14:paraId="6446CB19">
            <w:pPr>
              <w:widowControl/>
              <w:jc w:val="center"/>
              <w:rPr>
                <w:rFonts w:ascii="宋体" w:hAnsi="宋体" w:cs="宋体"/>
                <w:kern w:val="0"/>
                <w:sz w:val="15"/>
                <w:szCs w:val="15"/>
              </w:rPr>
            </w:pPr>
            <w:r>
              <w:rPr>
                <w:rFonts w:hint="eastAsia" w:ascii="宋体" w:hAnsi="宋体" w:cs="宋体"/>
                <w:kern w:val="0"/>
                <w:sz w:val="15"/>
                <w:szCs w:val="15"/>
              </w:rPr>
              <w:t>铜都街道;汤丹镇;拖布卡镇;乌龙镇</w:t>
            </w:r>
          </w:p>
        </w:tc>
        <w:tc>
          <w:tcPr>
            <w:tcW w:w="577" w:type="dxa"/>
            <w:shd w:val="clear" w:color="auto" w:fill="auto"/>
            <w:noWrap/>
            <w:vAlign w:val="center"/>
          </w:tcPr>
          <w:p w14:paraId="1D14016C">
            <w:pPr>
              <w:widowControl/>
              <w:jc w:val="center"/>
              <w:rPr>
                <w:rFonts w:ascii="宋体" w:hAnsi="宋体" w:cs="宋体"/>
                <w:kern w:val="0"/>
                <w:sz w:val="18"/>
                <w:szCs w:val="18"/>
              </w:rPr>
            </w:pPr>
          </w:p>
        </w:tc>
      </w:tr>
      <w:tr w14:paraId="17C2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A5458CD">
            <w:pPr>
              <w:widowControl/>
              <w:jc w:val="center"/>
              <w:rPr>
                <w:rFonts w:ascii="宋体" w:hAnsi="宋体" w:cs="宋体"/>
                <w:kern w:val="0"/>
                <w:sz w:val="18"/>
                <w:szCs w:val="18"/>
              </w:rPr>
            </w:pPr>
          </w:p>
        </w:tc>
        <w:tc>
          <w:tcPr>
            <w:tcW w:w="3659" w:type="dxa"/>
            <w:shd w:val="clear" w:color="auto" w:fill="auto"/>
            <w:noWrap/>
            <w:vAlign w:val="center"/>
          </w:tcPr>
          <w:p w14:paraId="08FE16E0">
            <w:pPr>
              <w:widowControl/>
              <w:jc w:val="center"/>
              <w:rPr>
                <w:rFonts w:ascii="宋体" w:hAnsi="宋体" w:cs="宋体"/>
                <w:kern w:val="0"/>
                <w:sz w:val="18"/>
                <w:szCs w:val="18"/>
              </w:rPr>
            </w:pPr>
            <w:r>
              <w:rPr>
                <w:rFonts w:hint="eastAsia" w:ascii="宋体" w:hAnsi="宋体" w:cs="宋体"/>
                <w:kern w:val="0"/>
                <w:sz w:val="18"/>
                <w:szCs w:val="18"/>
              </w:rPr>
              <w:t>昆明至巧家蒙姑格巧高速公路</w:t>
            </w:r>
          </w:p>
        </w:tc>
        <w:tc>
          <w:tcPr>
            <w:tcW w:w="796" w:type="dxa"/>
            <w:shd w:val="clear" w:color="auto" w:fill="auto"/>
            <w:noWrap/>
            <w:vAlign w:val="center"/>
          </w:tcPr>
          <w:p w14:paraId="0B88EE4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11F1F39">
            <w:pPr>
              <w:widowControl/>
              <w:jc w:val="center"/>
              <w:rPr>
                <w:rFonts w:ascii="宋体" w:hAnsi="宋体" w:cs="宋体"/>
                <w:kern w:val="0"/>
                <w:sz w:val="18"/>
                <w:szCs w:val="18"/>
              </w:rPr>
            </w:pPr>
            <w:r>
              <w:rPr>
                <w:rFonts w:hint="eastAsia" w:ascii="宋体" w:hAnsi="宋体" w:cs="宋体"/>
                <w:kern w:val="0"/>
                <w:sz w:val="18"/>
                <w:szCs w:val="18"/>
              </w:rPr>
              <w:t>2017-2020</w:t>
            </w:r>
          </w:p>
        </w:tc>
        <w:tc>
          <w:tcPr>
            <w:tcW w:w="1026" w:type="dxa"/>
            <w:shd w:val="clear" w:color="auto" w:fill="auto"/>
            <w:noWrap/>
            <w:vAlign w:val="center"/>
          </w:tcPr>
          <w:p w14:paraId="4688F378">
            <w:pPr>
              <w:widowControl/>
              <w:jc w:val="center"/>
              <w:rPr>
                <w:rFonts w:ascii="宋体" w:hAnsi="宋体" w:cs="宋体"/>
                <w:kern w:val="0"/>
                <w:sz w:val="18"/>
                <w:szCs w:val="18"/>
              </w:rPr>
            </w:pPr>
            <w:r>
              <w:rPr>
                <w:rFonts w:hint="eastAsia" w:ascii="宋体" w:hAnsi="宋体" w:cs="宋体"/>
                <w:kern w:val="0"/>
                <w:sz w:val="18"/>
                <w:szCs w:val="18"/>
              </w:rPr>
              <w:t>25</w:t>
            </w:r>
          </w:p>
        </w:tc>
        <w:tc>
          <w:tcPr>
            <w:tcW w:w="946" w:type="dxa"/>
            <w:shd w:val="clear" w:color="auto" w:fill="auto"/>
            <w:noWrap/>
            <w:vAlign w:val="center"/>
          </w:tcPr>
          <w:p w14:paraId="0598EA2D">
            <w:pPr>
              <w:widowControl/>
              <w:jc w:val="center"/>
              <w:rPr>
                <w:rFonts w:ascii="宋体" w:hAnsi="宋体" w:cs="宋体"/>
                <w:kern w:val="0"/>
                <w:sz w:val="18"/>
                <w:szCs w:val="18"/>
              </w:rPr>
            </w:pPr>
            <w:r>
              <w:rPr>
                <w:rFonts w:hint="eastAsia" w:ascii="宋体" w:hAnsi="宋体" w:cs="宋体"/>
                <w:kern w:val="0"/>
                <w:sz w:val="18"/>
                <w:szCs w:val="18"/>
              </w:rPr>
              <w:t>20</w:t>
            </w:r>
          </w:p>
        </w:tc>
        <w:tc>
          <w:tcPr>
            <w:tcW w:w="854" w:type="dxa"/>
            <w:shd w:val="clear" w:color="auto" w:fill="auto"/>
            <w:noWrap/>
            <w:vAlign w:val="center"/>
          </w:tcPr>
          <w:p w14:paraId="0E4AE98B">
            <w:pPr>
              <w:widowControl/>
              <w:jc w:val="center"/>
              <w:rPr>
                <w:rFonts w:ascii="宋体" w:hAnsi="宋体" w:cs="宋体"/>
                <w:kern w:val="0"/>
                <w:sz w:val="18"/>
                <w:szCs w:val="18"/>
              </w:rPr>
            </w:pPr>
            <w:r>
              <w:rPr>
                <w:rFonts w:hint="eastAsia" w:ascii="宋体" w:hAnsi="宋体" w:cs="宋体"/>
                <w:kern w:val="0"/>
                <w:sz w:val="18"/>
                <w:szCs w:val="18"/>
              </w:rPr>
              <w:t>5</w:t>
            </w:r>
          </w:p>
        </w:tc>
        <w:tc>
          <w:tcPr>
            <w:tcW w:w="1489" w:type="dxa"/>
            <w:shd w:val="clear" w:color="auto" w:fill="auto"/>
            <w:noWrap/>
            <w:vAlign w:val="center"/>
          </w:tcPr>
          <w:p w14:paraId="4796D816">
            <w:pPr>
              <w:widowControl/>
              <w:jc w:val="center"/>
              <w:rPr>
                <w:rFonts w:ascii="宋体" w:hAnsi="宋体" w:cs="宋体"/>
                <w:kern w:val="0"/>
                <w:sz w:val="18"/>
                <w:szCs w:val="18"/>
              </w:rPr>
            </w:pPr>
            <w:r>
              <w:rPr>
                <w:rFonts w:hint="eastAsia" w:ascii="宋体" w:hAnsi="宋体" w:cs="宋体"/>
                <w:kern w:val="0"/>
                <w:sz w:val="18"/>
                <w:szCs w:val="18"/>
              </w:rPr>
              <w:t>拖布卡镇</w:t>
            </w:r>
          </w:p>
        </w:tc>
        <w:tc>
          <w:tcPr>
            <w:tcW w:w="577" w:type="dxa"/>
            <w:shd w:val="clear" w:color="auto" w:fill="auto"/>
            <w:noWrap/>
            <w:vAlign w:val="center"/>
          </w:tcPr>
          <w:p w14:paraId="6B5D52FD">
            <w:pPr>
              <w:widowControl/>
              <w:jc w:val="center"/>
              <w:rPr>
                <w:rFonts w:ascii="宋体" w:hAnsi="宋体" w:cs="宋体"/>
                <w:kern w:val="0"/>
                <w:sz w:val="18"/>
                <w:szCs w:val="18"/>
              </w:rPr>
            </w:pPr>
          </w:p>
        </w:tc>
      </w:tr>
      <w:tr w14:paraId="5506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7A04034">
            <w:pPr>
              <w:widowControl/>
              <w:jc w:val="center"/>
              <w:rPr>
                <w:rFonts w:ascii="宋体" w:hAnsi="宋体" w:cs="宋体"/>
                <w:kern w:val="0"/>
                <w:sz w:val="18"/>
                <w:szCs w:val="18"/>
              </w:rPr>
            </w:pPr>
          </w:p>
        </w:tc>
        <w:tc>
          <w:tcPr>
            <w:tcW w:w="3659" w:type="dxa"/>
            <w:shd w:val="clear" w:color="auto" w:fill="auto"/>
            <w:noWrap/>
            <w:vAlign w:val="center"/>
          </w:tcPr>
          <w:p w14:paraId="3D7CE7A0">
            <w:pPr>
              <w:jc w:val="center"/>
              <w:rPr>
                <w:rFonts w:ascii="宋体" w:hAnsi="宋体" w:cs="宋体"/>
                <w:sz w:val="18"/>
                <w:szCs w:val="18"/>
              </w:rPr>
            </w:pPr>
            <w:r>
              <w:rPr>
                <w:rFonts w:hint="eastAsia"/>
                <w:sz w:val="18"/>
                <w:szCs w:val="18"/>
              </w:rPr>
              <w:t>东倘公路及轿子雪山支线</w:t>
            </w:r>
          </w:p>
        </w:tc>
        <w:tc>
          <w:tcPr>
            <w:tcW w:w="796" w:type="dxa"/>
            <w:shd w:val="clear" w:color="auto" w:fill="auto"/>
            <w:noWrap/>
            <w:vAlign w:val="center"/>
          </w:tcPr>
          <w:p w14:paraId="2E76B768">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3AA43D31">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50BFD3BD">
            <w:pPr>
              <w:widowControl/>
              <w:jc w:val="center"/>
              <w:rPr>
                <w:rFonts w:ascii="宋体" w:hAnsi="宋体" w:cs="宋体"/>
                <w:kern w:val="0"/>
                <w:sz w:val="18"/>
                <w:szCs w:val="18"/>
              </w:rPr>
            </w:pPr>
            <w:r>
              <w:rPr>
                <w:rFonts w:hint="eastAsia" w:ascii="宋体" w:hAnsi="宋体" w:cs="宋体"/>
                <w:kern w:val="0"/>
                <w:sz w:val="18"/>
                <w:szCs w:val="18"/>
              </w:rPr>
              <w:t>207.88</w:t>
            </w:r>
          </w:p>
        </w:tc>
        <w:tc>
          <w:tcPr>
            <w:tcW w:w="946" w:type="dxa"/>
            <w:shd w:val="clear" w:color="auto" w:fill="auto"/>
            <w:noWrap/>
            <w:vAlign w:val="center"/>
          </w:tcPr>
          <w:p w14:paraId="1E17F1FE">
            <w:pPr>
              <w:widowControl/>
              <w:jc w:val="center"/>
              <w:rPr>
                <w:rFonts w:ascii="宋体" w:hAnsi="宋体" w:cs="宋体"/>
                <w:kern w:val="0"/>
                <w:sz w:val="18"/>
                <w:szCs w:val="18"/>
              </w:rPr>
            </w:pPr>
            <w:r>
              <w:rPr>
                <w:rFonts w:hint="eastAsia" w:ascii="宋体" w:hAnsi="宋体" w:cs="宋体"/>
                <w:kern w:val="0"/>
                <w:sz w:val="18"/>
                <w:szCs w:val="18"/>
              </w:rPr>
              <w:t>207.88</w:t>
            </w:r>
          </w:p>
        </w:tc>
        <w:tc>
          <w:tcPr>
            <w:tcW w:w="854" w:type="dxa"/>
            <w:shd w:val="clear" w:color="auto" w:fill="auto"/>
            <w:noWrap/>
            <w:vAlign w:val="center"/>
          </w:tcPr>
          <w:p w14:paraId="6B1175D5">
            <w:pPr>
              <w:widowControl/>
              <w:jc w:val="center"/>
              <w:rPr>
                <w:rFonts w:ascii="宋体" w:hAnsi="宋体" w:cs="宋体"/>
                <w:kern w:val="0"/>
                <w:sz w:val="18"/>
                <w:szCs w:val="18"/>
              </w:rPr>
            </w:pPr>
            <w:r>
              <w:rPr>
                <w:rFonts w:hint="eastAsia" w:ascii="宋体" w:hAnsi="宋体" w:cs="宋体"/>
                <w:kern w:val="0"/>
                <w:sz w:val="18"/>
                <w:szCs w:val="18"/>
              </w:rPr>
              <w:t>207.88</w:t>
            </w:r>
          </w:p>
        </w:tc>
        <w:tc>
          <w:tcPr>
            <w:tcW w:w="1489" w:type="dxa"/>
            <w:shd w:val="clear" w:color="auto" w:fill="auto"/>
            <w:noWrap/>
            <w:vAlign w:val="center"/>
          </w:tcPr>
          <w:p w14:paraId="4E4037D2">
            <w:pPr>
              <w:widowControl/>
              <w:jc w:val="center"/>
              <w:rPr>
                <w:rFonts w:ascii="宋体" w:hAnsi="宋体" w:cs="宋体"/>
                <w:kern w:val="0"/>
                <w:sz w:val="15"/>
                <w:szCs w:val="15"/>
              </w:rPr>
            </w:pPr>
            <w:r>
              <w:rPr>
                <w:rFonts w:hint="eastAsia" w:ascii="宋体" w:hAnsi="宋体" w:cs="宋体"/>
                <w:kern w:val="0"/>
                <w:sz w:val="15"/>
                <w:szCs w:val="15"/>
              </w:rPr>
              <w:t>铜都街道、乌龙镇、红土地镇</w:t>
            </w:r>
          </w:p>
        </w:tc>
        <w:tc>
          <w:tcPr>
            <w:tcW w:w="577" w:type="dxa"/>
            <w:shd w:val="clear" w:color="auto" w:fill="auto"/>
            <w:noWrap/>
            <w:vAlign w:val="center"/>
          </w:tcPr>
          <w:p w14:paraId="0A2AFBEF">
            <w:pPr>
              <w:widowControl/>
              <w:jc w:val="center"/>
              <w:rPr>
                <w:rFonts w:ascii="宋体" w:hAnsi="宋体" w:cs="宋体"/>
                <w:kern w:val="0"/>
                <w:sz w:val="18"/>
                <w:szCs w:val="18"/>
              </w:rPr>
            </w:pPr>
          </w:p>
        </w:tc>
      </w:tr>
      <w:tr w14:paraId="0C3D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1071FE9">
            <w:pPr>
              <w:widowControl/>
              <w:jc w:val="center"/>
              <w:rPr>
                <w:rFonts w:ascii="宋体" w:hAnsi="宋体" w:cs="宋体"/>
                <w:kern w:val="0"/>
                <w:sz w:val="18"/>
                <w:szCs w:val="18"/>
              </w:rPr>
            </w:pPr>
          </w:p>
        </w:tc>
        <w:tc>
          <w:tcPr>
            <w:tcW w:w="3659" w:type="dxa"/>
            <w:shd w:val="clear" w:color="auto" w:fill="auto"/>
            <w:noWrap/>
            <w:vAlign w:val="center"/>
          </w:tcPr>
          <w:p w14:paraId="5C912E34">
            <w:pPr>
              <w:widowControl/>
              <w:jc w:val="center"/>
              <w:rPr>
                <w:rFonts w:ascii="宋体" w:hAnsi="宋体" w:cs="宋体"/>
                <w:kern w:val="0"/>
                <w:sz w:val="18"/>
                <w:szCs w:val="18"/>
              </w:rPr>
            </w:pPr>
            <w:r>
              <w:rPr>
                <w:rFonts w:hint="eastAsia" w:ascii="宋体" w:hAnsi="宋体" w:cs="宋体"/>
                <w:kern w:val="0"/>
                <w:sz w:val="18"/>
                <w:szCs w:val="18"/>
              </w:rPr>
              <w:t>金沙路及东起路延长线</w:t>
            </w:r>
          </w:p>
        </w:tc>
        <w:tc>
          <w:tcPr>
            <w:tcW w:w="796" w:type="dxa"/>
            <w:shd w:val="clear" w:color="auto" w:fill="auto"/>
            <w:vAlign w:val="center"/>
          </w:tcPr>
          <w:p w14:paraId="7C1C851E">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4EF39A6">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4292672F">
            <w:pPr>
              <w:widowControl/>
              <w:jc w:val="center"/>
              <w:rPr>
                <w:rFonts w:ascii="宋体" w:hAnsi="宋体" w:cs="宋体"/>
                <w:kern w:val="0"/>
                <w:sz w:val="18"/>
                <w:szCs w:val="18"/>
              </w:rPr>
            </w:pPr>
            <w:r>
              <w:rPr>
                <w:rFonts w:hint="eastAsia" w:ascii="宋体" w:hAnsi="宋体" w:cs="宋体"/>
                <w:kern w:val="0"/>
                <w:sz w:val="18"/>
                <w:szCs w:val="18"/>
              </w:rPr>
              <w:t>56.57</w:t>
            </w:r>
          </w:p>
        </w:tc>
        <w:tc>
          <w:tcPr>
            <w:tcW w:w="946" w:type="dxa"/>
            <w:shd w:val="clear" w:color="auto" w:fill="auto"/>
            <w:noWrap/>
            <w:vAlign w:val="center"/>
          </w:tcPr>
          <w:p w14:paraId="457BC3E7">
            <w:pPr>
              <w:widowControl/>
              <w:jc w:val="center"/>
              <w:rPr>
                <w:rFonts w:ascii="宋体" w:hAnsi="宋体" w:cs="宋体"/>
                <w:kern w:val="0"/>
                <w:sz w:val="18"/>
                <w:szCs w:val="18"/>
              </w:rPr>
            </w:pPr>
            <w:r>
              <w:rPr>
                <w:rFonts w:hint="eastAsia" w:ascii="宋体" w:hAnsi="宋体" w:cs="宋体"/>
                <w:kern w:val="0"/>
                <w:sz w:val="18"/>
                <w:szCs w:val="18"/>
              </w:rPr>
              <w:t>56.57</w:t>
            </w:r>
          </w:p>
        </w:tc>
        <w:tc>
          <w:tcPr>
            <w:tcW w:w="854" w:type="dxa"/>
            <w:shd w:val="clear" w:color="auto" w:fill="auto"/>
            <w:noWrap/>
            <w:vAlign w:val="center"/>
          </w:tcPr>
          <w:p w14:paraId="6859AAAE">
            <w:pPr>
              <w:widowControl/>
              <w:jc w:val="center"/>
              <w:rPr>
                <w:rFonts w:ascii="宋体" w:hAnsi="宋体" w:cs="宋体"/>
                <w:kern w:val="0"/>
                <w:sz w:val="18"/>
                <w:szCs w:val="18"/>
              </w:rPr>
            </w:pPr>
            <w:r>
              <w:rPr>
                <w:rFonts w:hint="eastAsia" w:ascii="宋体" w:hAnsi="宋体" w:cs="宋体"/>
                <w:kern w:val="0"/>
                <w:sz w:val="18"/>
                <w:szCs w:val="18"/>
              </w:rPr>
              <w:t>30.57</w:t>
            </w:r>
          </w:p>
        </w:tc>
        <w:tc>
          <w:tcPr>
            <w:tcW w:w="1489" w:type="dxa"/>
            <w:shd w:val="clear" w:color="auto" w:fill="auto"/>
            <w:noWrap/>
            <w:vAlign w:val="center"/>
          </w:tcPr>
          <w:p w14:paraId="7034F463">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0EEC7F98">
            <w:pPr>
              <w:widowControl/>
              <w:jc w:val="center"/>
              <w:rPr>
                <w:rFonts w:ascii="宋体" w:hAnsi="宋体" w:cs="宋体"/>
                <w:kern w:val="0"/>
                <w:sz w:val="18"/>
                <w:szCs w:val="18"/>
              </w:rPr>
            </w:pPr>
          </w:p>
        </w:tc>
      </w:tr>
      <w:tr w14:paraId="24F4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702F4B1">
            <w:pPr>
              <w:widowControl/>
              <w:jc w:val="center"/>
              <w:rPr>
                <w:rFonts w:ascii="宋体" w:hAnsi="宋体" w:cs="宋体"/>
                <w:kern w:val="0"/>
                <w:sz w:val="18"/>
                <w:szCs w:val="18"/>
              </w:rPr>
            </w:pPr>
          </w:p>
        </w:tc>
        <w:tc>
          <w:tcPr>
            <w:tcW w:w="3659" w:type="dxa"/>
            <w:shd w:val="clear" w:color="auto" w:fill="auto"/>
            <w:noWrap/>
            <w:vAlign w:val="center"/>
          </w:tcPr>
          <w:p w14:paraId="64D869DA">
            <w:pPr>
              <w:jc w:val="center"/>
              <w:rPr>
                <w:rFonts w:ascii="宋体" w:hAnsi="宋体" w:cs="宋体"/>
                <w:sz w:val="18"/>
                <w:szCs w:val="18"/>
              </w:rPr>
            </w:pPr>
            <w:r>
              <w:rPr>
                <w:rFonts w:hint="eastAsia"/>
                <w:sz w:val="18"/>
                <w:szCs w:val="18"/>
              </w:rPr>
              <w:t>东起路南延线和北延线</w:t>
            </w:r>
          </w:p>
        </w:tc>
        <w:tc>
          <w:tcPr>
            <w:tcW w:w="796" w:type="dxa"/>
            <w:shd w:val="clear" w:color="auto" w:fill="auto"/>
            <w:vAlign w:val="center"/>
          </w:tcPr>
          <w:p w14:paraId="088508BD">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5BCF6720">
            <w:pPr>
              <w:jc w:val="center"/>
              <w:rPr>
                <w:rFonts w:ascii="宋体" w:hAnsi="宋体" w:cs="宋体"/>
                <w:sz w:val="18"/>
                <w:szCs w:val="18"/>
              </w:rPr>
            </w:pPr>
            <w:r>
              <w:rPr>
                <w:rFonts w:hint="eastAsia" w:ascii="宋体" w:hAnsi="宋体" w:cs="宋体"/>
                <w:sz w:val="18"/>
                <w:szCs w:val="18"/>
              </w:rPr>
              <w:t>2017-2020</w:t>
            </w:r>
          </w:p>
        </w:tc>
        <w:tc>
          <w:tcPr>
            <w:tcW w:w="1026" w:type="dxa"/>
            <w:shd w:val="clear" w:color="auto" w:fill="auto"/>
            <w:noWrap/>
            <w:vAlign w:val="center"/>
          </w:tcPr>
          <w:p w14:paraId="520B0313">
            <w:pPr>
              <w:jc w:val="center"/>
              <w:rPr>
                <w:rFonts w:ascii="宋体" w:hAnsi="宋体" w:cs="宋体"/>
                <w:sz w:val="18"/>
                <w:szCs w:val="18"/>
              </w:rPr>
            </w:pPr>
            <w:r>
              <w:rPr>
                <w:rFonts w:hint="eastAsia" w:ascii="宋体" w:hAnsi="宋体" w:cs="宋体"/>
                <w:sz w:val="18"/>
                <w:szCs w:val="18"/>
              </w:rPr>
              <w:t>35</w:t>
            </w:r>
          </w:p>
        </w:tc>
        <w:tc>
          <w:tcPr>
            <w:tcW w:w="946" w:type="dxa"/>
            <w:shd w:val="clear" w:color="auto" w:fill="auto"/>
            <w:noWrap/>
            <w:vAlign w:val="center"/>
          </w:tcPr>
          <w:p w14:paraId="19CE4CA2">
            <w:pPr>
              <w:jc w:val="center"/>
              <w:rPr>
                <w:rFonts w:ascii="宋体" w:hAnsi="宋体" w:cs="宋体"/>
                <w:sz w:val="18"/>
                <w:szCs w:val="18"/>
              </w:rPr>
            </w:pPr>
            <w:r>
              <w:rPr>
                <w:rFonts w:hint="eastAsia" w:ascii="宋体" w:hAnsi="宋体" w:cs="宋体"/>
                <w:sz w:val="18"/>
                <w:szCs w:val="18"/>
              </w:rPr>
              <w:t>25</w:t>
            </w:r>
          </w:p>
        </w:tc>
        <w:tc>
          <w:tcPr>
            <w:tcW w:w="854" w:type="dxa"/>
            <w:shd w:val="clear" w:color="auto" w:fill="auto"/>
            <w:noWrap/>
            <w:vAlign w:val="center"/>
          </w:tcPr>
          <w:p w14:paraId="04CDC1E4">
            <w:pPr>
              <w:jc w:val="center"/>
              <w:rPr>
                <w:rFonts w:ascii="宋体" w:hAnsi="宋体" w:cs="宋体"/>
                <w:sz w:val="18"/>
                <w:szCs w:val="18"/>
              </w:rPr>
            </w:pPr>
            <w:r>
              <w:rPr>
                <w:rFonts w:hint="eastAsia" w:ascii="宋体" w:hAnsi="宋体" w:cs="宋体"/>
                <w:sz w:val="18"/>
                <w:szCs w:val="18"/>
              </w:rPr>
              <w:t>4</w:t>
            </w:r>
          </w:p>
        </w:tc>
        <w:tc>
          <w:tcPr>
            <w:tcW w:w="1489" w:type="dxa"/>
            <w:shd w:val="clear" w:color="auto" w:fill="auto"/>
            <w:noWrap/>
            <w:vAlign w:val="center"/>
          </w:tcPr>
          <w:p w14:paraId="2B82E846">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67AD7763">
            <w:pPr>
              <w:widowControl/>
              <w:jc w:val="center"/>
              <w:rPr>
                <w:rFonts w:ascii="宋体" w:hAnsi="宋体" w:cs="宋体"/>
                <w:kern w:val="0"/>
                <w:sz w:val="18"/>
                <w:szCs w:val="18"/>
              </w:rPr>
            </w:pPr>
          </w:p>
        </w:tc>
      </w:tr>
      <w:tr w14:paraId="50BA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FB4E504">
            <w:pPr>
              <w:widowControl/>
              <w:jc w:val="center"/>
              <w:rPr>
                <w:rFonts w:ascii="宋体" w:hAnsi="宋体" w:cs="宋体"/>
                <w:kern w:val="0"/>
                <w:sz w:val="18"/>
                <w:szCs w:val="18"/>
              </w:rPr>
            </w:pPr>
          </w:p>
        </w:tc>
        <w:tc>
          <w:tcPr>
            <w:tcW w:w="3659" w:type="dxa"/>
            <w:shd w:val="clear" w:color="auto" w:fill="auto"/>
            <w:noWrap/>
            <w:vAlign w:val="center"/>
          </w:tcPr>
          <w:p w14:paraId="608304AC">
            <w:pPr>
              <w:jc w:val="center"/>
              <w:rPr>
                <w:rFonts w:ascii="宋体" w:hAnsi="宋体" w:cs="宋体"/>
                <w:sz w:val="18"/>
                <w:szCs w:val="18"/>
              </w:rPr>
            </w:pPr>
            <w:r>
              <w:rPr>
                <w:rFonts w:hint="eastAsia"/>
                <w:sz w:val="18"/>
                <w:szCs w:val="18"/>
              </w:rPr>
              <w:t>学府路南延长线</w:t>
            </w:r>
          </w:p>
        </w:tc>
        <w:tc>
          <w:tcPr>
            <w:tcW w:w="796" w:type="dxa"/>
            <w:shd w:val="clear" w:color="auto" w:fill="auto"/>
            <w:vAlign w:val="center"/>
          </w:tcPr>
          <w:p w14:paraId="120658F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514371DC">
            <w:pPr>
              <w:jc w:val="center"/>
              <w:rPr>
                <w:rFonts w:ascii="宋体" w:hAnsi="宋体" w:cs="宋体"/>
                <w:sz w:val="18"/>
                <w:szCs w:val="18"/>
              </w:rPr>
            </w:pPr>
            <w:r>
              <w:rPr>
                <w:rFonts w:hint="eastAsia" w:ascii="宋体" w:hAnsi="宋体" w:cs="宋体"/>
                <w:sz w:val="18"/>
                <w:szCs w:val="18"/>
              </w:rPr>
              <w:t>2017-2020</w:t>
            </w:r>
          </w:p>
        </w:tc>
        <w:tc>
          <w:tcPr>
            <w:tcW w:w="1026" w:type="dxa"/>
            <w:shd w:val="clear" w:color="auto" w:fill="auto"/>
            <w:noWrap/>
            <w:vAlign w:val="center"/>
          </w:tcPr>
          <w:p w14:paraId="15B95031">
            <w:pPr>
              <w:jc w:val="center"/>
              <w:rPr>
                <w:rFonts w:ascii="宋体" w:hAnsi="宋体" w:cs="宋体"/>
                <w:sz w:val="18"/>
                <w:szCs w:val="18"/>
              </w:rPr>
            </w:pPr>
            <w:r>
              <w:rPr>
                <w:rFonts w:hint="eastAsia" w:ascii="宋体" w:hAnsi="宋体" w:cs="宋体"/>
                <w:sz w:val="18"/>
                <w:szCs w:val="18"/>
              </w:rPr>
              <w:t>15</w:t>
            </w:r>
          </w:p>
        </w:tc>
        <w:tc>
          <w:tcPr>
            <w:tcW w:w="946" w:type="dxa"/>
            <w:shd w:val="clear" w:color="auto" w:fill="auto"/>
            <w:noWrap/>
            <w:vAlign w:val="center"/>
          </w:tcPr>
          <w:p w14:paraId="0AF5304F">
            <w:pPr>
              <w:jc w:val="center"/>
              <w:rPr>
                <w:rFonts w:ascii="宋体" w:hAnsi="宋体" w:cs="宋体"/>
                <w:sz w:val="18"/>
                <w:szCs w:val="18"/>
              </w:rPr>
            </w:pPr>
            <w:r>
              <w:rPr>
                <w:rFonts w:hint="eastAsia" w:ascii="宋体" w:hAnsi="宋体" w:cs="宋体"/>
                <w:sz w:val="18"/>
                <w:szCs w:val="18"/>
              </w:rPr>
              <w:t>10</w:t>
            </w:r>
          </w:p>
        </w:tc>
        <w:tc>
          <w:tcPr>
            <w:tcW w:w="854" w:type="dxa"/>
            <w:shd w:val="clear" w:color="auto" w:fill="auto"/>
            <w:noWrap/>
            <w:vAlign w:val="center"/>
          </w:tcPr>
          <w:p w14:paraId="11FF55D1">
            <w:pPr>
              <w:jc w:val="center"/>
              <w:rPr>
                <w:rFonts w:ascii="宋体" w:hAnsi="宋体" w:cs="宋体"/>
                <w:sz w:val="18"/>
                <w:szCs w:val="18"/>
              </w:rPr>
            </w:pPr>
            <w:r>
              <w:rPr>
                <w:rFonts w:hint="eastAsia" w:ascii="宋体" w:hAnsi="宋体" w:cs="宋体"/>
                <w:sz w:val="18"/>
                <w:szCs w:val="18"/>
              </w:rPr>
              <w:t>3</w:t>
            </w:r>
          </w:p>
        </w:tc>
        <w:tc>
          <w:tcPr>
            <w:tcW w:w="1489" w:type="dxa"/>
            <w:shd w:val="clear" w:color="auto" w:fill="auto"/>
            <w:noWrap/>
            <w:vAlign w:val="center"/>
          </w:tcPr>
          <w:p w14:paraId="76851231">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294DC0F8">
            <w:pPr>
              <w:widowControl/>
              <w:jc w:val="center"/>
              <w:rPr>
                <w:rFonts w:ascii="宋体" w:hAnsi="宋体" w:cs="宋体"/>
                <w:kern w:val="0"/>
                <w:sz w:val="18"/>
                <w:szCs w:val="18"/>
              </w:rPr>
            </w:pPr>
          </w:p>
        </w:tc>
      </w:tr>
      <w:tr w14:paraId="571C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020405E">
            <w:pPr>
              <w:widowControl/>
              <w:jc w:val="center"/>
              <w:rPr>
                <w:rFonts w:ascii="宋体" w:hAnsi="宋体" w:cs="宋体"/>
                <w:kern w:val="0"/>
                <w:sz w:val="18"/>
                <w:szCs w:val="18"/>
              </w:rPr>
            </w:pPr>
          </w:p>
        </w:tc>
        <w:tc>
          <w:tcPr>
            <w:tcW w:w="3659" w:type="dxa"/>
            <w:shd w:val="clear" w:color="auto" w:fill="auto"/>
            <w:noWrap/>
            <w:vAlign w:val="center"/>
          </w:tcPr>
          <w:p w14:paraId="5F06E759">
            <w:pPr>
              <w:widowControl/>
              <w:jc w:val="center"/>
              <w:rPr>
                <w:rFonts w:ascii="宋体" w:hAnsi="宋体" w:cs="宋体"/>
                <w:kern w:val="0"/>
                <w:sz w:val="18"/>
                <w:szCs w:val="18"/>
              </w:rPr>
            </w:pPr>
            <w:r>
              <w:rPr>
                <w:rFonts w:hint="eastAsia" w:ascii="宋体" w:hAnsi="宋体" w:cs="宋体"/>
                <w:kern w:val="0"/>
                <w:sz w:val="18"/>
                <w:szCs w:val="18"/>
              </w:rPr>
              <w:t>东川至红土地公路改扩建</w:t>
            </w:r>
          </w:p>
        </w:tc>
        <w:tc>
          <w:tcPr>
            <w:tcW w:w="796" w:type="dxa"/>
            <w:shd w:val="clear" w:color="auto" w:fill="auto"/>
            <w:noWrap/>
            <w:vAlign w:val="center"/>
          </w:tcPr>
          <w:p w14:paraId="73AF8A1C">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13B81DF">
            <w:pPr>
              <w:widowControl/>
              <w:jc w:val="center"/>
              <w:rPr>
                <w:rFonts w:ascii="宋体" w:hAnsi="宋体" w:cs="宋体"/>
                <w:kern w:val="0"/>
                <w:sz w:val="18"/>
                <w:szCs w:val="18"/>
              </w:rPr>
            </w:pPr>
            <w:r>
              <w:rPr>
                <w:rFonts w:hint="eastAsia" w:ascii="宋体" w:hAnsi="宋体" w:cs="宋体"/>
                <w:kern w:val="0"/>
                <w:sz w:val="18"/>
                <w:szCs w:val="18"/>
              </w:rPr>
              <w:t>2015-2022</w:t>
            </w:r>
          </w:p>
        </w:tc>
        <w:tc>
          <w:tcPr>
            <w:tcW w:w="1026" w:type="dxa"/>
            <w:shd w:val="clear" w:color="auto" w:fill="auto"/>
            <w:noWrap/>
            <w:vAlign w:val="center"/>
          </w:tcPr>
          <w:p w14:paraId="61CB1548">
            <w:pPr>
              <w:widowControl/>
              <w:jc w:val="center"/>
              <w:rPr>
                <w:rFonts w:ascii="宋体" w:hAnsi="宋体" w:cs="宋体"/>
                <w:kern w:val="0"/>
                <w:sz w:val="18"/>
                <w:szCs w:val="18"/>
              </w:rPr>
            </w:pPr>
            <w:r>
              <w:rPr>
                <w:rFonts w:hint="eastAsia" w:ascii="宋体" w:hAnsi="宋体" w:cs="宋体"/>
                <w:kern w:val="0"/>
                <w:sz w:val="18"/>
                <w:szCs w:val="18"/>
              </w:rPr>
              <w:t>98.75</w:t>
            </w:r>
          </w:p>
        </w:tc>
        <w:tc>
          <w:tcPr>
            <w:tcW w:w="946" w:type="dxa"/>
            <w:shd w:val="clear" w:color="auto" w:fill="auto"/>
            <w:noWrap/>
            <w:vAlign w:val="center"/>
          </w:tcPr>
          <w:p w14:paraId="7EC78EDA">
            <w:pPr>
              <w:widowControl/>
              <w:jc w:val="center"/>
              <w:rPr>
                <w:rFonts w:ascii="宋体" w:hAnsi="宋体" w:cs="宋体"/>
                <w:kern w:val="0"/>
                <w:sz w:val="18"/>
                <w:szCs w:val="18"/>
              </w:rPr>
            </w:pPr>
            <w:r>
              <w:rPr>
                <w:rFonts w:hint="eastAsia" w:ascii="宋体" w:hAnsi="宋体" w:cs="宋体"/>
                <w:kern w:val="0"/>
                <w:sz w:val="18"/>
                <w:szCs w:val="18"/>
              </w:rPr>
              <w:t>98.75</w:t>
            </w:r>
          </w:p>
        </w:tc>
        <w:tc>
          <w:tcPr>
            <w:tcW w:w="854" w:type="dxa"/>
            <w:shd w:val="clear" w:color="auto" w:fill="auto"/>
            <w:noWrap/>
            <w:vAlign w:val="center"/>
          </w:tcPr>
          <w:p w14:paraId="62597E02">
            <w:pPr>
              <w:widowControl/>
              <w:jc w:val="center"/>
              <w:rPr>
                <w:rFonts w:ascii="宋体" w:hAnsi="宋体" w:cs="宋体"/>
                <w:kern w:val="0"/>
                <w:sz w:val="18"/>
                <w:szCs w:val="18"/>
              </w:rPr>
            </w:pPr>
            <w:r>
              <w:rPr>
                <w:rFonts w:hint="eastAsia" w:ascii="宋体" w:hAnsi="宋体" w:cs="宋体"/>
                <w:kern w:val="0"/>
                <w:sz w:val="18"/>
                <w:szCs w:val="18"/>
              </w:rPr>
              <w:t>29.48</w:t>
            </w:r>
          </w:p>
        </w:tc>
        <w:tc>
          <w:tcPr>
            <w:tcW w:w="1489" w:type="dxa"/>
            <w:shd w:val="clear" w:color="auto" w:fill="auto"/>
            <w:noWrap/>
            <w:vAlign w:val="center"/>
          </w:tcPr>
          <w:p w14:paraId="624D21B2">
            <w:pPr>
              <w:widowControl/>
              <w:jc w:val="center"/>
              <w:rPr>
                <w:rFonts w:ascii="宋体" w:hAnsi="宋体" w:cs="宋体"/>
                <w:kern w:val="0"/>
                <w:sz w:val="15"/>
                <w:szCs w:val="15"/>
              </w:rPr>
            </w:pPr>
            <w:r>
              <w:rPr>
                <w:rFonts w:hint="eastAsia" w:ascii="宋体" w:hAnsi="宋体" w:cs="宋体"/>
                <w:kern w:val="0"/>
                <w:sz w:val="15"/>
                <w:szCs w:val="15"/>
              </w:rPr>
              <w:t>红土地镇、铜都街道;汤丹镇;</w:t>
            </w:r>
          </w:p>
        </w:tc>
        <w:tc>
          <w:tcPr>
            <w:tcW w:w="577" w:type="dxa"/>
            <w:shd w:val="clear" w:color="auto" w:fill="auto"/>
            <w:noWrap/>
            <w:vAlign w:val="center"/>
          </w:tcPr>
          <w:p w14:paraId="53AE9D55">
            <w:pPr>
              <w:widowControl/>
              <w:jc w:val="center"/>
              <w:rPr>
                <w:rFonts w:ascii="宋体" w:hAnsi="宋体" w:cs="宋体"/>
                <w:kern w:val="0"/>
                <w:sz w:val="18"/>
                <w:szCs w:val="18"/>
              </w:rPr>
            </w:pPr>
          </w:p>
        </w:tc>
      </w:tr>
      <w:tr w14:paraId="05E1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1BAB8A7">
            <w:pPr>
              <w:widowControl/>
              <w:jc w:val="center"/>
              <w:rPr>
                <w:rFonts w:ascii="宋体" w:hAnsi="宋体" w:cs="宋体"/>
                <w:kern w:val="0"/>
                <w:sz w:val="18"/>
                <w:szCs w:val="18"/>
              </w:rPr>
            </w:pPr>
          </w:p>
        </w:tc>
        <w:tc>
          <w:tcPr>
            <w:tcW w:w="3659" w:type="dxa"/>
            <w:shd w:val="clear" w:color="auto" w:fill="auto"/>
            <w:noWrap/>
            <w:vAlign w:val="center"/>
          </w:tcPr>
          <w:p w14:paraId="2E2C4FC8">
            <w:pPr>
              <w:widowControl/>
              <w:jc w:val="center"/>
              <w:rPr>
                <w:rFonts w:ascii="宋体" w:hAnsi="宋体" w:cs="宋体"/>
                <w:kern w:val="0"/>
                <w:sz w:val="18"/>
                <w:szCs w:val="18"/>
              </w:rPr>
            </w:pPr>
            <w:r>
              <w:rPr>
                <w:rFonts w:hint="eastAsia" w:ascii="宋体" w:hAnsi="宋体" w:cs="宋体"/>
                <w:kern w:val="0"/>
                <w:sz w:val="18"/>
                <w:szCs w:val="18"/>
              </w:rPr>
              <w:t>东海路延长线</w:t>
            </w:r>
          </w:p>
        </w:tc>
        <w:tc>
          <w:tcPr>
            <w:tcW w:w="796" w:type="dxa"/>
            <w:shd w:val="clear" w:color="auto" w:fill="auto"/>
            <w:vAlign w:val="center"/>
          </w:tcPr>
          <w:p w14:paraId="616EE18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D0F6D86">
            <w:pPr>
              <w:widowControl/>
              <w:jc w:val="center"/>
              <w:rPr>
                <w:rFonts w:ascii="宋体" w:hAnsi="宋体" w:cs="宋体"/>
                <w:kern w:val="0"/>
                <w:sz w:val="18"/>
                <w:szCs w:val="18"/>
              </w:rPr>
            </w:pPr>
            <w:r>
              <w:rPr>
                <w:rFonts w:hint="eastAsia" w:ascii="宋体" w:hAnsi="宋体" w:cs="宋体"/>
                <w:kern w:val="0"/>
                <w:sz w:val="18"/>
                <w:szCs w:val="18"/>
              </w:rPr>
              <w:t>2015-2023</w:t>
            </w:r>
          </w:p>
        </w:tc>
        <w:tc>
          <w:tcPr>
            <w:tcW w:w="1026" w:type="dxa"/>
            <w:shd w:val="clear" w:color="auto" w:fill="auto"/>
            <w:noWrap/>
            <w:vAlign w:val="center"/>
          </w:tcPr>
          <w:p w14:paraId="5FD822F0">
            <w:pPr>
              <w:widowControl/>
              <w:jc w:val="center"/>
              <w:rPr>
                <w:rFonts w:ascii="宋体" w:hAnsi="宋体" w:cs="宋体"/>
                <w:kern w:val="0"/>
                <w:sz w:val="18"/>
                <w:szCs w:val="18"/>
              </w:rPr>
            </w:pPr>
            <w:r>
              <w:rPr>
                <w:rFonts w:hint="eastAsia" w:ascii="宋体" w:hAnsi="宋体" w:cs="宋体"/>
                <w:kern w:val="0"/>
                <w:sz w:val="18"/>
                <w:szCs w:val="18"/>
              </w:rPr>
              <w:t>2.72</w:t>
            </w:r>
          </w:p>
        </w:tc>
        <w:tc>
          <w:tcPr>
            <w:tcW w:w="946" w:type="dxa"/>
            <w:shd w:val="clear" w:color="auto" w:fill="auto"/>
            <w:noWrap/>
            <w:vAlign w:val="center"/>
          </w:tcPr>
          <w:p w14:paraId="437E174E">
            <w:pPr>
              <w:widowControl/>
              <w:jc w:val="center"/>
              <w:rPr>
                <w:rFonts w:ascii="宋体" w:hAnsi="宋体" w:cs="宋体"/>
                <w:kern w:val="0"/>
                <w:sz w:val="18"/>
                <w:szCs w:val="18"/>
              </w:rPr>
            </w:pPr>
            <w:r>
              <w:rPr>
                <w:rFonts w:hint="eastAsia" w:ascii="宋体" w:hAnsi="宋体" w:cs="宋体"/>
                <w:kern w:val="0"/>
                <w:sz w:val="18"/>
                <w:szCs w:val="18"/>
              </w:rPr>
              <w:t>2.72</w:t>
            </w:r>
          </w:p>
        </w:tc>
        <w:tc>
          <w:tcPr>
            <w:tcW w:w="854" w:type="dxa"/>
            <w:shd w:val="clear" w:color="auto" w:fill="auto"/>
            <w:noWrap/>
            <w:vAlign w:val="center"/>
          </w:tcPr>
          <w:p w14:paraId="1301C0CB">
            <w:pPr>
              <w:widowControl/>
              <w:jc w:val="center"/>
              <w:rPr>
                <w:rFonts w:ascii="宋体" w:hAnsi="宋体" w:cs="宋体"/>
                <w:kern w:val="0"/>
                <w:sz w:val="18"/>
                <w:szCs w:val="18"/>
              </w:rPr>
            </w:pPr>
            <w:r>
              <w:rPr>
                <w:rFonts w:hint="eastAsia" w:ascii="宋体" w:hAnsi="宋体" w:cs="宋体"/>
                <w:kern w:val="0"/>
                <w:sz w:val="18"/>
                <w:szCs w:val="18"/>
              </w:rPr>
              <w:t>1.54</w:t>
            </w:r>
          </w:p>
        </w:tc>
        <w:tc>
          <w:tcPr>
            <w:tcW w:w="1489" w:type="dxa"/>
            <w:shd w:val="clear" w:color="auto" w:fill="auto"/>
            <w:noWrap/>
            <w:vAlign w:val="center"/>
          </w:tcPr>
          <w:p w14:paraId="4DC207B4">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022945FA">
            <w:pPr>
              <w:widowControl/>
              <w:jc w:val="center"/>
              <w:rPr>
                <w:rFonts w:ascii="宋体" w:hAnsi="宋体" w:cs="宋体"/>
                <w:kern w:val="0"/>
                <w:sz w:val="18"/>
                <w:szCs w:val="18"/>
              </w:rPr>
            </w:pPr>
          </w:p>
        </w:tc>
      </w:tr>
      <w:tr w14:paraId="5D90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350CE47">
            <w:pPr>
              <w:widowControl/>
              <w:jc w:val="center"/>
              <w:rPr>
                <w:rFonts w:ascii="宋体" w:hAnsi="宋体" w:cs="宋体"/>
                <w:kern w:val="0"/>
                <w:sz w:val="18"/>
                <w:szCs w:val="18"/>
              </w:rPr>
            </w:pPr>
          </w:p>
        </w:tc>
        <w:tc>
          <w:tcPr>
            <w:tcW w:w="3659" w:type="dxa"/>
            <w:shd w:val="clear" w:color="auto" w:fill="auto"/>
            <w:noWrap/>
            <w:vAlign w:val="center"/>
          </w:tcPr>
          <w:p w14:paraId="70365A40">
            <w:pPr>
              <w:widowControl/>
              <w:jc w:val="center"/>
              <w:rPr>
                <w:rFonts w:ascii="宋体" w:hAnsi="宋体" w:cs="宋体"/>
                <w:kern w:val="0"/>
                <w:sz w:val="18"/>
                <w:szCs w:val="18"/>
              </w:rPr>
            </w:pPr>
            <w:r>
              <w:rPr>
                <w:rFonts w:hint="eastAsia" w:ascii="宋体" w:hAnsi="宋体" w:cs="宋体"/>
                <w:kern w:val="0"/>
                <w:sz w:val="18"/>
                <w:szCs w:val="18"/>
              </w:rPr>
              <w:t>东川至会泽公路改扩建</w:t>
            </w:r>
          </w:p>
        </w:tc>
        <w:tc>
          <w:tcPr>
            <w:tcW w:w="796" w:type="dxa"/>
            <w:shd w:val="clear" w:color="auto" w:fill="auto"/>
            <w:noWrap/>
            <w:vAlign w:val="center"/>
          </w:tcPr>
          <w:p w14:paraId="0A160D6E">
            <w:pPr>
              <w:widowControl/>
              <w:jc w:val="center"/>
              <w:rPr>
                <w:rFonts w:ascii="宋体" w:hAnsi="宋体" w:cs="宋体"/>
                <w:kern w:val="0"/>
                <w:sz w:val="18"/>
                <w:szCs w:val="18"/>
              </w:rPr>
            </w:pPr>
            <w:r>
              <w:rPr>
                <w:rFonts w:hint="eastAsia" w:ascii="宋体" w:hAnsi="宋体" w:cs="宋体"/>
                <w:kern w:val="0"/>
                <w:sz w:val="18"/>
                <w:szCs w:val="18"/>
              </w:rPr>
              <w:t>改建</w:t>
            </w:r>
          </w:p>
        </w:tc>
        <w:tc>
          <w:tcPr>
            <w:tcW w:w="1206" w:type="dxa"/>
            <w:shd w:val="clear" w:color="auto" w:fill="auto"/>
            <w:noWrap/>
            <w:vAlign w:val="center"/>
          </w:tcPr>
          <w:p w14:paraId="0C8F8E03">
            <w:pPr>
              <w:widowControl/>
              <w:jc w:val="center"/>
              <w:rPr>
                <w:rFonts w:ascii="宋体" w:hAnsi="宋体" w:cs="宋体"/>
                <w:kern w:val="0"/>
                <w:sz w:val="18"/>
                <w:szCs w:val="18"/>
              </w:rPr>
            </w:pPr>
            <w:r>
              <w:rPr>
                <w:rFonts w:hint="eastAsia" w:ascii="宋体" w:hAnsi="宋体" w:cs="宋体"/>
                <w:kern w:val="0"/>
                <w:sz w:val="18"/>
                <w:szCs w:val="18"/>
              </w:rPr>
              <w:t>2015-2025</w:t>
            </w:r>
          </w:p>
        </w:tc>
        <w:tc>
          <w:tcPr>
            <w:tcW w:w="1026" w:type="dxa"/>
            <w:shd w:val="clear" w:color="auto" w:fill="auto"/>
            <w:noWrap/>
            <w:vAlign w:val="center"/>
          </w:tcPr>
          <w:p w14:paraId="1CE55178">
            <w:pPr>
              <w:widowControl/>
              <w:jc w:val="center"/>
              <w:rPr>
                <w:rFonts w:ascii="宋体" w:hAnsi="宋体" w:cs="宋体"/>
                <w:kern w:val="0"/>
                <w:sz w:val="18"/>
                <w:szCs w:val="18"/>
              </w:rPr>
            </w:pPr>
            <w:r>
              <w:rPr>
                <w:rFonts w:hint="eastAsia" w:ascii="宋体" w:hAnsi="宋体" w:cs="宋体"/>
                <w:kern w:val="0"/>
                <w:sz w:val="18"/>
                <w:szCs w:val="18"/>
              </w:rPr>
              <w:t>34.19</w:t>
            </w:r>
          </w:p>
        </w:tc>
        <w:tc>
          <w:tcPr>
            <w:tcW w:w="946" w:type="dxa"/>
            <w:shd w:val="clear" w:color="auto" w:fill="auto"/>
            <w:noWrap/>
            <w:vAlign w:val="center"/>
          </w:tcPr>
          <w:p w14:paraId="5B410C58">
            <w:pPr>
              <w:widowControl/>
              <w:jc w:val="center"/>
              <w:rPr>
                <w:rFonts w:ascii="宋体" w:hAnsi="宋体" w:cs="宋体"/>
                <w:kern w:val="0"/>
                <w:sz w:val="18"/>
                <w:szCs w:val="18"/>
              </w:rPr>
            </w:pPr>
            <w:r>
              <w:rPr>
                <w:rFonts w:hint="eastAsia" w:ascii="宋体" w:hAnsi="宋体" w:cs="宋体"/>
                <w:kern w:val="0"/>
                <w:sz w:val="18"/>
                <w:szCs w:val="18"/>
              </w:rPr>
              <w:t>34.19</w:t>
            </w:r>
          </w:p>
        </w:tc>
        <w:tc>
          <w:tcPr>
            <w:tcW w:w="854" w:type="dxa"/>
            <w:shd w:val="clear" w:color="auto" w:fill="auto"/>
            <w:noWrap/>
            <w:vAlign w:val="center"/>
          </w:tcPr>
          <w:p w14:paraId="194B5817">
            <w:pPr>
              <w:widowControl/>
              <w:jc w:val="center"/>
              <w:rPr>
                <w:rFonts w:ascii="宋体" w:hAnsi="宋体" w:cs="宋体"/>
                <w:kern w:val="0"/>
                <w:sz w:val="18"/>
                <w:szCs w:val="18"/>
              </w:rPr>
            </w:pPr>
            <w:r>
              <w:rPr>
                <w:rFonts w:hint="eastAsia" w:ascii="宋体" w:hAnsi="宋体" w:cs="宋体"/>
                <w:kern w:val="0"/>
                <w:sz w:val="18"/>
                <w:szCs w:val="18"/>
              </w:rPr>
              <w:t>8.95</w:t>
            </w:r>
          </w:p>
        </w:tc>
        <w:tc>
          <w:tcPr>
            <w:tcW w:w="1489" w:type="dxa"/>
            <w:shd w:val="clear" w:color="auto" w:fill="auto"/>
            <w:noWrap/>
            <w:vAlign w:val="center"/>
          </w:tcPr>
          <w:p w14:paraId="0722712D">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4DDDDB3F">
            <w:pPr>
              <w:widowControl/>
              <w:jc w:val="center"/>
              <w:rPr>
                <w:rFonts w:ascii="宋体" w:hAnsi="宋体" w:cs="宋体"/>
                <w:kern w:val="0"/>
                <w:sz w:val="18"/>
                <w:szCs w:val="18"/>
              </w:rPr>
            </w:pPr>
          </w:p>
        </w:tc>
      </w:tr>
      <w:tr w14:paraId="04E6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D25C11B">
            <w:pPr>
              <w:widowControl/>
              <w:jc w:val="center"/>
              <w:rPr>
                <w:rFonts w:ascii="宋体" w:hAnsi="宋体" w:cs="宋体"/>
                <w:kern w:val="0"/>
                <w:sz w:val="18"/>
                <w:szCs w:val="18"/>
              </w:rPr>
            </w:pPr>
          </w:p>
        </w:tc>
        <w:tc>
          <w:tcPr>
            <w:tcW w:w="3659" w:type="dxa"/>
            <w:shd w:val="clear" w:color="auto" w:fill="auto"/>
            <w:noWrap/>
            <w:vAlign w:val="center"/>
          </w:tcPr>
          <w:p w14:paraId="767DD918">
            <w:pPr>
              <w:widowControl/>
              <w:jc w:val="center"/>
              <w:rPr>
                <w:rFonts w:ascii="宋体" w:hAnsi="宋体" w:cs="宋体"/>
                <w:kern w:val="0"/>
                <w:sz w:val="18"/>
                <w:szCs w:val="18"/>
              </w:rPr>
            </w:pPr>
            <w:r>
              <w:rPr>
                <w:rFonts w:hint="eastAsia" w:ascii="宋体" w:hAnsi="宋体" w:cs="宋体"/>
                <w:kern w:val="0"/>
                <w:sz w:val="18"/>
                <w:szCs w:val="18"/>
              </w:rPr>
              <w:t>小江至汤丹公路扩建</w:t>
            </w:r>
          </w:p>
        </w:tc>
        <w:tc>
          <w:tcPr>
            <w:tcW w:w="796" w:type="dxa"/>
            <w:shd w:val="clear" w:color="auto" w:fill="auto"/>
            <w:vAlign w:val="center"/>
          </w:tcPr>
          <w:p w14:paraId="6BDE85A5">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D23E77F">
            <w:pPr>
              <w:widowControl/>
              <w:jc w:val="center"/>
              <w:rPr>
                <w:rFonts w:ascii="宋体" w:hAnsi="宋体" w:cs="宋体"/>
                <w:kern w:val="0"/>
                <w:sz w:val="18"/>
                <w:szCs w:val="18"/>
              </w:rPr>
            </w:pPr>
            <w:r>
              <w:rPr>
                <w:rFonts w:hint="eastAsia" w:ascii="宋体" w:hAnsi="宋体" w:cs="宋体"/>
                <w:kern w:val="0"/>
                <w:sz w:val="18"/>
                <w:szCs w:val="18"/>
              </w:rPr>
              <w:t>2015-2026</w:t>
            </w:r>
          </w:p>
        </w:tc>
        <w:tc>
          <w:tcPr>
            <w:tcW w:w="1026" w:type="dxa"/>
            <w:shd w:val="clear" w:color="auto" w:fill="auto"/>
            <w:noWrap/>
            <w:vAlign w:val="center"/>
          </w:tcPr>
          <w:p w14:paraId="0AF2D1E1">
            <w:pPr>
              <w:widowControl/>
              <w:jc w:val="center"/>
              <w:rPr>
                <w:rFonts w:ascii="宋体" w:hAnsi="宋体" w:cs="宋体"/>
                <w:kern w:val="0"/>
                <w:sz w:val="18"/>
                <w:szCs w:val="18"/>
              </w:rPr>
            </w:pPr>
            <w:r>
              <w:rPr>
                <w:rFonts w:hint="eastAsia" w:ascii="宋体" w:hAnsi="宋体" w:cs="宋体"/>
                <w:kern w:val="0"/>
                <w:sz w:val="18"/>
                <w:szCs w:val="18"/>
              </w:rPr>
              <w:t>29</w:t>
            </w:r>
          </w:p>
        </w:tc>
        <w:tc>
          <w:tcPr>
            <w:tcW w:w="946" w:type="dxa"/>
            <w:shd w:val="clear" w:color="auto" w:fill="auto"/>
            <w:vAlign w:val="center"/>
          </w:tcPr>
          <w:p w14:paraId="601BF376">
            <w:pPr>
              <w:widowControl/>
              <w:jc w:val="center"/>
              <w:rPr>
                <w:rFonts w:ascii="宋体" w:hAnsi="宋体" w:cs="宋体"/>
                <w:kern w:val="0"/>
                <w:sz w:val="18"/>
                <w:szCs w:val="18"/>
              </w:rPr>
            </w:pPr>
            <w:r>
              <w:rPr>
                <w:rFonts w:hint="eastAsia" w:ascii="宋体" w:hAnsi="宋体" w:cs="宋体"/>
                <w:kern w:val="0"/>
                <w:sz w:val="18"/>
                <w:szCs w:val="18"/>
              </w:rPr>
              <w:t>20</w:t>
            </w:r>
          </w:p>
        </w:tc>
        <w:tc>
          <w:tcPr>
            <w:tcW w:w="854" w:type="dxa"/>
            <w:shd w:val="clear" w:color="auto" w:fill="auto"/>
            <w:vAlign w:val="center"/>
          </w:tcPr>
          <w:p w14:paraId="4820D7CF">
            <w:pPr>
              <w:widowControl/>
              <w:jc w:val="center"/>
              <w:rPr>
                <w:rFonts w:ascii="宋体" w:hAnsi="宋体" w:cs="宋体"/>
                <w:kern w:val="0"/>
                <w:sz w:val="18"/>
                <w:szCs w:val="18"/>
              </w:rPr>
            </w:pPr>
            <w:r>
              <w:rPr>
                <w:rFonts w:hint="eastAsia" w:ascii="宋体" w:hAnsi="宋体" w:cs="宋体"/>
                <w:kern w:val="0"/>
                <w:sz w:val="18"/>
                <w:szCs w:val="18"/>
              </w:rPr>
              <w:t>3</w:t>
            </w:r>
          </w:p>
        </w:tc>
        <w:tc>
          <w:tcPr>
            <w:tcW w:w="1489" w:type="dxa"/>
            <w:shd w:val="clear" w:color="auto" w:fill="auto"/>
            <w:noWrap/>
            <w:vAlign w:val="center"/>
          </w:tcPr>
          <w:p w14:paraId="0ADC861D">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34868BA6">
            <w:pPr>
              <w:widowControl/>
              <w:jc w:val="center"/>
              <w:rPr>
                <w:rFonts w:ascii="宋体" w:hAnsi="宋体" w:cs="宋体"/>
                <w:kern w:val="0"/>
                <w:sz w:val="18"/>
                <w:szCs w:val="18"/>
              </w:rPr>
            </w:pPr>
          </w:p>
        </w:tc>
      </w:tr>
      <w:tr w14:paraId="11CA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61E0290">
            <w:pPr>
              <w:widowControl/>
              <w:jc w:val="center"/>
              <w:rPr>
                <w:rFonts w:ascii="宋体" w:hAnsi="宋体" w:cs="宋体"/>
                <w:kern w:val="0"/>
                <w:sz w:val="18"/>
                <w:szCs w:val="18"/>
              </w:rPr>
            </w:pPr>
          </w:p>
        </w:tc>
        <w:tc>
          <w:tcPr>
            <w:tcW w:w="3659" w:type="dxa"/>
            <w:shd w:val="clear" w:color="auto" w:fill="auto"/>
            <w:noWrap/>
            <w:vAlign w:val="center"/>
          </w:tcPr>
          <w:p w14:paraId="2DF51F55">
            <w:pPr>
              <w:widowControl/>
              <w:jc w:val="center"/>
              <w:rPr>
                <w:rFonts w:ascii="宋体" w:hAnsi="宋体" w:cs="宋体"/>
                <w:kern w:val="0"/>
                <w:sz w:val="18"/>
                <w:szCs w:val="18"/>
              </w:rPr>
            </w:pPr>
            <w:r>
              <w:rPr>
                <w:rFonts w:hint="eastAsia" w:ascii="宋体" w:hAnsi="宋体" w:cs="宋体"/>
                <w:kern w:val="0"/>
                <w:sz w:val="18"/>
                <w:szCs w:val="18"/>
              </w:rPr>
              <w:t>东川至寻甸倘甸二级公路项目</w:t>
            </w:r>
          </w:p>
        </w:tc>
        <w:tc>
          <w:tcPr>
            <w:tcW w:w="796" w:type="dxa"/>
            <w:shd w:val="clear" w:color="auto" w:fill="auto"/>
            <w:noWrap/>
            <w:vAlign w:val="center"/>
          </w:tcPr>
          <w:p w14:paraId="1F3B63FB">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36F26F39">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2C269C23">
            <w:pPr>
              <w:widowControl/>
              <w:jc w:val="center"/>
              <w:rPr>
                <w:rFonts w:ascii="宋体" w:hAnsi="宋体" w:cs="宋体"/>
                <w:kern w:val="0"/>
                <w:sz w:val="18"/>
                <w:szCs w:val="18"/>
              </w:rPr>
            </w:pPr>
            <w:r>
              <w:rPr>
                <w:rFonts w:hint="eastAsia" w:ascii="宋体" w:hAnsi="宋体" w:cs="宋体"/>
                <w:kern w:val="0"/>
                <w:sz w:val="18"/>
                <w:szCs w:val="18"/>
              </w:rPr>
              <w:t>207.88</w:t>
            </w:r>
          </w:p>
        </w:tc>
        <w:tc>
          <w:tcPr>
            <w:tcW w:w="946" w:type="dxa"/>
            <w:shd w:val="clear" w:color="auto" w:fill="auto"/>
            <w:noWrap/>
            <w:vAlign w:val="center"/>
          </w:tcPr>
          <w:p w14:paraId="6ACAF7F6">
            <w:pPr>
              <w:widowControl/>
              <w:jc w:val="center"/>
              <w:rPr>
                <w:rFonts w:ascii="宋体" w:hAnsi="宋体" w:cs="宋体"/>
                <w:kern w:val="0"/>
                <w:sz w:val="18"/>
                <w:szCs w:val="18"/>
              </w:rPr>
            </w:pPr>
            <w:r>
              <w:rPr>
                <w:rFonts w:hint="eastAsia" w:ascii="宋体" w:hAnsi="宋体" w:cs="宋体"/>
                <w:kern w:val="0"/>
                <w:sz w:val="18"/>
                <w:szCs w:val="18"/>
              </w:rPr>
              <w:t>207.88</w:t>
            </w:r>
          </w:p>
        </w:tc>
        <w:tc>
          <w:tcPr>
            <w:tcW w:w="854" w:type="dxa"/>
            <w:shd w:val="clear" w:color="auto" w:fill="auto"/>
            <w:noWrap/>
            <w:vAlign w:val="center"/>
          </w:tcPr>
          <w:p w14:paraId="41B30F8B">
            <w:pPr>
              <w:widowControl/>
              <w:jc w:val="center"/>
              <w:rPr>
                <w:rFonts w:ascii="宋体" w:hAnsi="宋体" w:cs="宋体"/>
                <w:kern w:val="0"/>
                <w:sz w:val="18"/>
                <w:szCs w:val="18"/>
              </w:rPr>
            </w:pPr>
            <w:r>
              <w:rPr>
                <w:rFonts w:hint="eastAsia" w:ascii="宋体" w:hAnsi="宋体" w:cs="宋体"/>
                <w:kern w:val="0"/>
                <w:sz w:val="18"/>
                <w:szCs w:val="18"/>
              </w:rPr>
              <w:t>207.88</w:t>
            </w:r>
          </w:p>
        </w:tc>
        <w:tc>
          <w:tcPr>
            <w:tcW w:w="1489" w:type="dxa"/>
            <w:shd w:val="clear" w:color="auto" w:fill="auto"/>
            <w:noWrap/>
            <w:vAlign w:val="center"/>
          </w:tcPr>
          <w:p w14:paraId="7199AF54">
            <w:pPr>
              <w:widowControl/>
              <w:jc w:val="center"/>
              <w:rPr>
                <w:rFonts w:ascii="宋体" w:hAnsi="宋体" w:cs="宋体"/>
                <w:kern w:val="0"/>
                <w:sz w:val="15"/>
                <w:szCs w:val="15"/>
              </w:rPr>
            </w:pPr>
            <w:r>
              <w:rPr>
                <w:rFonts w:hint="eastAsia" w:ascii="宋体" w:hAnsi="宋体" w:cs="宋体"/>
                <w:kern w:val="0"/>
                <w:sz w:val="15"/>
                <w:szCs w:val="15"/>
              </w:rPr>
              <w:t>铜都街道;乌龙镇;</w:t>
            </w:r>
          </w:p>
        </w:tc>
        <w:tc>
          <w:tcPr>
            <w:tcW w:w="577" w:type="dxa"/>
            <w:shd w:val="clear" w:color="auto" w:fill="auto"/>
            <w:noWrap/>
            <w:vAlign w:val="center"/>
          </w:tcPr>
          <w:p w14:paraId="29AC8CD7">
            <w:pPr>
              <w:widowControl/>
              <w:jc w:val="center"/>
              <w:rPr>
                <w:rFonts w:ascii="宋体" w:hAnsi="宋体" w:cs="宋体"/>
                <w:kern w:val="0"/>
                <w:sz w:val="18"/>
                <w:szCs w:val="18"/>
              </w:rPr>
            </w:pPr>
          </w:p>
        </w:tc>
      </w:tr>
      <w:tr w14:paraId="1F85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EA0613F">
            <w:pPr>
              <w:widowControl/>
              <w:jc w:val="center"/>
              <w:rPr>
                <w:rFonts w:ascii="宋体" w:hAnsi="宋体" w:cs="宋体"/>
                <w:kern w:val="0"/>
                <w:sz w:val="18"/>
                <w:szCs w:val="18"/>
              </w:rPr>
            </w:pPr>
          </w:p>
        </w:tc>
        <w:tc>
          <w:tcPr>
            <w:tcW w:w="3659" w:type="dxa"/>
            <w:shd w:val="clear" w:color="auto" w:fill="auto"/>
            <w:noWrap/>
            <w:vAlign w:val="center"/>
          </w:tcPr>
          <w:p w14:paraId="69C22618">
            <w:pPr>
              <w:widowControl/>
              <w:jc w:val="center"/>
              <w:rPr>
                <w:rFonts w:ascii="宋体" w:hAnsi="宋体" w:cs="宋体"/>
                <w:kern w:val="0"/>
                <w:sz w:val="18"/>
                <w:szCs w:val="18"/>
              </w:rPr>
            </w:pPr>
            <w:r>
              <w:rPr>
                <w:rFonts w:hint="eastAsia" w:ascii="宋体" w:hAnsi="宋体" w:cs="宋体"/>
                <w:kern w:val="0"/>
                <w:sz w:val="18"/>
                <w:szCs w:val="18"/>
              </w:rPr>
              <w:t>金东大桥与龙东格公路的连接线</w:t>
            </w:r>
          </w:p>
        </w:tc>
        <w:tc>
          <w:tcPr>
            <w:tcW w:w="796" w:type="dxa"/>
            <w:shd w:val="clear" w:color="auto" w:fill="auto"/>
            <w:vAlign w:val="center"/>
          </w:tcPr>
          <w:p w14:paraId="2A576790">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05680ECE">
            <w:pPr>
              <w:widowControl/>
              <w:jc w:val="center"/>
              <w:rPr>
                <w:rFonts w:ascii="宋体" w:hAnsi="宋体" w:cs="宋体"/>
                <w:kern w:val="0"/>
                <w:sz w:val="18"/>
                <w:szCs w:val="18"/>
              </w:rPr>
            </w:pPr>
            <w:r>
              <w:rPr>
                <w:rFonts w:hint="eastAsia" w:ascii="宋体" w:hAnsi="宋体" w:cs="宋体"/>
                <w:kern w:val="0"/>
                <w:sz w:val="18"/>
                <w:szCs w:val="18"/>
              </w:rPr>
              <w:t>2015-2017</w:t>
            </w:r>
          </w:p>
        </w:tc>
        <w:tc>
          <w:tcPr>
            <w:tcW w:w="1026" w:type="dxa"/>
            <w:shd w:val="clear" w:color="auto" w:fill="auto"/>
            <w:noWrap/>
            <w:vAlign w:val="center"/>
          </w:tcPr>
          <w:p w14:paraId="44441DAF">
            <w:pPr>
              <w:widowControl/>
              <w:jc w:val="center"/>
              <w:rPr>
                <w:rFonts w:ascii="宋体" w:hAnsi="宋体" w:cs="宋体"/>
                <w:kern w:val="0"/>
                <w:sz w:val="18"/>
                <w:szCs w:val="18"/>
              </w:rPr>
            </w:pPr>
            <w:r>
              <w:rPr>
                <w:rFonts w:hint="eastAsia" w:ascii="宋体" w:hAnsi="宋体" w:cs="宋体"/>
                <w:kern w:val="0"/>
                <w:sz w:val="18"/>
                <w:szCs w:val="18"/>
              </w:rPr>
              <w:t>3.8</w:t>
            </w:r>
          </w:p>
        </w:tc>
        <w:tc>
          <w:tcPr>
            <w:tcW w:w="946" w:type="dxa"/>
            <w:shd w:val="clear" w:color="auto" w:fill="auto"/>
            <w:vAlign w:val="center"/>
          </w:tcPr>
          <w:p w14:paraId="3AD330B4">
            <w:pPr>
              <w:widowControl/>
              <w:jc w:val="center"/>
              <w:rPr>
                <w:rFonts w:ascii="宋体" w:hAnsi="宋体" w:cs="宋体"/>
                <w:kern w:val="0"/>
                <w:sz w:val="18"/>
                <w:szCs w:val="18"/>
              </w:rPr>
            </w:pPr>
          </w:p>
        </w:tc>
        <w:tc>
          <w:tcPr>
            <w:tcW w:w="854" w:type="dxa"/>
            <w:shd w:val="clear" w:color="auto" w:fill="auto"/>
            <w:vAlign w:val="center"/>
          </w:tcPr>
          <w:p w14:paraId="6FABEFA5">
            <w:pPr>
              <w:widowControl/>
              <w:jc w:val="center"/>
              <w:rPr>
                <w:rFonts w:ascii="宋体" w:hAnsi="宋体" w:cs="宋体"/>
                <w:kern w:val="0"/>
                <w:sz w:val="18"/>
                <w:szCs w:val="18"/>
              </w:rPr>
            </w:pPr>
          </w:p>
        </w:tc>
        <w:tc>
          <w:tcPr>
            <w:tcW w:w="1489" w:type="dxa"/>
            <w:shd w:val="clear" w:color="auto" w:fill="auto"/>
            <w:vAlign w:val="center"/>
          </w:tcPr>
          <w:p w14:paraId="0BE3709E">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0E2DA71F">
            <w:pPr>
              <w:widowControl/>
              <w:jc w:val="center"/>
              <w:rPr>
                <w:rFonts w:ascii="宋体" w:hAnsi="宋体" w:cs="宋体"/>
                <w:kern w:val="0"/>
                <w:sz w:val="18"/>
                <w:szCs w:val="18"/>
              </w:rPr>
            </w:pPr>
          </w:p>
        </w:tc>
      </w:tr>
      <w:tr w14:paraId="5B18E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A11333C">
            <w:pPr>
              <w:widowControl/>
              <w:jc w:val="center"/>
              <w:rPr>
                <w:rFonts w:ascii="宋体" w:hAnsi="宋体" w:cs="宋体"/>
                <w:kern w:val="0"/>
                <w:sz w:val="18"/>
                <w:szCs w:val="18"/>
              </w:rPr>
            </w:pPr>
          </w:p>
        </w:tc>
        <w:tc>
          <w:tcPr>
            <w:tcW w:w="3659" w:type="dxa"/>
            <w:shd w:val="clear" w:color="auto" w:fill="auto"/>
            <w:noWrap/>
            <w:vAlign w:val="center"/>
          </w:tcPr>
          <w:p w14:paraId="02C745C9">
            <w:pPr>
              <w:widowControl/>
              <w:jc w:val="center"/>
              <w:rPr>
                <w:rFonts w:ascii="宋体" w:hAnsi="宋体" w:cs="宋体"/>
                <w:kern w:val="0"/>
                <w:sz w:val="18"/>
                <w:szCs w:val="18"/>
              </w:rPr>
            </w:pPr>
            <w:r>
              <w:rPr>
                <w:rFonts w:hint="eastAsia" w:ascii="宋体" w:hAnsi="宋体" w:cs="宋体"/>
                <w:kern w:val="0"/>
                <w:sz w:val="18"/>
                <w:szCs w:val="18"/>
              </w:rPr>
              <w:t>凯通北路连接线</w:t>
            </w:r>
          </w:p>
        </w:tc>
        <w:tc>
          <w:tcPr>
            <w:tcW w:w="796" w:type="dxa"/>
            <w:shd w:val="clear" w:color="auto" w:fill="auto"/>
            <w:noWrap/>
            <w:vAlign w:val="center"/>
          </w:tcPr>
          <w:p w14:paraId="6FCAEC41">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D7266D2">
            <w:pPr>
              <w:widowControl/>
              <w:jc w:val="center"/>
              <w:rPr>
                <w:rFonts w:ascii="宋体" w:hAnsi="宋体" w:cs="宋体"/>
                <w:kern w:val="0"/>
                <w:sz w:val="18"/>
                <w:szCs w:val="18"/>
              </w:rPr>
            </w:pPr>
            <w:r>
              <w:rPr>
                <w:rFonts w:hint="eastAsia" w:ascii="宋体" w:hAnsi="宋体" w:cs="宋体"/>
                <w:kern w:val="0"/>
                <w:sz w:val="18"/>
                <w:szCs w:val="18"/>
              </w:rPr>
              <w:t>2011-2015</w:t>
            </w:r>
          </w:p>
        </w:tc>
        <w:tc>
          <w:tcPr>
            <w:tcW w:w="1026" w:type="dxa"/>
            <w:shd w:val="clear" w:color="auto" w:fill="auto"/>
            <w:noWrap/>
            <w:vAlign w:val="center"/>
          </w:tcPr>
          <w:p w14:paraId="34678AE8">
            <w:pPr>
              <w:widowControl/>
              <w:jc w:val="center"/>
              <w:rPr>
                <w:rFonts w:ascii="宋体" w:hAnsi="宋体" w:cs="宋体"/>
                <w:kern w:val="0"/>
                <w:sz w:val="18"/>
                <w:szCs w:val="18"/>
              </w:rPr>
            </w:pPr>
            <w:r>
              <w:rPr>
                <w:rFonts w:hint="eastAsia" w:ascii="宋体" w:hAnsi="宋体" w:cs="宋体"/>
                <w:kern w:val="0"/>
                <w:sz w:val="18"/>
                <w:szCs w:val="18"/>
              </w:rPr>
              <w:t>0.44</w:t>
            </w:r>
          </w:p>
        </w:tc>
        <w:tc>
          <w:tcPr>
            <w:tcW w:w="946" w:type="dxa"/>
            <w:shd w:val="clear" w:color="auto" w:fill="auto"/>
            <w:noWrap/>
            <w:vAlign w:val="center"/>
          </w:tcPr>
          <w:p w14:paraId="08D17733">
            <w:pPr>
              <w:widowControl/>
              <w:jc w:val="center"/>
              <w:rPr>
                <w:rFonts w:ascii="宋体" w:hAnsi="宋体" w:cs="宋体"/>
                <w:kern w:val="0"/>
                <w:sz w:val="18"/>
                <w:szCs w:val="18"/>
              </w:rPr>
            </w:pPr>
            <w:r>
              <w:rPr>
                <w:rFonts w:hint="eastAsia" w:ascii="宋体" w:hAnsi="宋体" w:cs="宋体"/>
                <w:kern w:val="0"/>
                <w:sz w:val="18"/>
                <w:szCs w:val="18"/>
              </w:rPr>
              <w:t>0.44</w:t>
            </w:r>
          </w:p>
        </w:tc>
        <w:tc>
          <w:tcPr>
            <w:tcW w:w="854" w:type="dxa"/>
            <w:shd w:val="clear" w:color="auto" w:fill="auto"/>
            <w:noWrap/>
            <w:vAlign w:val="center"/>
          </w:tcPr>
          <w:p w14:paraId="353949F9">
            <w:pPr>
              <w:widowControl/>
              <w:jc w:val="center"/>
              <w:rPr>
                <w:rFonts w:ascii="宋体" w:hAnsi="宋体" w:cs="宋体"/>
                <w:kern w:val="0"/>
                <w:sz w:val="18"/>
                <w:szCs w:val="18"/>
              </w:rPr>
            </w:pPr>
            <w:r>
              <w:rPr>
                <w:rFonts w:hint="eastAsia" w:ascii="宋体" w:hAnsi="宋体" w:cs="宋体"/>
                <w:kern w:val="0"/>
                <w:sz w:val="18"/>
                <w:szCs w:val="18"/>
              </w:rPr>
              <w:t>0.31</w:t>
            </w:r>
          </w:p>
        </w:tc>
        <w:tc>
          <w:tcPr>
            <w:tcW w:w="1489" w:type="dxa"/>
            <w:shd w:val="clear" w:color="auto" w:fill="auto"/>
            <w:noWrap/>
            <w:vAlign w:val="center"/>
          </w:tcPr>
          <w:p w14:paraId="54212CD3">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27FCAD44">
            <w:pPr>
              <w:widowControl/>
              <w:jc w:val="center"/>
              <w:rPr>
                <w:rFonts w:ascii="宋体" w:hAnsi="宋体" w:cs="宋体"/>
                <w:kern w:val="0"/>
                <w:sz w:val="18"/>
                <w:szCs w:val="18"/>
              </w:rPr>
            </w:pPr>
          </w:p>
        </w:tc>
      </w:tr>
      <w:tr w14:paraId="632F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B316B2B">
            <w:pPr>
              <w:widowControl/>
              <w:jc w:val="center"/>
              <w:rPr>
                <w:rFonts w:ascii="宋体" w:hAnsi="宋体" w:cs="宋体"/>
                <w:kern w:val="0"/>
                <w:sz w:val="18"/>
                <w:szCs w:val="18"/>
              </w:rPr>
            </w:pPr>
          </w:p>
        </w:tc>
        <w:tc>
          <w:tcPr>
            <w:tcW w:w="3659" w:type="dxa"/>
            <w:shd w:val="clear" w:color="auto" w:fill="auto"/>
            <w:noWrap/>
            <w:vAlign w:val="center"/>
          </w:tcPr>
          <w:p w14:paraId="55F44F3A">
            <w:pPr>
              <w:widowControl/>
              <w:jc w:val="center"/>
              <w:rPr>
                <w:rFonts w:ascii="宋体" w:hAnsi="宋体" w:cs="宋体"/>
                <w:kern w:val="0"/>
                <w:sz w:val="18"/>
                <w:szCs w:val="18"/>
              </w:rPr>
            </w:pPr>
            <w:r>
              <w:rPr>
                <w:rFonts w:hint="eastAsia" w:ascii="宋体" w:hAnsi="宋体" w:cs="宋体"/>
                <w:kern w:val="0"/>
                <w:sz w:val="18"/>
                <w:szCs w:val="18"/>
              </w:rPr>
              <w:t>新乌公路</w:t>
            </w:r>
          </w:p>
        </w:tc>
        <w:tc>
          <w:tcPr>
            <w:tcW w:w="796" w:type="dxa"/>
            <w:shd w:val="clear" w:color="auto" w:fill="auto"/>
            <w:vAlign w:val="center"/>
          </w:tcPr>
          <w:p w14:paraId="2DFB029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0E15E4F">
            <w:pPr>
              <w:widowControl/>
              <w:jc w:val="center"/>
              <w:rPr>
                <w:rFonts w:ascii="宋体" w:hAnsi="宋体" w:cs="宋体"/>
                <w:kern w:val="0"/>
                <w:sz w:val="18"/>
                <w:szCs w:val="18"/>
              </w:rPr>
            </w:pPr>
            <w:r>
              <w:rPr>
                <w:rFonts w:hint="eastAsia" w:ascii="宋体" w:hAnsi="宋体" w:cs="宋体"/>
                <w:kern w:val="0"/>
                <w:sz w:val="18"/>
                <w:szCs w:val="18"/>
              </w:rPr>
              <w:t>2017-2020</w:t>
            </w:r>
          </w:p>
        </w:tc>
        <w:tc>
          <w:tcPr>
            <w:tcW w:w="1026" w:type="dxa"/>
            <w:shd w:val="clear" w:color="auto" w:fill="auto"/>
            <w:noWrap/>
            <w:vAlign w:val="center"/>
          </w:tcPr>
          <w:p w14:paraId="465A7FCB">
            <w:pPr>
              <w:widowControl/>
              <w:jc w:val="center"/>
              <w:rPr>
                <w:rFonts w:ascii="宋体" w:hAnsi="宋体" w:cs="宋体"/>
                <w:kern w:val="0"/>
                <w:sz w:val="18"/>
                <w:szCs w:val="18"/>
              </w:rPr>
            </w:pPr>
            <w:r>
              <w:rPr>
                <w:rFonts w:hint="eastAsia" w:ascii="宋体" w:hAnsi="宋体" w:cs="宋体"/>
                <w:kern w:val="0"/>
                <w:sz w:val="18"/>
                <w:szCs w:val="18"/>
              </w:rPr>
              <w:t>1.52</w:t>
            </w:r>
          </w:p>
        </w:tc>
        <w:tc>
          <w:tcPr>
            <w:tcW w:w="946" w:type="dxa"/>
            <w:shd w:val="clear" w:color="auto" w:fill="auto"/>
            <w:noWrap/>
            <w:vAlign w:val="center"/>
          </w:tcPr>
          <w:p w14:paraId="06BC572D">
            <w:pPr>
              <w:widowControl/>
              <w:jc w:val="center"/>
              <w:rPr>
                <w:rFonts w:ascii="宋体" w:hAnsi="宋体" w:cs="宋体"/>
                <w:kern w:val="0"/>
                <w:sz w:val="18"/>
                <w:szCs w:val="18"/>
              </w:rPr>
            </w:pPr>
            <w:r>
              <w:rPr>
                <w:rFonts w:hint="eastAsia" w:ascii="宋体" w:hAnsi="宋体" w:cs="宋体"/>
                <w:kern w:val="0"/>
                <w:sz w:val="18"/>
                <w:szCs w:val="18"/>
              </w:rPr>
              <w:t>1.52</w:t>
            </w:r>
          </w:p>
        </w:tc>
        <w:tc>
          <w:tcPr>
            <w:tcW w:w="854" w:type="dxa"/>
            <w:shd w:val="clear" w:color="auto" w:fill="auto"/>
            <w:noWrap/>
            <w:vAlign w:val="center"/>
          </w:tcPr>
          <w:p w14:paraId="37F32DFE">
            <w:pPr>
              <w:widowControl/>
              <w:jc w:val="center"/>
              <w:rPr>
                <w:rFonts w:ascii="宋体" w:hAnsi="宋体" w:cs="宋体"/>
                <w:kern w:val="0"/>
                <w:sz w:val="18"/>
                <w:szCs w:val="18"/>
              </w:rPr>
            </w:pPr>
            <w:r>
              <w:rPr>
                <w:rFonts w:hint="eastAsia" w:ascii="宋体" w:hAnsi="宋体" w:cs="宋体"/>
                <w:kern w:val="0"/>
                <w:sz w:val="18"/>
                <w:szCs w:val="18"/>
              </w:rPr>
              <w:t>1.2</w:t>
            </w:r>
          </w:p>
        </w:tc>
        <w:tc>
          <w:tcPr>
            <w:tcW w:w="1489" w:type="dxa"/>
            <w:shd w:val="clear" w:color="auto" w:fill="auto"/>
            <w:noWrap/>
            <w:vAlign w:val="center"/>
          </w:tcPr>
          <w:p w14:paraId="17FABDA9">
            <w:pPr>
              <w:widowControl/>
              <w:jc w:val="center"/>
              <w:rPr>
                <w:rFonts w:ascii="宋体" w:hAnsi="宋体" w:cs="宋体"/>
                <w:kern w:val="0"/>
                <w:sz w:val="15"/>
                <w:szCs w:val="15"/>
              </w:rPr>
            </w:pPr>
            <w:r>
              <w:rPr>
                <w:rFonts w:hint="eastAsia" w:ascii="宋体" w:hAnsi="宋体" w:cs="宋体"/>
                <w:kern w:val="0"/>
                <w:sz w:val="15"/>
                <w:szCs w:val="15"/>
              </w:rPr>
              <w:t>红土地镇</w:t>
            </w:r>
          </w:p>
        </w:tc>
        <w:tc>
          <w:tcPr>
            <w:tcW w:w="577" w:type="dxa"/>
            <w:shd w:val="clear" w:color="auto" w:fill="auto"/>
            <w:noWrap/>
            <w:vAlign w:val="center"/>
          </w:tcPr>
          <w:p w14:paraId="15F61A14">
            <w:pPr>
              <w:widowControl/>
              <w:jc w:val="center"/>
              <w:rPr>
                <w:rFonts w:ascii="宋体" w:hAnsi="宋体" w:cs="宋体"/>
                <w:kern w:val="0"/>
                <w:sz w:val="18"/>
                <w:szCs w:val="18"/>
              </w:rPr>
            </w:pPr>
          </w:p>
        </w:tc>
      </w:tr>
      <w:tr w14:paraId="56BD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5AAF9B7">
            <w:pPr>
              <w:widowControl/>
              <w:jc w:val="center"/>
              <w:rPr>
                <w:rFonts w:ascii="宋体" w:hAnsi="宋体" w:cs="宋体"/>
                <w:kern w:val="0"/>
                <w:sz w:val="18"/>
                <w:szCs w:val="18"/>
              </w:rPr>
            </w:pPr>
          </w:p>
        </w:tc>
        <w:tc>
          <w:tcPr>
            <w:tcW w:w="3659" w:type="dxa"/>
            <w:shd w:val="clear" w:color="auto" w:fill="auto"/>
            <w:noWrap/>
            <w:vAlign w:val="center"/>
          </w:tcPr>
          <w:p w14:paraId="5777573C">
            <w:pPr>
              <w:widowControl/>
              <w:jc w:val="center"/>
              <w:rPr>
                <w:rFonts w:ascii="宋体" w:hAnsi="宋体" w:cs="宋体"/>
                <w:kern w:val="0"/>
                <w:sz w:val="18"/>
                <w:szCs w:val="18"/>
              </w:rPr>
            </w:pPr>
            <w:r>
              <w:rPr>
                <w:rFonts w:hint="eastAsia" w:ascii="宋体" w:hAnsi="宋体" w:cs="宋体"/>
                <w:kern w:val="0"/>
                <w:sz w:val="18"/>
                <w:szCs w:val="18"/>
              </w:rPr>
              <w:t>寻甸至舍块乡公路</w:t>
            </w:r>
          </w:p>
        </w:tc>
        <w:tc>
          <w:tcPr>
            <w:tcW w:w="796" w:type="dxa"/>
            <w:shd w:val="clear" w:color="auto" w:fill="auto"/>
            <w:noWrap/>
            <w:vAlign w:val="center"/>
          </w:tcPr>
          <w:p w14:paraId="38269C5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CE06B5D">
            <w:pPr>
              <w:widowControl/>
              <w:jc w:val="center"/>
              <w:rPr>
                <w:rFonts w:ascii="宋体" w:hAnsi="宋体" w:cs="宋体"/>
                <w:kern w:val="0"/>
                <w:sz w:val="18"/>
                <w:szCs w:val="18"/>
              </w:rPr>
            </w:pPr>
            <w:r>
              <w:rPr>
                <w:rFonts w:hint="eastAsia" w:ascii="宋体" w:hAnsi="宋体" w:cs="宋体"/>
                <w:kern w:val="0"/>
                <w:sz w:val="18"/>
                <w:szCs w:val="18"/>
              </w:rPr>
              <w:t>2017-2020</w:t>
            </w:r>
          </w:p>
        </w:tc>
        <w:tc>
          <w:tcPr>
            <w:tcW w:w="1026" w:type="dxa"/>
            <w:shd w:val="clear" w:color="auto" w:fill="auto"/>
            <w:noWrap/>
            <w:vAlign w:val="center"/>
          </w:tcPr>
          <w:p w14:paraId="27E50EE6">
            <w:pPr>
              <w:widowControl/>
              <w:jc w:val="center"/>
              <w:rPr>
                <w:rFonts w:ascii="宋体" w:hAnsi="宋体" w:cs="宋体"/>
                <w:kern w:val="0"/>
                <w:sz w:val="18"/>
                <w:szCs w:val="18"/>
              </w:rPr>
            </w:pPr>
            <w:r>
              <w:rPr>
                <w:rFonts w:hint="eastAsia" w:ascii="宋体" w:hAnsi="宋体" w:cs="宋体"/>
                <w:kern w:val="0"/>
                <w:sz w:val="18"/>
                <w:szCs w:val="18"/>
              </w:rPr>
              <w:t>20.84</w:t>
            </w:r>
          </w:p>
        </w:tc>
        <w:tc>
          <w:tcPr>
            <w:tcW w:w="946" w:type="dxa"/>
            <w:shd w:val="clear" w:color="auto" w:fill="auto"/>
            <w:noWrap/>
            <w:vAlign w:val="center"/>
          </w:tcPr>
          <w:p w14:paraId="5F00AFF8">
            <w:pPr>
              <w:widowControl/>
              <w:jc w:val="center"/>
              <w:rPr>
                <w:rFonts w:ascii="宋体" w:hAnsi="宋体" w:cs="宋体"/>
                <w:kern w:val="0"/>
                <w:sz w:val="18"/>
                <w:szCs w:val="18"/>
              </w:rPr>
            </w:pPr>
            <w:r>
              <w:rPr>
                <w:rFonts w:hint="eastAsia" w:ascii="宋体" w:hAnsi="宋体" w:cs="宋体"/>
                <w:kern w:val="0"/>
                <w:sz w:val="18"/>
                <w:szCs w:val="18"/>
              </w:rPr>
              <w:t>20.84</w:t>
            </w:r>
          </w:p>
        </w:tc>
        <w:tc>
          <w:tcPr>
            <w:tcW w:w="854" w:type="dxa"/>
            <w:shd w:val="clear" w:color="auto" w:fill="auto"/>
            <w:noWrap/>
            <w:vAlign w:val="center"/>
          </w:tcPr>
          <w:p w14:paraId="3D23C7EC">
            <w:pPr>
              <w:widowControl/>
              <w:jc w:val="center"/>
              <w:rPr>
                <w:rFonts w:ascii="宋体" w:hAnsi="宋体" w:cs="宋体"/>
                <w:kern w:val="0"/>
                <w:sz w:val="18"/>
                <w:szCs w:val="18"/>
              </w:rPr>
            </w:pPr>
            <w:r>
              <w:rPr>
                <w:rFonts w:hint="eastAsia" w:ascii="宋体" w:hAnsi="宋体" w:cs="宋体"/>
                <w:kern w:val="0"/>
                <w:sz w:val="18"/>
                <w:szCs w:val="18"/>
              </w:rPr>
              <w:t>3.14</w:t>
            </w:r>
          </w:p>
        </w:tc>
        <w:tc>
          <w:tcPr>
            <w:tcW w:w="1489" w:type="dxa"/>
            <w:shd w:val="clear" w:color="auto" w:fill="auto"/>
            <w:noWrap/>
            <w:vAlign w:val="center"/>
          </w:tcPr>
          <w:p w14:paraId="725F4B50">
            <w:pPr>
              <w:widowControl/>
              <w:jc w:val="center"/>
              <w:rPr>
                <w:rFonts w:ascii="宋体" w:hAnsi="宋体" w:cs="宋体"/>
                <w:kern w:val="0"/>
                <w:sz w:val="15"/>
                <w:szCs w:val="15"/>
              </w:rPr>
            </w:pPr>
            <w:r>
              <w:rPr>
                <w:rFonts w:hint="eastAsia" w:ascii="宋体" w:hAnsi="宋体" w:cs="宋体"/>
                <w:kern w:val="0"/>
                <w:sz w:val="15"/>
                <w:szCs w:val="15"/>
              </w:rPr>
              <w:t>舍块乡</w:t>
            </w:r>
          </w:p>
        </w:tc>
        <w:tc>
          <w:tcPr>
            <w:tcW w:w="577" w:type="dxa"/>
            <w:shd w:val="clear" w:color="auto" w:fill="auto"/>
            <w:noWrap/>
            <w:vAlign w:val="center"/>
          </w:tcPr>
          <w:p w14:paraId="78111A9E">
            <w:pPr>
              <w:widowControl/>
              <w:jc w:val="center"/>
              <w:rPr>
                <w:rFonts w:ascii="宋体" w:hAnsi="宋体" w:cs="宋体"/>
                <w:kern w:val="0"/>
                <w:sz w:val="18"/>
                <w:szCs w:val="18"/>
              </w:rPr>
            </w:pPr>
          </w:p>
        </w:tc>
      </w:tr>
      <w:tr w14:paraId="3138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A1ABFF0">
            <w:pPr>
              <w:widowControl/>
              <w:jc w:val="center"/>
              <w:rPr>
                <w:rFonts w:ascii="宋体" w:hAnsi="宋体" w:cs="宋体"/>
                <w:kern w:val="0"/>
                <w:sz w:val="18"/>
                <w:szCs w:val="18"/>
              </w:rPr>
            </w:pPr>
          </w:p>
        </w:tc>
        <w:tc>
          <w:tcPr>
            <w:tcW w:w="3659" w:type="dxa"/>
            <w:shd w:val="clear" w:color="auto" w:fill="auto"/>
            <w:noWrap/>
            <w:vAlign w:val="center"/>
          </w:tcPr>
          <w:p w14:paraId="78BB3202">
            <w:pPr>
              <w:widowControl/>
              <w:jc w:val="center"/>
              <w:rPr>
                <w:rFonts w:ascii="宋体" w:hAnsi="宋体" w:cs="宋体"/>
                <w:kern w:val="0"/>
                <w:sz w:val="18"/>
                <w:szCs w:val="18"/>
              </w:rPr>
            </w:pPr>
            <w:r>
              <w:rPr>
                <w:rFonts w:hint="eastAsia" w:ascii="宋体" w:hAnsi="宋体" w:cs="宋体"/>
                <w:kern w:val="0"/>
                <w:sz w:val="18"/>
                <w:szCs w:val="18"/>
              </w:rPr>
              <w:t>基多河大桥</w:t>
            </w:r>
          </w:p>
        </w:tc>
        <w:tc>
          <w:tcPr>
            <w:tcW w:w="796" w:type="dxa"/>
            <w:shd w:val="clear" w:color="auto" w:fill="auto"/>
            <w:noWrap/>
            <w:vAlign w:val="center"/>
          </w:tcPr>
          <w:p w14:paraId="1A1F245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0FDEDB53">
            <w:pPr>
              <w:widowControl/>
              <w:jc w:val="center"/>
              <w:rPr>
                <w:rFonts w:ascii="宋体" w:hAnsi="宋体" w:cs="宋体"/>
                <w:kern w:val="0"/>
                <w:sz w:val="18"/>
                <w:szCs w:val="18"/>
              </w:rPr>
            </w:pPr>
            <w:r>
              <w:rPr>
                <w:rFonts w:hint="eastAsia" w:ascii="宋体" w:hAnsi="宋体" w:cs="宋体"/>
                <w:kern w:val="0"/>
                <w:sz w:val="18"/>
                <w:szCs w:val="18"/>
              </w:rPr>
              <w:t>2019</w:t>
            </w:r>
          </w:p>
        </w:tc>
        <w:tc>
          <w:tcPr>
            <w:tcW w:w="1026" w:type="dxa"/>
            <w:shd w:val="clear" w:color="auto" w:fill="auto"/>
            <w:noWrap/>
            <w:vAlign w:val="center"/>
          </w:tcPr>
          <w:p w14:paraId="45E7F926">
            <w:pPr>
              <w:widowControl/>
              <w:jc w:val="center"/>
              <w:rPr>
                <w:rFonts w:ascii="宋体" w:hAnsi="宋体" w:cs="宋体"/>
                <w:kern w:val="0"/>
                <w:sz w:val="18"/>
                <w:szCs w:val="18"/>
              </w:rPr>
            </w:pPr>
            <w:r>
              <w:rPr>
                <w:rFonts w:hint="eastAsia" w:ascii="宋体" w:hAnsi="宋体" w:cs="宋体"/>
                <w:kern w:val="0"/>
                <w:sz w:val="18"/>
                <w:szCs w:val="18"/>
              </w:rPr>
              <w:t>0.58</w:t>
            </w:r>
          </w:p>
        </w:tc>
        <w:tc>
          <w:tcPr>
            <w:tcW w:w="946" w:type="dxa"/>
            <w:shd w:val="clear" w:color="auto" w:fill="auto"/>
            <w:noWrap/>
            <w:vAlign w:val="center"/>
          </w:tcPr>
          <w:p w14:paraId="4EB2E304">
            <w:pPr>
              <w:widowControl/>
              <w:jc w:val="center"/>
              <w:rPr>
                <w:rFonts w:ascii="宋体" w:hAnsi="宋体" w:cs="宋体"/>
                <w:kern w:val="0"/>
                <w:sz w:val="18"/>
                <w:szCs w:val="18"/>
              </w:rPr>
            </w:pPr>
            <w:r>
              <w:rPr>
                <w:rFonts w:hint="eastAsia" w:ascii="宋体" w:hAnsi="宋体" w:cs="宋体"/>
                <w:kern w:val="0"/>
                <w:sz w:val="18"/>
                <w:szCs w:val="18"/>
              </w:rPr>
              <w:t>0.58</w:t>
            </w:r>
          </w:p>
        </w:tc>
        <w:tc>
          <w:tcPr>
            <w:tcW w:w="854" w:type="dxa"/>
            <w:shd w:val="clear" w:color="auto" w:fill="auto"/>
            <w:noWrap/>
            <w:vAlign w:val="center"/>
          </w:tcPr>
          <w:p w14:paraId="7880D584">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61E632D4">
            <w:pPr>
              <w:widowControl/>
              <w:jc w:val="center"/>
              <w:rPr>
                <w:rFonts w:ascii="宋体" w:hAnsi="宋体" w:cs="宋体"/>
                <w:kern w:val="0"/>
                <w:sz w:val="15"/>
                <w:szCs w:val="15"/>
              </w:rPr>
            </w:pPr>
            <w:r>
              <w:rPr>
                <w:rFonts w:hint="eastAsia" w:ascii="宋体" w:hAnsi="宋体" w:cs="宋体"/>
                <w:kern w:val="0"/>
                <w:sz w:val="15"/>
                <w:szCs w:val="15"/>
              </w:rPr>
              <w:t>舍块乡</w:t>
            </w:r>
          </w:p>
        </w:tc>
        <w:tc>
          <w:tcPr>
            <w:tcW w:w="577" w:type="dxa"/>
            <w:shd w:val="clear" w:color="auto" w:fill="auto"/>
            <w:noWrap/>
            <w:vAlign w:val="center"/>
          </w:tcPr>
          <w:p w14:paraId="61237C03">
            <w:pPr>
              <w:widowControl/>
              <w:jc w:val="center"/>
              <w:rPr>
                <w:rFonts w:ascii="宋体" w:hAnsi="宋体" w:cs="宋体"/>
                <w:kern w:val="0"/>
                <w:sz w:val="18"/>
                <w:szCs w:val="18"/>
              </w:rPr>
            </w:pPr>
          </w:p>
        </w:tc>
      </w:tr>
      <w:tr w14:paraId="4C29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8FED94B">
            <w:pPr>
              <w:widowControl/>
              <w:jc w:val="center"/>
              <w:rPr>
                <w:rFonts w:ascii="宋体" w:hAnsi="宋体" w:cs="宋体"/>
                <w:kern w:val="0"/>
                <w:sz w:val="18"/>
                <w:szCs w:val="18"/>
              </w:rPr>
            </w:pPr>
          </w:p>
        </w:tc>
        <w:tc>
          <w:tcPr>
            <w:tcW w:w="3659" w:type="dxa"/>
            <w:shd w:val="clear" w:color="auto" w:fill="auto"/>
            <w:noWrap/>
            <w:vAlign w:val="center"/>
          </w:tcPr>
          <w:p w14:paraId="4705C50A">
            <w:pPr>
              <w:widowControl/>
              <w:jc w:val="center"/>
              <w:rPr>
                <w:rFonts w:ascii="宋体" w:hAnsi="宋体" w:cs="宋体"/>
                <w:kern w:val="0"/>
                <w:sz w:val="18"/>
                <w:szCs w:val="18"/>
              </w:rPr>
            </w:pPr>
            <w:r>
              <w:rPr>
                <w:rFonts w:hint="eastAsia" w:ascii="宋体" w:hAnsi="宋体" w:cs="宋体"/>
                <w:kern w:val="0"/>
                <w:sz w:val="18"/>
                <w:szCs w:val="18"/>
              </w:rPr>
              <w:t>普渡河大桥</w:t>
            </w:r>
          </w:p>
        </w:tc>
        <w:tc>
          <w:tcPr>
            <w:tcW w:w="796" w:type="dxa"/>
            <w:shd w:val="clear" w:color="auto" w:fill="auto"/>
            <w:noWrap/>
            <w:vAlign w:val="center"/>
          </w:tcPr>
          <w:p w14:paraId="6688959F">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5399C890">
            <w:pPr>
              <w:widowControl/>
              <w:jc w:val="center"/>
              <w:rPr>
                <w:rFonts w:ascii="宋体" w:hAnsi="宋体" w:cs="宋体"/>
                <w:kern w:val="0"/>
                <w:sz w:val="18"/>
                <w:szCs w:val="18"/>
              </w:rPr>
            </w:pPr>
            <w:r>
              <w:rPr>
                <w:rFonts w:hint="eastAsia" w:ascii="宋体" w:hAnsi="宋体" w:cs="宋体"/>
                <w:kern w:val="0"/>
                <w:sz w:val="18"/>
                <w:szCs w:val="18"/>
              </w:rPr>
              <w:t>2019</w:t>
            </w:r>
          </w:p>
        </w:tc>
        <w:tc>
          <w:tcPr>
            <w:tcW w:w="1026" w:type="dxa"/>
            <w:shd w:val="clear" w:color="auto" w:fill="auto"/>
            <w:noWrap/>
            <w:vAlign w:val="center"/>
          </w:tcPr>
          <w:p w14:paraId="1DF45499">
            <w:pPr>
              <w:widowControl/>
              <w:jc w:val="center"/>
              <w:rPr>
                <w:rFonts w:ascii="宋体" w:hAnsi="宋体" w:cs="宋体"/>
                <w:kern w:val="0"/>
                <w:sz w:val="18"/>
                <w:szCs w:val="18"/>
              </w:rPr>
            </w:pPr>
            <w:r>
              <w:rPr>
                <w:rFonts w:hint="eastAsia" w:ascii="宋体" w:hAnsi="宋体" w:cs="宋体"/>
                <w:kern w:val="0"/>
                <w:sz w:val="18"/>
                <w:szCs w:val="18"/>
              </w:rPr>
              <w:t>0.7</w:t>
            </w:r>
          </w:p>
        </w:tc>
        <w:tc>
          <w:tcPr>
            <w:tcW w:w="946" w:type="dxa"/>
            <w:shd w:val="clear" w:color="auto" w:fill="auto"/>
            <w:noWrap/>
            <w:vAlign w:val="center"/>
          </w:tcPr>
          <w:p w14:paraId="0804C35F">
            <w:pPr>
              <w:widowControl/>
              <w:jc w:val="center"/>
              <w:rPr>
                <w:rFonts w:ascii="宋体" w:hAnsi="宋体" w:cs="宋体"/>
                <w:kern w:val="0"/>
                <w:sz w:val="18"/>
                <w:szCs w:val="18"/>
              </w:rPr>
            </w:pPr>
            <w:r>
              <w:rPr>
                <w:rFonts w:hint="eastAsia" w:ascii="宋体" w:hAnsi="宋体" w:cs="宋体"/>
                <w:kern w:val="0"/>
                <w:sz w:val="18"/>
                <w:szCs w:val="18"/>
              </w:rPr>
              <w:t>0.7</w:t>
            </w:r>
          </w:p>
        </w:tc>
        <w:tc>
          <w:tcPr>
            <w:tcW w:w="854" w:type="dxa"/>
            <w:shd w:val="clear" w:color="auto" w:fill="auto"/>
            <w:noWrap/>
            <w:vAlign w:val="center"/>
          </w:tcPr>
          <w:p w14:paraId="7087F73A">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1F75CDDE">
            <w:pPr>
              <w:widowControl/>
              <w:jc w:val="center"/>
              <w:rPr>
                <w:rFonts w:ascii="宋体" w:hAnsi="宋体" w:cs="宋体"/>
                <w:kern w:val="0"/>
                <w:sz w:val="15"/>
                <w:szCs w:val="15"/>
              </w:rPr>
            </w:pPr>
            <w:r>
              <w:rPr>
                <w:rFonts w:hint="eastAsia" w:ascii="宋体" w:hAnsi="宋体" w:cs="宋体"/>
                <w:kern w:val="0"/>
                <w:sz w:val="15"/>
                <w:szCs w:val="15"/>
              </w:rPr>
              <w:t>舍块乡</w:t>
            </w:r>
          </w:p>
        </w:tc>
        <w:tc>
          <w:tcPr>
            <w:tcW w:w="577" w:type="dxa"/>
            <w:shd w:val="clear" w:color="auto" w:fill="auto"/>
            <w:noWrap/>
            <w:vAlign w:val="center"/>
          </w:tcPr>
          <w:p w14:paraId="3BDF7C66">
            <w:pPr>
              <w:widowControl/>
              <w:jc w:val="center"/>
              <w:rPr>
                <w:rFonts w:ascii="宋体" w:hAnsi="宋体" w:cs="宋体"/>
                <w:kern w:val="0"/>
                <w:sz w:val="18"/>
                <w:szCs w:val="18"/>
              </w:rPr>
            </w:pPr>
          </w:p>
        </w:tc>
      </w:tr>
      <w:tr w14:paraId="39A7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B18F3D0">
            <w:pPr>
              <w:widowControl/>
              <w:jc w:val="center"/>
              <w:rPr>
                <w:rFonts w:ascii="宋体" w:hAnsi="宋体" w:cs="宋体"/>
                <w:kern w:val="0"/>
                <w:sz w:val="18"/>
                <w:szCs w:val="18"/>
              </w:rPr>
            </w:pPr>
          </w:p>
        </w:tc>
        <w:tc>
          <w:tcPr>
            <w:tcW w:w="3659" w:type="dxa"/>
            <w:shd w:val="clear" w:color="auto" w:fill="auto"/>
            <w:vAlign w:val="center"/>
          </w:tcPr>
          <w:p w14:paraId="02855CC3">
            <w:pPr>
              <w:widowControl/>
              <w:jc w:val="center"/>
              <w:rPr>
                <w:rFonts w:ascii="宋体" w:hAnsi="宋体" w:cs="宋体"/>
                <w:kern w:val="0"/>
                <w:sz w:val="18"/>
                <w:szCs w:val="18"/>
              </w:rPr>
            </w:pPr>
            <w:r>
              <w:rPr>
                <w:rFonts w:hint="eastAsia" w:ascii="宋体" w:hAnsi="宋体" w:cs="宋体"/>
                <w:kern w:val="0"/>
                <w:sz w:val="18"/>
                <w:szCs w:val="18"/>
              </w:rPr>
              <w:t>东起路大桥</w:t>
            </w:r>
          </w:p>
        </w:tc>
        <w:tc>
          <w:tcPr>
            <w:tcW w:w="796" w:type="dxa"/>
            <w:shd w:val="clear" w:color="auto" w:fill="auto"/>
            <w:noWrap/>
            <w:vAlign w:val="center"/>
          </w:tcPr>
          <w:p w14:paraId="1EF5FB82">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52BDF18">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1ED8848A">
            <w:pPr>
              <w:widowControl/>
              <w:jc w:val="center"/>
              <w:rPr>
                <w:rFonts w:ascii="宋体" w:hAnsi="宋体" w:cs="宋体"/>
                <w:kern w:val="0"/>
                <w:sz w:val="18"/>
                <w:szCs w:val="18"/>
              </w:rPr>
            </w:pPr>
            <w:r>
              <w:rPr>
                <w:rFonts w:hint="eastAsia" w:ascii="宋体" w:hAnsi="宋体" w:cs="宋体"/>
                <w:kern w:val="0"/>
                <w:sz w:val="18"/>
                <w:szCs w:val="18"/>
              </w:rPr>
              <w:t>7.47</w:t>
            </w:r>
          </w:p>
        </w:tc>
        <w:tc>
          <w:tcPr>
            <w:tcW w:w="946" w:type="dxa"/>
            <w:shd w:val="clear" w:color="auto" w:fill="auto"/>
            <w:noWrap/>
            <w:vAlign w:val="center"/>
          </w:tcPr>
          <w:p w14:paraId="32690131">
            <w:pPr>
              <w:widowControl/>
              <w:jc w:val="center"/>
              <w:rPr>
                <w:rFonts w:ascii="宋体" w:hAnsi="宋体" w:cs="宋体"/>
                <w:kern w:val="0"/>
                <w:sz w:val="18"/>
                <w:szCs w:val="18"/>
              </w:rPr>
            </w:pPr>
            <w:r>
              <w:rPr>
                <w:rFonts w:hint="eastAsia" w:ascii="宋体" w:hAnsi="宋体" w:cs="宋体"/>
                <w:kern w:val="0"/>
                <w:sz w:val="18"/>
                <w:szCs w:val="18"/>
              </w:rPr>
              <w:t>7.37</w:t>
            </w:r>
          </w:p>
        </w:tc>
        <w:tc>
          <w:tcPr>
            <w:tcW w:w="854" w:type="dxa"/>
            <w:shd w:val="clear" w:color="auto" w:fill="auto"/>
            <w:noWrap/>
            <w:vAlign w:val="center"/>
          </w:tcPr>
          <w:p w14:paraId="73171E7B">
            <w:pPr>
              <w:widowControl/>
              <w:jc w:val="center"/>
              <w:rPr>
                <w:rFonts w:ascii="宋体" w:hAnsi="宋体" w:cs="宋体"/>
                <w:kern w:val="0"/>
                <w:sz w:val="18"/>
                <w:szCs w:val="18"/>
              </w:rPr>
            </w:pPr>
            <w:r>
              <w:rPr>
                <w:rFonts w:hint="eastAsia" w:ascii="宋体" w:hAnsi="宋体" w:cs="宋体"/>
                <w:kern w:val="0"/>
                <w:sz w:val="18"/>
                <w:szCs w:val="18"/>
              </w:rPr>
              <w:t>5.28</w:t>
            </w:r>
          </w:p>
        </w:tc>
        <w:tc>
          <w:tcPr>
            <w:tcW w:w="1489" w:type="dxa"/>
            <w:shd w:val="clear" w:color="auto" w:fill="auto"/>
            <w:noWrap/>
            <w:vAlign w:val="center"/>
          </w:tcPr>
          <w:p w14:paraId="10DFE2DD">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454968AD">
            <w:pPr>
              <w:widowControl/>
              <w:jc w:val="center"/>
              <w:rPr>
                <w:rFonts w:ascii="宋体" w:hAnsi="宋体" w:cs="宋体"/>
                <w:kern w:val="0"/>
                <w:sz w:val="18"/>
                <w:szCs w:val="18"/>
              </w:rPr>
            </w:pPr>
          </w:p>
        </w:tc>
      </w:tr>
      <w:tr w14:paraId="652D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9870099">
            <w:pPr>
              <w:widowControl/>
              <w:jc w:val="center"/>
              <w:rPr>
                <w:rFonts w:ascii="宋体" w:hAnsi="宋体" w:cs="宋体"/>
                <w:kern w:val="0"/>
                <w:sz w:val="18"/>
                <w:szCs w:val="18"/>
              </w:rPr>
            </w:pPr>
          </w:p>
        </w:tc>
        <w:tc>
          <w:tcPr>
            <w:tcW w:w="3659" w:type="dxa"/>
            <w:shd w:val="clear" w:color="auto" w:fill="auto"/>
            <w:vAlign w:val="center"/>
          </w:tcPr>
          <w:p w14:paraId="7917571A">
            <w:pPr>
              <w:widowControl/>
              <w:jc w:val="center"/>
              <w:rPr>
                <w:rFonts w:ascii="宋体" w:hAnsi="宋体" w:cs="宋体"/>
                <w:kern w:val="0"/>
                <w:sz w:val="18"/>
                <w:szCs w:val="18"/>
              </w:rPr>
            </w:pPr>
            <w:r>
              <w:rPr>
                <w:rFonts w:hint="eastAsia" w:ascii="宋体" w:hAnsi="宋体" w:cs="宋体"/>
                <w:kern w:val="0"/>
                <w:sz w:val="18"/>
                <w:szCs w:val="18"/>
              </w:rPr>
              <w:t>渝昆高铁东川规划线路</w:t>
            </w:r>
          </w:p>
        </w:tc>
        <w:tc>
          <w:tcPr>
            <w:tcW w:w="796" w:type="dxa"/>
            <w:shd w:val="clear" w:color="auto" w:fill="auto"/>
            <w:noWrap/>
            <w:vAlign w:val="center"/>
          </w:tcPr>
          <w:p w14:paraId="47955F5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D2B9669">
            <w:pPr>
              <w:widowControl/>
              <w:jc w:val="center"/>
              <w:rPr>
                <w:rFonts w:ascii="宋体" w:hAnsi="宋体" w:cs="宋体"/>
                <w:kern w:val="0"/>
                <w:sz w:val="18"/>
                <w:szCs w:val="18"/>
              </w:rPr>
            </w:pPr>
            <w:r>
              <w:rPr>
                <w:rFonts w:hint="eastAsia" w:ascii="宋体" w:hAnsi="宋体" w:cs="宋体"/>
                <w:sz w:val="18"/>
                <w:szCs w:val="18"/>
              </w:rPr>
              <w:t>2017-2020</w:t>
            </w:r>
          </w:p>
        </w:tc>
        <w:tc>
          <w:tcPr>
            <w:tcW w:w="1026" w:type="dxa"/>
            <w:shd w:val="clear" w:color="auto" w:fill="auto"/>
            <w:noWrap/>
            <w:vAlign w:val="center"/>
          </w:tcPr>
          <w:p w14:paraId="48C376C2">
            <w:pPr>
              <w:widowControl/>
              <w:jc w:val="center"/>
              <w:rPr>
                <w:rFonts w:ascii="宋体" w:hAnsi="宋体" w:cs="宋体"/>
                <w:kern w:val="0"/>
                <w:sz w:val="18"/>
                <w:szCs w:val="18"/>
              </w:rPr>
            </w:pPr>
            <w:r>
              <w:rPr>
                <w:rFonts w:hint="eastAsia" w:ascii="宋体" w:hAnsi="宋体" w:cs="宋体"/>
                <w:kern w:val="0"/>
                <w:sz w:val="18"/>
                <w:szCs w:val="18"/>
              </w:rPr>
              <w:t>50</w:t>
            </w:r>
          </w:p>
        </w:tc>
        <w:tc>
          <w:tcPr>
            <w:tcW w:w="946" w:type="dxa"/>
            <w:shd w:val="clear" w:color="auto" w:fill="auto"/>
            <w:noWrap/>
            <w:vAlign w:val="center"/>
          </w:tcPr>
          <w:p w14:paraId="74F62F0F">
            <w:pPr>
              <w:widowControl/>
              <w:jc w:val="center"/>
              <w:rPr>
                <w:rFonts w:ascii="宋体" w:hAnsi="宋体" w:cs="宋体"/>
                <w:kern w:val="0"/>
                <w:sz w:val="18"/>
                <w:szCs w:val="18"/>
              </w:rPr>
            </w:pPr>
            <w:r>
              <w:rPr>
                <w:rFonts w:hint="eastAsia" w:ascii="宋体" w:hAnsi="宋体" w:cs="宋体"/>
                <w:kern w:val="0"/>
                <w:sz w:val="18"/>
                <w:szCs w:val="18"/>
              </w:rPr>
              <w:t>40</w:t>
            </w:r>
          </w:p>
        </w:tc>
        <w:tc>
          <w:tcPr>
            <w:tcW w:w="854" w:type="dxa"/>
            <w:shd w:val="clear" w:color="auto" w:fill="auto"/>
            <w:noWrap/>
            <w:vAlign w:val="center"/>
          </w:tcPr>
          <w:p w14:paraId="5901BFD4">
            <w:pPr>
              <w:widowControl/>
              <w:jc w:val="center"/>
              <w:rPr>
                <w:rFonts w:ascii="宋体" w:hAnsi="宋体" w:cs="宋体"/>
                <w:kern w:val="0"/>
                <w:sz w:val="18"/>
                <w:szCs w:val="18"/>
              </w:rPr>
            </w:pPr>
            <w:r>
              <w:rPr>
                <w:rFonts w:hint="eastAsia" w:ascii="宋体" w:hAnsi="宋体" w:cs="宋体"/>
                <w:kern w:val="0"/>
                <w:sz w:val="18"/>
                <w:szCs w:val="18"/>
              </w:rPr>
              <w:t>15</w:t>
            </w:r>
          </w:p>
        </w:tc>
        <w:tc>
          <w:tcPr>
            <w:tcW w:w="1489" w:type="dxa"/>
            <w:shd w:val="clear" w:color="auto" w:fill="auto"/>
            <w:vAlign w:val="center"/>
          </w:tcPr>
          <w:p w14:paraId="3E9164EB">
            <w:pPr>
              <w:widowControl/>
              <w:jc w:val="center"/>
              <w:rPr>
                <w:rFonts w:ascii="宋体" w:hAnsi="宋体" w:cs="宋体"/>
                <w:kern w:val="0"/>
                <w:sz w:val="15"/>
                <w:szCs w:val="15"/>
              </w:rPr>
            </w:pPr>
            <w:r>
              <w:rPr>
                <w:rFonts w:hint="eastAsia" w:ascii="宋体" w:hAnsi="宋体" w:cs="宋体"/>
                <w:kern w:val="0"/>
                <w:sz w:val="15"/>
                <w:szCs w:val="15"/>
              </w:rPr>
              <w:t>铜都街道、阿旺镇</w:t>
            </w:r>
          </w:p>
        </w:tc>
        <w:tc>
          <w:tcPr>
            <w:tcW w:w="577" w:type="dxa"/>
            <w:shd w:val="clear" w:color="auto" w:fill="auto"/>
            <w:noWrap/>
            <w:vAlign w:val="center"/>
          </w:tcPr>
          <w:p w14:paraId="3C014D1C">
            <w:pPr>
              <w:widowControl/>
              <w:jc w:val="center"/>
              <w:rPr>
                <w:rFonts w:ascii="宋体" w:hAnsi="宋体" w:cs="宋体"/>
                <w:kern w:val="0"/>
                <w:sz w:val="18"/>
                <w:szCs w:val="18"/>
              </w:rPr>
            </w:pPr>
          </w:p>
        </w:tc>
      </w:tr>
      <w:tr w14:paraId="4CA7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F72555F">
            <w:pPr>
              <w:widowControl/>
              <w:jc w:val="center"/>
              <w:rPr>
                <w:rFonts w:ascii="宋体" w:hAnsi="宋体" w:cs="宋体"/>
                <w:kern w:val="0"/>
                <w:sz w:val="18"/>
                <w:szCs w:val="18"/>
              </w:rPr>
            </w:pPr>
          </w:p>
        </w:tc>
        <w:tc>
          <w:tcPr>
            <w:tcW w:w="3659" w:type="dxa"/>
            <w:shd w:val="clear" w:color="auto" w:fill="auto"/>
            <w:vAlign w:val="center"/>
          </w:tcPr>
          <w:p w14:paraId="538E602C">
            <w:pPr>
              <w:widowControl/>
              <w:jc w:val="center"/>
              <w:rPr>
                <w:rFonts w:ascii="宋体" w:hAnsi="宋体" w:cs="宋体"/>
                <w:kern w:val="0"/>
                <w:sz w:val="18"/>
                <w:szCs w:val="18"/>
              </w:rPr>
            </w:pPr>
            <w:r>
              <w:rPr>
                <w:rFonts w:hint="eastAsia" w:ascii="宋体" w:hAnsi="宋体" w:cs="宋体"/>
                <w:kern w:val="0"/>
                <w:sz w:val="18"/>
                <w:szCs w:val="18"/>
              </w:rPr>
              <w:t>太阳谷园区一期道路</w:t>
            </w:r>
          </w:p>
        </w:tc>
        <w:tc>
          <w:tcPr>
            <w:tcW w:w="796" w:type="dxa"/>
            <w:shd w:val="clear" w:color="auto" w:fill="auto"/>
            <w:noWrap/>
            <w:vAlign w:val="center"/>
          </w:tcPr>
          <w:p w14:paraId="796CB151">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32194E6">
            <w:pPr>
              <w:widowControl/>
              <w:jc w:val="center"/>
              <w:rPr>
                <w:rFonts w:ascii="宋体" w:hAnsi="宋体" w:cs="宋体"/>
                <w:kern w:val="0"/>
                <w:sz w:val="18"/>
                <w:szCs w:val="18"/>
              </w:rPr>
            </w:pPr>
            <w:r>
              <w:rPr>
                <w:rFonts w:hint="eastAsia" w:ascii="宋体" w:hAnsi="宋体" w:cs="宋体"/>
                <w:kern w:val="0"/>
                <w:sz w:val="18"/>
                <w:szCs w:val="18"/>
              </w:rPr>
              <w:t>2017</w:t>
            </w:r>
          </w:p>
        </w:tc>
        <w:tc>
          <w:tcPr>
            <w:tcW w:w="1026" w:type="dxa"/>
            <w:shd w:val="clear" w:color="auto" w:fill="auto"/>
            <w:noWrap/>
            <w:vAlign w:val="center"/>
          </w:tcPr>
          <w:p w14:paraId="3455B724">
            <w:pPr>
              <w:widowControl/>
              <w:jc w:val="center"/>
              <w:rPr>
                <w:rFonts w:ascii="宋体" w:hAnsi="宋体" w:cs="宋体"/>
                <w:kern w:val="0"/>
                <w:sz w:val="18"/>
                <w:szCs w:val="18"/>
              </w:rPr>
            </w:pPr>
            <w:r>
              <w:rPr>
                <w:rFonts w:hint="eastAsia" w:ascii="宋体" w:hAnsi="宋体" w:cs="宋体"/>
                <w:kern w:val="0"/>
                <w:sz w:val="18"/>
                <w:szCs w:val="18"/>
              </w:rPr>
              <w:t>0.65</w:t>
            </w:r>
          </w:p>
        </w:tc>
        <w:tc>
          <w:tcPr>
            <w:tcW w:w="946" w:type="dxa"/>
            <w:shd w:val="clear" w:color="auto" w:fill="auto"/>
            <w:noWrap/>
            <w:vAlign w:val="center"/>
          </w:tcPr>
          <w:p w14:paraId="1336D2B7">
            <w:pPr>
              <w:widowControl/>
              <w:jc w:val="center"/>
              <w:rPr>
                <w:rFonts w:ascii="宋体" w:hAnsi="宋体" w:cs="宋体"/>
                <w:kern w:val="0"/>
                <w:sz w:val="18"/>
                <w:szCs w:val="18"/>
              </w:rPr>
            </w:pPr>
            <w:r>
              <w:rPr>
                <w:rFonts w:hint="eastAsia" w:ascii="宋体" w:hAnsi="宋体" w:cs="宋体"/>
                <w:kern w:val="0"/>
                <w:sz w:val="18"/>
                <w:szCs w:val="18"/>
              </w:rPr>
              <w:t>0.65</w:t>
            </w:r>
          </w:p>
        </w:tc>
        <w:tc>
          <w:tcPr>
            <w:tcW w:w="854" w:type="dxa"/>
            <w:shd w:val="clear" w:color="auto" w:fill="auto"/>
            <w:noWrap/>
            <w:vAlign w:val="center"/>
          </w:tcPr>
          <w:p w14:paraId="44959CE3">
            <w:pPr>
              <w:widowControl/>
              <w:jc w:val="center"/>
              <w:rPr>
                <w:rFonts w:ascii="宋体" w:hAnsi="宋体" w:cs="宋体"/>
                <w:kern w:val="0"/>
                <w:sz w:val="18"/>
                <w:szCs w:val="18"/>
              </w:rPr>
            </w:pPr>
            <w:r>
              <w:rPr>
                <w:rFonts w:hint="eastAsia" w:ascii="宋体" w:hAnsi="宋体" w:cs="宋体"/>
                <w:kern w:val="0"/>
                <w:sz w:val="18"/>
                <w:szCs w:val="18"/>
              </w:rPr>
              <w:t>2.79</w:t>
            </w:r>
          </w:p>
        </w:tc>
        <w:tc>
          <w:tcPr>
            <w:tcW w:w="1489" w:type="dxa"/>
            <w:shd w:val="clear" w:color="auto" w:fill="auto"/>
            <w:noWrap/>
            <w:vAlign w:val="center"/>
          </w:tcPr>
          <w:p w14:paraId="5F477439">
            <w:pPr>
              <w:widowControl/>
              <w:jc w:val="center"/>
              <w:rPr>
                <w:rFonts w:ascii="宋体" w:hAnsi="宋体" w:cs="宋体"/>
                <w:kern w:val="0"/>
                <w:sz w:val="15"/>
                <w:szCs w:val="15"/>
              </w:rPr>
            </w:pPr>
            <w:r>
              <w:rPr>
                <w:rFonts w:hint="eastAsia" w:ascii="宋体" w:hAnsi="宋体" w:cs="宋体"/>
                <w:kern w:val="0"/>
                <w:sz w:val="15"/>
                <w:szCs w:val="15"/>
              </w:rPr>
              <w:t>阿旺镇</w:t>
            </w:r>
          </w:p>
        </w:tc>
        <w:tc>
          <w:tcPr>
            <w:tcW w:w="577" w:type="dxa"/>
            <w:shd w:val="clear" w:color="auto" w:fill="auto"/>
            <w:noWrap/>
            <w:vAlign w:val="center"/>
          </w:tcPr>
          <w:p w14:paraId="31497C2B">
            <w:pPr>
              <w:widowControl/>
              <w:jc w:val="center"/>
              <w:rPr>
                <w:rFonts w:ascii="宋体" w:hAnsi="宋体" w:cs="宋体"/>
                <w:kern w:val="0"/>
                <w:sz w:val="18"/>
                <w:szCs w:val="18"/>
              </w:rPr>
            </w:pPr>
          </w:p>
        </w:tc>
      </w:tr>
      <w:tr w14:paraId="4A39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4377A5C">
            <w:pPr>
              <w:widowControl/>
              <w:jc w:val="center"/>
              <w:rPr>
                <w:rFonts w:ascii="宋体" w:hAnsi="宋体" w:cs="宋体"/>
                <w:kern w:val="0"/>
                <w:sz w:val="18"/>
                <w:szCs w:val="18"/>
              </w:rPr>
            </w:pPr>
          </w:p>
        </w:tc>
        <w:tc>
          <w:tcPr>
            <w:tcW w:w="3659" w:type="dxa"/>
            <w:shd w:val="clear" w:color="auto" w:fill="auto"/>
            <w:vAlign w:val="center"/>
          </w:tcPr>
          <w:p w14:paraId="7876AE8A">
            <w:pPr>
              <w:widowControl/>
              <w:jc w:val="center"/>
              <w:rPr>
                <w:rFonts w:ascii="宋体" w:hAnsi="宋体" w:cs="宋体"/>
                <w:kern w:val="0"/>
                <w:sz w:val="18"/>
                <w:szCs w:val="18"/>
              </w:rPr>
            </w:pPr>
            <w:r>
              <w:rPr>
                <w:rFonts w:hint="eastAsia" w:ascii="宋体" w:hAnsi="宋体" w:cs="宋体"/>
                <w:kern w:val="0"/>
                <w:sz w:val="18"/>
                <w:szCs w:val="18"/>
              </w:rPr>
              <w:t>太阳谷园区二期道路</w:t>
            </w:r>
          </w:p>
        </w:tc>
        <w:tc>
          <w:tcPr>
            <w:tcW w:w="796" w:type="dxa"/>
            <w:shd w:val="clear" w:color="auto" w:fill="auto"/>
            <w:noWrap/>
            <w:vAlign w:val="center"/>
          </w:tcPr>
          <w:p w14:paraId="07AA9322">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854DBFC">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0A645A18">
            <w:pPr>
              <w:widowControl/>
              <w:jc w:val="center"/>
              <w:rPr>
                <w:rFonts w:ascii="宋体" w:hAnsi="宋体" w:cs="宋体"/>
                <w:kern w:val="0"/>
                <w:sz w:val="18"/>
                <w:szCs w:val="18"/>
              </w:rPr>
            </w:pPr>
            <w:r>
              <w:rPr>
                <w:rFonts w:hint="eastAsia" w:ascii="宋体" w:hAnsi="宋体" w:cs="宋体"/>
                <w:kern w:val="0"/>
                <w:sz w:val="18"/>
                <w:szCs w:val="18"/>
              </w:rPr>
              <w:t>3.05</w:t>
            </w:r>
          </w:p>
        </w:tc>
        <w:tc>
          <w:tcPr>
            <w:tcW w:w="946" w:type="dxa"/>
            <w:shd w:val="clear" w:color="auto" w:fill="auto"/>
            <w:noWrap/>
            <w:vAlign w:val="center"/>
          </w:tcPr>
          <w:p w14:paraId="79FD4C62">
            <w:pPr>
              <w:widowControl/>
              <w:jc w:val="center"/>
              <w:rPr>
                <w:rFonts w:ascii="宋体" w:hAnsi="宋体" w:cs="宋体"/>
                <w:kern w:val="0"/>
                <w:sz w:val="18"/>
                <w:szCs w:val="18"/>
              </w:rPr>
            </w:pPr>
            <w:r>
              <w:rPr>
                <w:rFonts w:hint="eastAsia" w:ascii="宋体" w:hAnsi="宋体" w:cs="宋体"/>
                <w:kern w:val="0"/>
                <w:sz w:val="18"/>
                <w:szCs w:val="18"/>
              </w:rPr>
              <w:t>3.02</w:t>
            </w:r>
          </w:p>
        </w:tc>
        <w:tc>
          <w:tcPr>
            <w:tcW w:w="854" w:type="dxa"/>
            <w:shd w:val="clear" w:color="auto" w:fill="auto"/>
            <w:noWrap/>
            <w:vAlign w:val="center"/>
          </w:tcPr>
          <w:p w14:paraId="11100B5C">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77827C5A">
            <w:pPr>
              <w:widowControl/>
              <w:jc w:val="center"/>
              <w:rPr>
                <w:rFonts w:ascii="宋体" w:hAnsi="宋体" w:cs="宋体"/>
                <w:kern w:val="0"/>
                <w:sz w:val="15"/>
                <w:szCs w:val="15"/>
              </w:rPr>
            </w:pPr>
            <w:r>
              <w:rPr>
                <w:rFonts w:hint="eastAsia" w:ascii="宋体" w:hAnsi="宋体" w:cs="宋体"/>
                <w:kern w:val="0"/>
                <w:sz w:val="15"/>
                <w:szCs w:val="15"/>
              </w:rPr>
              <w:t>阿旺镇</w:t>
            </w:r>
          </w:p>
        </w:tc>
        <w:tc>
          <w:tcPr>
            <w:tcW w:w="577" w:type="dxa"/>
            <w:shd w:val="clear" w:color="auto" w:fill="auto"/>
            <w:noWrap/>
            <w:vAlign w:val="center"/>
          </w:tcPr>
          <w:p w14:paraId="4AB296BC">
            <w:pPr>
              <w:widowControl/>
              <w:jc w:val="center"/>
              <w:rPr>
                <w:rFonts w:ascii="宋体" w:hAnsi="宋体" w:cs="宋体"/>
                <w:kern w:val="0"/>
                <w:sz w:val="18"/>
                <w:szCs w:val="18"/>
              </w:rPr>
            </w:pPr>
          </w:p>
        </w:tc>
      </w:tr>
      <w:tr w14:paraId="048B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54B2C6F">
            <w:pPr>
              <w:widowControl/>
              <w:jc w:val="center"/>
              <w:rPr>
                <w:rFonts w:ascii="宋体" w:hAnsi="宋体" w:cs="宋体"/>
                <w:kern w:val="0"/>
                <w:sz w:val="18"/>
                <w:szCs w:val="18"/>
              </w:rPr>
            </w:pPr>
          </w:p>
        </w:tc>
        <w:tc>
          <w:tcPr>
            <w:tcW w:w="3659" w:type="dxa"/>
            <w:shd w:val="clear" w:color="auto" w:fill="auto"/>
            <w:vAlign w:val="center"/>
          </w:tcPr>
          <w:p w14:paraId="6A942D69">
            <w:pPr>
              <w:widowControl/>
              <w:jc w:val="center"/>
              <w:rPr>
                <w:rFonts w:ascii="宋体" w:hAnsi="宋体" w:cs="宋体"/>
                <w:kern w:val="0"/>
                <w:sz w:val="18"/>
                <w:szCs w:val="18"/>
              </w:rPr>
            </w:pPr>
            <w:r>
              <w:rPr>
                <w:rFonts w:hint="eastAsia" w:ascii="宋体" w:hAnsi="宋体" w:cs="宋体"/>
                <w:kern w:val="0"/>
                <w:sz w:val="18"/>
                <w:szCs w:val="18"/>
              </w:rPr>
              <w:t>铜都街道紫牛村林家渡至正大蛋鸡场道路</w:t>
            </w:r>
          </w:p>
        </w:tc>
        <w:tc>
          <w:tcPr>
            <w:tcW w:w="796" w:type="dxa"/>
            <w:shd w:val="clear" w:color="auto" w:fill="auto"/>
            <w:noWrap/>
            <w:vAlign w:val="center"/>
          </w:tcPr>
          <w:p w14:paraId="40B10550">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F6F3D51">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0115159E">
            <w:pPr>
              <w:widowControl/>
              <w:jc w:val="center"/>
              <w:rPr>
                <w:rFonts w:ascii="宋体" w:hAnsi="宋体" w:cs="宋体"/>
                <w:kern w:val="0"/>
                <w:sz w:val="18"/>
                <w:szCs w:val="18"/>
              </w:rPr>
            </w:pPr>
            <w:r>
              <w:rPr>
                <w:rFonts w:hint="eastAsia" w:ascii="宋体" w:hAnsi="宋体" w:cs="宋体"/>
                <w:kern w:val="0"/>
                <w:sz w:val="18"/>
                <w:szCs w:val="18"/>
              </w:rPr>
              <w:t>8.65</w:t>
            </w:r>
          </w:p>
        </w:tc>
        <w:tc>
          <w:tcPr>
            <w:tcW w:w="946" w:type="dxa"/>
            <w:shd w:val="clear" w:color="auto" w:fill="auto"/>
            <w:noWrap/>
            <w:vAlign w:val="center"/>
          </w:tcPr>
          <w:p w14:paraId="08C1296A">
            <w:pPr>
              <w:widowControl/>
              <w:jc w:val="center"/>
              <w:rPr>
                <w:rFonts w:ascii="宋体" w:hAnsi="宋体" w:cs="宋体"/>
                <w:kern w:val="0"/>
                <w:sz w:val="18"/>
                <w:szCs w:val="18"/>
              </w:rPr>
            </w:pPr>
            <w:r>
              <w:rPr>
                <w:rFonts w:hint="eastAsia" w:ascii="宋体" w:hAnsi="宋体" w:cs="宋体"/>
                <w:kern w:val="0"/>
                <w:sz w:val="18"/>
                <w:szCs w:val="18"/>
              </w:rPr>
              <w:t>3.25</w:t>
            </w:r>
          </w:p>
        </w:tc>
        <w:tc>
          <w:tcPr>
            <w:tcW w:w="854" w:type="dxa"/>
            <w:shd w:val="clear" w:color="auto" w:fill="auto"/>
            <w:noWrap/>
            <w:vAlign w:val="center"/>
          </w:tcPr>
          <w:p w14:paraId="24B0891E">
            <w:pPr>
              <w:widowControl/>
              <w:jc w:val="center"/>
              <w:rPr>
                <w:rFonts w:ascii="宋体" w:hAnsi="宋体" w:cs="宋体"/>
                <w:kern w:val="0"/>
                <w:sz w:val="18"/>
                <w:szCs w:val="18"/>
              </w:rPr>
            </w:pPr>
            <w:r>
              <w:rPr>
                <w:rFonts w:hint="eastAsia" w:ascii="宋体" w:hAnsi="宋体" w:cs="宋体"/>
                <w:kern w:val="0"/>
                <w:sz w:val="18"/>
                <w:szCs w:val="18"/>
              </w:rPr>
              <w:t>1.29</w:t>
            </w:r>
          </w:p>
        </w:tc>
        <w:tc>
          <w:tcPr>
            <w:tcW w:w="1489" w:type="dxa"/>
            <w:shd w:val="clear" w:color="auto" w:fill="auto"/>
            <w:noWrap/>
            <w:vAlign w:val="center"/>
          </w:tcPr>
          <w:p w14:paraId="11ABE97B">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2D8FF27B">
            <w:pPr>
              <w:widowControl/>
              <w:jc w:val="center"/>
              <w:rPr>
                <w:rFonts w:ascii="宋体" w:hAnsi="宋体" w:cs="宋体"/>
                <w:kern w:val="0"/>
                <w:sz w:val="18"/>
                <w:szCs w:val="18"/>
              </w:rPr>
            </w:pPr>
          </w:p>
        </w:tc>
      </w:tr>
      <w:tr w14:paraId="2701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863A0D1">
            <w:pPr>
              <w:widowControl/>
              <w:jc w:val="center"/>
              <w:rPr>
                <w:rFonts w:ascii="宋体" w:hAnsi="宋体" w:cs="宋体"/>
                <w:kern w:val="0"/>
                <w:sz w:val="18"/>
                <w:szCs w:val="18"/>
              </w:rPr>
            </w:pPr>
          </w:p>
        </w:tc>
        <w:tc>
          <w:tcPr>
            <w:tcW w:w="3659" w:type="dxa"/>
            <w:shd w:val="clear" w:color="auto" w:fill="auto"/>
            <w:vAlign w:val="center"/>
          </w:tcPr>
          <w:p w14:paraId="0B3CD0A7">
            <w:pPr>
              <w:widowControl/>
              <w:jc w:val="center"/>
              <w:rPr>
                <w:rFonts w:ascii="宋体" w:hAnsi="宋体" w:cs="宋体"/>
                <w:kern w:val="0"/>
                <w:sz w:val="18"/>
                <w:szCs w:val="18"/>
              </w:rPr>
            </w:pPr>
            <w:r>
              <w:rPr>
                <w:rFonts w:hint="eastAsia" w:ascii="宋体" w:hAnsi="宋体" w:cs="宋体"/>
                <w:kern w:val="0"/>
                <w:sz w:val="18"/>
                <w:szCs w:val="18"/>
              </w:rPr>
              <w:t>金东大桥</w:t>
            </w:r>
          </w:p>
        </w:tc>
        <w:tc>
          <w:tcPr>
            <w:tcW w:w="796" w:type="dxa"/>
            <w:shd w:val="clear" w:color="auto" w:fill="auto"/>
            <w:noWrap/>
            <w:vAlign w:val="center"/>
          </w:tcPr>
          <w:p w14:paraId="267F8274">
            <w:pPr>
              <w:jc w:val="center"/>
              <w:rPr>
                <w:rFonts w:ascii="宋体" w:hAnsi="宋体" w:cs="宋体"/>
                <w:sz w:val="18"/>
                <w:szCs w:val="18"/>
              </w:rPr>
            </w:pPr>
            <w:r>
              <w:rPr>
                <w:rFonts w:hint="eastAsia"/>
                <w:sz w:val="18"/>
                <w:szCs w:val="18"/>
              </w:rPr>
              <w:t>扩建</w:t>
            </w:r>
          </w:p>
        </w:tc>
        <w:tc>
          <w:tcPr>
            <w:tcW w:w="1206" w:type="dxa"/>
            <w:shd w:val="clear" w:color="auto" w:fill="auto"/>
            <w:noWrap/>
            <w:vAlign w:val="center"/>
          </w:tcPr>
          <w:p w14:paraId="58FBE817">
            <w:pPr>
              <w:widowControl/>
              <w:jc w:val="center"/>
              <w:rPr>
                <w:rFonts w:ascii="宋体" w:hAnsi="宋体" w:cs="宋体"/>
                <w:kern w:val="0"/>
                <w:sz w:val="18"/>
                <w:szCs w:val="18"/>
              </w:rPr>
            </w:pPr>
            <w:r>
              <w:rPr>
                <w:rFonts w:hint="eastAsia" w:ascii="宋体" w:hAnsi="宋体" w:cs="宋体"/>
                <w:kern w:val="0"/>
                <w:sz w:val="18"/>
                <w:szCs w:val="18"/>
              </w:rPr>
              <w:t>2014-2016</w:t>
            </w:r>
          </w:p>
        </w:tc>
        <w:tc>
          <w:tcPr>
            <w:tcW w:w="1026" w:type="dxa"/>
            <w:shd w:val="clear" w:color="auto" w:fill="auto"/>
            <w:noWrap/>
            <w:vAlign w:val="center"/>
          </w:tcPr>
          <w:p w14:paraId="0F17E9E3">
            <w:pPr>
              <w:widowControl/>
              <w:jc w:val="center"/>
              <w:rPr>
                <w:rFonts w:ascii="宋体" w:hAnsi="宋体" w:cs="宋体"/>
                <w:kern w:val="0"/>
                <w:sz w:val="18"/>
                <w:szCs w:val="18"/>
              </w:rPr>
            </w:pPr>
            <w:r>
              <w:rPr>
                <w:rFonts w:hint="eastAsia" w:ascii="宋体" w:hAnsi="宋体" w:cs="宋体"/>
                <w:kern w:val="0"/>
                <w:sz w:val="18"/>
                <w:szCs w:val="18"/>
              </w:rPr>
              <w:t>15.69</w:t>
            </w:r>
          </w:p>
        </w:tc>
        <w:tc>
          <w:tcPr>
            <w:tcW w:w="946" w:type="dxa"/>
            <w:shd w:val="clear" w:color="auto" w:fill="auto"/>
            <w:noWrap/>
            <w:vAlign w:val="center"/>
          </w:tcPr>
          <w:p w14:paraId="1B56B8AB">
            <w:pPr>
              <w:widowControl/>
              <w:jc w:val="center"/>
              <w:rPr>
                <w:rFonts w:ascii="宋体" w:hAnsi="宋体" w:cs="宋体"/>
                <w:kern w:val="0"/>
                <w:sz w:val="18"/>
                <w:szCs w:val="18"/>
              </w:rPr>
            </w:pPr>
            <w:r>
              <w:rPr>
                <w:rFonts w:hint="eastAsia" w:ascii="宋体" w:hAnsi="宋体" w:cs="宋体"/>
                <w:kern w:val="0"/>
                <w:sz w:val="18"/>
                <w:szCs w:val="18"/>
              </w:rPr>
              <w:t>13.57</w:t>
            </w:r>
          </w:p>
        </w:tc>
        <w:tc>
          <w:tcPr>
            <w:tcW w:w="854" w:type="dxa"/>
            <w:shd w:val="clear" w:color="auto" w:fill="auto"/>
            <w:noWrap/>
            <w:vAlign w:val="center"/>
          </w:tcPr>
          <w:p w14:paraId="3B7BA40C">
            <w:pPr>
              <w:widowControl/>
              <w:jc w:val="center"/>
              <w:rPr>
                <w:rFonts w:ascii="宋体" w:hAnsi="宋体" w:cs="宋体"/>
                <w:kern w:val="0"/>
                <w:sz w:val="18"/>
                <w:szCs w:val="18"/>
              </w:rPr>
            </w:pPr>
            <w:r>
              <w:rPr>
                <w:rFonts w:hint="eastAsia" w:ascii="宋体" w:hAnsi="宋体" w:cs="宋体"/>
                <w:kern w:val="0"/>
                <w:sz w:val="18"/>
                <w:szCs w:val="18"/>
              </w:rPr>
              <w:t>2.36</w:t>
            </w:r>
          </w:p>
        </w:tc>
        <w:tc>
          <w:tcPr>
            <w:tcW w:w="1489" w:type="dxa"/>
            <w:shd w:val="clear" w:color="auto" w:fill="auto"/>
            <w:noWrap/>
            <w:vAlign w:val="center"/>
          </w:tcPr>
          <w:p w14:paraId="02FEC366">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4F5ACC99">
            <w:pPr>
              <w:widowControl/>
              <w:jc w:val="center"/>
              <w:rPr>
                <w:rFonts w:ascii="宋体" w:hAnsi="宋体" w:cs="宋体"/>
                <w:kern w:val="0"/>
                <w:sz w:val="18"/>
                <w:szCs w:val="18"/>
              </w:rPr>
            </w:pPr>
          </w:p>
        </w:tc>
      </w:tr>
      <w:tr w14:paraId="5505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067AE23">
            <w:pPr>
              <w:widowControl/>
              <w:jc w:val="center"/>
              <w:rPr>
                <w:rFonts w:ascii="宋体" w:hAnsi="宋体" w:cs="宋体"/>
                <w:kern w:val="0"/>
                <w:sz w:val="18"/>
                <w:szCs w:val="18"/>
              </w:rPr>
            </w:pPr>
          </w:p>
        </w:tc>
        <w:tc>
          <w:tcPr>
            <w:tcW w:w="3659" w:type="dxa"/>
            <w:shd w:val="clear" w:color="auto" w:fill="auto"/>
            <w:vAlign w:val="center"/>
          </w:tcPr>
          <w:p w14:paraId="32969EC0">
            <w:pPr>
              <w:jc w:val="center"/>
              <w:rPr>
                <w:rFonts w:ascii="宋体" w:hAnsi="宋体" w:cs="宋体"/>
                <w:sz w:val="18"/>
                <w:szCs w:val="18"/>
              </w:rPr>
            </w:pPr>
            <w:r>
              <w:rPr>
                <w:rFonts w:hint="eastAsia"/>
                <w:sz w:val="18"/>
                <w:szCs w:val="18"/>
              </w:rPr>
              <w:t>东川通用机场</w:t>
            </w:r>
          </w:p>
        </w:tc>
        <w:tc>
          <w:tcPr>
            <w:tcW w:w="796" w:type="dxa"/>
            <w:shd w:val="clear" w:color="auto" w:fill="auto"/>
            <w:noWrap/>
            <w:vAlign w:val="center"/>
          </w:tcPr>
          <w:p w14:paraId="065133C3">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7967DAF1">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67946926">
            <w:pPr>
              <w:widowControl/>
              <w:jc w:val="center"/>
              <w:rPr>
                <w:rFonts w:ascii="宋体" w:hAnsi="宋体" w:cs="宋体"/>
                <w:kern w:val="0"/>
                <w:sz w:val="18"/>
                <w:szCs w:val="18"/>
              </w:rPr>
            </w:pPr>
            <w:r>
              <w:rPr>
                <w:rFonts w:hint="eastAsia" w:ascii="宋体" w:hAnsi="宋体" w:cs="宋体"/>
                <w:kern w:val="0"/>
                <w:sz w:val="18"/>
                <w:szCs w:val="18"/>
              </w:rPr>
              <w:t>35</w:t>
            </w:r>
          </w:p>
        </w:tc>
        <w:tc>
          <w:tcPr>
            <w:tcW w:w="946" w:type="dxa"/>
            <w:shd w:val="clear" w:color="auto" w:fill="auto"/>
            <w:noWrap/>
            <w:vAlign w:val="center"/>
          </w:tcPr>
          <w:p w14:paraId="7178D359">
            <w:pPr>
              <w:widowControl/>
              <w:jc w:val="center"/>
              <w:rPr>
                <w:rFonts w:ascii="宋体" w:hAnsi="宋体" w:cs="宋体"/>
                <w:kern w:val="0"/>
                <w:sz w:val="18"/>
                <w:szCs w:val="18"/>
              </w:rPr>
            </w:pPr>
            <w:r>
              <w:rPr>
                <w:rFonts w:hint="eastAsia" w:ascii="宋体" w:hAnsi="宋体" w:cs="宋体"/>
                <w:kern w:val="0"/>
                <w:sz w:val="18"/>
                <w:szCs w:val="18"/>
              </w:rPr>
              <w:t>30</w:t>
            </w:r>
          </w:p>
        </w:tc>
        <w:tc>
          <w:tcPr>
            <w:tcW w:w="854" w:type="dxa"/>
            <w:shd w:val="clear" w:color="auto" w:fill="auto"/>
            <w:noWrap/>
            <w:vAlign w:val="center"/>
          </w:tcPr>
          <w:p w14:paraId="72ACAE8A">
            <w:pPr>
              <w:widowControl/>
              <w:jc w:val="center"/>
              <w:rPr>
                <w:rFonts w:ascii="宋体" w:hAnsi="宋体" w:cs="宋体"/>
                <w:kern w:val="0"/>
                <w:sz w:val="18"/>
                <w:szCs w:val="18"/>
              </w:rPr>
            </w:pPr>
            <w:r>
              <w:rPr>
                <w:rFonts w:hint="eastAsia" w:ascii="宋体" w:hAnsi="宋体" w:cs="宋体"/>
                <w:kern w:val="0"/>
                <w:sz w:val="18"/>
                <w:szCs w:val="18"/>
              </w:rPr>
              <w:t>12</w:t>
            </w:r>
          </w:p>
        </w:tc>
        <w:tc>
          <w:tcPr>
            <w:tcW w:w="1489" w:type="dxa"/>
            <w:shd w:val="clear" w:color="auto" w:fill="auto"/>
            <w:noWrap/>
            <w:vAlign w:val="center"/>
          </w:tcPr>
          <w:p w14:paraId="78CABE75">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6FB85F0B">
            <w:pPr>
              <w:widowControl/>
              <w:jc w:val="center"/>
              <w:rPr>
                <w:rFonts w:ascii="宋体" w:hAnsi="宋体" w:cs="宋体"/>
                <w:kern w:val="0"/>
                <w:sz w:val="18"/>
                <w:szCs w:val="18"/>
              </w:rPr>
            </w:pPr>
          </w:p>
        </w:tc>
      </w:tr>
      <w:tr w14:paraId="20A3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325BAA4">
            <w:pPr>
              <w:widowControl/>
              <w:jc w:val="center"/>
              <w:rPr>
                <w:rFonts w:ascii="宋体" w:hAnsi="宋体" w:cs="宋体"/>
                <w:kern w:val="0"/>
                <w:sz w:val="18"/>
                <w:szCs w:val="18"/>
              </w:rPr>
            </w:pPr>
          </w:p>
        </w:tc>
        <w:tc>
          <w:tcPr>
            <w:tcW w:w="3659" w:type="dxa"/>
            <w:shd w:val="clear" w:color="auto" w:fill="auto"/>
            <w:vAlign w:val="center"/>
          </w:tcPr>
          <w:p w14:paraId="29A3C1C6">
            <w:pPr>
              <w:jc w:val="center"/>
              <w:rPr>
                <w:rFonts w:ascii="宋体" w:hAnsi="宋体" w:cs="宋体"/>
                <w:sz w:val="18"/>
                <w:szCs w:val="18"/>
              </w:rPr>
            </w:pPr>
            <w:r>
              <w:rPr>
                <w:rFonts w:hint="eastAsia"/>
                <w:sz w:val="18"/>
                <w:szCs w:val="18"/>
              </w:rPr>
              <w:t>东川港及茂炉四个码头</w:t>
            </w:r>
          </w:p>
        </w:tc>
        <w:tc>
          <w:tcPr>
            <w:tcW w:w="796" w:type="dxa"/>
            <w:shd w:val="clear" w:color="auto" w:fill="auto"/>
            <w:noWrap/>
            <w:vAlign w:val="center"/>
          </w:tcPr>
          <w:p w14:paraId="3507A51C">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68A15BE7">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17AAEDCD">
            <w:pPr>
              <w:widowControl/>
              <w:jc w:val="center"/>
              <w:rPr>
                <w:rFonts w:ascii="宋体" w:hAnsi="宋体" w:cs="宋体"/>
                <w:kern w:val="0"/>
                <w:sz w:val="18"/>
                <w:szCs w:val="18"/>
              </w:rPr>
            </w:pPr>
            <w:r>
              <w:rPr>
                <w:rFonts w:hint="eastAsia" w:ascii="宋体" w:hAnsi="宋体" w:cs="宋体"/>
                <w:kern w:val="0"/>
                <w:sz w:val="18"/>
                <w:szCs w:val="18"/>
              </w:rPr>
              <w:t>15</w:t>
            </w:r>
          </w:p>
        </w:tc>
        <w:tc>
          <w:tcPr>
            <w:tcW w:w="946" w:type="dxa"/>
            <w:shd w:val="clear" w:color="auto" w:fill="auto"/>
            <w:noWrap/>
            <w:vAlign w:val="center"/>
          </w:tcPr>
          <w:p w14:paraId="31B6A001">
            <w:pPr>
              <w:widowControl/>
              <w:jc w:val="center"/>
              <w:rPr>
                <w:rFonts w:ascii="宋体" w:hAnsi="宋体" w:cs="宋体"/>
                <w:kern w:val="0"/>
                <w:sz w:val="18"/>
                <w:szCs w:val="18"/>
              </w:rPr>
            </w:pPr>
            <w:r>
              <w:rPr>
                <w:rFonts w:hint="eastAsia" w:ascii="宋体" w:hAnsi="宋体" w:cs="宋体"/>
                <w:kern w:val="0"/>
                <w:sz w:val="18"/>
                <w:szCs w:val="18"/>
              </w:rPr>
              <w:t>10</w:t>
            </w:r>
          </w:p>
        </w:tc>
        <w:tc>
          <w:tcPr>
            <w:tcW w:w="854" w:type="dxa"/>
            <w:shd w:val="clear" w:color="auto" w:fill="auto"/>
            <w:noWrap/>
            <w:vAlign w:val="center"/>
          </w:tcPr>
          <w:p w14:paraId="7246EDB2">
            <w:pPr>
              <w:widowControl/>
              <w:jc w:val="center"/>
              <w:rPr>
                <w:rFonts w:ascii="宋体" w:hAnsi="宋体" w:cs="宋体"/>
                <w:kern w:val="0"/>
                <w:sz w:val="18"/>
                <w:szCs w:val="18"/>
              </w:rPr>
            </w:pPr>
            <w:r>
              <w:rPr>
                <w:rFonts w:hint="eastAsia" w:ascii="宋体" w:hAnsi="宋体" w:cs="宋体"/>
                <w:kern w:val="0"/>
                <w:sz w:val="18"/>
                <w:szCs w:val="18"/>
              </w:rPr>
              <w:t>1</w:t>
            </w:r>
          </w:p>
        </w:tc>
        <w:tc>
          <w:tcPr>
            <w:tcW w:w="1489" w:type="dxa"/>
            <w:shd w:val="clear" w:color="auto" w:fill="auto"/>
            <w:noWrap/>
            <w:vAlign w:val="center"/>
          </w:tcPr>
          <w:p w14:paraId="56143FB0">
            <w:pPr>
              <w:widowControl/>
              <w:jc w:val="center"/>
              <w:rPr>
                <w:rFonts w:ascii="宋体" w:hAnsi="宋体" w:cs="宋体"/>
                <w:kern w:val="0"/>
                <w:sz w:val="15"/>
                <w:szCs w:val="15"/>
              </w:rPr>
            </w:pPr>
            <w:r>
              <w:rPr>
                <w:rFonts w:hint="eastAsia" w:ascii="宋体" w:hAnsi="宋体" w:cs="宋体"/>
                <w:kern w:val="0"/>
                <w:sz w:val="15"/>
                <w:szCs w:val="15"/>
              </w:rPr>
              <w:t>舍块乡、因民镇、拖布卡镇</w:t>
            </w:r>
          </w:p>
        </w:tc>
        <w:tc>
          <w:tcPr>
            <w:tcW w:w="577" w:type="dxa"/>
            <w:shd w:val="clear" w:color="auto" w:fill="auto"/>
            <w:noWrap/>
            <w:vAlign w:val="center"/>
          </w:tcPr>
          <w:p w14:paraId="4B6B1D22">
            <w:pPr>
              <w:widowControl/>
              <w:jc w:val="center"/>
              <w:rPr>
                <w:rFonts w:ascii="宋体" w:hAnsi="宋体" w:cs="宋体"/>
                <w:kern w:val="0"/>
                <w:sz w:val="18"/>
                <w:szCs w:val="18"/>
              </w:rPr>
            </w:pPr>
          </w:p>
        </w:tc>
      </w:tr>
      <w:tr w14:paraId="7C5C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23C5C86">
            <w:pPr>
              <w:widowControl/>
              <w:jc w:val="center"/>
              <w:rPr>
                <w:rFonts w:ascii="宋体" w:hAnsi="宋体" w:cs="宋体"/>
                <w:kern w:val="0"/>
                <w:sz w:val="18"/>
                <w:szCs w:val="18"/>
              </w:rPr>
            </w:pPr>
          </w:p>
        </w:tc>
        <w:tc>
          <w:tcPr>
            <w:tcW w:w="3659" w:type="dxa"/>
            <w:shd w:val="clear" w:color="auto" w:fill="auto"/>
            <w:vAlign w:val="center"/>
          </w:tcPr>
          <w:p w14:paraId="09983E86">
            <w:pPr>
              <w:jc w:val="center"/>
              <w:rPr>
                <w:sz w:val="18"/>
                <w:szCs w:val="18"/>
              </w:rPr>
            </w:pPr>
            <w:r>
              <w:rPr>
                <w:rFonts w:hint="eastAsia"/>
                <w:sz w:val="18"/>
                <w:szCs w:val="18"/>
              </w:rPr>
              <w:t>东川铁路支线扩能改造</w:t>
            </w:r>
          </w:p>
        </w:tc>
        <w:tc>
          <w:tcPr>
            <w:tcW w:w="796" w:type="dxa"/>
            <w:shd w:val="clear" w:color="auto" w:fill="auto"/>
            <w:noWrap/>
            <w:vAlign w:val="center"/>
          </w:tcPr>
          <w:p w14:paraId="1C82F7AC">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033C3277">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755D5E91">
            <w:pPr>
              <w:widowControl/>
              <w:jc w:val="center"/>
              <w:rPr>
                <w:rFonts w:ascii="宋体" w:hAnsi="宋体" w:cs="宋体"/>
                <w:kern w:val="0"/>
                <w:sz w:val="18"/>
                <w:szCs w:val="18"/>
              </w:rPr>
            </w:pPr>
            <w:r>
              <w:rPr>
                <w:rFonts w:hint="eastAsia" w:ascii="宋体" w:hAnsi="宋体" w:cs="宋体"/>
                <w:kern w:val="0"/>
                <w:sz w:val="18"/>
                <w:szCs w:val="18"/>
              </w:rPr>
              <w:t>23</w:t>
            </w:r>
          </w:p>
        </w:tc>
        <w:tc>
          <w:tcPr>
            <w:tcW w:w="946" w:type="dxa"/>
            <w:shd w:val="clear" w:color="auto" w:fill="auto"/>
            <w:noWrap/>
            <w:vAlign w:val="center"/>
          </w:tcPr>
          <w:p w14:paraId="26DF1836">
            <w:pPr>
              <w:widowControl/>
              <w:jc w:val="center"/>
              <w:rPr>
                <w:rFonts w:ascii="宋体" w:hAnsi="宋体" w:cs="宋体"/>
                <w:kern w:val="0"/>
                <w:sz w:val="18"/>
                <w:szCs w:val="18"/>
              </w:rPr>
            </w:pPr>
            <w:r>
              <w:rPr>
                <w:rFonts w:hint="eastAsia" w:ascii="宋体" w:hAnsi="宋体" w:cs="宋体"/>
                <w:kern w:val="0"/>
                <w:sz w:val="18"/>
                <w:szCs w:val="18"/>
              </w:rPr>
              <w:t>20</w:t>
            </w:r>
          </w:p>
        </w:tc>
        <w:tc>
          <w:tcPr>
            <w:tcW w:w="854" w:type="dxa"/>
            <w:shd w:val="clear" w:color="auto" w:fill="auto"/>
            <w:noWrap/>
            <w:vAlign w:val="center"/>
          </w:tcPr>
          <w:p w14:paraId="77D2E32F">
            <w:pPr>
              <w:widowControl/>
              <w:jc w:val="center"/>
              <w:rPr>
                <w:rFonts w:ascii="宋体" w:hAnsi="宋体" w:cs="宋体"/>
                <w:kern w:val="0"/>
                <w:sz w:val="18"/>
                <w:szCs w:val="18"/>
              </w:rPr>
            </w:pPr>
            <w:r>
              <w:rPr>
                <w:rFonts w:hint="eastAsia" w:ascii="宋体" w:hAnsi="宋体" w:cs="宋体"/>
                <w:kern w:val="0"/>
                <w:sz w:val="18"/>
                <w:szCs w:val="18"/>
              </w:rPr>
              <w:t>10</w:t>
            </w:r>
          </w:p>
        </w:tc>
        <w:tc>
          <w:tcPr>
            <w:tcW w:w="1489" w:type="dxa"/>
            <w:shd w:val="clear" w:color="auto" w:fill="auto"/>
            <w:noWrap/>
            <w:vAlign w:val="center"/>
          </w:tcPr>
          <w:p w14:paraId="177F7E07">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31FE93F4">
            <w:pPr>
              <w:widowControl/>
              <w:jc w:val="center"/>
              <w:rPr>
                <w:rFonts w:ascii="宋体" w:hAnsi="宋体" w:cs="宋体"/>
                <w:kern w:val="0"/>
                <w:sz w:val="18"/>
                <w:szCs w:val="18"/>
              </w:rPr>
            </w:pPr>
          </w:p>
        </w:tc>
      </w:tr>
      <w:tr w14:paraId="6318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29D6872">
            <w:pPr>
              <w:widowControl/>
              <w:jc w:val="center"/>
              <w:rPr>
                <w:rFonts w:ascii="宋体" w:hAnsi="宋体" w:cs="宋体"/>
                <w:kern w:val="0"/>
                <w:sz w:val="18"/>
                <w:szCs w:val="18"/>
              </w:rPr>
            </w:pPr>
          </w:p>
        </w:tc>
        <w:tc>
          <w:tcPr>
            <w:tcW w:w="3659" w:type="dxa"/>
            <w:shd w:val="clear" w:color="auto" w:fill="auto"/>
            <w:vAlign w:val="center"/>
          </w:tcPr>
          <w:p w14:paraId="6F60346D">
            <w:pPr>
              <w:jc w:val="center"/>
              <w:rPr>
                <w:sz w:val="18"/>
                <w:szCs w:val="18"/>
              </w:rPr>
            </w:pPr>
            <w:r>
              <w:rPr>
                <w:rFonts w:hint="eastAsia"/>
                <w:sz w:val="18"/>
                <w:szCs w:val="18"/>
              </w:rPr>
              <w:t>东川通用机场道路建设</w:t>
            </w:r>
          </w:p>
        </w:tc>
        <w:tc>
          <w:tcPr>
            <w:tcW w:w="796" w:type="dxa"/>
            <w:shd w:val="clear" w:color="auto" w:fill="auto"/>
            <w:noWrap/>
            <w:vAlign w:val="center"/>
          </w:tcPr>
          <w:p w14:paraId="7EB78340">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66C4264D">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34158C6E">
            <w:pPr>
              <w:widowControl/>
              <w:jc w:val="center"/>
              <w:rPr>
                <w:rFonts w:ascii="宋体" w:hAnsi="宋体" w:cs="宋体"/>
                <w:kern w:val="0"/>
                <w:sz w:val="18"/>
                <w:szCs w:val="18"/>
              </w:rPr>
            </w:pPr>
            <w:r>
              <w:rPr>
                <w:rFonts w:hint="eastAsia" w:ascii="宋体" w:hAnsi="宋体" w:cs="宋体"/>
                <w:kern w:val="0"/>
                <w:sz w:val="18"/>
                <w:szCs w:val="18"/>
              </w:rPr>
              <w:t>10</w:t>
            </w:r>
          </w:p>
        </w:tc>
        <w:tc>
          <w:tcPr>
            <w:tcW w:w="946" w:type="dxa"/>
            <w:shd w:val="clear" w:color="auto" w:fill="auto"/>
            <w:noWrap/>
            <w:vAlign w:val="center"/>
          </w:tcPr>
          <w:p w14:paraId="11EC9CC7">
            <w:pPr>
              <w:widowControl/>
              <w:jc w:val="center"/>
              <w:rPr>
                <w:rFonts w:ascii="宋体" w:hAnsi="宋体" w:cs="宋体"/>
                <w:kern w:val="0"/>
                <w:sz w:val="18"/>
                <w:szCs w:val="18"/>
              </w:rPr>
            </w:pPr>
            <w:r>
              <w:rPr>
                <w:rFonts w:hint="eastAsia" w:ascii="宋体" w:hAnsi="宋体" w:cs="宋体"/>
                <w:kern w:val="0"/>
                <w:sz w:val="18"/>
                <w:szCs w:val="18"/>
              </w:rPr>
              <w:t>8</w:t>
            </w:r>
          </w:p>
        </w:tc>
        <w:tc>
          <w:tcPr>
            <w:tcW w:w="854" w:type="dxa"/>
            <w:shd w:val="clear" w:color="auto" w:fill="auto"/>
            <w:noWrap/>
            <w:vAlign w:val="center"/>
          </w:tcPr>
          <w:p w14:paraId="0B9CC55F">
            <w:pPr>
              <w:widowControl/>
              <w:jc w:val="center"/>
              <w:rPr>
                <w:rFonts w:ascii="宋体" w:hAnsi="宋体" w:cs="宋体"/>
                <w:kern w:val="0"/>
                <w:sz w:val="18"/>
                <w:szCs w:val="18"/>
              </w:rPr>
            </w:pPr>
            <w:r>
              <w:rPr>
                <w:rFonts w:hint="eastAsia" w:ascii="宋体" w:hAnsi="宋体" w:cs="宋体"/>
                <w:kern w:val="0"/>
                <w:sz w:val="18"/>
                <w:szCs w:val="18"/>
              </w:rPr>
              <w:t>2</w:t>
            </w:r>
          </w:p>
        </w:tc>
        <w:tc>
          <w:tcPr>
            <w:tcW w:w="1489" w:type="dxa"/>
            <w:shd w:val="clear" w:color="auto" w:fill="auto"/>
            <w:noWrap/>
            <w:vAlign w:val="center"/>
          </w:tcPr>
          <w:p w14:paraId="30A5EDC0">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265DABB0">
            <w:pPr>
              <w:widowControl/>
              <w:jc w:val="center"/>
              <w:rPr>
                <w:rFonts w:ascii="宋体" w:hAnsi="宋体" w:cs="宋体"/>
                <w:kern w:val="0"/>
                <w:sz w:val="18"/>
                <w:szCs w:val="18"/>
              </w:rPr>
            </w:pPr>
          </w:p>
        </w:tc>
      </w:tr>
      <w:tr w14:paraId="7E81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68B9E28">
            <w:pPr>
              <w:widowControl/>
              <w:jc w:val="center"/>
              <w:rPr>
                <w:rFonts w:ascii="宋体" w:hAnsi="宋体" w:cs="宋体"/>
                <w:kern w:val="0"/>
                <w:sz w:val="18"/>
                <w:szCs w:val="18"/>
              </w:rPr>
            </w:pPr>
          </w:p>
        </w:tc>
        <w:tc>
          <w:tcPr>
            <w:tcW w:w="3659" w:type="dxa"/>
            <w:shd w:val="clear" w:color="auto" w:fill="auto"/>
            <w:vAlign w:val="center"/>
          </w:tcPr>
          <w:p w14:paraId="15579EB5">
            <w:pPr>
              <w:jc w:val="center"/>
              <w:rPr>
                <w:rFonts w:hint="eastAsia"/>
                <w:sz w:val="18"/>
                <w:szCs w:val="18"/>
              </w:rPr>
            </w:pPr>
            <w:r>
              <w:rPr>
                <w:rFonts w:hint="eastAsia"/>
                <w:sz w:val="18"/>
                <w:szCs w:val="18"/>
              </w:rPr>
              <w:t>金沙江黄金水岸航道、码头等基础设施建设</w:t>
            </w:r>
          </w:p>
        </w:tc>
        <w:tc>
          <w:tcPr>
            <w:tcW w:w="796" w:type="dxa"/>
            <w:shd w:val="clear" w:color="auto" w:fill="auto"/>
            <w:noWrap/>
            <w:vAlign w:val="center"/>
          </w:tcPr>
          <w:p w14:paraId="020C97D6">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58CF72CD">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483C9F82">
            <w:pPr>
              <w:widowControl/>
              <w:jc w:val="center"/>
              <w:rPr>
                <w:rFonts w:ascii="宋体" w:hAnsi="宋体" w:cs="宋体"/>
                <w:kern w:val="0"/>
                <w:sz w:val="18"/>
                <w:szCs w:val="18"/>
              </w:rPr>
            </w:pPr>
            <w:r>
              <w:rPr>
                <w:rFonts w:hint="eastAsia" w:ascii="宋体" w:hAnsi="宋体" w:cs="宋体"/>
                <w:kern w:val="0"/>
                <w:sz w:val="18"/>
                <w:szCs w:val="18"/>
              </w:rPr>
              <w:t>20</w:t>
            </w:r>
          </w:p>
        </w:tc>
        <w:tc>
          <w:tcPr>
            <w:tcW w:w="946" w:type="dxa"/>
            <w:shd w:val="clear" w:color="auto" w:fill="auto"/>
            <w:noWrap/>
            <w:vAlign w:val="center"/>
          </w:tcPr>
          <w:p w14:paraId="3F14BF19">
            <w:pPr>
              <w:widowControl/>
              <w:jc w:val="center"/>
              <w:rPr>
                <w:rFonts w:ascii="宋体" w:hAnsi="宋体" w:cs="宋体"/>
                <w:kern w:val="0"/>
                <w:sz w:val="18"/>
                <w:szCs w:val="18"/>
              </w:rPr>
            </w:pPr>
            <w:r>
              <w:rPr>
                <w:rFonts w:hint="eastAsia" w:ascii="宋体" w:hAnsi="宋体" w:cs="宋体"/>
                <w:kern w:val="0"/>
                <w:sz w:val="18"/>
                <w:szCs w:val="18"/>
              </w:rPr>
              <w:t>27</w:t>
            </w:r>
          </w:p>
        </w:tc>
        <w:tc>
          <w:tcPr>
            <w:tcW w:w="854" w:type="dxa"/>
            <w:shd w:val="clear" w:color="auto" w:fill="auto"/>
            <w:noWrap/>
            <w:vAlign w:val="center"/>
          </w:tcPr>
          <w:p w14:paraId="10104580">
            <w:pPr>
              <w:widowControl/>
              <w:jc w:val="center"/>
              <w:rPr>
                <w:rFonts w:ascii="宋体" w:hAnsi="宋体" w:cs="宋体"/>
                <w:kern w:val="0"/>
                <w:sz w:val="18"/>
                <w:szCs w:val="18"/>
              </w:rPr>
            </w:pPr>
            <w:r>
              <w:rPr>
                <w:rFonts w:hint="eastAsia" w:ascii="宋体" w:hAnsi="宋体" w:cs="宋体"/>
                <w:kern w:val="0"/>
                <w:sz w:val="18"/>
                <w:szCs w:val="18"/>
              </w:rPr>
              <w:t>24</w:t>
            </w:r>
          </w:p>
        </w:tc>
        <w:tc>
          <w:tcPr>
            <w:tcW w:w="1489" w:type="dxa"/>
            <w:shd w:val="clear" w:color="auto" w:fill="auto"/>
            <w:noWrap/>
            <w:vAlign w:val="center"/>
          </w:tcPr>
          <w:p w14:paraId="1DB1ECA3">
            <w:pPr>
              <w:widowControl/>
              <w:jc w:val="center"/>
              <w:rPr>
                <w:rFonts w:ascii="宋体" w:hAnsi="宋体" w:cs="宋体"/>
                <w:kern w:val="0"/>
                <w:sz w:val="18"/>
                <w:szCs w:val="18"/>
              </w:rPr>
            </w:pPr>
            <w:r>
              <w:rPr>
                <w:rFonts w:hint="eastAsia" w:ascii="宋体" w:hAnsi="宋体" w:cs="宋体"/>
                <w:kern w:val="0"/>
                <w:sz w:val="18"/>
                <w:szCs w:val="18"/>
              </w:rPr>
              <w:t>舍块乡</w:t>
            </w:r>
          </w:p>
        </w:tc>
        <w:tc>
          <w:tcPr>
            <w:tcW w:w="577" w:type="dxa"/>
            <w:shd w:val="clear" w:color="auto" w:fill="auto"/>
            <w:noWrap/>
            <w:vAlign w:val="center"/>
          </w:tcPr>
          <w:p w14:paraId="6A4B1D8B">
            <w:pPr>
              <w:widowControl/>
              <w:jc w:val="center"/>
              <w:rPr>
                <w:rFonts w:ascii="宋体" w:hAnsi="宋体" w:cs="宋体"/>
                <w:kern w:val="0"/>
                <w:sz w:val="18"/>
                <w:szCs w:val="18"/>
              </w:rPr>
            </w:pPr>
          </w:p>
        </w:tc>
      </w:tr>
      <w:tr w14:paraId="0AB0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FEBC6FF">
            <w:pPr>
              <w:widowControl/>
              <w:jc w:val="center"/>
              <w:rPr>
                <w:rFonts w:ascii="宋体" w:hAnsi="宋体" w:cs="宋体"/>
                <w:kern w:val="0"/>
                <w:sz w:val="18"/>
                <w:szCs w:val="18"/>
              </w:rPr>
            </w:pPr>
          </w:p>
        </w:tc>
        <w:tc>
          <w:tcPr>
            <w:tcW w:w="3659" w:type="dxa"/>
            <w:shd w:val="clear" w:color="auto" w:fill="auto"/>
            <w:vAlign w:val="center"/>
          </w:tcPr>
          <w:p w14:paraId="4AD3BD46">
            <w:pPr>
              <w:jc w:val="center"/>
              <w:rPr>
                <w:sz w:val="18"/>
                <w:szCs w:val="18"/>
              </w:rPr>
            </w:pPr>
            <w:r>
              <w:rPr>
                <w:rFonts w:hint="eastAsia"/>
                <w:sz w:val="18"/>
                <w:szCs w:val="18"/>
              </w:rPr>
              <w:t>转龙至红土地二级公路</w:t>
            </w:r>
          </w:p>
        </w:tc>
        <w:tc>
          <w:tcPr>
            <w:tcW w:w="796" w:type="dxa"/>
            <w:shd w:val="clear" w:color="auto" w:fill="auto"/>
            <w:noWrap/>
            <w:vAlign w:val="center"/>
          </w:tcPr>
          <w:p w14:paraId="54D4AAB5">
            <w:pPr>
              <w:jc w:val="center"/>
              <w:rPr>
                <w:sz w:val="18"/>
                <w:szCs w:val="18"/>
              </w:rPr>
            </w:pPr>
            <w:r>
              <w:rPr>
                <w:rFonts w:hint="eastAsia"/>
                <w:sz w:val="18"/>
                <w:szCs w:val="18"/>
              </w:rPr>
              <w:t>新增</w:t>
            </w:r>
          </w:p>
        </w:tc>
        <w:tc>
          <w:tcPr>
            <w:tcW w:w="1206" w:type="dxa"/>
            <w:shd w:val="clear" w:color="auto" w:fill="auto"/>
            <w:noWrap/>
            <w:vAlign w:val="center"/>
          </w:tcPr>
          <w:p w14:paraId="648A0D90">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5C753548">
            <w:pPr>
              <w:widowControl/>
              <w:jc w:val="center"/>
              <w:rPr>
                <w:rFonts w:ascii="宋体" w:hAnsi="宋体" w:cs="宋体"/>
                <w:kern w:val="0"/>
                <w:sz w:val="18"/>
                <w:szCs w:val="18"/>
              </w:rPr>
            </w:pPr>
            <w:r>
              <w:rPr>
                <w:rFonts w:hint="eastAsia" w:ascii="宋体" w:hAnsi="宋体" w:cs="宋体"/>
                <w:kern w:val="0"/>
                <w:sz w:val="18"/>
                <w:szCs w:val="18"/>
              </w:rPr>
              <w:t xml:space="preserve">27.35 </w:t>
            </w:r>
          </w:p>
        </w:tc>
        <w:tc>
          <w:tcPr>
            <w:tcW w:w="946" w:type="dxa"/>
            <w:shd w:val="clear" w:color="auto" w:fill="auto"/>
            <w:noWrap/>
            <w:vAlign w:val="center"/>
          </w:tcPr>
          <w:p w14:paraId="4ACE98F7">
            <w:pPr>
              <w:widowControl/>
              <w:jc w:val="center"/>
              <w:rPr>
                <w:rFonts w:ascii="宋体" w:hAnsi="宋体" w:cs="宋体"/>
                <w:kern w:val="0"/>
                <w:sz w:val="18"/>
                <w:szCs w:val="18"/>
              </w:rPr>
            </w:pPr>
            <w:r>
              <w:rPr>
                <w:rFonts w:hint="eastAsia" w:ascii="宋体" w:hAnsi="宋体" w:cs="宋体"/>
                <w:kern w:val="0"/>
                <w:sz w:val="18"/>
                <w:szCs w:val="18"/>
              </w:rPr>
              <w:t xml:space="preserve">27.35 </w:t>
            </w:r>
          </w:p>
        </w:tc>
        <w:tc>
          <w:tcPr>
            <w:tcW w:w="854" w:type="dxa"/>
            <w:shd w:val="clear" w:color="auto" w:fill="auto"/>
            <w:noWrap/>
            <w:vAlign w:val="center"/>
          </w:tcPr>
          <w:p w14:paraId="3789F7E6">
            <w:pPr>
              <w:widowControl/>
              <w:jc w:val="center"/>
              <w:rPr>
                <w:rFonts w:ascii="宋体" w:hAnsi="宋体" w:cs="宋体"/>
                <w:kern w:val="0"/>
                <w:sz w:val="18"/>
                <w:szCs w:val="18"/>
              </w:rPr>
            </w:pPr>
            <w:r>
              <w:rPr>
                <w:rFonts w:hint="eastAsia" w:ascii="宋体" w:hAnsi="宋体" w:cs="宋体"/>
                <w:kern w:val="0"/>
                <w:sz w:val="18"/>
                <w:szCs w:val="18"/>
              </w:rPr>
              <w:t xml:space="preserve">21.88 </w:t>
            </w:r>
          </w:p>
        </w:tc>
        <w:tc>
          <w:tcPr>
            <w:tcW w:w="1489" w:type="dxa"/>
            <w:shd w:val="clear" w:color="auto" w:fill="auto"/>
            <w:noWrap/>
            <w:vAlign w:val="center"/>
          </w:tcPr>
          <w:p w14:paraId="68D75945">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1958BE1D">
            <w:pPr>
              <w:widowControl/>
              <w:jc w:val="center"/>
              <w:rPr>
                <w:rFonts w:ascii="宋体" w:hAnsi="宋体" w:cs="宋体"/>
                <w:kern w:val="0"/>
                <w:sz w:val="18"/>
                <w:szCs w:val="18"/>
              </w:rPr>
            </w:pPr>
          </w:p>
        </w:tc>
      </w:tr>
      <w:tr w14:paraId="7E37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0A14E57">
            <w:pPr>
              <w:widowControl/>
              <w:jc w:val="center"/>
              <w:rPr>
                <w:rFonts w:ascii="宋体" w:hAnsi="宋体" w:cs="宋体"/>
                <w:kern w:val="0"/>
                <w:sz w:val="18"/>
                <w:szCs w:val="18"/>
              </w:rPr>
            </w:pPr>
          </w:p>
        </w:tc>
        <w:tc>
          <w:tcPr>
            <w:tcW w:w="3659" w:type="dxa"/>
            <w:shd w:val="clear" w:color="auto" w:fill="auto"/>
            <w:noWrap/>
            <w:vAlign w:val="center"/>
          </w:tcPr>
          <w:p w14:paraId="58CE111D">
            <w:pPr>
              <w:widowControl/>
              <w:jc w:val="center"/>
              <w:rPr>
                <w:rFonts w:ascii="宋体" w:hAnsi="宋体" w:cs="宋体"/>
                <w:kern w:val="0"/>
                <w:sz w:val="18"/>
                <w:szCs w:val="18"/>
              </w:rPr>
            </w:pPr>
            <w:r>
              <w:rPr>
                <w:rFonts w:hint="eastAsia" w:ascii="宋体" w:hAnsi="宋体" w:cs="宋体"/>
                <w:kern w:val="0"/>
                <w:sz w:val="18"/>
                <w:szCs w:val="18"/>
              </w:rPr>
              <w:t>小计</w:t>
            </w:r>
          </w:p>
        </w:tc>
        <w:tc>
          <w:tcPr>
            <w:tcW w:w="796" w:type="dxa"/>
            <w:shd w:val="clear" w:color="auto" w:fill="auto"/>
            <w:noWrap/>
            <w:vAlign w:val="center"/>
          </w:tcPr>
          <w:p w14:paraId="7AD2BEE8">
            <w:pPr>
              <w:jc w:val="center"/>
            </w:pPr>
            <w:r>
              <w:rPr>
                <w:rFonts w:hint="eastAsia" w:ascii="宋体" w:hAnsi="宋体" w:cs="宋体"/>
                <w:kern w:val="0"/>
                <w:sz w:val="18"/>
                <w:szCs w:val="18"/>
              </w:rPr>
              <w:t>——</w:t>
            </w:r>
          </w:p>
        </w:tc>
        <w:tc>
          <w:tcPr>
            <w:tcW w:w="1206" w:type="dxa"/>
            <w:shd w:val="clear" w:color="auto" w:fill="auto"/>
            <w:noWrap/>
            <w:vAlign w:val="center"/>
          </w:tcPr>
          <w:p w14:paraId="43E8B25A">
            <w:pPr>
              <w:widowControl/>
              <w:jc w:val="center"/>
              <w:rPr>
                <w:rFonts w:ascii="宋体" w:hAnsi="宋体" w:cs="宋体"/>
                <w:kern w:val="0"/>
                <w:sz w:val="18"/>
                <w:szCs w:val="18"/>
              </w:rPr>
            </w:pPr>
            <w:r>
              <w:rPr>
                <w:rFonts w:hint="eastAsia" w:ascii="宋体" w:hAnsi="宋体" w:cs="宋体"/>
                <w:kern w:val="0"/>
                <w:sz w:val="18"/>
                <w:szCs w:val="18"/>
              </w:rPr>
              <w:t>——</w:t>
            </w:r>
          </w:p>
        </w:tc>
        <w:tc>
          <w:tcPr>
            <w:tcW w:w="1026" w:type="dxa"/>
            <w:shd w:val="clear" w:color="auto" w:fill="auto"/>
            <w:noWrap/>
            <w:vAlign w:val="center"/>
          </w:tcPr>
          <w:p w14:paraId="684FC672">
            <w:pPr>
              <w:widowControl/>
              <w:jc w:val="right"/>
              <w:rPr>
                <w:rFonts w:ascii="宋体" w:hAnsi="宋体" w:cs="宋体"/>
                <w:kern w:val="0"/>
                <w:sz w:val="18"/>
                <w:szCs w:val="18"/>
              </w:rPr>
            </w:pPr>
            <w:r>
              <w:rPr>
                <w:rFonts w:hint="eastAsia" w:ascii="宋体" w:hAnsi="宋体" w:cs="宋体"/>
                <w:kern w:val="0"/>
                <w:sz w:val="18"/>
                <w:szCs w:val="18"/>
              </w:rPr>
              <w:t>1398.16</w:t>
            </w:r>
          </w:p>
        </w:tc>
        <w:tc>
          <w:tcPr>
            <w:tcW w:w="946" w:type="dxa"/>
            <w:shd w:val="clear" w:color="auto" w:fill="auto"/>
            <w:noWrap/>
            <w:vAlign w:val="center"/>
          </w:tcPr>
          <w:p w14:paraId="15398CB9">
            <w:pPr>
              <w:widowControl/>
              <w:jc w:val="right"/>
              <w:rPr>
                <w:rFonts w:ascii="宋体" w:hAnsi="宋体" w:cs="宋体"/>
                <w:kern w:val="0"/>
                <w:sz w:val="18"/>
                <w:szCs w:val="18"/>
              </w:rPr>
            </w:pPr>
            <w:r>
              <w:rPr>
                <w:rFonts w:hint="eastAsia" w:ascii="宋体" w:hAnsi="宋体" w:cs="宋体"/>
                <w:kern w:val="0"/>
                <w:sz w:val="18"/>
                <w:szCs w:val="18"/>
              </w:rPr>
              <w:t>1334.91</w:t>
            </w:r>
          </w:p>
        </w:tc>
        <w:tc>
          <w:tcPr>
            <w:tcW w:w="854" w:type="dxa"/>
            <w:shd w:val="clear" w:color="auto" w:fill="auto"/>
            <w:noWrap/>
            <w:vAlign w:val="center"/>
          </w:tcPr>
          <w:p w14:paraId="548921A1">
            <w:pPr>
              <w:widowControl/>
              <w:jc w:val="right"/>
              <w:rPr>
                <w:rFonts w:ascii="宋体" w:hAnsi="宋体" w:cs="宋体"/>
                <w:kern w:val="0"/>
                <w:sz w:val="18"/>
                <w:szCs w:val="18"/>
              </w:rPr>
            </w:pPr>
            <w:r>
              <w:rPr>
                <w:rFonts w:hint="eastAsia" w:ascii="宋体" w:hAnsi="宋体" w:cs="宋体"/>
                <w:kern w:val="0"/>
                <w:sz w:val="18"/>
                <w:szCs w:val="18"/>
              </w:rPr>
              <w:t>743.04</w:t>
            </w:r>
          </w:p>
        </w:tc>
        <w:tc>
          <w:tcPr>
            <w:tcW w:w="1489" w:type="dxa"/>
            <w:shd w:val="clear" w:color="auto" w:fill="auto"/>
            <w:vAlign w:val="center"/>
          </w:tcPr>
          <w:p w14:paraId="485E723B">
            <w:pPr>
              <w:widowControl/>
              <w:jc w:val="center"/>
              <w:rPr>
                <w:rFonts w:ascii="宋体" w:hAnsi="宋体" w:cs="宋体"/>
                <w:kern w:val="0"/>
                <w:sz w:val="18"/>
                <w:szCs w:val="18"/>
              </w:rPr>
            </w:pPr>
            <w:r>
              <w:rPr>
                <w:rFonts w:hint="eastAsia" w:ascii="宋体" w:hAnsi="宋体" w:cs="宋体"/>
                <w:kern w:val="0"/>
                <w:sz w:val="18"/>
                <w:szCs w:val="18"/>
              </w:rPr>
              <w:t>——</w:t>
            </w:r>
          </w:p>
        </w:tc>
        <w:tc>
          <w:tcPr>
            <w:tcW w:w="577" w:type="dxa"/>
            <w:shd w:val="clear" w:color="auto" w:fill="auto"/>
            <w:noWrap/>
            <w:vAlign w:val="center"/>
          </w:tcPr>
          <w:p w14:paraId="50FB7F81">
            <w:pPr>
              <w:widowControl/>
              <w:jc w:val="center"/>
              <w:rPr>
                <w:rFonts w:ascii="宋体" w:hAnsi="宋体" w:cs="宋体"/>
                <w:kern w:val="0"/>
                <w:sz w:val="18"/>
                <w:szCs w:val="18"/>
              </w:rPr>
            </w:pPr>
          </w:p>
        </w:tc>
      </w:tr>
      <w:tr w14:paraId="1A2F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restart"/>
            <w:vAlign w:val="center"/>
          </w:tcPr>
          <w:p w14:paraId="46AFABBF">
            <w:pPr>
              <w:widowControl/>
              <w:jc w:val="center"/>
              <w:rPr>
                <w:rFonts w:ascii="宋体" w:hAnsi="宋体" w:cs="宋体"/>
                <w:kern w:val="0"/>
                <w:sz w:val="18"/>
                <w:szCs w:val="18"/>
              </w:rPr>
            </w:pPr>
            <w:r>
              <w:rPr>
                <w:rFonts w:hint="eastAsia" w:ascii="宋体" w:hAnsi="宋体" w:cs="宋体"/>
                <w:kern w:val="0"/>
                <w:sz w:val="18"/>
                <w:szCs w:val="18"/>
              </w:rPr>
              <w:t>2、水利</w:t>
            </w:r>
          </w:p>
        </w:tc>
        <w:tc>
          <w:tcPr>
            <w:tcW w:w="3659" w:type="dxa"/>
            <w:shd w:val="clear" w:color="auto" w:fill="auto"/>
            <w:noWrap/>
            <w:vAlign w:val="center"/>
          </w:tcPr>
          <w:p w14:paraId="038E07CE">
            <w:pPr>
              <w:jc w:val="center"/>
              <w:rPr>
                <w:sz w:val="18"/>
                <w:szCs w:val="18"/>
              </w:rPr>
            </w:pPr>
            <w:r>
              <w:rPr>
                <w:rFonts w:hint="eastAsia"/>
                <w:sz w:val="18"/>
                <w:szCs w:val="18"/>
              </w:rPr>
              <w:t>轿子山水库工程(淹没区、大坝、配套渠道、环湖公路）</w:t>
            </w:r>
          </w:p>
        </w:tc>
        <w:tc>
          <w:tcPr>
            <w:tcW w:w="796" w:type="dxa"/>
            <w:shd w:val="clear" w:color="auto" w:fill="auto"/>
            <w:noWrap/>
            <w:vAlign w:val="center"/>
          </w:tcPr>
          <w:p w14:paraId="5331B9B2">
            <w:pPr>
              <w:jc w:val="center"/>
              <w:rPr>
                <w:sz w:val="18"/>
                <w:szCs w:val="18"/>
              </w:rPr>
            </w:pPr>
            <w:r>
              <w:rPr>
                <w:rFonts w:hint="eastAsia"/>
                <w:sz w:val="18"/>
                <w:szCs w:val="18"/>
              </w:rPr>
              <w:t>新建</w:t>
            </w:r>
          </w:p>
        </w:tc>
        <w:tc>
          <w:tcPr>
            <w:tcW w:w="1206" w:type="dxa"/>
            <w:shd w:val="clear" w:color="auto" w:fill="auto"/>
            <w:noWrap/>
            <w:vAlign w:val="center"/>
          </w:tcPr>
          <w:p w14:paraId="2C3D8877">
            <w:pPr>
              <w:widowControl/>
              <w:jc w:val="center"/>
              <w:rPr>
                <w:rFonts w:ascii="宋体" w:hAnsi="宋体" w:cs="宋体"/>
                <w:kern w:val="0"/>
                <w:sz w:val="18"/>
                <w:szCs w:val="18"/>
              </w:rPr>
            </w:pPr>
            <w:r>
              <w:rPr>
                <w:rFonts w:hint="eastAsia" w:ascii="宋体" w:hAnsi="宋体" w:cs="宋体"/>
                <w:kern w:val="0"/>
                <w:sz w:val="18"/>
                <w:szCs w:val="18"/>
              </w:rPr>
              <w:t>2015-2018</w:t>
            </w:r>
          </w:p>
        </w:tc>
        <w:tc>
          <w:tcPr>
            <w:tcW w:w="1026" w:type="dxa"/>
            <w:shd w:val="clear" w:color="auto" w:fill="auto"/>
            <w:noWrap/>
            <w:vAlign w:val="center"/>
          </w:tcPr>
          <w:p w14:paraId="34AF6F50">
            <w:pPr>
              <w:widowControl/>
              <w:jc w:val="center"/>
              <w:rPr>
                <w:rFonts w:ascii="宋体" w:hAnsi="宋体" w:cs="宋体"/>
                <w:kern w:val="0"/>
                <w:sz w:val="18"/>
                <w:szCs w:val="18"/>
              </w:rPr>
            </w:pPr>
            <w:r>
              <w:rPr>
                <w:rFonts w:hint="eastAsia" w:ascii="宋体" w:hAnsi="宋体" w:cs="宋体"/>
                <w:kern w:val="0"/>
                <w:sz w:val="18"/>
                <w:szCs w:val="18"/>
              </w:rPr>
              <w:t>111.11</w:t>
            </w:r>
          </w:p>
        </w:tc>
        <w:tc>
          <w:tcPr>
            <w:tcW w:w="946" w:type="dxa"/>
            <w:shd w:val="clear" w:color="auto" w:fill="auto"/>
            <w:noWrap/>
            <w:vAlign w:val="center"/>
          </w:tcPr>
          <w:p w14:paraId="19F0ECAF">
            <w:pPr>
              <w:widowControl/>
              <w:jc w:val="center"/>
              <w:rPr>
                <w:rFonts w:ascii="宋体" w:hAnsi="宋体" w:cs="宋体"/>
                <w:kern w:val="0"/>
                <w:sz w:val="18"/>
                <w:szCs w:val="18"/>
              </w:rPr>
            </w:pPr>
            <w:r>
              <w:rPr>
                <w:rFonts w:hint="eastAsia" w:ascii="宋体" w:hAnsi="宋体" w:cs="宋体"/>
                <w:kern w:val="0"/>
                <w:sz w:val="18"/>
                <w:szCs w:val="18"/>
              </w:rPr>
              <w:t>100</w:t>
            </w:r>
          </w:p>
        </w:tc>
        <w:tc>
          <w:tcPr>
            <w:tcW w:w="854" w:type="dxa"/>
            <w:shd w:val="clear" w:color="auto" w:fill="auto"/>
            <w:noWrap/>
            <w:vAlign w:val="center"/>
          </w:tcPr>
          <w:p w14:paraId="7BD97EB9">
            <w:pPr>
              <w:widowControl/>
              <w:jc w:val="center"/>
              <w:rPr>
                <w:rFonts w:ascii="宋体" w:hAnsi="宋体" w:cs="宋体"/>
                <w:kern w:val="0"/>
                <w:sz w:val="18"/>
                <w:szCs w:val="18"/>
              </w:rPr>
            </w:pPr>
            <w:r>
              <w:rPr>
                <w:rFonts w:hint="eastAsia" w:ascii="宋体" w:hAnsi="宋体" w:cs="宋体"/>
                <w:kern w:val="0"/>
                <w:sz w:val="18"/>
                <w:szCs w:val="18"/>
              </w:rPr>
              <w:t>50.8</w:t>
            </w:r>
          </w:p>
        </w:tc>
        <w:tc>
          <w:tcPr>
            <w:tcW w:w="1489" w:type="dxa"/>
            <w:shd w:val="clear" w:color="auto" w:fill="auto"/>
            <w:vAlign w:val="center"/>
          </w:tcPr>
          <w:p w14:paraId="47091280">
            <w:pPr>
              <w:widowControl/>
              <w:jc w:val="center"/>
              <w:rPr>
                <w:rFonts w:ascii="宋体" w:hAnsi="宋体" w:cs="宋体"/>
                <w:kern w:val="0"/>
                <w:sz w:val="15"/>
                <w:szCs w:val="15"/>
              </w:rPr>
            </w:pPr>
            <w:r>
              <w:rPr>
                <w:rFonts w:hint="eastAsia" w:ascii="宋体" w:hAnsi="宋体" w:cs="宋体"/>
                <w:kern w:val="0"/>
                <w:sz w:val="15"/>
                <w:szCs w:val="15"/>
              </w:rPr>
              <w:t>红土地镇</w:t>
            </w:r>
          </w:p>
        </w:tc>
        <w:tc>
          <w:tcPr>
            <w:tcW w:w="577" w:type="dxa"/>
            <w:shd w:val="clear" w:color="auto" w:fill="auto"/>
            <w:noWrap/>
            <w:vAlign w:val="center"/>
          </w:tcPr>
          <w:p w14:paraId="648E63B9">
            <w:pPr>
              <w:widowControl/>
              <w:jc w:val="center"/>
              <w:rPr>
                <w:rFonts w:ascii="宋体" w:hAnsi="宋体" w:cs="宋体"/>
                <w:kern w:val="0"/>
                <w:sz w:val="18"/>
                <w:szCs w:val="18"/>
              </w:rPr>
            </w:pPr>
          </w:p>
        </w:tc>
      </w:tr>
      <w:tr w14:paraId="3165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DD3DBAC">
            <w:pPr>
              <w:widowControl/>
              <w:jc w:val="center"/>
              <w:rPr>
                <w:rFonts w:ascii="宋体" w:hAnsi="宋体" w:cs="宋体"/>
                <w:kern w:val="0"/>
                <w:sz w:val="18"/>
                <w:szCs w:val="18"/>
              </w:rPr>
            </w:pPr>
          </w:p>
        </w:tc>
        <w:tc>
          <w:tcPr>
            <w:tcW w:w="3659" w:type="dxa"/>
            <w:shd w:val="clear" w:color="auto" w:fill="auto"/>
            <w:noWrap/>
            <w:vAlign w:val="center"/>
          </w:tcPr>
          <w:p w14:paraId="528016FE">
            <w:pPr>
              <w:jc w:val="center"/>
              <w:rPr>
                <w:rFonts w:ascii="宋体" w:hAnsi="宋体" w:cs="宋体"/>
                <w:sz w:val="18"/>
                <w:szCs w:val="18"/>
              </w:rPr>
            </w:pPr>
            <w:r>
              <w:rPr>
                <w:rFonts w:hint="eastAsia"/>
                <w:sz w:val="18"/>
                <w:szCs w:val="18"/>
              </w:rPr>
              <w:t>东川区汤丹镇小河水库工程</w:t>
            </w:r>
          </w:p>
        </w:tc>
        <w:tc>
          <w:tcPr>
            <w:tcW w:w="796" w:type="dxa"/>
            <w:shd w:val="clear" w:color="auto" w:fill="auto"/>
            <w:noWrap/>
            <w:vAlign w:val="center"/>
          </w:tcPr>
          <w:p w14:paraId="32140F69">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7651F067">
            <w:pPr>
              <w:widowControl/>
              <w:jc w:val="center"/>
              <w:rPr>
                <w:rFonts w:ascii="宋体" w:hAnsi="宋体" w:cs="宋体"/>
                <w:kern w:val="0"/>
                <w:sz w:val="18"/>
                <w:szCs w:val="18"/>
              </w:rPr>
            </w:pPr>
            <w:r>
              <w:rPr>
                <w:rFonts w:hint="eastAsia" w:ascii="宋体" w:hAnsi="宋体" w:cs="宋体"/>
                <w:kern w:val="0"/>
                <w:sz w:val="18"/>
                <w:szCs w:val="18"/>
              </w:rPr>
              <w:t>2017-2018</w:t>
            </w:r>
          </w:p>
        </w:tc>
        <w:tc>
          <w:tcPr>
            <w:tcW w:w="1026" w:type="dxa"/>
            <w:shd w:val="clear" w:color="auto" w:fill="auto"/>
            <w:noWrap/>
            <w:vAlign w:val="center"/>
          </w:tcPr>
          <w:p w14:paraId="5C4158FB">
            <w:pPr>
              <w:widowControl/>
              <w:jc w:val="center"/>
              <w:rPr>
                <w:rFonts w:ascii="宋体" w:hAnsi="宋体" w:cs="宋体"/>
                <w:kern w:val="0"/>
                <w:sz w:val="18"/>
                <w:szCs w:val="18"/>
              </w:rPr>
            </w:pPr>
            <w:r>
              <w:rPr>
                <w:rFonts w:hint="eastAsia" w:ascii="宋体" w:hAnsi="宋体" w:cs="宋体"/>
                <w:kern w:val="0"/>
                <w:sz w:val="18"/>
                <w:szCs w:val="18"/>
              </w:rPr>
              <w:t>18</w:t>
            </w:r>
          </w:p>
        </w:tc>
        <w:tc>
          <w:tcPr>
            <w:tcW w:w="946" w:type="dxa"/>
            <w:shd w:val="clear" w:color="auto" w:fill="auto"/>
            <w:noWrap/>
            <w:vAlign w:val="center"/>
          </w:tcPr>
          <w:p w14:paraId="31F30780">
            <w:pPr>
              <w:widowControl/>
              <w:jc w:val="center"/>
              <w:rPr>
                <w:rFonts w:ascii="宋体" w:hAnsi="宋体" w:cs="宋体"/>
                <w:kern w:val="0"/>
                <w:sz w:val="18"/>
                <w:szCs w:val="18"/>
              </w:rPr>
            </w:pPr>
            <w:r>
              <w:rPr>
                <w:rFonts w:hint="eastAsia" w:ascii="宋体" w:hAnsi="宋体" w:cs="宋体"/>
                <w:kern w:val="0"/>
                <w:sz w:val="18"/>
                <w:szCs w:val="18"/>
              </w:rPr>
              <w:t>10</w:t>
            </w:r>
          </w:p>
        </w:tc>
        <w:tc>
          <w:tcPr>
            <w:tcW w:w="854" w:type="dxa"/>
            <w:shd w:val="clear" w:color="auto" w:fill="auto"/>
            <w:noWrap/>
            <w:vAlign w:val="center"/>
          </w:tcPr>
          <w:p w14:paraId="64F50374">
            <w:pPr>
              <w:widowControl/>
              <w:jc w:val="center"/>
              <w:rPr>
                <w:rFonts w:ascii="宋体" w:hAnsi="宋体" w:cs="宋体"/>
                <w:kern w:val="0"/>
                <w:sz w:val="18"/>
                <w:szCs w:val="18"/>
              </w:rPr>
            </w:pPr>
            <w:r>
              <w:rPr>
                <w:rFonts w:hint="eastAsia" w:ascii="宋体" w:hAnsi="宋体" w:cs="宋体"/>
                <w:kern w:val="0"/>
                <w:sz w:val="18"/>
                <w:szCs w:val="18"/>
              </w:rPr>
              <w:t>3</w:t>
            </w:r>
          </w:p>
        </w:tc>
        <w:tc>
          <w:tcPr>
            <w:tcW w:w="1489" w:type="dxa"/>
            <w:shd w:val="clear" w:color="auto" w:fill="auto"/>
            <w:vAlign w:val="center"/>
          </w:tcPr>
          <w:p w14:paraId="632DD6D9">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664E63C7">
            <w:pPr>
              <w:widowControl/>
              <w:jc w:val="center"/>
              <w:rPr>
                <w:rFonts w:ascii="宋体" w:hAnsi="宋体" w:cs="宋体"/>
                <w:kern w:val="0"/>
                <w:sz w:val="18"/>
                <w:szCs w:val="18"/>
              </w:rPr>
            </w:pPr>
          </w:p>
        </w:tc>
      </w:tr>
      <w:tr w14:paraId="2E3C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EB7B82F">
            <w:pPr>
              <w:widowControl/>
              <w:jc w:val="center"/>
              <w:rPr>
                <w:rFonts w:ascii="宋体" w:hAnsi="宋体" w:cs="宋体"/>
                <w:kern w:val="0"/>
                <w:sz w:val="18"/>
                <w:szCs w:val="18"/>
              </w:rPr>
            </w:pPr>
          </w:p>
        </w:tc>
        <w:tc>
          <w:tcPr>
            <w:tcW w:w="3659" w:type="dxa"/>
            <w:shd w:val="clear" w:color="auto" w:fill="auto"/>
            <w:noWrap/>
            <w:vAlign w:val="center"/>
          </w:tcPr>
          <w:p w14:paraId="1F8E8715">
            <w:pPr>
              <w:jc w:val="center"/>
              <w:rPr>
                <w:rFonts w:ascii="宋体" w:hAnsi="宋体" w:cs="宋体"/>
                <w:sz w:val="18"/>
                <w:szCs w:val="18"/>
              </w:rPr>
            </w:pPr>
            <w:r>
              <w:rPr>
                <w:rFonts w:hint="eastAsia"/>
                <w:sz w:val="18"/>
                <w:szCs w:val="18"/>
              </w:rPr>
              <w:t>因民镇青龙山红旗水库工程</w:t>
            </w:r>
          </w:p>
        </w:tc>
        <w:tc>
          <w:tcPr>
            <w:tcW w:w="796" w:type="dxa"/>
            <w:shd w:val="clear" w:color="auto" w:fill="auto"/>
            <w:noWrap/>
            <w:vAlign w:val="center"/>
          </w:tcPr>
          <w:p w14:paraId="1206D945">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1376AF9C">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193E6825">
            <w:pPr>
              <w:widowControl/>
              <w:jc w:val="center"/>
              <w:rPr>
                <w:rFonts w:ascii="宋体" w:hAnsi="宋体" w:cs="宋体"/>
                <w:kern w:val="0"/>
                <w:sz w:val="18"/>
                <w:szCs w:val="18"/>
              </w:rPr>
            </w:pPr>
            <w:r>
              <w:rPr>
                <w:rFonts w:hint="eastAsia" w:ascii="宋体" w:hAnsi="宋体" w:cs="宋体"/>
                <w:kern w:val="0"/>
                <w:sz w:val="18"/>
                <w:szCs w:val="18"/>
              </w:rPr>
              <w:t>8</w:t>
            </w:r>
          </w:p>
        </w:tc>
        <w:tc>
          <w:tcPr>
            <w:tcW w:w="946" w:type="dxa"/>
            <w:shd w:val="clear" w:color="auto" w:fill="auto"/>
            <w:noWrap/>
            <w:vAlign w:val="center"/>
          </w:tcPr>
          <w:p w14:paraId="2910DD9F">
            <w:pPr>
              <w:widowControl/>
              <w:jc w:val="center"/>
              <w:rPr>
                <w:rFonts w:ascii="宋体" w:hAnsi="宋体" w:cs="宋体"/>
                <w:kern w:val="0"/>
                <w:sz w:val="18"/>
                <w:szCs w:val="18"/>
              </w:rPr>
            </w:pPr>
            <w:r>
              <w:rPr>
                <w:rFonts w:hint="eastAsia" w:ascii="宋体" w:hAnsi="宋体" w:cs="宋体"/>
                <w:kern w:val="0"/>
                <w:sz w:val="18"/>
                <w:szCs w:val="18"/>
              </w:rPr>
              <w:t>2</w:t>
            </w:r>
          </w:p>
        </w:tc>
        <w:tc>
          <w:tcPr>
            <w:tcW w:w="854" w:type="dxa"/>
            <w:shd w:val="clear" w:color="auto" w:fill="auto"/>
            <w:noWrap/>
            <w:vAlign w:val="center"/>
          </w:tcPr>
          <w:p w14:paraId="64B7615E">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vAlign w:val="center"/>
          </w:tcPr>
          <w:p w14:paraId="61AFEF9A">
            <w:pPr>
              <w:widowControl/>
              <w:jc w:val="center"/>
              <w:rPr>
                <w:rFonts w:ascii="宋体" w:hAnsi="宋体" w:cs="宋体"/>
                <w:kern w:val="0"/>
                <w:sz w:val="15"/>
                <w:szCs w:val="15"/>
              </w:rPr>
            </w:pPr>
            <w:r>
              <w:rPr>
                <w:rFonts w:hint="eastAsia" w:ascii="宋体" w:hAnsi="宋体" w:cs="宋体"/>
                <w:kern w:val="0"/>
                <w:sz w:val="15"/>
                <w:szCs w:val="15"/>
              </w:rPr>
              <w:t>因民镇</w:t>
            </w:r>
          </w:p>
        </w:tc>
        <w:tc>
          <w:tcPr>
            <w:tcW w:w="577" w:type="dxa"/>
            <w:shd w:val="clear" w:color="auto" w:fill="auto"/>
            <w:noWrap/>
            <w:vAlign w:val="center"/>
          </w:tcPr>
          <w:p w14:paraId="5E355D8E">
            <w:pPr>
              <w:widowControl/>
              <w:jc w:val="center"/>
              <w:rPr>
                <w:rFonts w:ascii="宋体" w:hAnsi="宋体" w:cs="宋体"/>
                <w:kern w:val="0"/>
                <w:sz w:val="18"/>
                <w:szCs w:val="18"/>
              </w:rPr>
            </w:pPr>
          </w:p>
        </w:tc>
      </w:tr>
      <w:tr w14:paraId="2C12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DCD30AA">
            <w:pPr>
              <w:widowControl/>
              <w:jc w:val="center"/>
              <w:rPr>
                <w:rFonts w:ascii="宋体" w:hAnsi="宋体" w:cs="宋体"/>
                <w:kern w:val="0"/>
                <w:sz w:val="18"/>
                <w:szCs w:val="18"/>
              </w:rPr>
            </w:pPr>
          </w:p>
        </w:tc>
        <w:tc>
          <w:tcPr>
            <w:tcW w:w="3659" w:type="dxa"/>
            <w:shd w:val="clear" w:color="auto" w:fill="auto"/>
            <w:noWrap/>
            <w:vAlign w:val="center"/>
          </w:tcPr>
          <w:p w14:paraId="6694B742">
            <w:pPr>
              <w:jc w:val="center"/>
              <w:rPr>
                <w:rFonts w:ascii="宋体" w:hAnsi="宋体" w:cs="宋体"/>
                <w:sz w:val="18"/>
                <w:szCs w:val="18"/>
              </w:rPr>
            </w:pPr>
            <w:r>
              <w:rPr>
                <w:rFonts w:hint="eastAsia"/>
                <w:sz w:val="18"/>
                <w:szCs w:val="18"/>
              </w:rPr>
              <w:t>东川区迎新水库工程</w:t>
            </w:r>
          </w:p>
        </w:tc>
        <w:tc>
          <w:tcPr>
            <w:tcW w:w="796" w:type="dxa"/>
            <w:shd w:val="clear" w:color="auto" w:fill="auto"/>
            <w:noWrap/>
            <w:vAlign w:val="center"/>
          </w:tcPr>
          <w:p w14:paraId="3B424950">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44BCCAAD">
            <w:pPr>
              <w:widowControl/>
              <w:jc w:val="center"/>
              <w:rPr>
                <w:rFonts w:ascii="宋体" w:hAnsi="宋体" w:cs="宋体"/>
                <w:kern w:val="0"/>
                <w:sz w:val="18"/>
                <w:szCs w:val="18"/>
              </w:rPr>
            </w:pPr>
            <w:r>
              <w:rPr>
                <w:rFonts w:hint="eastAsia" w:ascii="宋体" w:hAnsi="宋体" w:cs="宋体"/>
                <w:kern w:val="0"/>
                <w:sz w:val="18"/>
                <w:szCs w:val="18"/>
              </w:rPr>
              <w:t>2017-2018</w:t>
            </w:r>
          </w:p>
        </w:tc>
        <w:tc>
          <w:tcPr>
            <w:tcW w:w="1026" w:type="dxa"/>
            <w:shd w:val="clear" w:color="auto" w:fill="auto"/>
            <w:noWrap/>
            <w:vAlign w:val="center"/>
          </w:tcPr>
          <w:p w14:paraId="46DCA776">
            <w:pPr>
              <w:widowControl/>
              <w:jc w:val="center"/>
              <w:rPr>
                <w:rFonts w:ascii="宋体" w:hAnsi="宋体" w:cs="宋体"/>
                <w:kern w:val="0"/>
                <w:sz w:val="18"/>
                <w:szCs w:val="18"/>
              </w:rPr>
            </w:pPr>
            <w:r>
              <w:rPr>
                <w:rFonts w:hint="eastAsia" w:ascii="宋体" w:hAnsi="宋体" w:cs="宋体"/>
                <w:kern w:val="0"/>
                <w:sz w:val="18"/>
                <w:szCs w:val="18"/>
              </w:rPr>
              <w:t>9</w:t>
            </w:r>
          </w:p>
        </w:tc>
        <w:tc>
          <w:tcPr>
            <w:tcW w:w="946" w:type="dxa"/>
            <w:shd w:val="clear" w:color="auto" w:fill="auto"/>
            <w:noWrap/>
            <w:vAlign w:val="center"/>
          </w:tcPr>
          <w:p w14:paraId="461463F1">
            <w:pPr>
              <w:widowControl/>
              <w:jc w:val="center"/>
              <w:rPr>
                <w:rFonts w:ascii="宋体" w:hAnsi="宋体" w:cs="宋体"/>
                <w:kern w:val="0"/>
                <w:sz w:val="18"/>
                <w:szCs w:val="18"/>
              </w:rPr>
            </w:pPr>
            <w:r>
              <w:rPr>
                <w:rFonts w:hint="eastAsia" w:ascii="宋体" w:hAnsi="宋体" w:cs="宋体"/>
                <w:kern w:val="0"/>
                <w:sz w:val="18"/>
                <w:szCs w:val="18"/>
              </w:rPr>
              <w:t>5</w:t>
            </w:r>
          </w:p>
        </w:tc>
        <w:tc>
          <w:tcPr>
            <w:tcW w:w="854" w:type="dxa"/>
            <w:shd w:val="clear" w:color="auto" w:fill="auto"/>
            <w:noWrap/>
            <w:vAlign w:val="center"/>
          </w:tcPr>
          <w:p w14:paraId="72233349">
            <w:pPr>
              <w:widowControl/>
              <w:jc w:val="center"/>
              <w:rPr>
                <w:rFonts w:ascii="宋体" w:hAnsi="宋体" w:cs="宋体"/>
                <w:kern w:val="0"/>
                <w:sz w:val="18"/>
                <w:szCs w:val="18"/>
              </w:rPr>
            </w:pPr>
            <w:r>
              <w:rPr>
                <w:rFonts w:hint="eastAsia" w:ascii="宋体" w:hAnsi="宋体" w:cs="宋体"/>
                <w:kern w:val="0"/>
                <w:sz w:val="18"/>
                <w:szCs w:val="18"/>
              </w:rPr>
              <w:t>1</w:t>
            </w:r>
          </w:p>
        </w:tc>
        <w:tc>
          <w:tcPr>
            <w:tcW w:w="1489" w:type="dxa"/>
            <w:shd w:val="clear" w:color="auto" w:fill="auto"/>
            <w:vAlign w:val="center"/>
          </w:tcPr>
          <w:p w14:paraId="708A8BC4">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553EFC0E">
            <w:pPr>
              <w:widowControl/>
              <w:jc w:val="center"/>
              <w:rPr>
                <w:rFonts w:ascii="宋体" w:hAnsi="宋体" w:cs="宋体"/>
                <w:kern w:val="0"/>
                <w:sz w:val="18"/>
                <w:szCs w:val="18"/>
              </w:rPr>
            </w:pPr>
          </w:p>
        </w:tc>
      </w:tr>
      <w:tr w14:paraId="1315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7BF755E">
            <w:pPr>
              <w:widowControl/>
              <w:jc w:val="center"/>
              <w:rPr>
                <w:rFonts w:ascii="宋体" w:hAnsi="宋体" w:cs="宋体"/>
                <w:kern w:val="0"/>
                <w:sz w:val="18"/>
                <w:szCs w:val="18"/>
              </w:rPr>
            </w:pPr>
          </w:p>
        </w:tc>
        <w:tc>
          <w:tcPr>
            <w:tcW w:w="3659" w:type="dxa"/>
            <w:shd w:val="clear" w:color="auto" w:fill="auto"/>
            <w:noWrap/>
            <w:vAlign w:val="center"/>
          </w:tcPr>
          <w:p w14:paraId="3559A558">
            <w:pPr>
              <w:jc w:val="center"/>
              <w:rPr>
                <w:rFonts w:ascii="宋体" w:hAnsi="宋体" w:cs="宋体"/>
                <w:sz w:val="18"/>
                <w:szCs w:val="18"/>
              </w:rPr>
            </w:pPr>
            <w:r>
              <w:rPr>
                <w:rFonts w:hint="eastAsia"/>
                <w:sz w:val="18"/>
                <w:szCs w:val="18"/>
              </w:rPr>
              <w:t>东川区绿茂村老街沙坝水库工程</w:t>
            </w:r>
          </w:p>
        </w:tc>
        <w:tc>
          <w:tcPr>
            <w:tcW w:w="796" w:type="dxa"/>
            <w:shd w:val="clear" w:color="auto" w:fill="auto"/>
            <w:noWrap/>
            <w:vAlign w:val="center"/>
          </w:tcPr>
          <w:p w14:paraId="59689C59">
            <w:pPr>
              <w:jc w:val="center"/>
              <w:rPr>
                <w:rFonts w:ascii="宋体" w:hAnsi="宋体" w:cs="宋体"/>
                <w:sz w:val="18"/>
                <w:szCs w:val="18"/>
              </w:rPr>
            </w:pPr>
            <w:r>
              <w:rPr>
                <w:rFonts w:hint="eastAsia"/>
                <w:sz w:val="18"/>
                <w:szCs w:val="18"/>
              </w:rPr>
              <w:t>扩建</w:t>
            </w:r>
          </w:p>
        </w:tc>
        <w:tc>
          <w:tcPr>
            <w:tcW w:w="1206" w:type="dxa"/>
            <w:shd w:val="clear" w:color="auto" w:fill="auto"/>
            <w:noWrap/>
            <w:vAlign w:val="center"/>
          </w:tcPr>
          <w:p w14:paraId="1B21D9C8">
            <w:pPr>
              <w:jc w:val="center"/>
              <w:rPr>
                <w:rFonts w:ascii="宋体" w:hAnsi="宋体" w:cs="宋体"/>
                <w:kern w:val="0"/>
                <w:sz w:val="18"/>
                <w:szCs w:val="18"/>
              </w:rPr>
            </w:pPr>
            <w:r>
              <w:rPr>
                <w:rFonts w:hint="eastAsia" w:ascii="宋体" w:hAnsi="宋体" w:cs="宋体"/>
                <w:kern w:val="0"/>
                <w:sz w:val="18"/>
                <w:szCs w:val="18"/>
              </w:rPr>
              <w:t>2017-2018</w:t>
            </w:r>
          </w:p>
        </w:tc>
        <w:tc>
          <w:tcPr>
            <w:tcW w:w="1026" w:type="dxa"/>
            <w:shd w:val="clear" w:color="auto" w:fill="auto"/>
            <w:noWrap/>
            <w:vAlign w:val="center"/>
          </w:tcPr>
          <w:p w14:paraId="7AC66A36">
            <w:pPr>
              <w:widowControl/>
              <w:jc w:val="center"/>
              <w:rPr>
                <w:rFonts w:ascii="宋体" w:hAnsi="宋体" w:cs="宋体"/>
                <w:kern w:val="0"/>
                <w:sz w:val="18"/>
                <w:szCs w:val="18"/>
              </w:rPr>
            </w:pPr>
            <w:r>
              <w:rPr>
                <w:rFonts w:hint="eastAsia" w:ascii="宋体" w:hAnsi="宋体" w:cs="宋体"/>
                <w:kern w:val="0"/>
                <w:sz w:val="18"/>
                <w:szCs w:val="18"/>
              </w:rPr>
              <w:t>10</w:t>
            </w:r>
          </w:p>
        </w:tc>
        <w:tc>
          <w:tcPr>
            <w:tcW w:w="946" w:type="dxa"/>
            <w:shd w:val="clear" w:color="auto" w:fill="auto"/>
            <w:noWrap/>
            <w:vAlign w:val="center"/>
          </w:tcPr>
          <w:p w14:paraId="7CFA973D">
            <w:pPr>
              <w:widowControl/>
              <w:jc w:val="center"/>
              <w:rPr>
                <w:rFonts w:ascii="宋体" w:hAnsi="宋体" w:cs="宋体"/>
                <w:kern w:val="0"/>
                <w:sz w:val="18"/>
                <w:szCs w:val="18"/>
              </w:rPr>
            </w:pPr>
            <w:r>
              <w:rPr>
                <w:rFonts w:hint="eastAsia" w:ascii="宋体" w:hAnsi="宋体" w:cs="宋体"/>
                <w:kern w:val="0"/>
                <w:sz w:val="18"/>
                <w:szCs w:val="18"/>
              </w:rPr>
              <w:t>8</w:t>
            </w:r>
          </w:p>
        </w:tc>
        <w:tc>
          <w:tcPr>
            <w:tcW w:w="854" w:type="dxa"/>
            <w:shd w:val="clear" w:color="auto" w:fill="auto"/>
            <w:noWrap/>
            <w:vAlign w:val="center"/>
          </w:tcPr>
          <w:p w14:paraId="4A869A54">
            <w:pPr>
              <w:widowControl/>
              <w:jc w:val="center"/>
              <w:rPr>
                <w:rFonts w:ascii="宋体" w:hAnsi="宋体" w:cs="宋体"/>
                <w:kern w:val="0"/>
                <w:sz w:val="18"/>
                <w:szCs w:val="18"/>
              </w:rPr>
            </w:pPr>
            <w:r>
              <w:rPr>
                <w:rFonts w:hint="eastAsia" w:ascii="宋体" w:hAnsi="宋体" w:cs="宋体"/>
                <w:kern w:val="0"/>
                <w:sz w:val="18"/>
                <w:szCs w:val="18"/>
              </w:rPr>
              <w:t>2</w:t>
            </w:r>
          </w:p>
        </w:tc>
        <w:tc>
          <w:tcPr>
            <w:tcW w:w="1489" w:type="dxa"/>
            <w:shd w:val="clear" w:color="auto" w:fill="auto"/>
            <w:vAlign w:val="center"/>
          </w:tcPr>
          <w:p w14:paraId="5A0B90F8">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6C7BA92E">
            <w:pPr>
              <w:widowControl/>
              <w:jc w:val="center"/>
              <w:rPr>
                <w:rFonts w:ascii="宋体" w:hAnsi="宋体" w:cs="宋体"/>
                <w:kern w:val="0"/>
                <w:sz w:val="18"/>
                <w:szCs w:val="18"/>
              </w:rPr>
            </w:pPr>
          </w:p>
        </w:tc>
      </w:tr>
      <w:tr w14:paraId="65DF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1F7614F">
            <w:pPr>
              <w:widowControl/>
              <w:jc w:val="center"/>
              <w:rPr>
                <w:rFonts w:ascii="宋体" w:hAnsi="宋体" w:cs="宋体"/>
                <w:kern w:val="0"/>
                <w:sz w:val="18"/>
                <w:szCs w:val="18"/>
              </w:rPr>
            </w:pPr>
          </w:p>
        </w:tc>
        <w:tc>
          <w:tcPr>
            <w:tcW w:w="3659" w:type="dxa"/>
            <w:shd w:val="clear" w:color="auto" w:fill="auto"/>
            <w:noWrap/>
            <w:vAlign w:val="center"/>
          </w:tcPr>
          <w:p w14:paraId="66502975">
            <w:pPr>
              <w:jc w:val="center"/>
              <w:rPr>
                <w:rFonts w:ascii="宋体" w:hAnsi="宋体" w:cs="宋体"/>
                <w:sz w:val="18"/>
                <w:szCs w:val="18"/>
              </w:rPr>
            </w:pPr>
            <w:r>
              <w:rPr>
                <w:rFonts w:hint="eastAsia"/>
                <w:sz w:val="18"/>
                <w:szCs w:val="18"/>
              </w:rPr>
              <w:t>东川区水井山水库工程</w:t>
            </w:r>
          </w:p>
        </w:tc>
        <w:tc>
          <w:tcPr>
            <w:tcW w:w="796" w:type="dxa"/>
            <w:shd w:val="clear" w:color="auto" w:fill="auto"/>
            <w:noWrap/>
            <w:vAlign w:val="center"/>
          </w:tcPr>
          <w:p w14:paraId="6F7943F7">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0FF89A75">
            <w:pPr>
              <w:widowControl/>
              <w:jc w:val="center"/>
              <w:rPr>
                <w:rFonts w:ascii="宋体" w:hAnsi="宋体" w:cs="宋体"/>
                <w:kern w:val="0"/>
                <w:sz w:val="18"/>
                <w:szCs w:val="18"/>
              </w:rPr>
            </w:pPr>
            <w:r>
              <w:rPr>
                <w:rFonts w:hint="eastAsia" w:ascii="宋体" w:hAnsi="宋体" w:cs="宋体"/>
                <w:kern w:val="0"/>
                <w:sz w:val="18"/>
                <w:szCs w:val="18"/>
              </w:rPr>
              <w:t>2016</w:t>
            </w:r>
          </w:p>
        </w:tc>
        <w:tc>
          <w:tcPr>
            <w:tcW w:w="1026" w:type="dxa"/>
            <w:shd w:val="clear" w:color="auto" w:fill="auto"/>
            <w:noWrap/>
            <w:vAlign w:val="center"/>
          </w:tcPr>
          <w:p w14:paraId="6FCE6F14">
            <w:pPr>
              <w:widowControl/>
              <w:jc w:val="center"/>
              <w:rPr>
                <w:rFonts w:ascii="宋体" w:hAnsi="宋体" w:cs="宋体"/>
                <w:kern w:val="0"/>
                <w:sz w:val="18"/>
                <w:szCs w:val="18"/>
              </w:rPr>
            </w:pPr>
            <w:r>
              <w:rPr>
                <w:rFonts w:hint="eastAsia" w:ascii="宋体" w:hAnsi="宋体" w:cs="宋体"/>
                <w:kern w:val="0"/>
                <w:sz w:val="18"/>
                <w:szCs w:val="18"/>
              </w:rPr>
              <w:t>17.74</w:t>
            </w:r>
          </w:p>
        </w:tc>
        <w:tc>
          <w:tcPr>
            <w:tcW w:w="946" w:type="dxa"/>
            <w:shd w:val="clear" w:color="auto" w:fill="auto"/>
            <w:noWrap/>
            <w:vAlign w:val="center"/>
          </w:tcPr>
          <w:p w14:paraId="50017265">
            <w:pPr>
              <w:widowControl/>
              <w:jc w:val="center"/>
              <w:rPr>
                <w:rFonts w:ascii="宋体" w:hAnsi="宋体" w:cs="宋体"/>
                <w:kern w:val="0"/>
                <w:sz w:val="18"/>
                <w:szCs w:val="18"/>
              </w:rPr>
            </w:pPr>
            <w:r>
              <w:rPr>
                <w:rFonts w:hint="eastAsia" w:ascii="宋体" w:hAnsi="宋体" w:cs="宋体"/>
                <w:kern w:val="0"/>
                <w:sz w:val="18"/>
                <w:szCs w:val="18"/>
              </w:rPr>
              <w:t>16</w:t>
            </w:r>
          </w:p>
        </w:tc>
        <w:tc>
          <w:tcPr>
            <w:tcW w:w="854" w:type="dxa"/>
            <w:shd w:val="clear" w:color="auto" w:fill="auto"/>
            <w:noWrap/>
            <w:vAlign w:val="center"/>
          </w:tcPr>
          <w:p w14:paraId="28ABD342">
            <w:pPr>
              <w:widowControl/>
              <w:jc w:val="center"/>
              <w:rPr>
                <w:rFonts w:ascii="宋体" w:hAnsi="宋体" w:cs="宋体"/>
                <w:kern w:val="0"/>
                <w:sz w:val="18"/>
                <w:szCs w:val="18"/>
              </w:rPr>
            </w:pPr>
            <w:r>
              <w:rPr>
                <w:rFonts w:hint="eastAsia" w:ascii="宋体" w:hAnsi="宋体" w:cs="宋体"/>
                <w:kern w:val="0"/>
                <w:sz w:val="18"/>
                <w:szCs w:val="18"/>
              </w:rPr>
              <w:t>0.5</w:t>
            </w:r>
          </w:p>
        </w:tc>
        <w:tc>
          <w:tcPr>
            <w:tcW w:w="1489" w:type="dxa"/>
            <w:shd w:val="clear" w:color="auto" w:fill="auto"/>
            <w:vAlign w:val="center"/>
          </w:tcPr>
          <w:p w14:paraId="2721A27B">
            <w:pPr>
              <w:widowControl/>
              <w:jc w:val="center"/>
              <w:rPr>
                <w:rFonts w:ascii="宋体" w:hAnsi="宋体" w:cs="宋体"/>
                <w:kern w:val="0"/>
                <w:sz w:val="15"/>
                <w:szCs w:val="15"/>
              </w:rPr>
            </w:pPr>
            <w:r>
              <w:rPr>
                <w:rFonts w:hint="eastAsia" w:ascii="宋体" w:hAnsi="宋体" w:cs="宋体"/>
                <w:kern w:val="0"/>
                <w:sz w:val="15"/>
                <w:szCs w:val="15"/>
              </w:rPr>
              <w:t>因民镇</w:t>
            </w:r>
          </w:p>
        </w:tc>
        <w:tc>
          <w:tcPr>
            <w:tcW w:w="577" w:type="dxa"/>
            <w:shd w:val="clear" w:color="auto" w:fill="auto"/>
            <w:noWrap/>
            <w:vAlign w:val="center"/>
          </w:tcPr>
          <w:p w14:paraId="25469DE0">
            <w:pPr>
              <w:widowControl/>
              <w:jc w:val="center"/>
              <w:rPr>
                <w:rFonts w:ascii="宋体" w:hAnsi="宋体" w:cs="宋体"/>
                <w:kern w:val="0"/>
                <w:sz w:val="18"/>
                <w:szCs w:val="18"/>
              </w:rPr>
            </w:pPr>
          </w:p>
        </w:tc>
      </w:tr>
      <w:tr w14:paraId="6D11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E0F734B">
            <w:pPr>
              <w:widowControl/>
              <w:jc w:val="center"/>
              <w:rPr>
                <w:rFonts w:ascii="宋体" w:hAnsi="宋体" w:cs="宋体"/>
                <w:kern w:val="0"/>
                <w:sz w:val="18"/>
                <w:szCs w:val="18"/>
              </w:rPr>
            </w:pPr>
          </w:p>
        </w:tc>
        <w:tc>
          <w:tcPr>
            <w:tcW w:w="3659" w:type="dxa"/>
            <w:shd w:val="clear" w:color="auto" w:fill="auto"/>
            <w:noWrap/>
            <w:vAlign w:val="center"/>
          </w:tcPr>
          <w:p w14:paraId="4FFED5A6">
            <w:pPr>
              <w:jc w:val="center"/>
              <w:rPr>
                <w:sz w:val="18"/>
                <w:szCs w:val="18"/>
              </w:rPr>
            </w:pPr>
            <w:r>
              <w:rPr>
                <w:rFonts w:hint="eastAsia"/>
                <w:sz w:val="18"/>
                <w:szCs w:val="18"/>
              </w:rPr>
              <w:t>小江水文站</w:t>
            </w:r>
          </w:p>
        </w:tc>
        <w:tc>
          <w:tcPr>
            <w:tcW w:w="796" w:type="dxa"/>
            <w:shd w:val="clear" w:color="auto" w:fill="auto"/>
            <w:noWrap/>
            <w:vAlign w:val="center"/>
          </w:tcPr>
          <w:p w14:paraId="6ED4F32B">
            <w:pPr>
              <w:jc w:val="center"/>
              <w:rPr>
                <w:sz w:val="18"/>
                <w:szCs w:val="18"/>
              </w:rPr>
            </w:pPr>
            <w:r>
              <w:rPr>
                <w:rFonts w:hint="eastAsia"/>
                <w:sz w:val="18"/>
                <w:szCs w:val="18"/>
              </w:rPr>
              <w:t>已建</w:t>
            </w:r>
          </w:p>
        </w:tc>
        <w:tc>
          <w:tcPr>
            <w:tcW w:w="1206" w:type="dxa"/>
            <w:shd w:val="clear" w:color="auto" w:fill="auto"/>
            <w:noWrap/>
            <w:vAlign w:val="center"/>
          </w:tcPr>
          <w:p w14:paraId="6ED7B541">
            <w:pPr>
              <w:widowControl/>
              <w:jc w:val="center"/>
              <w:rPr>
                <w:rFonts w:ascii="宋体" w:hAnsi="宋体" w:cs="宋体"/>
                <w:kern w:val="0"/>
                <w:sz w:val="18"/>
                <w:szCs w:val="18"/>
              </w:rPr>
            </w:pPr>
            <w:r>
              <w:rPr>
                <w:rFonts w:hint="eastAsia" w:ascii="宋体" w:hAnsi="宋体" w:cs="宋体"/>
                <w:kern w:val="0"/>
                <w:sz w:val="18"/>
                <w:szCs w:val="18"/>
              </w:rPr>
              <w:t>2012-2013</w:t>
            </w:r>
          </w:p>
        </w:tc>
        <w:tc>
          <w:tcPr>
            <w:tcW w:w="1026" w:type="dxa"/>
            <w:shd w:val="clear" w:color="auto" w:fill="auto"/>
            <w:noWrap/>
            <w:vAlign w:val="center"/>
          </w:tcPr>
          <w:p w14:paraId="1C250B62">
            <w:pPr>
              <w:widowControl/>
              <w:jc w:val="center"/>
              <w:rPr>
                <w:rFonts w:ascii="宋体" w:hAnsi="宋体" w:cs="宋体"/>
                <w:kern w:val="0"/>
                <w:sz w:val="18"/>
                <w:szCs w:val="18"/>
              </w:rPr>
            </w:pPr>
            <w:r>
              <w:rPr>
                <w:rFonts w:hint="eastAsia" w:ascii="宋体" w:hAnsi="宋体" w:cs="宋体"/>
                <w:kern w:val="0"/>
                <w:sz w:val="18"/>
                <w:szCs w:val="18"/>
              </w:rPr>
              <w:t>0.07</w:t>
            </w:r>
          </w:p>
        </w:tc>
        <w:tc>
          <w:tcPr>
            <w:tcW w:w="946" w:type="dxa"/>
            <w:shd w:val="clear" w:color="auto" w:fill="auto"/>
            <w:noWrap/>
            <w:vAlign w:val="center"/>
          </w:tcPr>
          <w:p w14:paraId="4D7ABBCE">
            <w:pPr>
              <w:widowControl/>
              <w:jc w:val="center"/>
              <w:rPr>
                <w:rFonts w:ascii="宋体" w:hAnsi="宋体" w:cs="宋体"/>
                <w:kern w:val="0"/>
                <w:sz w:val="18"/>
                <w:szCs w:val="18"/>
              </w:rPr>
            </w:pPr>
            <w:r>
              <w:rPr>
                <w:rFonts w:hint="eastAsia" w:ascii="宋体" w:hAnsi="宋体" w:cs="宋体"/>
                <w:kern w:val="0"/>
                <w:sz w:val="18"/>
                <w:szCs w:val="18"/>
              </w:rPr>
              <w:t>0.07</w:t>
            </w:r>
          </w:p>
        </w:tc>
        <w:tc>
          <w:tcPr>
            <w:tcW w:w="854" w:type="dxa"/>
            <w:shd w:val="clear" w:color="auto" w:fill="auto"/>
            <w:noWrap/>
            <w:vAlign w:val="center"/>
          </w:tcPr>
          <w:p w14:paraId="09462107">
            <w:pPr>
              <w:widowControl/>
              <w:jc w:val="center"/>
              <w:rPr>
                <w:rFonts w:ascii="宋体" w:hAnsi="宋体" w:cs="宋体"/>
                <w:kern w:val="0"/>
                <w:sz w:val="18"/>
                <w:szCs w:val="18"/>
              </w:rPr>
            </w:pPr>
            <w:r>
              <w:rPr>
                <w:rFonts w:hint="eastAsia" w:ascii="宋体" w:hAnsi="宋体" w:cs="宋体"/>
                <w:kern w:val="0"/>
                <w:sz w:val="18"/>
                <w:szCs w:val="18"/>
              </w:rPr>
              <w:t>0.07</w:t>
            </w:r>
          </w:p>
        </w:tc>
        <w:tc>
          <w:tcPr>
            <w:tcW w:w="1489" w:type="dxa"/>
            <w:shd w:val="clear" w:color="auto" w:fill="auto"/>
            <w:vAlign w:val="center"/>
          </w:tcPr>
          <w:p w14:paraId="6C5BD637">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640BFDD8">
            <w:pPr>
              <w:widowControl/>
              <w:jc w:val="center"/>
              <w:rPr>
                <w:rFonts w:ascii="宋体" w:hAnsi="宋体" w:cs="宋体"/>
                <w:kern w:val="0"/>
                <w:sz w:val="18"/>
                <w:szCs w:val="18"/>
              </w:rPr>
            </w:pPr>
          </w:p>
        </w:tc>
      </w:tr>
      <w:tr w14:paraId="2A65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EE11DA7">
            <w:pPr>
              <w:widowControl/>
              <w:jc w:val="center"/>
              <w:rPr>
                <w:rFonts w:ascii="宋体" w:hAnsi="宋体" w:cs="宋体"/>
                <w:kern w:val="0"/>
                <w:sz w:val="18"/>
                <w:szCs w:val="18"/>
              </w:rPr>
            </w:pPr>
          </w:p>
        </w:tc>
        <w:tc>
          <w:tcPr>
            <w:tcW w:w="3659" w:type="dxa"/>
            <w:shd w:val="clear" w:color="auto" w:fill="auto"/>
            <w:noWrap/>
            <w:vAlign w:val="center"/>
          </w:tcPr>
          <w:p w14:paraId="12F7692D">
            <w:pPr>
              <w:jc w:val="center"/>
              <w:rPr>
                <w:sz w:val="18"/>
                <w:szCs w:val="18"/>
              </w:rPr>
            </w:pPr>
            <w:r>
              <w:rPr>
                <w:rFonts w:hint="eastAsia"/>
                <w:sz w:val="18"/>
                <w:szCs w:val="18"/>
              </w:rPr>
              <w:t>岔河小（一）型水库</w:t>
            </w:r>
          </w:p>
        </w:tc>
        <w:tc>
          <w:tcPr>
            <w:tcW w:w="796" w:type="dxa"/>
            <w:shd w:val="clear" w:color="auto" w:fill="auto"/>
            <w:noWrap/>
            <w:vAlign w:val="center"/>
          </w:tcPr>
          <w:p w14:paraId="4D4980FB">
            <w:pPr>
              <w:jc w:val="center"/>
              <w:rPr>
                <w:sz w:val="18"/>
                <w:szCs w:val="18"/>
              </w:rPr>
            </w:pPr>
            <w:r>
              <w:rPr>
                <w:rFonts w:hint="eastAsia"/>
                <w:sz w:val="18"/>
                <w:szCs w:val="18"/>
              </w:rPr>
              <w:t>新增</w:t>
            </w:r>
          </w:p>
        </w:tc>
        <w:tc>
          <w:tcPr>
            <w:tcW w:w="1206" w:type="dxa"/>
            <w:shd w:val="clear" w:color="auto" w:fill="auto"/>
            <w:noWrap/>
            <w:vAlign w:val="center"/>
          </w:tcPr>
          <w:p w14:paraId="4B6C1853">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7D1F24FB">
            <w:pPr>
              <w:widowControl/>
              <w:jc w:val="center"/>
              <w:rPr>
                <w:rFonts w:ascii="宋体" w:hAnsi="宋体" w:cs="宋体"/>
                <w:kern w:val="0"/>
                <w:sz w:val="18"/>
                <w:szCs w:val="18"/>
              </w:rPr>
            </w:pPr>
            <w:r>
              <w:rPr>
                <w:rFonts w:hint="eastAsia" w:ascii="宋体" w:hAnsi="宋体" w:cs="宋体"/>
                <w:kern w:val="0"/>
                <w:sz w:val="18"/>
                <w:szCs w:val="18"/>
              </w:rPr>
              <w:t xml:space="preserve">3.33 </w:t>
            </w:r>
          </w:p>
        </w:tc>
        <w:tc>
          <w:tcPr>
            <w:tcW w:w="946" w:type="dxa"/>
            <w:shd w:val="clear" w:color="auto" w:fill="auto"/>
            <w:noWrap/>
            <w:vAlign w:val="center"/>
          </w:tcPr>
          <w:p w14:paraId="2E2BECC4">
            <w:pPr>
              <w:widowControl/>
              <w:jc w:val="center"/>
              <w:rPr>
                <w:rFonts w:ascii="宋体" w:hAnsi="宋体" w:cs="宋体"/>
                <w:kern w:val="0"/>
                <w:sz w:val="18"/>
                <w:szCs w:val="18"/>
              </w:rPr>
            </w:pPr>
            <w:r>
              <w:rPr>
                <w:rFonts w:hint="eastAsia" w:ascii="宋体" w:hAnsi="宋体" w:cs="宋体"/>
                <w:kern w:val="0"/>
                <w:sz w:val="18"/>
                <w:szCs w:val="18"/>
              </w:rPr>
              <w:t xml:space="preserve">3.33 </w:t>
            </w:r>
          </w:p>
        </w:tc>
        <w:tc>
          <w:tcPr>
            <w:tcW w:w="854" w:type="dxa"/>
            <w:shd w:val="clear" w:color="auto" w:fill="auto"/>
            <w:noWrap/>
            <w:vAlign w:val="center"/>
          </w:tcPr>
          <w:p w14:paraId="409F4139">
            <w:pPr>
              <w:widowControl/>
              <w:jc w:val="center"/>
              <w:rPr>
                <w:rFonts w:ascii="宋体" w:hAnsi="宋体" w:cs="宋体"/>
                <w:kern w:val="0"/>
                <w:sz w:val="18"/>
                <w:szCs w:val="18"/>
              </w:rPr>
            </w:pPr>
            <w:r>
              <w:rPr>
                <w:rFonts w:hint="eastAsia" w:ascii="宋体" w:hAnsi="宋体" w:cs="宋体"/>
                <w:kern w:val="0"/>
                <w:sz w:val="18"/>
                <w:szCs w:val="18"/>
              </w:rPr>
              <w:t xml:space="preserve">2.67 </w:t>
            </w:r>
          </w:p>
        </w:tc>
        <w:tc>
          <w:tcPr>
            <w:tcW w:w="1489" w:type="dxa"/>
            <w:shd w:val="clear" w:color="auto" w:fill="auto"/>
            <w:vAlign w:val="center"/>
          </w:tcPr>
          <w:p w14:paraId="4D6B7F50">
            <w:pPr>
              <w:jc w:val="center"/>
              <w:rPr>
                <w:sz w:val="18"/>
                <w:szCs w:val="18"/>
              </w:rPr>
            </w:pPr>
            <w:r>
              <w:rPr>
                <w:rFonts w:hint="eastAsia"/>
                <w:sz w:val="18"/>
                <w:szCs w:val="18"/>
              </w:rPr>
              <w:t>红土地镇</w:t>
            </w:r>
          </w:p>
        </w:tc>
        <w:tc>
          <w:tcPr>
            <w:tcW w:w="577" w:type="dxa"/>
            <w:shd w:val="clear" w:color="auto" w:fill="auto"/>
            <w:noWrap/>
            <w:vAlign w:val="center"/>
          </w:tcPr>
          <w:p w14:paraId="7E6FADCB">
            <w:pPr>
              <w:widowControl/>
              <w:jc w:val="center"/>
              <w:rPr>
                <w:rFonts w:ascii="宋体" w:hAnsi="宋体" w:cs="宋体"/>
                <w:kern w:val="0"/>
                <w:sz w:val="18"/>
                <w:szCs w:val="18"/>
              </w:rPr>
            </w:pPr>
          </w:p>
        </w:tc>
      </w:tr>
      <w:tr w14:paraId="5C58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9D9404E">
            <w:pPr>
              <w:widowControl/>
              <w:jc w:val="center"/>
              <w:rPr>
                <w:rFonts w:ascii="宋体" w:hAnsi="宋体" w:cs="宋体"/>
                <w:kern w:val="0"/>
                <w:sz w:val="18"/>
                <w:szCs w:val="18"/>
              </w:rPr>
            </w:pPr>
          </w:p>
        </w:tc>
        <w:tc>
          <w:tcPr>
            <w:tcW w:w="3659" w:type="dxa"/>
            <w:shd w:val="clear" w:color="auto" w:fill="auto"/>
            <w:noWrap/>
            <w:vAlign w:val="center"/>
          </w:tcPr>
          <w:p w14:paraId="25ED85A6">
            <w:pPr>
              <w:jc w:val="center"/>
              <w:rPr>
                <w:sz w:val="18"/>
                <w:szCs w:val="18"/>
              </w:rPr>
            </w:pPr>
            <w:r>
              <w:rPr>
                <w:rFonts w:hint="eastAsia"/>
                <w:sz w:val="18"/>
                <w:szCs w:val="18"/>
              </w:rPr>
              <w:t>清水河小（一）型水库</w:t>
            </w:r>
          </w:p>
        </w:tc>
        <w:tc>
          <w:tcPr>
            <w:tcW w:w="796" w:type="dxa"/>
            <w:shd w:val="clear" w:color="auto" w:fill="auto"/>
            <w:noWrap/>
            <w:vAlign w:val="center"/>
          </w:tcPr>
          <w:p w14:paraId="7EA7EEE9">
            <w:pPr>
              <w:jc w:val="center"/>
              <w:rPr>
                <w:sz w:val="18"/>
                <w:szCs w:val="18"/>
              </w:rPr>
            </w:pPr>
            <w:r>
              <w:rPr>
                <w:rFonts w:hint="eastAsia"/>
                <w:sz w:val="18"/>
                <w:szCs w:val="18"/>
              </w:rPr>
              <w:t>新增</w:t>
            </w:r>
          </w:p>
        </w:tc>
        <w:tc>
          <w:tcPr>
            <w:tcW w:w="1206" w:type="dxa"/>
            <w:shd w:val="clear" w:color="auto" w:fill="auto"/>
            <w:noWrap/>
            <w:vAlign w:val="center"/>
          </w:tcPr>
          <w:p w14:paraId="7F0B54EF">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538B81E0">
            <w:pPr>
              <w:widowControl/>
              <w:jc w:val="center"/>
              <w:rPr>
                <w:rFonts w:ascii="宋体" w:hAnsi="宋体" w:cs="宋体"/>
                <w:kern w:val="0"/>
                <w:sz w:val="18"/>
                <w:szCs w:val="18"/>
              </w:rPr>
            </w:pPr>
            <w:r>
              <w:rPr>
                <w:rFonts w:hint="eastAsia" w:ascii="宋体" w:hAnsi="宋体" w:cs="宋体"/>
                <w:kern w:val="0"/>
                <w:sz w:val="18"/>
                <w:szCs w:val="18"/>
              </w:rPr>
              <w:t xml:space="preserve">3.33 </w:t>
            </w:r>
          </w:p>
        </w:tc>
        <w:tc>
          <w:tcPr>
            <w:tcW w:w="946" w:type="dxa"/>
            <w:shd w:val="clear" w:color="auto" w:fill="auto"/>
            <w:noWrap/>
            <w:vAlign w:val="center"/>
          </w:tcPr>
          <w:p w14:paraId="2C518750">
            <w:pPr>
              <w:widowControl/>
              <w:jc w:val="center"/>
              <w:rPr>
                <w:rFonts w:ascii="宋体" w:hAnsi="宋体" w:cs="宋体"/>
                <w:kern w:val="0"/>
                <w:sz w:val="18"/>
                <w:szCs w:val="18"/>
              </w:rPr>
            </w:pPr>
            <w:r>
              <w:rPr>
                <w:rFonts w:hint="eastAsia" w:ascii="宋体" w:hAnsi="宋体" w:cs="宋体"/>
                <w:kern w:val="0"/>
                <w:sz w:val="18"/>
                <w:szCs w:val="18"/>
              </w:rPr>
              <w:t xml:space="preserve">3.33 </w:t>
            </w:r>
          </w:p>
        </w:tc>
        <w:tc>
          <w:tcPr>
            <w:tcW w:w="854" w:type="dxa"/>
            <w:shd w:val="clear" w:color="auto" w:fill="auto"/>
            <w:noWrap/>
            <w:vAlign w:val="center"/>
          </w:tcPr>
          <w:p w14:paraId="3E416126">
            <w:pPr>
              <w:widowControl/>
              <w:jc w:val="center"/>
              <w:rPr>
                <w:rFonts w:ascii="宋体" w:hAnsi="宋体" w:cs="宋体"/>
                <w:kern w:val="0"/>
                <w:sz w:val="18"/>
                <w:szCs w:val="18"/>
              </w:rPr>
            </w:pPr>
            <w:r>
              <w:rPr>
                <w:rFonts w:hint="eastAsia" w:ascii="宋体" w:hAnsi="宋体" w:cs="宋体"/>
                <w:kern w:val="0"/>
                <w:sz w:val="18"/>
                <w:szCs w:val="18"/>
              </w:rPr>
              <w:t xml:space="preserve">2.67 </w:t>
            </w:r>
          </w:p>
        </w:tc>
        <w:tc>
          <w:tcPr>
            <w:tcW w:w="1489" w:type="dxa"/>
            <w:shd w:val="clear" w:color="auto" w:fill="auto"/>
            <w:vAlign w:val="center"/>
          </w:tcPr>
          <w:p w14:paraId="6F292737">
            <w:pPr>
              <w:jc w:val="center"/>
              <w:rPr>
                <w:sz w:val="18"/>
                <w:szCs w:val="18"/>
              </w:rPr>
            </w:pPr>
            <w:r>
              <w:rPr>
                <w:rFonts w:hint="eastAsia"/>
                <w:sz w:val="18"/>
                <w:szCs w:val="18"/>
              </w:rPr>
              <w:t>红土地镇</w:t>
            </w:r>
          </w:p>
        </w:tc>
        <w:tc>
          <w:tcPr>
            <w:tcW w:w="577" w:type="dxa"/>
            <w:shd w:val="clear" w:color="auto" w:fill="auto"/>
            <w:noWrap/>
            <w:vAlign w:val="center"/>
          </w:tcPr>
          <w:p w14:paraId="7A12C033">
            <w:pPr>
              <w:widowControl/>
              <w:jc w:val="center"/>
              <w:rPr>
                <w:rFonts w:ascii="宋体" w:hAnsi="宋体" w:cs="宋体"/>
                <w:kern w:val="0"/>
                <w:sz w:val="18"/>
                <w:szCs w:val="18"/>
              </w:rPr>
            </w:pPr>
          </w:p>
        </w:tc>
      </w:tr>
      <w:tr w14:paraId="4626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F8865BA">
            <w:pPr>
              <w:widowControl/>
              <w:jc w:val="center"/>
              <w:rPr>
                <w:rFonts w:ascii="宋体" w:hAnsi="宋体" w:cs="宋体"/>
                <w:kern w:val="0"/>
                <w:sz w:val="18"/>
                <w:szCs w:val="18"/>
              </w:rPr>
            </w:pPr>
          </w:p>
        </w:tc>
        <w:tc>
          <w:tcPr>
            <w:tcW w:w="3659" w:type="dxa"/>
            <w:shd w:val="clear" w:color="auto" w:fill="auto"/>
            <w:noWrap/>
            <w:vAlign w:val="center"/>
          </w:tcPr>
          <w:p w14:paraId="7351E7EC">
            <w:pPr>
              <w:jc w:val="center"/>
              <w:rPr>
                <w:sz w:val="18"/>
                <w:szCs w:val="18"/>
              </w:rPr>
            </w:pPr>
            <w:r>
              <w:rPr>
                <w:rFonts w:hint="eastAsia"/>
                <w:sz w:val="18"/>
                <w:szCs w:val="18"/>
              </w:rPr>
              <w:t>红土地镇自来水厂</w:t>
            </w:r>
          </w:p>
        </w:tc>
        <w:tc>
          <w:tcPr>
            <w:tcW w:w="796" w:type="dxa"/>
            <w:shd w:val="clear" w:color="auto" w:fill="auto"/>
            <w:noWrap/>
            <w:vAlign w:val="center"/>
          </w:tcPr>
          <w:p w14:paraId="7490DE62">
            <w:pPr>
              <w:jc w:val="center"/>
              <w:rPr>
                <w:sz w:val="18"/>
                <w:szCs w:val="18"/>
              </w:rPr>
            </w:pPr>
            <w:r>
              <w:rPr>
                <w:rFonts w:hint="eastAsia"/>
                <w:sz w:val="18"/>
                <w:szCs w:val="18"/>
              </w:rPr>
              <w:t>新增</w:t>
            </w:r>
          </w:p>
        </w:tc>
        <w:tc>
          <w:tcPr>
            <w:tcW w:w="1206" w:type="dxa"/>
            <w:shd w:val="clear" w:color="auto" w:fill="auto"/>
            <w:noWrap/>
            <w:vAlign w:val="center"/>
          </w:tcPr>
          <w:p w14:paraId="765529A2">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1CECF396">
            <w:pPr>
              <w:widowControl/>
              <w:jc w:val="center"/>
              <w:rPr>
                <w:rFonts w:ascii="宋体" w:hAnsi="宋体" w:cs="宋体"/>
                <w:kern w:val="0"/>
                <w:sz w:val="18"/>
                <w:szCs w:val="18"/>
              </w:rPr>
            </w:pPr>
            <w:r>
              <w:rPr>
                <w:rFonts w:hint="eastAsia" w:ascii="宋体" w:hAnsi="宋体" w:cs="宋体"/>
                <w:kern w:val="0"/>
                <w:sz w:val="18"/>
                <w:szCs w:val="18"/>
              </w:rPr>
              <w:t xml:space="preserve">6.67 </w:t>
            </w:r>
          </w:p>
        </w:tc>
        <w:tc>
          <w:tcPr>
            <w:tcW w:w="946" w:type="dxa"/>
            <w:shd w:val="clear" w:color="auto" w:fill="auto"/>
            <w:noWrap/>
            <w:vAlign w:val="center"/>
          </w:tcPr>
          <w:p w14:paraId="5C95BDA0">
            <w:pPr>
              <w:widowControl/>
              <w:jc w:val="center"/>
              <w:rPr>
                <w:rFonts w:ascii="宋体" w:hAnsi="宋体" w:cs="宋体"/>
                <w:kern w:val="0"/>
                <w:sz w:val="18"/>
                <w:szCs w:val="18"/>
              </w:rPr>
            </w:pPr>
            <w:r>
              <w:rPr>
                <w:rFonts w:hint="eastAsia" w:ascii="宋体" w:hAnsi="宋体" w:cs="宋体"/>
                <w:kern w:val="0"/>
                <w:sz w:val="18"/>
                <w:szCs w:val="18"/>
              </w:rPr>
              <w:t xml:space="preserve">6.67 </w:t>
            </w:r>
          </w:p>
        </w:tc>
        <w:tc>
          <w:tcPr>
            <w:tcW w:w="854" w:type="dxa"/>
            <w:shd w:val="clear" w:color="auto" w:fill="auto"/>
            <w:noWrap/>
            <w:vAlign w:val="center"/>
          </w:tcPr>
          <w:p w14:paraId="7CD15671">
            <w:pPr>
              <w:widowControl/>
              <w:jc w:val="center"/>
              <w:rPr>
                <w:rFonts w:ascii="宋体" w:hAnsi="宋体" w:cs="宋体"/>
                <w:kern w:val="0"/>
                <w:sz w:val="18"/>
                <w:szCs w:val="18"/>
              </w:rPr>
            </w:pPr>
            <w:r>
              <w:rPr>
                <w:rFonts w:hint="eastAsia" w:ascii="宋体" w:hAnsi="宋体" w:cs="宋体"/>
                <w:kern w:val="0"/>
                <w:sz w:val="18"/>
                <w:szCs w:val="18"/>
              </w:rPr>
              <w:t xml:space="preserve">5.33 </w:t>
            </w:r>
          </w:p>
        </w:tc>
        <w:tc>
          <w:tcPr>
            <w:tcW w:w="1489" w:type="dxa"/>
            <w:shd w:val="clear" w:color="auto" w:fill="auto"/>
            <w:vAlign w:val="center"/>
          </w:tcPr>
          <w:p w14:paraId="3D74C70C">
            <w:pPr>
              <w:jc w:val="center"/>
              <w:rPr>
                <w:sz w:val="18"/>
                <w:szCs w:val="18"/>
              </w:rPr>
            </w:pPr>
            <w:r>
              <w:rPr>
                <w:rFonts w:hint="eastAsia"/>
                <w:sz w:val="18"/>
                <w:szCs w:val="18"/>
              </w:rPr>
              <w:t>红土地镇</w:t>
            </w:r>
          </w:p>
        </w:tc>
        <w:tc>
          <w:tcPr>
            <w:tcW w:w="577" w:type="dxa"/>
            <w:shd w:val="clear" w:color="auto" w:fill="auto"/>
            <w:noWrap/>
            <w:vAlign w:val="center"/>
          </w:tcPr>
          <w:p w14:paraId="78BBDA54">
            <w:pPr>
              <w:widowControl/>
              <w:jc w:val="center"/>
              <w:rPr>
                <w:rFonts w:ascii="宋体" w:hAnsi="宋体" w:cs="宋体"/>
                <w:kern w:val="0"/>
                <w:sz w:val="18"/>
                <w:szCs w:val="18"/>
              </w:rPr>
            </w:pPr>
          </w:p>
        </w:tc>
      </w:tr>
      <w:tr w14:paraId="02A2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ADB91BF">
            <w:pPr>
              <w:widowControl/>
              <w:jc w:val="center"/>
              <w:rPr>
                <w:rFonts w:ascii="宋体" w:hAnsi="宋体" w:cs="宋体"/>
                <w:kern w:val="0"/>
                <w:sz w:val="18"/>
                <w:szCs w:val="18"/>
              </w:rPr>
            </w:pPr>
          </w:p>
        </w:tc>
        <w:tc>
          <w:tcPr>
            <w:tcW w:w="3659" w:type="dxa"/>
            <w:shd w:val="clear" w:color="auto" w:fill="auto"/>
            <w:noWrap/>
            <w:vAlign w:val="center"/>
          </w:tcPr>
          <w:p w14:paraId="4277D3CA">
            <w:pPr>
              <w:widowControl/>
              <w:jc w:val="center"/>
              <w:rPr>
                <w:rFonts w:ascii="宋体" w:hAnsi="宋体" w:cs="宋体"/>
                <w:kern w:val="0"/>
                <w:sz w:val="18"/>
                <w:szCs w:val="18"/>
              </w:rPr>
            </w:pPr>
            <w:r>
              <w:rPr>
                <w:rFonts w:hint="eastAsia" w:ascii="宋体" w:hAnsi="宋体" w:cs="宋体"/>
                <w:kern w:val="0"/>
                <w:sz w:val="18"/>
                <w:szCs w:val="18"/>
              </w:rPr>
              <w:t>小计</w:t>
            </w:r>
          </w:p>
        </w:tc>
        <w:tc>
          <w:tcPr>
            <w:tcW w:w="796" w:type="dxa"/>
            <w:shd w:val="clear" w:color="auto" w:fill="auto"/>
            <w:noWrap/>
            <w:vAlign w:val="center"/>
          </w:tcPr>
          <w:p w14:paraId="42BC1036">
            <w:pPr>
              <w:jc w:val="center"/>
            </w:pPr>
            <w:r>
              <w:rPr>
                <w:rFonts w:hint="eastAsia" w:ascii="宋体" w:hAnsi="宋体" w:cs="宋体"/>
                <w:kern w:val="0"/>
                <w:sz w:val="18"/>
                <w:szCs w:val="18"/>
              </w:rPr>
              <w:t>——</w:t>
            </w:r>
          </w:p>
        </w:tc>
        <w:tc>
          <w:tcPr>
            <w:tcW w:w="1206" w:type="dxa"/>
            <w:shd w:val="clear" w:color="auto" w:fill="auto"/>
            <w:noWrap/>
            <w:vAlign w:val="center"/>
          </w:tcPr>
          <w:p w14:paraId="7BCD3B3F">
            <w:pPr>
              <w:jc w:val="center"/>
            </w:pPr>
            <w:r>
              <w:rPr>
                <w:rFonts w:hint="eastAsia" w:ascii="宋体" w:hAnsi="宋体" w:cs="宋体"/>
                <w:kern w:val="0"/>
                <w:sz w:val="18"/>
                <w:szCs w:val="18"/>
              </w:rPr>
              <w:t>——</w:t>
            </w:r>
          </w:p>
        </w:tc>
        <w:tc>
          <w:tcPr>
            <w:tcW w:w="1026" w:type="dxa"/>
            <w:shd w:val="clear" w:color="auto" w:fill="auto"/>
            <w:noWrap/>
            <w:vAlign w:val="center"/>
          </w:tcPr>
          <w:p w14:paraId="4C72ACF1">
            <w:pPr>
              <w:jc w:val="center"/>
              <w:rPr>
                <w:sz w:val="18"/>
                <w:szCs w:val="18"/>
              </w:rPr>
            </w:pPr>
            <w:r>
              <w:rPr>
                <w:rFonts w:hint="eastAsia"/>
                <w:sz w:val="18"/>
                <w:szCs w:val="18"/>
              </w:rPr>
              <w:t>187.25</w:t>
            </w:r>
          </w:p>
        </w:tc>
        <w:tc>
          <w:tcPr>
            <w:tcW w:w="946" w:type="dxa"/>
            <w:shd w:val="clear" w:color="auto" w:fill="auto"/>
            <w:noWrap/>
            <w:vAlign w:val="center"/>
          </w:tcPr>
          <w:p w14:paraId="08E37247">
            <w:pPr>
              <w:jc w:val="center"/>
              <w:rPr>
                <w:sz w:val="18"/>
                <w:szCs w:val="18"/>
              </w:rPr>
            </w:pPr>
            <w:r>
              <w:rPr>
                <w:rFonts w:hint="eastAsia"/>
                <w:sz w:val="18"/>
                <w:szCs w:val="18"/>
              </w:rPr>
              <w:t>154.4</w:t>
            </w:r>
          </w:p>
        </w:tc>
        <w:tc>
          <w:tcPr>
            <w:tcW w:w="854" w:type="dxa"/>
            <w:shd w:val="clear" w:color="auto" w:fill="auto"/>
            <w:noWrap/>
            <w:vAlign w:val="center"/>
          </w:tcPr>
          <w:p w14:paraId="0BA0C7B6">
            <w:pPr>
              <w:jc w:val="center"/>
              <w:rPr>
                <w:sz w:val="18"/>
                <w:szCs w:val="18"/>
              </w:rPr>
            </w:pPr>
            <w:r>
              <w:rPr>
                <w:rFonts w:hint="eastAsia"/>
                <w:sz w:val="18"/>
                <w:szCs w:val="18"/>
              </w:rPr>
              <w:t>68.04</w:t>
            </w:r>
          </w:p>
        </w:tc>
        <w:tc>
          <w:tcPr>
            <w:tcW w:w="1489" w:type="dxa"/>
            <w:shd w:val="clear" w:color="auto" w:fill="auto"/>
            <w:vAlign w:val="center"/>
          </w:tcPr>
          <w:p w14:paraId="2AF26CEC">
            <w:pPr>
              <w:widowControl/>
              <w:jc w:val="center"/>
              <w:rPr>
                <w:rFonts w:ascii="宋体" w:hAnsi="宋体" w:cs="宋体"/>
                <w:kern w:val="0"/>
                <w:sz w:val="15"/>
                <w:szCs w:val="15"/>
              </w:rPr>
            </w:pPr>
            <w:r>
              <w:rPr>
                <w:rFonts w:hint="eastAsia" w:ascii="宋体" w:hAnsi="宋体" w:cs="宋体"/>
                <w:kern w:val="0"/>
                <w:sz w:val="15"/>
                <w:szCs w:val="15"/>
              </w:rPr>
              <w:t>——</w:t>
            </w:r>
          </w:p>
        </w:tc>
        <w:tc>
          <w:tcPr>
            <w:tcW w:w="577" w:type="dxa"/>
            <w:shd w:val="clear" w:color="auto" w:fill="auto"/>
            <w:noWrap/>
            <w:vAlign w:val="center"/>
          </w:tcPr>
          <w:p w14:paraId="09C3115E">
            <w:pPr>
              <w:widowControl/>
              <w:jc w:val="center"/>
              <w:rPr>
                <w:rFonts w:ascii="宋体" w:hAnsi="宋体" w:cs="宋体"/>
                <w:kern w:val="0"/>
                <w:sz w:val="18"/>
                <w:szCs w:val="18"/>
              </w:rPr>
            </w:pPr>
          </w:p>
        </w:tc>
      </w:tr>
      <w:tr w14:paraId="54A5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restart"/>
            <w:shd w:val="clear" w:color="auto" w:fill="auto"/>
            <w:noWrap/>
            <w:vAlign w:val="center"/>
          </w:tcPr>
          <w:p w14:paraId="4869AE66">
            <w:pPr>
              <w:widowControl/>
              <w:jc w:val="center"/>
              <w:rPr>
                <w:rFonts w:ascii="宋体" w:hAnsi="宋体" w:cs="宋体"/>
                <w:kern w:val="0"/>
                <w:sz w:val="18"/>
                <w:szCs w:val="18"/>
              </w:rPr>
            </w:pPr>
            <w:r>
              <w:rPr>
                <w:rFonts w:hint="eastAsia" w:ascii="宋体" w:hAnsi="宋体" w:cs="宋体"/>
                <w:kern w:val="0"/>
                <w:sz w:val="18"/>
                <w:szCs w:val="18"/>
              </w:rPr>
              <w:t>3.能源</w:t>
            </w:r>
          </w:p>
        </w:tc>
        <w:tc>
          <w:tcPr>
            <w:tcW w:w="3659" w:type="dxa"/>
            <w:shd w:val="clear" w:color="auto" w:fill="auto"/>
            <w:noWrap/>
            <w:vAlign w:val="center"/>
          </w:tcPr>
          <w:p w14:paraId="43CCA7F6">
            <w:pPr>
              <w:widowControl/>
              <w:jc w:val="center"/>
              <w:rPr>
                <w:rFonts w:ascii="宋体" w:hAnsi="宋体" w:cs="宋体"/>
                <w:kern w:val="0"/>
                <w:sz w:val="18"/>
                <w:szCs w:val="18"/>
              </w:rPr>
            </w:pPr>
            <w:r>
              <w:rPr>
                <w:rFonts w:hint="eastAsia" w:ascii="宋体" w:hAnsi="宋体" w:cs="宋体"/>
                <w:kern w:val="0"/>
                <w:sz w:val="18"/>
                <w:szCs w:val="18"/>
              </w:rPr>
              <w:t>东川塘子口风电场</w:t>
            </w:r>
          </w:p>
        </w:tc>
        <w:tc>
          <w:tcPr>
            <w:tcW w:w="796" w:type="dxa"/>
            <w:shd w:val="clear" w:color="auto" w:fill="auto"/>
            <w:noWrap/>
            <w:vAlign w:val="center"/>
          </w:tcPr>
          <w:p w14:paraId="513B0E07">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21EC1D90">
            <w:pPr>
              <w:widowControl/>
              <w:jc w:val="center"/>
              <w:rPr>
                <w:rFonts w:ascii="宋体" w:hAnsi="宋体" w:cs="宋体"/>
                <w:kern w:val="0"/>
                <w:sz w:val="18"/>
                <w:szCs w:val="18"/>
              </w:rPr>
            </w:pPr>
            <w:r>
              <w:rPr>
                <w:rFonts w:hint="eastAsia" w:ascii="宋体" w:hAnsi="宋体" w:cs="宋体"/>
                <w:kern w:val="0"/>
                <w:sz w:val="18"/>
                <w:szCs w:val="18"/>
              </w:rPr>
              <w:t>2020</w:t>
            </w:r>
          </w:p>
        </w:tc>
        <w:tc>
          <w:tcPr>
            <w:tcW w:w="1026" w:type="dxa"/>
            <w:shd w:val="clear" w:color="auto" w:fill="auto"/>
            <w:noWrap/>
            <w:vAlign w:val="center"/>
          </w:tcPr>
          <w:p w14:paraId="5A1964E5">
            <w:pPr>
              <w:widowControl/>
              <w:jc w:val="center"/>
              <w:rPr>
                <w:rFonts w:ascii="宋体" w:hAnsi="宋体" w:cs="宋体"/>
                <w:kern w:val="0"/>
                <w:sz w:val="18"/>
                <w:szCs w:val="18"/>
              </w:rPr>
            </w:pPr>
            <w:r>
              <w:rPr>
                <w:rFonts w:hint="eastAsia" w:ascii="宋体" w:hAnsi="宋体" w:cs="宋体"/>
                <w:kern w:val="0"/>
                <w:sz w:val="18"/>
                <w:szCs w:val="18"/>
              </w:rPr>
              <w:t>1.90</w:t>
            </w:r>
          </w:p>
        </w:tc>
        <w:tc>
          <w:tcPr>
            <w:tcW w:w="946" w:type="dxa"/>
            <w:shd w:val="clear" w:color="auto" w:fill="auto"/>
            <w:noWrap/>
            <w:vAlign w:val="center"/>
          </w:tcPr>
          <w:p w14:paraId="43179C26">
            <w:pPr>
              <w:widowControl/>
              <w:jc w:val="center"/>
              <w:rPr>
                <w:rFonts w:ascii="宋体" w:hAnsi="宋体" w:cs="宋体"/>
                <w:kern w:val="0"/>
                <w:sz w:val="18"/>
                <w:szCs w:val="18"/>
              </w:rPr>
            </w:pPr>
            <w:r>
              <w:rPr>
                <w:rFonts w:hint="eastAsia" w:ascii="宋体" w:hAnsi="宋体" w:cs="宋体"/>
                <w:kern w:val="0"/>
                <w:sz w:val="18"/>
                <w:szCs w:val="18"/>
              </w:rPr>
              <w:t>1.90</w:t>
            </w:r>
          </w:p>
        </w:tc>
        <w:tc>
          <w:tcPr>
            <w:tcW w:w="854" w:type="dxa"/>
            <w:shd w:val="clear" w:color="auto" w:fill="auto"/>
            <w:noWrap/>
            <w:vAlign w:val="center"/>
          </w:tcPr>
          <w:p w14:paraId="1813283D">
            <w:pPr>
              <w:widowControl/>
              <w:jc w:val="center"/>
              <w:rPr>
                <w:rFonts w:ascii="宋体" w:hAnsi="宋体" w:cs="宋体"/>
                <w:kern w:val="0"/>
                <w:sz w:val="18"/>
                <w:szCs w:val="18"/>
              </w:rPr>
            </w:pPr>
          </w:p>
        </w:tc>
        <w:tc>
          <w:tcPr>
            <w:tcW w:w="1489" w:type="dxa"/>
            <w:shd w:val="clear" w:color="auto" w:fill="auto"/>
            <w:noWrap/>
            <w:vAlign w:val="center"/>
          </w:tcPr>
          <w:p w14:paraId="21FCAA3F">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2F8871D5">
            <w:pPr>
              <w:widowControl/>
              <w:jc w:val="center"/>
              <w:rPr>
                <w:rFonts w:ascii="宋体" w:hAnsi="宋体" w:cs="宋体"/>
                <w:kern w:val="0"/>
                <w:sz w:val="18"/>
                <w:szCs w:val="18"/>
              </w:rPr>
            </w:pPr>
          </w:p>
        </w:tc>
      </w:tr>
      <w:tr w14:paraId="415B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6EA23815">
            <w:pPr>
              <w:widowControl/>
              <w:jc w:val="center"/>
              <w:rPr>
                <w:rFonts w:ascii="宋体" w:hAnsi="宋体" w:cs="宋体"/>
                <w:kern w:val="0"/>
                <w:sz w:val="18"/>
                <w:szCs w:val="18"/>
              </w:rPr>
            </w:pPr>
          </w:p>
        </w:tc>
        <w:tc>
          <w:tcPr>
            <w:tcW w:w="3659" w:type="dxa"/>
            <w:shd w:val="clear" w:color="auto" w:fill="auto"/>
            <w:noWrap/>
            <w:vAlign w:val="center"/>
          </w:tcPr>
          <w:p w14:paraId="7B210EBB">
            <w:pPr>
              <w:jc w:val="center"/>
              <w:rPr>
                <w:rFonts w:ascii="宋体" w:hAnsi="宋体" w:cs="宋体"/>
                <w:sz w:val="18"/>
                <w:szCs w:val="18"/>
              </w:rPr>
            </w:pPr>
            <w:r>
              <w:rPr>
                <w:rFonts w:hint="eastAsia"/>
                <w:sz w:val="18"/>
                <w:szCs w:val="18"/>
              </w:rPr>
              <w:t>野牛风电场</w:t>
            </w:r>
          </w:p>
        </w:tc>
        <w:tc>
          <w:tcPr>
            <w:tcW w:w="796" w:type="dxa"/>
            <w:shd w:val="clear" w:color="auto" w:fill="auto"/>
            <w:noWrap/>
            <w:vAlign w:val="center"/>
          </w:tcPr>
          <w:p w14:paraId="47E11C09">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70A76174">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6F79AE41">
            <w:pPr>
              <w:widowControl/>
              <w:jc w:val="center"/>
              <w:rPr>
                <w:rFonts w:ascii="宋体" w:hAnsi="宋体" w:cs="宋体"/>
                <w:kern w:val="0"/>
                <w:sz w:val="18"/>
                <w:szCs w:val="18"/>
              </w:rPr>
            </w:pPr>
            <w:r>
              <w:rPr>
                <w:rFonts w:hint="eastAsia" w:ascii="宋体" w:hAnsi="宋体" w:cs="宋体"/>
                <w:kern w:val="0"/>
                <w:sz w:val="18"/>
                <w:szCs w:val="18"/>
              </w:rPr>
              <w:t>2.30</w:t>
            </w:r>
          </w:p>
        </w:tc>
        <w:tc>
          <w:tcPr>
            <w:tcW w:w="946" w:type="dxa"/>
            <w:shd w:val="clear" w:color="auto" w:fill="auto"/>
            <w:noWrap/>
            <w:vAlign w:val="center"/>
          </w:tcPr>
          <w:p w14:paraId="0D0D7C4A">
            <w:pPr>
              <w:widowControl/>
              <w:jc w:val="center"/>
              <w:rPr>
                <w:rFonts w:ascii="宋体" w:hAnsi="宋体" w:cs="宋体"/>
                <w:kern w:val="0"/>
                <w:sz w:val="18"/>
                <w:szCs w:val="18"/>
              </w:rPr>
            </w:pPr>
            <w:r>
              <w:rPr>
                <w:rFonts w:hint="eastAsia" w:ascii="宋体" w:hAnsi="宋体" w:cs="宋体"/>
                <w:kern w:val="0"/>
                <w:sz w:val="18"/>
                <w:szCs w:val="18"/>
              </w:rPr>
              <w:t>2.26</w:t>
            </w:r>
          </w:p>
        </w:tc>
        <w:tc>
          <w:tcPr>
            <w:tcW w:w="854" w:type="dxa"/>
            <w:shd w:val="clear" w:color="auto" w:fill="auto"/>
            <w:noWrap/>
            <w:vAlign w:val="center"/>
          </w:tcPr>
          <w:p w14:paraId="6CCC6883">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42EC0E48">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61744232">
            <w:pPr>
              <w:widowControl/>
              <w:jc w:val="center"/>
              <w:rPr>
                <w:rFonts w:ascii="宋体" w:hAnsi="宋体" w:cs="宋体"/>
                <w:kern w:val="0"/>
                <w:sz w:val="18"/>
                <w:szCs w:val="18"/>
              </w:rPr>
            </w:pPr>
          </w:p>
        </w:tc>
      </w:tr>
      <w:tr w14:paraId="6254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1550A778">
            <w:pPr>
              <w:widowControl/>
              <w:jc w:val="center"/>
              <w:rPr>
                <w:rFonts w:ascii="宋体" w:hAnsi="宋体" w:cs="宋体"/>
                <w:kern w:val="0"/>
                <w:sz w:val="18"/>
                <w:szCs w:val="18"/>
              </w:rPr>
            </w:pPr>
          </w:p>
        </w:tc>
        <w:tc>
          <w:tcPr>
            <w:tcW w:w="3659" w:type="dxa"/>
            <w:shd w:val="clear" w:color="auto" w:fill="auto"/>
            <w:noWrap/>
            <w:vAlign w:val="center"/>
          </w:tcPr>
          <w:p w14:paraId="6B4E632A">
            <w:pPr>
              <w:jc w:val="center"/>
              <w:rPr>
                <w:rFonts w:ascii="宋体" w:hAnsi="宋体" w:cs="宋体"/>
                <w:sz w:val="18"/>
                <w:szCs w:val="18"/>
              </w:rPr>
            </w:pPr>
            <w:r>
              <w:rPr>
                <w:rFonts w:hint="eastAsia"/>
                <w:sz w:val="18"/>
                <w:szCs w:val="18"/>
              </w:rPr>
              <w:t>国投云南风电李子沟村八角地风电站</w:t>
            </w:r>
          </w:p>
        </w:tc>
        <w:tc>
          <w:tcPr>
            <w:tcW w:w="796" w:type="dxa"/>
            <w:shd w:val="clear" w:color="auto" w:fill="auto"/>
            <w:noWrap/>
            <w:vAlign w:val="center"/>
          </w:tcPr>
          <w:p w14:paraId="6AFE533F">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EAB39B3">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68CD1E61">
            <w:pPr>
              <w:widowControl/>
              <w:jc w:val="center"/>
              <w:rPr>
                <w:rFonts w:ascii="宋体" w:hAnsi="宋体" w:cs="宋体"/>
                <w:kern w:val="0"/>
                <w:sz w:val="18"/>
                <w:szCs w:val="18"/>
              </w:rPr>
            </w:pPr>
            <w:r>
              <w:rPr>
                <w:rFonts w:hint="eastAsia" w:ascii="宋体" w:hAnsi="宋体" w:cs="宋体"/>
                <w:kern w:val="0"/>
                <w:sz w:val="18"/>
                <w:szCs w:val="18"/>
              </w:rPr>
              <w:t>1.5</w:t>
            </w:r>
          </w:p>
        </w:tc>
        <w:tc>
          <w:tcPr>
            <w:tcW w:w="946" w:type="dxa"/>
            <w:shd w:val="clear" w:color="auto" w:fill="auto"/>
            <w:noWrap/>
            <w:vAlign w:val="center"/>
          </w:tcPr>
          <w:p w14:paraId="2C4EDC2A">
            <w:pPr>
              <w:widowControl/>
              <w:jc w:val="center"/>
              <w:rPr>
                <w:rFonts w:ascii="宋体" w:hAnsi="宋体" w:cs="宋体"/>
                <w:kern w:val="0"/>
                <w:sz w:val="18"/>
                <w:szCs w:val="18"/>
              </w:rPr>
            </w:pPr>
            <w:r>
              <w:rPr>
                <w:rFonts w:hint="eastAsia" w:ascii="宋体" w:hAnsi="宋体" w:cs="宋体"/>
                <w:kern w:val="0"/>
                <w:sz w:val="18"/>
                <w:szCs w:val="18"/>
              </w:rPr>
              <w:t>1.5</w:t>
            </w:r>
          </w:p>
        </w:tc>
        <w:tc>
          <w:tcPr>
            <w:tcW w:w="854" w:type="dxa"/>
            <w:shd w:val="clear" w:color="auto" w:fill="auto"/>
            <w:noWrap/>
            <w:vAlign w:val="center"/>
          </w:tcPr>
          <w:p w14:paraId="4E34BF6F">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tcPr>
          <w:p w14:paraId="3803B5C4">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2F52CB51">
            <w:pPr>
              <w:widowControl/>
              <w:jc w:val="center"/>
              <w:rPr>
                <w:rFonts w:ascii="宋体" w:hAnsi="宋体" w:cs="宋体"/>
                <w:kern w:val="0"/>
                <w:sz w:val="18"/>
                <w:szCs w:val="18"/>
              </w:rPr>
            </w:pPr>
          </w:p>
        </w:tc>
      </w:tr>
      <w:tr w14:paraId="5BD7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4538141D">
            <w:pPr>
              <w:widowControl/>
              <w:jc w:val="center"/>
              <w:rPr>
                <w:rFonts w:ascii="宋体" w:hAnsi="宋体" w:cs="宋体"/>
                <w:kern w:val="0"/>
                <w:sz w:val="18"/>
                <w:szCs w:val="18"/>
              </w:rPr>
            </w:pPr>
          </w:p>
        </w:tc>
        <w:tc>
          <w:tcPr>
            <w:tcW w:w="3659" w:type="dxa"/>
            <w:shd w:val="clear" w:color="auto" w:fill="auto"/>
            <w:noWrap/>
            <w:vAlign w:val="center"/>
          </w:tcPr>
          <w:p w14:paraId="6F454B1B">
            <w:pPr>
              <w:jc w:val="center"/>
              <w:rPr>
                <w:rFonts w:ascii="宋体" w:hAnsi="宋体" w:cs="宋体"/>
                <w:sz w:val="18"/>
                <w:szCs w:val="18"/>
              </w:rPr>
            </w:pPr>
            <w:r>
              <w:rPr>
                <w:rFonts w:hint="eastAsia"/>
                <w:sz w:val="18"/>
                <w:szCs w:val="18"/>
              </w:rPr>
              <w:t>巨龙梁风电站</w:t>
            </w:r>
          </w:p>
        </w:tc>
        <w:tc>
          <w:tcPr>
            <w:tcW w:w="796" w:type="dxa"/>
            <w:shd w:val="clear" w:color="auto" w:fill="auto"/>
            <w:noWrap/>
            <w:vAlign w:val="center"/>
          </w:tcPr>
          <w:p w14:paraId="08C82EC1">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52F13C91">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50A5E90D">
            <w:pPr>
              <w:widowControl/>
              <w:jc w:val="center"/>
              <w:rPr>
                <w:rFonts w:ascii="宋体" w:hAnsi="宋体" w:cs="宋体"/>
                <w:kern w:val="0"/>
                <w:sz w:val="18"/>
                <w:szCs w:val="18"/>
              </w:rPr>
            </w:pPr>
            <w:r>
              <w:rPr>
                <w:rFonts w:hint="eastAsia" w:ascii="宋体" w:hAnsi="宋体" w:cs="宋体"/>
                <w:kern w:val="0"/>
                <w:sz w:val="18"/>
                <w:szCs w:val="18"/>
              </w:rPr>
              <w:t>1.5</w:t>
            </w:r>
          </w:p>
        </w:tc>
        <w:tc>
          <w:tcPr>
            <w:tcW w:w="946" w:type="dxa"/>
            <w:shd w:val="clear" w:color="auto" w:fill="auto"/>
            <w:noWrap/>
            <w:vAlign w:val="center"/>
          </w:tcPr>
          <w:p w14:paraId="6DB35464">
            <w:pPr>
              <w:widowControl/>
              <w:jc w:val="center"/>
              <w:rPr>
                <w:rFonts w:ascii="宋体" w:hAnsi="宋体" w:cs="宋体"/>
                <w:kern w:val="0"/>
                <w:sz w:val="18"/>
                <w:szCs w:val="18"/>
              </w:rPr>
            </w:pPr>
            <w:r>
              <w:rPr>
                <w:rFonts w:hint="eastAsia" w:ascii="宋体" w:hAnsi="宋体" w:cs="宋体"/>
                <w:kern w:val="0"/>
                <w:sz w:val="18"/>
                <w:szCs w:val="18"/>
              </w:rPr>
              <w:t>1.5</w:t>
            </w:r>
          </w:p>
        </w:tc>
        <w:tc>
          <w:tcPr>
            <w:tcW w:w="854" w:type="dxa"/>
            <w:shd w:val="clear" w:color="auto" w:fill="auto"/>
            <w:noWrap/>
            <w:vAlign w:val="center"/>
          </w:tcPr>
          <w:p w14:paraId="1E148089">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tcPr>
          <w:p w14:paraId="47D892C8">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76BD1F52">
            <w:pPr>
              <w:widowControl/>
              <w:jc w:val="center"/>
              <w:rPr>
                <w:rFonts w:ascii="宋体" w:hAnsi="宋体" w:cs="宋体"/>
                <w:kern w:val="0"/>
                <w:sz w:val="18"/>
                <w:szCs w:val="18"/>
              </w:rPr>
            </w:pPr>
          </w:p>
        </w:tc>
      </w:tr>
      <w:tr w14:paraId="3FFD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7B2DFDF0">
            <w:pPr>
              <w:widowControl/>
              <w:jc w:val="center"/>
              <w:rPr>
                <w:rFonts w:ascii="宋体" w:hAnsi="宋体" w:cs="宋体"/>
                <w:kern w:val="0"/>
                <w:sz w:val="18"/>
                <w:szCs w:val="18"/>
              </w:rPr>
            </w:pPr>
          </w:p>
        </w:tc>
        <w:tc>
          <w:tcPr>
            <w:tcW w:w="3659" w:type="dxa"/>
            <w:shd w:val="clear" w:color="auto" w:fill="auto"/>
            <w:noWrap/>
            <w:vAlign w:val="center"/>
          </w:tcPr>
          <w:p w14:paraId="6A3EE517">
            <w:pPr>
              <w:jc w:val="center"/>
              <w:rPr>
                <w:sz w:val="18"/>
                <w:szCs w:val="18"/>
              </w:rPr>
            </w:pPr>
            <w:r>
              <w:rPr>
                <w:rFonts w:hint="eastAsia"/>
                <w:sz w:val="18"/>
                <w:szCs w:val="18"/>
              </w:rPr>
              <w:t>国家光伏扶贫项目村级电站</w:t>
            </w:r>
          </w:p>
        </w:tc>
        <w:tc>
          <w:tcPr>
            <w:tcW w:w="796" w:type="dxa"/>
            <w:shd w:val="clear" w:color="auto" w:fill="auto"/>
            <w:noWrap/>
            <w:vAlign w:val="center"/>
          </w:tcPr>
          <w:p w14:paraId="6D28AFE2">
            <w:pPr>
              <w:jc w:val="center"/>
              <w:rPr>
                <w:sz w:val="18"/>
                <w:szCs w:val="18"/>
              </w:rPr>
            </w:pPr>
            <w:r>
              <w:rPr>
                <w:rFonts w:hint="eastAsia"/>
                <w:sz w:val="18"/>
                <w:szCs w:val="18"/>
              </w:rPr>
              <w:t>新建</w:t>
            </w:r>
          </w:p>
        </w:tc>
        <w:tc>
          <w:tcPr>
            <w:tcW w:w="1206" w:type="dxa"/>
            <w:shd w:val="clear" w:color="auto" w:fill="auto"/>
            <w:noWrap/>
            <w:vAlign w:val="center"/>
          </w:tcPr>
          <w:p w14:paraId="6A37F499">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2B7EF286">
            <w:pPr>
              <w:widowControl/>
              <w:jc w:val="center"/>
              <w:rPr>
                <w:rFonts w:ascii="宋体" w:hAnsi="宋体" w:cs="宋体"/>
                <w:kern w:val="0"/>
                <w:sz w:val="18"/>
                <w:szCs w:val="18"/>
              </w:rPr>
            </w:pPr>
            <w:r>
              <w:rPr>
                <w:rFonts w:hint="eastAsia" w:ascii="宋体" w:hAnsi="宋体" w:cs="宋体"/>
                <w:kern w:val="0"/>
                <w:sz w:val="18"/>
                <w:szCs w:val="18"/>
              </w:rPr>
              <w:t>2</w:t>
            </w:r>
          </w:p>
        </w:tc>
        <w:tc>
          <w:tcPr>
            <w:tcW w:w="946" w:type="dxa"/>
            <w:shd w:val="clear" w:color="auto" w:fill="auto"/>
            <w:noWrap/>
            <w:vAlign w:val="center"/>
          </w:tcPr>
          <w:p w14:paraId="085798A0">
            <w:pPr>
              <w:widowControl/>
              <w:jc w:val="center"/>
              <w:rPr>
                <w:rFonts w:ascii="宋体" w:hAnsi="宋体" w:cs="宋体"/>
                <w:kern w:val="0"/>
                <w:sz w:val="18"/>
                <w:szCs w:val="18"/>
              </w:rPr>
            </w:pPr>
            <w:r>
              <w:rPr>
                <w:rFonts w:hint="eastAsia" w:ascii="宋体" w:hAnsi="宋体" w:cs="宋体"/>
                <w:kern w:val="0"/>
                <w:sz w:val="18"/>
                <w:szCs w:val="18"/>
              </w:rPr>
              <w:t>1.5</w:t>
            </w:r>
          </w:p>
        </w:tc>
        <w:tc>
          <w:tcPr>
            <w:tcW w:w="854" w:type="dxa"/>
            <w:shd w:val="clear" w:color="auto" w:fill="auto"/>
            <w:noWrap/>
            <w:vAlign w:val="center"/>
          </w:tcPr>
          <w:p w14:paraId="43FF97AB">
            <w:pPr>
              <w:widowControl/>
              <w:jc w:val="center"/>
              <w:rPr>
                <w:rFonts w:ascii="宋体" w:hAnsi="宋体" w:cs="宋体"/>
                <w:kern w:val="0"/>
                <w:sz w:val="18"/>
                <w:szCs w:val="18"/>
              </w:rPr>
            </w:pPr>
            <w:r>
              <w:rPr>
                <w:rFonts w:hint="eastAsia" w:ascii="宋体" w:hAnsi="宋体" w:cs="宋体"/>
                <w:kern w:val="0"/>
                <w:sz w:val="18"/>
                <w:szCs w:val="18"/>
              </w:rPr>
              <w:t>0.5</w:t>
            </w:r>
          </w:p>
        </w:tc>
        <w:tc>
          <w:tcPr>
            <w:tcW w:w="1489" w:type="dxa"/>
            <w:vMerge w:val="restart"/>
            <w:shd w:val="clear" w:color="auto" w:fill="auto"/>
            <w:noWrap/>
            <w:vAlign w:val="center"/>
          </w:tcPr>
          <w:p w14:paraId="12129B1A">
            <w:pPr>
              <w:widowControl/>
              <w:jc w:val="center"/>
              <w:rPr>
                <w:rFonts w:ascii="宋体" w:hAnsi="宋体" w:cs="宋体"/>
                <w:kern w:val="0"/>
                <w:sz w:val="15"/>
                <w:szCs w:val="15"/>
              </w:rPr>
            </w:pPr>
            <w:r>
              <w:rPr>
                <w:rFonts w:hint="eastAsia" w:ascii="宋体" w:hAnsi="宋体" w:cs="宋体"/>
                <w:kern w:val="0"/>
                <w:sz w:val="15"/>
                <w:szCs w:val="15"/>
              </w:rPr>
              <w:t>铜都、阿旺、乌龙、汤丹、拖布卡、红土地、因民、舍块</w:t>
            </w:r>
          </w:p>
        </w:tc>
        <w:tc>
          <w:tcPr>
            <w:tcW w:w="577" w:type="dxa"/>
            <w:shd w:val="clear" w:color="auto" w:fill="auto"/>
            <w:noWrap/>
            <w:vAlign w:val="center"/>
          </w:tcPr>
          <w:p w14:paraId="4D163BCD">
            <w:pPr>
              <w:widowControl/>
              <w:jc w:val="center"/>
              <w:rPr>
                <w:rFonts w:ascii="宋体" w:hAnsi="宋体" w:cs="宋体"/>
                <w:kern w:val="0"/>
                <w:sz w:val="18"/>
                <w:szCs w:val="18"/>
              </w:rPr>
            </w:pPr>
          </w:p>
        </w:tc>
      </w:tr>
      <w:tr w14:paraId="4AF3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71B6037E">
            <w:pPr>
              <w:widowControl/>
              <w:jc w:val="center"/>
              <w:rPr>
                <w:rFonts w:ascii="宋体" w:hAnsi="宋体" w:cs="宋体"/>
                <w:kern w:val="0"/>
                <w:sz w:val="18"/>
                <w:szCs w:val="18"/>
              </w:rPr>
            </w:pPr>
          </w:p>
        </w:tc>
        <w:tc>
          <w:tcPr>
            <w:tcW w:w="3659" w:type="dxa"/>
            <w:shd w:val="clear" w:color="auto" w:fill="auto"/>
            <w:noWrap/>
            <w:vAlign w:val="center"/>
          </w:tcPr>
          <w:p w14:paraId="720275DC">
            <w:pPr>
              <w:jc w:val="center"/>
              <w:rPr>
                <w:sz w:val="18"/>
                <w:szCs w:val="18"/>
              </w:rPr>
            </w:pPr>
            <w:r>
              <w:rPr>
                <w:rFonts w:hint="eastAsia"/>
                <w:sz w:val="18"/>
                <w:szCs w:val="18"/>
              </w:rPr>
              <w:t>国家光伏扶贫项目集中式电站</w:t>
            </w:r>
          </w:p>
        </w:tc>
        <w:tc>
          <w:tcPr>
            <w:tcW w:w="796" w:type="dxa"/>
            <w:shd w:val="clear" w:color="auto" w:fill="auto"/>
            <w:noWrap/>
            <w:vAlign w:val="center"/>
          </w:tcPr>
          <w:p w14:paraId="5294F9D9">
            <w:pPr>
              <w:jc w:val="center"/>
              <w:rPr>
                <w:sz w:val="18"/>
                <w:szCs w:val="18"/>
              </w:rPr>
            </w:pPr>
            <w:r>
              <w:rPr>
                <w:rFonts w:hint="eastAsia"/>
                <w:sz w:val="18"/>
                <w:szCs w:val="18"/>
              </w:rPr>
              <w:t>新建</w:t>
            </w:r>
          </w:p>
        </w:tc>
        <w:tc>
          <w:tcPr>
            <w:tcW w:w="1206" w:type="dxa"/>
            <w:shd w:val="clear" w:color="auto" w:fill="auto"/>
            <w:noWrap/>
            <w:vAlign w:val="center"/>
          </w:tcPr>
          <w:p w14:paraId="4BC2AD14">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6A9914C8">
            <w:pPr>
              <w:widowControl/>
              <w:jc w:val="center"/>
              <w:rPr>
                <w:rFonts w:ascii="宋体" w:hAnsi="宋体" w:cs="宋体"/>
                <w:kern w:val="0"/>
                <w:sz w:val="18"/>
                <w:szCs w:val="18"/>
              </w:rPr>
            </w:pPr>
            <w:r>
              <w:rPr>
                <w:rFonts w:hint="eastAsia" w:ascii="宋体" w:hAnsi="宋体" w:cs="宋体"/>
                <w:kern w:val="0"/>
                <w:sz w:val="18"/>
                <w:szCs w:val="18"/>
              </w:rPr>
              <w:t>2</w:t>
            </w:r>
          </w:p>
        </w:tc>
        <w:tc>
          <w:tcPr>
            <w:tcW w:w="946" w:type="dxa"/>
            <w:shd w:val="clear" w:color="auto" w:fill="auto"/>
            <w:noWrap/>
            <w:vAlign w:val="center"/>
          </w:tcPr>
          <w:p w14:paraId="6EDD734B">
            <w:pPr>
              <w:widowControl/>
              <w:jc w:val="center"/>
              <w:rPr>
                <w:rFonts w:ascii="宋体" w:hAnsi="宋体" w:cs="宋体"/>
                <w:kern w:val="0"/>
                <w:sz w:val="18"/>
                <w:szCs w:val="18"/>
              </w:rPr>
            </w:pPr>
            <w:r>
              <w:rPr>
                <w:rFonts w:hint="eastAsia" w:ascii="宋体" w:hAnsi="宋体" w:cs="宋体"/>
                <w:kern w:val="0"/>
                <w:sz w:val="18"/>
                <w:szCs w:val="18"/>
              </w:rPr>
              <w:t>1.5</w:t>
            </w:r>
          </w:p>
        </w:tc>
        <w:tc>
          <w:tcPr>
            <w:tcW w:w="854" w:type="dxa"/>
            <w:shd w:val="clear" w:color="auto" w:fill="auto"/>
            <w:noWrap/>
            <w:vAlign w:val="center"/>
          </w:tcPr>
          <w:p w14:paraId="582890D5">
            <w:pPr>
              <w:widowControl/>
              <w:jc w:val="center"/>
              <w:rPr>
                <w:rFonts w:ascii="宋体" w:hAnsi="宋体" w:cs="宋体"/>
                <w:kern w:val="0"/>
                <w:sz w:val="18"/>
                <w:szCs w:val="18"/>
              </w:rPr>
            </w:pPr>
            <w:r>
              <w:rPr>
                <w:rFonts w:hint="eastAsia" w:ascii="宋体" w:hAnsi="宋体" w:cs="宋体"/>
                <w:kern w:val="0"/>
                <w:sz w:val="18"/>
                <w:szCs w:val="18"/>
              </w:rPr>
              <w:t>0.5</w:t>
            </w:r>
          </w:p>
        </w:tc>
        <w:tc>
          <w:tcPr>
            <w:tcW w:w="1489" w:type="dxa"/>
            <w:vMerge w:val="continue"/>
            <w:shd w:val="clear" w:color="auto" w:fill="auto"/>
            <w:noWrap/>
            <w:vAlign w:val="center"/>
          </w:tcPr>
          <w:p w14:paraId="508B9418">
            <w:pPr>
              <w:widowControl/>
              <w:jc w:val="center"/>
              <w:rPr>
                <w:rFonts w:ascii="宋体" w:hAnsi="宋体" w:cs="宋体"/>
                <w:kern w:val="0"/>
                <w:sz w:val="15"/>
                <w:szCs w:val="15"/>
              </w:rPr>
            </w:pPr>
          </w:p>
        </w:tc>
        <w:tc>
          <w:tcPr>
            <w:tcW w:w="577" w:type="dxa"/>
            <w:shd w:val="clear" w:color="auto" w:fill="auto"/>
            <w:noWrap/>
            <w:vAlign w:val="center"/>
          </w:tcPr>
          <w:p w14:paraId="3B3F084C">
            <w:pPr>
              <w:widowControl/>
              <w:jc w:val="center"/>
              <w:rPr>
                <w:rFonts w:ascii="宋体" w:hAnsi="宋体" w:cs="宋体"/>
                <w:kern w:val="0"/>
                <w:sz w:val="18"/>
                <w:szCs w:val="18"/>
              </w:rPr>
            </w:pPr>
          </w:p>
        </w:tc>
      </w:tr>
      <w:tr w14:paraId="40E3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633D3B7B">
            <w:pPr>
              <w:widowControl/>
              <w:jc w:val="center"/>
              <w:rPr>
                <w:rFonts w:ascii="宋体" w:hAnsi="宋体" w:cs="宋体"/>
                <w:kern w:val="0"/>
                <w:sz w:val="18"/>
                <w:szCs w:val="18"/>
              </w:rPr>
            </w:pPr>
          </w:p>
        </w:tc>
        <w:tc>
          <w:tcPr>
            <w:tcW w:w="3659" w:type="dxa"/>
            <w:shd w:val="clear" w:color="auto" w:fill="auto"/>
            <w:noWrap/>
            <w:vAlign w:val="center"/>
          </w:tcPr>
          <w:p w14:paraId="0903191B">
            <w:pPr>
              <w:jc w:val="center"/>
              <w:rPr>
                <w:sz w:val="18"/>
                <w:szCs w:val="18"/>
              </w:rPr>
            </w:pPr>
            <w:r>
              <w:rPr>
                <w:rFonts w:hint="eastAsia"/>
                <w:sz w:val="18"/>
                <w:szCs w:val="18"/>
              </w:rPr>
              <w:t>碧谷新街农光互补光伏电站升压站</w:t>
            </w:r>
          </w:p>
        </w:tc>
        <w:tc>
          <w:tcPr>
            <w:tcW w:w="796" w:type="dxa"/>
            <w:shd w:val="clear" w:color="auto" w:fill="auto"/>
            <w:noWrap/>
            <w:vAlign w:val="center"/>
          </w:tcPr>
          <w:p w14:paraId="042AFD92">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C5AD3C2">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77608D2B">
            <w:pPr>
              <w:widowControl/>
              <w:jc w:val="center"/>
              <w:rPr>
                <w:rFonts w:ascii="宋体" w:hAnsi="宋体" w:cs="宋体"/>
                <w:kern w:val="0"/>
                <w:sz w:val="18"/>
                <w:szCs w:val="18"/>
              </w:rPr>
            </w:pPr>
            <w:r>
              <w:rPr>
                <w:rFonts w:hint="eastAsia" w:ascii="宋体" w:hAnsi="宋体" w:cs="宋体"/>
                <w:kern w:val="0"/>
                <w:sz w:val="18"/>
                <w:szCs w:val="18"/>
              </w:rPr>
              <w:t>1.5</w:t>
            </w:r>
          </w:p>
        </w:tc>
        <w:tc>
          <w:tcPr>
            <w:tcW w:w="946" w:type="dxa"/>
            <w:shd w:val="clear" w:color="auto" w:fill="auto"/>
            <w:noWrap/>
            <w:vAlign w:val="center"/>
          </w:tcPr>
          <w:p w14:paraId="560EDD76">
            <w:pPr>
              <w:widowControl/>
              <w:jc w:val="center"/>
              <w:rPr>
                <w:rFonts w:ascii="宋体" w:hAnsi="宋体" w:cs="宋体"/>
                <w:kern w:val="0"/>
                <w:sz w:val="18"/>
                <w:szCs w:val="18"/>
              </w:rPr>
            </w:pPr>
            <w:r>
              <w:rPr>
                <w:rFonts w:hint="eastAsia" w:ascii="宋体" w:hAnsi="宋体" w:cs="宋体"/>
                <w:kern w:val="0"/>
                <w:sz w:val="18"/>
                <w:szCs w:val="18"/>
              </w:rPr>
              <w:t>1.5</w:t>
            </w:r>
          </w:p>
        </w:tc>
        <w:tc>
          <w:tcPr>
            <w:tcW w:w="854" w:type="dxa"/>
            <w:shd w:val="clear" w:color="auto" w:fill="auto"/>
            <w:noWrap/>
            <w:vAlign w:val="center"/>
          </w:tcPr>
          <w:p w14:paraId="78E76430">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tcPr>
          <w:p w14:paraId="664B3D40">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18874FA4">
            <w:pPr>
              <w:widowControl/>
              <w:jc w:val="center"/>
              <w:rPr>
                <w:rFonts w:ascii="宋体" w:hAnsi="宋体" w:cs="宋体"/>
                <w:kern w:val="0"/>
                <w:sz w:val="18"/>
                <w:szCs w:val="18"/>
              </w:rPr>
            </w:pPr>
          </w:p>
        </w:tc>
      </w:tr>
      <w:tr w14:paraId="191F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66BF8F20">
            <w:pPr>
              <w:widowControl/>
              <w:jc w:val="center"/>
              <w:rPr>
                <w:rFonts w:ascii="宋体" w:hAnsi="宋体" w:cs="宋体"/>
                <w:kern w:val="0"/>
                <w:sz w:val="18"/>
                <w:szCs w:val="18"/>
              </w:rPr>
            </w:pPr>
          </w:p>
        </w:tc>
        <w:tc>
          <w:tcPr>
            <w:tcW w:w="3659" w:type="dxa"/>
            <w:shd w:val="clear" w:color="auto" w:fill="auto"/>
            <w:noWrap/>
            <w:vAlign w:val="center"/>
          </w:tcPr>
          <w:p w14:paraId="3AFF2A7B">
            <w:pPr>
              <w:jc w:val="center"/>
              <w:rPr>
                <w:sz w:val="18"/>
                <w:szCs w:val="18"/>
              </w:rPr>
            </w:pPr>
            <w:r>
              <w:rPr>
                <w:rFonts w:hint="eastAsia"/>
                <w:sz w:val="18"/>
                <w:szCs w:val="18"/>
              </w:rPr>
              <w:t>荒田光伏电站升压站</w:t>
            </w:r>
          </w:p>
        </w:tc>
        <w:tc>
          <w:tcPr>
            <w:tcW w:w="796" w:type="dxa"/>
            <w:shd w:val="clear" w:color="auto" w:fill="auto"/>
            <w:noWrap/>
            <w:vAlign w:val="center"/>
          </w:tcPr>
          <w:p w14:paraId="3D6992D7">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2635EE32">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358A6FF9">
            <w:pPr>
              <w:widowControl/>
              <w:jc w:val="center"/>
              <w:rPr>
                <w:rFonts w:ascii="宋体" w:hAnsi="宋体" w:cs="宋体"/>
                <w:kern w:val="0"/>
                <w:sz w:val="18"/>
                <w:szCs w:val="18"/>
              </w:rPr>
            </w:pPr>
            <w:r>
              <w:rPr>
                <w:rFonts w:hint="eastAsia" w:ascii="宋体" w:hAnsi="宋体" w:cs="宋体"/>
                <w:kern w:val="0"/>
                <w:sz w:val="18"/>
                <w:szCs w:val="18"/>
              </w:rPr>
              <w:t>1.5</w:t>
            </w:r>
          </w:p>
        </w:tc>
        <w:tc>
          <w:tcPr>
            <w:tcW w:w="946" w:type="dxa"/>
            <w:shd w:val="clear" w:color="auto" w:fill="auto"/>
            <w:noWrap/>
            <w:vAlign w:val="center"/>
          </w:tcPr>
          <w:p w14:paraId="608F009E">
            <w:pPr>
              <w:widowControl/>
              <w:jc w:val="center"/>
              <w:rPr>
                <w:rFonts w:ascii="宋体" w:hAnsi="宋体" w:cs="宋体"/>
                <w:kern w:val="0"/>
                <w:sz w:val="18"/>
                <w:szCs w:val="18"/>
              </w:rPr>
            </w:pPr>
            <w:r>
              <w:rPr>
                <w:rFonts w:hint="eastAsia" w:ascii="宋体" w:hAnsi="宋体" w:cs="宋体"/>
                <w:kern w:val="0"/>
                <w:sz w:val="18"/>
                <w:szCs w:val="18"/>
              </w:rPr>
              <w:t>1.5</w:t>
            </w:r>
          </w:p>
        </w:tc>
        <w:tc>
          <w:tcPr>
            <w:tcW w:w="854" w:type="dxa"/>
            <w:shd w:val="clear" w:color="auto" w:fill="auto"/>
            <w:noWrap/>
            <w:vAlign w:val="center"/>
          </w:tcPr>
          <w:p w14:paraId="3FAC8EB0">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tcPr>
          <w:p w14:paraId="50D9126A">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216BE9A9">
            <w:pPr>
              <w:widowControl/>
              <w:jc w:val="center"/>
              <w:rPr>
                <w:rFonts w:ascii="宋体" w:hAnsi="宋体" w:cs="宋体"/>
                <w:kern w:val="0"/>
                <w:sz w:val="18"/>
                <w:szCs w:val="18"/>
              </w:rPr>
            </w:pPr>
          </w:p>
        </w:tc>
      </w:tr>
      <w:tr w14:paraId="6B10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053288FF">
            <w:pPr>
              <w:widowControl/>
              <w:jc w:val="center"/>
              <w:rPr>
                <w:rFonts w:ascii="宋体" w:hAnsi="宋体" w:cs="宋体"/>
                <w:kern w:val="0"/>
                <w:sz w:val="18"/>
                <w:szCs w:val="18"/>
              </w:rPr>
            </w:pPr>
          </w:p>
        </w:tc>
        <w:tc>
          <w:tcPr>
            <w:tcW w:w="3659" w:type="dxa"/>
            <w:shd w:val="clear" w:color="auto" w:fill="auto"/>
            <w:noWrap/>
            <w:vAlign w:val="center"/>
          </w:tcPr>
          <w:p w14:paraId="5E9E9C49">
            <w:pPr>
              <w:jc w:val="center"/>
              <w:rPr>
                <w:rFonts w:ascii="宋体" w:hAnsi="宋体" w:cs="宋体"/>
                <w:sz w:val="18"/>
                <w:szCs w:val="18"/>
              </w:rPr>
            </w:pPr>
            <w:r>
              <w:rPr>
                <w:rFonts w:hint="eastAsia"/>
                <w:sz w:val="18"/>
                <w:szCs w:val="18"/>
              </w:rPr>
              <w:t>橄榄坡光伏电站升压站</w:t>
            </w:r>
          </w:p>
        </w:tc>
        <w:tc>
          <w:tcPr>
            <w:tcW w:w="796" w:type="dxa"/>
            <w:shd w:val="clear" w:color="auto" w:fill="auto"/>
            <w:noWrap/>
            <w:vAlign w:val="center"/>
          </w:tcPr>
          <w:p w14:paraId="66320BA4">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BF59A29">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5E7D0156">
            <w:pPr>
              <w:widowControl/>
              <w:jc w:val="center"/>
              <w:rPr>
                <w:rFonts w:ascii="宋体" w:hAnsi="宋体" w:cs="宋体"/>
                <w:kern w:val="0"/>
                <w:sz w:val="18"/>
                <w:szCs w:val="18"/>
              </w:rPr>
            </w:pPr>
            <w:r>
              <w:rPr>
                <w:rFonts w:hint="eastAsia" w:ascii="宋体" w:hAnsi="宋体" w:cs="宋体"/>
                <w:kern w:val="0"/>
                <w:sz w:val="18"/>
                <w:szCs w:val="18"/>
              </w:rPr>
              <w:t>1.5</w:t>
            </w:r>
          </w:p>
        </w:tc>
        <w:tc>
          <w:tcPr>
            <w:tcW w:w="946" w:type="dxa"/>
            <w:shd w:val="clear" w:color="auto" w:fill="auto"/>
            <w:noWrap/>
            <w:vAlign w:val="center"/>
          </w:tcPr>
          <w:p w14:paraId="7D82F984">
            <w:pPr>
              <w:widowControl/>
              <w:jc w:val="center"/>
              <w:rPr>
                <w:rFonts w:ascii="宋体" w:hAnsi="宋体" w:cs="宋体"/>
                <w:kern w:val="0"/>
                <w:sz w:val="18"/>
                <w:szCs w:val="18"/>
              </w:rPr>
            </w:pPr>
            <w:r>
              <w:rPr>
                <w:rFonts w:hint="eastAsia" w:ascii="宋体" w:hAnsi="宋体" w:cs="宋体"/>
                <w:kern w:val="0"/>
                <w:sz w:val="18"/>
                <w:szCs w:val="18"/>
              </w:rPr>
              <w:t>1.5</w:t>
            </w:r>
          </w:p>
        </w:tc>
        <w:tc>
          <w:tcPr>
            <w:tcW w:w="854" w:type="dxa"/>
            <w:shd w:val="clear" w:color="auto" w:fill="auto"/>
            <w:noWrap/>
            <w:vAlign w:val="center"/>
          </w:tcPr>
          <w:p w14:paraId="24A324FD">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tcPr>
          <w:p w14:paraId="12BB7319">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739B82E2">
            <w:pPr>
              <w:widowControl/>
              <w:jc w:val="center"/>
              <w:rPr>
                <w:rFonts w:ascii="宋体" w:hAnsi="宋体" w:cs="宋体"/>
                <w:kern w:val="0"/>
                <w:sz w:val="18"/>
                <w:szCs w:val="18"/>
              </w:rPr>
            </w:pPr>
          </w:p>
        </w:tc>
      </w:tr>
      <w:tr w14:paraId="4D95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48643E3F">
            <w:pPr>
              <w:widowControl/>
              <w:jc w:val="center"/>
              <w:rPr>
                <w:rFonts w:ascii="宋体" w:hAnsi="宋体" w:cs="宋体"/>
                <w:kern w:val="0"/>
                <w:sz w:val="18"/>
                <w:szCs w:val="18"/>
              </w:rPr>
            </w:pPr>
          </w:p>
        </w:tc>
        <w:tc>
          <w:tcPr>
            <w:tcW w:w="3659" w:type="dxa"/>
            <w:shd w:val="clear" w:color="auto" w:fill="auto"/>
            <w:noWrap/>
            <w:vAlign w:val="center"/>
          </w:tcPr>
          <w:p w14:paraId="5CE8C85D">
            <w:pPr>
              <w:jc w:val="center"/>
              <w:rPr>
                <w:rFonts w:ascii="宋体" w:hAnsi="宋体" w:cs="宋体"/>
                <w:sz w:val="18"/>
                <w:szCs w:val="18"/>
              </w:rPr>
            </w:pPr>
            <w:r>
              <w:rPr>
                <w:rFonts w:hint="eastAsia"/>
                <w:sz w:val="18"/>
                <w:szCs w:val="18"/>
              </w:rPr>
              <w:t>坝塘光伏电站升压站</w:t>
            </w:r>
          </w:p>
        </w:tc>
        <w:tc>
          <w:tcPr>
            <w:tcW w:w="796" w:type="dxa"/>
            <w:shd w:val="clear" w:color="auto" w:fill="auto"/>
            <w:noWrap/>
            <w:vAlign w:val="center"/>
          </w:tcPr>
          <w:p w14:paraId="3F6B58C7">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072F4AB6">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3EA2684A">
            <w:pPr>
              <w:widowControl/>
              <w:jc w:val="center"/>
              <w:rPr>
                <w:rFonts w:ascii="宋体" w:hAnsi="宋体" w:cs="宋体"/>
                <w:kern w:val="0"/>
                <w:sz w:val="18"/>
                <w:szCs w:val="18"/>
              </w:rPr>
            </w:pPr>
            <w:r>
              <w:rPr>
                <w:rFonts w:hint="eastAsia" w:ascii="宋体" w:hAnsi="宋体" w:cs="宋体"/>
                <w:kern w:val="0"/>
                <w:sz w:val="18"/>
                <w:szCs w:val="18"/>
              </w:rPr>
              <w:t>1.5</w:t>
            </w:r>
          </w:p>
        </w:tc>
        <w:tc>
          <w:tcPr>
            <w:tcW w:w="946" w:type="dxa"/>
            <w:shd w:val="clear" w:color="auto" w:fill="auto"/>
            <w:noWrap/>
            <w:vAlign w:val="center"/>
          </w:tcPr>
          <w:p w14:paraId="6F4A5C8B">
            <w:pPr>
              <w:widowControl/>
              <w:jc w:val="center"/>
              <w:rPr>
                <w:rFonts w:ascii="宋体" w:hAnsi="宋体" w:cs="宋体"/>
                <w:kern w:val="0"/>
                <w:sz w:val="18"/>
                <w:szCs w:val="18"/>
              </w:rPr>
            </w:pPr>
            <w:r>
              <w:rPr>
                <w:rFonts w:hint="eastAsia" w:ascii="宋体" w:hAnsi="宋体" w:cs="宋体"/>
                <w:kern w:val="0"/>
                <w:sz w:val="18"/>
                <w:szCs w:val="18"/>
              </w:rPr>
              <w:t>1.5</w:t>
            </w:r>
          </w:p>
        </w:tc>
        <w:tc>
          <w:tcPr>
            <w:tcW w:w="854" w:type="dxa"/>
            <w:shd w:val="clear" w:color="auto" w:fill="auto"/>
            <w:noWrap/>
            <w:vAlign w:val="center"/>
          </w:tcPr>
          <w:p w14:paraId="42E751BC">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tcPr>
          <w:p w14:paraId="2EA9FB97">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250FD098">
            <w:pPr>
              <w:widowControl/>
              <w:jc w:val="center"/>
              <w:rPr>
                <w:rFonts w:ascii="宋体" w:hAnsi="宋体" w:cs="宋体"/>
                <w:kern w:val="0"/>
                <w:sz w:val="18"/>
                <w:szCs w:val="18"/>
              </w:rPr>
            </w:pPr>
          </w:p>
        </w:tc>
      </w:tr>
      <w:tr w14:paraId="2825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55B53B3D">
            <w:pPr>
              <w:widowControl/>
              <w:jc w:val="center"/>
              <w:rPr>
                <w:rFonts w:ascii="宋体" w:hAnsi="宋体" w:cs="宋体"/>
                <w:kern w:val="0"/>
                <w:sz w:val="18"/>
                <w:szCs w:val="18"/>
              </w:rPr>
            </w:pPr>
          </w:p>
        </w:tc>
        <w:tc>
          <w:tcPr>
            <w:tcW w:w="3659" w:type="dxa"/>
            <w:shd w:val="clear" w:color="auto" w:fill="auto"/>
            <w:noWrap/>
            <w:vAlign w:val="center"/>
          </w:tcPr>
          <w:p w14:paraId="16A719AD">
            <w:pPr>
              <w:jc w:val="center"/>
              <w:rPr>
                <w:rFonts w:ascii="宋体" w:hAnsi="宋体" w:cs="宋体"/>
                <w:sz w:val="18"/>
                <w:szCs w:val="18"/>
              </w:rPr>
            </w:pPr>
            <w:r>
              <w:rPr>
                <w:rFonts w:hint="eastAsia"/>
                <w:sz w:val="18"/>
                <w:szCs w:val="18"/>
              </w:rPr>
              <w:t>小海草山光伏电站升压站</w:t>
            </w:r>
          </w:p>
        </w:tc>
        <w:tc>
          <w:tcPr>
            <w:tcW w:w="796" w:type="dxa"/>
            <w:shd w:val="clear" w:color="auto" w:fill="auto"/>
            <w:noWrap/>
            <w:vAlign w:val="center"/>
          </w:tcPr>
          <w:p w14:paraId="2242A85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E3383EF">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54B8C0CC">
            <w:pPr>
              <w:widowControl/>
              <w:jc w:val="center"/>
              <w:rPr>
                <w:rFonts w:ascii="宋体" w:hAnsi="宋体" w:cs="宋体"/>
                <w:kern w:val="0"/>
                <w:sz w:val="18"/>
                <w:szCs w:val="18"/>
              </w:rPr>
            </w:pPr>
            <w:r>
              <w:rPr>
                <w:rFonts w:hint="eastAsia" w:ascii="宋体" w:hAnsi="宋体" w:cs="宋体"/>
                <w:kern w:val="0"/>
                <w:sz w:val="18"/>
                <w:szCs w:val="18"/>
              </w:rPr>
              <w:t>1.5</w:t>
            </w:r>
          </w:p>
        </w:tc>
        <w:tc>
          <w:tcPr>
            <w:tcW w:w="946" w:type="dxa"/>
            <w:shd w:val="clear" w:color="auto" w:fill="auto"/>
            <w:noWrap/>
            <w:vAlign w:val="center"/>
          </w:tcPr>
          <w:p w14:paraId="62D6A8A7">
            <w:pPr>
              <w:widowControl/>
              <w:jc w:val="center"/>
              <w:rPr>
                <w:rFonts w:ascii="宋体" w:hAnsi="宋体" w:cs="宋体"/>
                <w:kern w:val="0"/>
                <w:sz w:val="18"/>
                <w:szCs w:val="18"/>
              </w:rPr>
            </w:pPr>
            <w:r>
              <w:rPr>
                <w:rFonts w:hint="eastAsia" w:ascii="宋体" w:hAnsi="宋体" w:cs="宋体"/>
                <w:kern w:val="0"/>
                <w:sz w:val="18"/>
                <w:szCs w:val="18"/>
              </w:rPr>
              <w:t>1.5</w:t>
            </w:r>
          </w:p>
        </w:tc>
        <w:tc>
          <w:tcPr>
            <w:tcW w:w="854" w:type="dxa"/>
            <w:shd w:val="clear" w:color="auto" w:fill="auto"/>
            <w:noWrap/>
            <w:vAlign w:val="center"/>
          </w:tcPr>
          <w:p w14:paraId="58DFF52B">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tcPr>
          <w:p w14:paraId="6068B067">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40346FA9">
            <w:pPr>
              <w:widowControl/>
              <w:jc w:val="center"/>
              <w:rPr>
                <w:rFonts w:ascii="宋体" w:hAnsi="宋体" w:cs="宋体"/>
                <w:kern w:val="0"/>
                <w:sz w:val="18"/>
                <w:szCs w:val="18"/>
              </w:rPr>
            </w:pPr>
          </w:p>
        </w:tc>
      </w:tr>
      <w:tr w14:paraId="6C31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61F02C7D">
            <w:pPr>
              <w:widowControl/>
              <w:jc w:val="center"/>
              <w:rPr>
                <w:rFonts w:ascii="宋体" w:hAnsi="宋体" w:cs="宋体"/>
                <w:kern w:val="0"/>
                <w:sz w:val="18"/>
                <w:szCs w:val="18"/>
              </w:rPr>
            </w:pPr>
          </w:p>
        </w:tc>
        <w:tc>
          <w:tcPr>
            <w:tcW w:w="3659" w:type="dxa"/>
            <w:shd w:val="clear" w:color="auto" w:fill="auto"/>
            <w:noWrap/>
            <w:vAlign w:val="center"/>
          </w:tcPr>
          <w:p w14:paraId="72339FBA">
            <w:pPr>
              <w:jc w:val="center"/>
              <w:rPr>
                <w:rFonts w:ascii="宋体" w:hAnsi="宋体" w:cs="宋体"/>
                <w:sz w:val="18"/>
                <w:szCs w:val="18"/>
              </w:rPr>
            </w:pPr>
            <w:r>
              <w:rPr>
                <w:rFonts w:hint="eastAsia"/>
                <w:sz w:val="18"/>
                <w:szCs w:val="18"/>
              </w:rPr>
              <w:t>小江水文站</w:t>
            </w:r>
          </w:p>
        </w:tc>
        <w:tc>
          <w:tcPr>
            <w:tcW w:w="796" w:type="dxa"/>
            <w:shd w:val="clear" w:color="auto" w:fill="auto"/>
            <w:noWrap/>
            <w:vAlign w:val="center"/>
          </w:tcPr>
          <w:p w14:paraId="4959A184">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63D8852B">
            <w:pPr>
              <w:widowControl/>
              <w:jc w:val="center"/>
              <w:rPr>
                <w:rFonts w:ascii="宋体" w:hAnsi="宋体" w:cs="宋体"/>
                <w:kern w:val="0"/>
                <w:sz w:val="18"/>
                <w:szCs w:val="18"/>
              </w:rPr>
            </w:pPr>
            <w:r>
              <w:rPr>
                <w:rFonts w:hint="eastAsia" w:ascii="宋体" w:hAnsi="宋体" w:cs="宋体"/>
                <w:kern w:val="0"/>
                <w:sz w:val="18"/>
                <w:szCs w:val="18"/>
              </w:rPr>
              <w:t>2017-2020</w:t>
            </w:r>
          </w:p>
        </w:tc>
        <w:tc>
          <w:tcPr>
            <w:tcW w:w="1026" w:type="dxa"/>
            <w:shd w:val="clear" w:color="auto" w:fill="auto"/>
            <w:noWrap/>
            <w:vAlign w:val="center"/>
          </w:tcPr>
          <w:p w14:paraId="5D1C55EA">
            <w:pPr>
              <w:widowControl/>
              <w:jc w:val="center"/>
              <w:rPr>
                <w:rFonts w:ascii="宋体" w:hAnsi="宋体" w:cs="宋体"/>
                <w:kern w:val="0"/>
                <w:sz w:val="18"/>
                <w:szCs w:val="18"/>
              </w:rPr>
            </w:pPr>
            <w:r>
              <w:rPr>
                <w:rFonts w:hint="eastAsia" w:ascii="宋体" w:hAnsi="宋体" w:cs="宋体"/>
                <w:kern w:val="0"/>
                <w:sz w:val="18"/>
                <w:szCs w:val="18"/>
              </w:rPr>
              <w:t>0.17</w:t>
            </w:r>
          </w:p>
        </w:tc>
        <w:tc>
          <w:tcPr>
            <w:tcW w:w="946" w:type="dxa"/>
            <w:shd w:val="clear" w:color="auto" w:fill="auto"/>
            <w:noWrap/>
            <w:vAlign w:val="center"/>
          </w:tcPr>
          <w:p w14:paraId="6110CABF">
            <w:pPr>
              <w:widowControl/>
              <w:jc w:val="center"/>
              <w:rPr>
                <w:rFonts w:ascii="宋体" w:hAnsi="宋体" w:cs="宋体"/>
                <w:kern w:val="0"/>
                <w:sz w:val="18"/>
                <w:szCs w:val="18"/>
              </w:rPr>
            </w:pPr>
            <w:r>
              <w:rPr>
                <w:rFonts w:hint="eastAsia" w:ascii="宋体" w:hAnsi="宋体" w:cs="宋体"/>
                <w:kern w:val="0"/>
                <w:sz w:val="18"/>
                <w:szCs w:val="18"/>
              </w:rPr>
              <w:t>0.17</w:t>
            </w:r>
          </w:p>
        </w:tc>
        <w:tc>
          <w:tcPr>
            <w:tcW w:w="854" w:type="dxa"/>
            <w:shd w:val="clear" w:color="auto" w:fill="auto"/>
            <w:noWrap/>
            <w:vAlign w:val="center"/>
          </w:tcPr>
          <w:p w14:paraId="43C6EDE2">
            <w:pPr>
              <w:widowControl/>
              <w:jc w:val="center"/>
              <w:rPr>
                <w:rFonts w:ascii="宋体" w:hAnsi="宋体" w:cs="宋体"/>
                <w:kern w:val="0"/>
                <w:sz w:val="18"/>
                <w:szCs w:val="18"/>
              </w:rPr>
            </w:pPr>
            <w:r>
              <w:rPr>
                <w:rFonts w:hint="eastAsia" w:ascii="宋体" w:hAnsi="宋体" w:cs="宋体"/>
                <w:kern w:val="0"/>
                <w:sz w:val="18"/>
                <w:szCs w:val="18"/>
              </w:rPr>
              <w:t>0.04</w:t>
            </w:r>
          </w:p>
        </w:tc>
        <w:tc>
          <w:tcPr>
            <w:tcW w:w="1489" w:type="dxa"/>
            <w:shd w:val="clear" w:color="auto" w:fill="auto"/>
            <w:noWrap/>
            <w:vAlign w:val="center"/>
          </w:tcPr>
          <w:p w14:paraId="698AD397">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13F483A4">
            <w:pPr>
              <w:widowControl/>
              <w:jc w:val="center"/>
              <w:rPr>
                <w:rFonts w:ascii="宋体" w:hAnsi="宋体" w:cs="宋体"/>
                <w:kern w:val="0"/>
                <w:sz w:val="18"/>
                <w:szCs w:val="18"/>
              </w:rPr>
            </w:pPr>
          </w:p>
        </w:tc>
      </w:tr>
      <w:tr w14:paraId="6031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156522E">
            <w:pPr>
              <w:widowControl/>
              <w:jc w:val="center"/>
              <w:rPr>
                <w:rFonts w:ascii="宋体" w:hAnsi="宋体" w:cs="宋体"/>
                <w:kern w:val="0"/>
                <w:sz w:val="18"/>
                <w:szCs w:val="18"/>
              </w:rPr>
            </w:pPr>
          </w:p>
        </w:tc>
        <w:tc>
          <w:tcPr>
            <w:tcW w:w="3659" w:type="dxa"/>
            <w:shd w:val="clear" w:color="auto" w:fill="auto"/>
            <w:vAlign w:val="center"/>
          </w:tcPr>
          <w:p w14:paraId="10CDD1BD">
            <w:pPr>
              <w:widowControl/>
              <w:jc w:val="center"/>
              <w:rPr>
                <w:rFonts w:ascii="宋体" w:hAnsi="宋体" w:cs="宋体"/>
                <w:kern w:val="0"/>
                <w:sz w:val="18"/>
                <w:szCs w:val="18"/>
              </w:rPr>
            </w:pPr>
            <w:r>
              <w:rPr>
                <w:rFonts w:hint="eastAsia" w:ascii="宋体" w:hAnsi="宋体" w:cs="宋体"/>
                <w:kern w:val="0"/>
                <w:sz w:val="18"/>
                <w:szCs w:val="18"/>
              </w:rPr>
              <w:t>坝塘发电有限公司5级站</w:t>
            </w:r>
          </w:p>
        </w:tc>
        <w:tc>
          <w:tcPr>
            <w:tcW w:w="796" w:type="dxa"/>
            <w:shd w:val="clear" w:color="auto" w:fill="auto"/>
            <w:noWrap/>
            <w:vAlign w:val="center"/>
          </w:tcPr>
          <w:p w14:paraId="57EC040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3367522E">
            <w:pPr>
              <w:widowControl/>
              <w:jc w:val="center"/>
              <w:rPr>
                <w:rFonts w:ascii="宋体" w:hAnsi="宋体" w:cs="宋体"/>
                <w:kern w:val="0"/>
                <w:sz w:val="18"/>
                <w:szCs w:val="18"/>
              </w:rPr>
            </w:pPr>
            <w:r>
              <w:rPr>
                <w:rFonts w:hint="eastAsia" w:ascii="宋体" w:hAnsi="宋体" w:cs="宋体"/>
                <w:kern w:val="0"/>
                <w:sz w:val="18"/>
                <w:szCs w:val="18"/>
              </w:rPr>
              <w:t>2017-2020</w:t>
            </w:r>
          </w:p>
        </w:tc>
        <w:tc>
          <w:tcPr>
            <w:tcW w:w="1026" w:type="dxa"/>
            <w:shd w:val="clear" w:color="auto" w:fill="auto"/>
            <w:noWrap/>
            <w:vAlign w:val="center"/>
          </w:tcPr>
          <w:p w14:paraId="7B529CB4">
            <w:pPr>
              <w:widowControl/>
              <w:jc w:val="center"/>
              <w:rPr>
                <w:rFonts w:ascii="宋体" w:hAnsi="宋体" w:cs="宋体"/>
                <w:kern w:val="0"/>
                <w:sz w:val="18"/>
                <w:szCs w:val="18"/>
              </w:rPr>
            </w:pPr>
            <w:r>
              <w:rPr>
                <w:rFonts w:hint="eastAsia" w:ascii="宋体" w:hAnsi="宋体" w:cs="宋体"/>
                <w:kern w:val="0"/>
                <w:sz w:val="18"/>
                <w:szCs w:val="18"/>
              </w:rPr>
              <w:t>0.57</w:t>
            </w:r>
          </w:p>
        </w:tc>
        <w:tc>
          <w:tcPr>
            <w:tcW w:w="946" w:type="dxa"/>
            <w:shd w:val="clear" w:color="auto" w:fill="auto"/>
            <w:noWrap/>
            <w:vAlign w:val="center"/>
          </w:tcPr>
          <w:p w14:paraId="64BFB060">
            <w:pPr>
              <w:widowControl/>
              <w:jc w:val="center"/>
              <w:rPr>
                <w:rFonts w:ascii="宋体" w:hAnsi="宋体" w:cs="宋体"/>
                <w:kern w:val="0"/>
                <w:sz w:val="18"/>
                <w:szCs w:val="18"/>
              </w:rPr>
            </w:pPr>
            <w:r>
              <w:rPr>
                <w:rFonts w:hint="eastAsia" w:ascii="宋体" w:hAnsi="宋体" w:cs="宋体"/>
                <w:kern w:val="0"/>
                <w:sz w:val="18"/>
                <w:szCs w:val="18"/>
              </w:rPr>
              <w:t>0.57</w:t>
            </w:r>
          </w:p>
        </w:tc>
        <w:tc>
          <w:tcPr>
            <w:tcW w:w="854" w:type="dxa"/>
            <w:shd w:val="clear" w:color="auto" w:fill="auto"/>
            <w:noWrap/>
            <w:vAlign w:val="center"/>
          </w:tcPr>
          <w:p w14:paraId="1DCC6D24">
            <w:pPr>
              <w:widowControl/>
              <w:jc w:val="center"/>
              <w:rPr>
                <w:rFonts w:ascii="宋体" w:hAnsi="宋体" w:cs="宋体"/>
                <w:kern w:val="0"/>
                <w:sz w:val="18"/>
                <w:szCs w:val="18"/>
              </w:rPr>
            </w:pPr>
            <w:r>
              <w:rPr>
                <w:rFonts w:hint="eastAsia" w:ascii="宋体" w:hAnsi="宋体" w:cs="宋体"/>
                <w:kern w:val="0"/>
                <w:sz w:val="18"/>
                <w:szCs w:val="18"/>
              </w:rPr>
              <w:t>0.2</w:t>
            </w:r>
          </w:p>
        </w:tc>
        <w:tc>
          <w:tcPr>
            <w:tcW w:w="1489" w:type="dxa"/>
            <w:shd w:val="clear" w:color="auto" w:fill="auto"/>
            <w:noWrap/>
            <w:vAlign w:val="center"/>
          </w:tcPr>
          <w:p w14:paraId="74CEE155">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3423F568">
            <w:pPr>
              <w:widowControl/>
              <w:jc w:val="center"/>
              <w:rPr>
                <w:kern w:val="0"/>
                <w:sz w:val="18"/>
                <w:szCs w:val="18"/>
              </w:rPr>
            </w:pPr>
          </w:p>
        </w:tc>
      </w:tr>
      <w:tr w14:paraId="7172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6FDFFBB">
            <w:pPr>
              <w:widowControl/>
              <w:jc w:val="center"/>
              <w:rPr>
                <w:rFonts w:ascii="宋体" w:hAnsi="宋体" w:cs="宋体"/>
                <w:kern w:val="0"/>
                <w:sz w:val="18"/>
                <w:szCs w:val="18"/>
              </w:rPr>
            </w:pPr>
          </w:p>
        </w:tc>
        <w:tc>
          <w:tcPr>
            <w:tcW w:w="3659" w:type="dxa"/>
            <w:shd w:val="clear" w:color="auto" w:fill="auto"/>
            <w:vAlign w:val="center"/>
          </w:tcPr>
          <w:p w14:paraId="27551333">
            <w:pPr>
              <w:widowControl/>
              <w:jc w:val="center"/>
              <w:rPr>
                <w:rFonts w:ascii="宋体" w:hAnsi="宋体" w:cs="宋体"/>
                <w:kern w:val="0"/>
                <w:sz w:val="18"/>
                <w:szCs w:val="18"/>
              </w:rPr>
            </w:pPr>
            <w:r>
              <w:rPr>
                <w:rFonts w:hint="eastAsia" w:ascii="宋体" w:hAnsi="宋体" w:cs="宋体"/>
                <w:kern w:val="0"/>
                <w:sz w:val="18"/>
                <w:szCs w:val="18"/>
              </w:rPr>
              <w:t>龙头山电站</w:t>
            </w:r>
          </w:p>
        </w:tc>
        <w:tc>
          <w:tcPr>
            <w:tcW w:w="796" w:type="dxa"/>
            <w:shd w:val="clear" w:color="auto" w:fill="auto"/>
            <w:noWrap/>
            <w:vAlign w:val="center"/>
          </w:tcPr>
          <w:p w14:paraId="13D2BB5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0D398A6F">
            <w:pPr>
              <w:widowControl/>
              <w:jc w:val="center"/>
              <w:rPr>
                <w:rFonts w:ascii="宋体" w:hAnsi="宋体" w:cs="宋体"/>
                <w:kern w:val="0"/>
                <w:sz w:val="18"/>
                <w:szCs w:val="18"/>
              </w:rPr>
            </w:pPr>
            <w:r>
              <w:rPr>
                <w:rFonts w:hint="eastAsia" w:ascii="宋体" w:hAnsi="宋体" w:cs="宋体"/>
                <w:kern w:val="0"/>
                <w:sz w:val="18"/>
                <w:szCs w:val="18"/>
              </w:rPr>
              <w:t>2019</w:t>
            </w:r>
          </w:p>
        </w:tc>
        <w:tc>
          <w:tcPr>
            <w:tcW w:w="1026" w:type="dxa"/>
            <w:shd w:val="clear" w:color="auto" w:fill="auto"/>
            <w:noWrap/>
            <w:vAlign w:val="center"/>
          </w:tcPr>
          <w:p w14:paraId="508BA9D7">
            <w:pPr>
              <w:widowControl/>
              <w:jc w:val="center"/>
              <w:rPr>
                <w:rFonts w:ascii="宋体" w:hAnsi="宋体" w:cs="宋体"/>
                <w:kern w:val="0"/>
                <w:sz w:val="18"/>
                <w:szCs w:val="18"/>
              </w:rPr>
            </w:pPr>
            <w:r>
              <w:rPr>
                <w:rFonts w:hint="eastAsia" w:ascii="宋体" w:hAnsi="宋体" w:cs="宋体"/>
                <w:kern w:val="0"/>
                <w:sz w:val="18"/>
                <w:szCs w:val="18"/>
              </w:rPr>
              <w:t>0.24</w:t>
            </w:r>
          </w:p>
        </w:tc>
        <w:tc>
          <w:tcPr>
            <w:tcW w:w="946" w:type="dxa"/>
            <w:shd w:val="clear" w:color="auto" w:fill="auto"/>
            <w:noWrap/>
            <w:vAlign w:val="center"/>
          </w:tcPr>
          <w:p w14:paraId="06DB21E6">
            <w:pPr>
              <w:widowControl/>
              <w:jc w:val="center"/>
              <w:rPr>
                <w:rFonts w:ascii="宋体" w:hAnsi="宋体" w:cs="宋体"/>
                <w:kern w:val="0"/>
                <w:sz w:val="18"/>
                <w:szCs w:val="18"/>
              </w:rPr>
            </w:pPr>
            <w:r>
              <w:rPr>
                <w:rFonts w:hint="eastAsia" w:ascii="宋体" w:hAnsi="宋体" w:cs="宋体"/>
                <w:kern w:val="0"/>
                <w:sz w:val="18"/>
                <w:szCs w:val="18"/>
              </w:rPr>
              <w:t>0.24</w:t>
            </w:r>
          </w:p>
        </w:tc>
        <w:tc>
          <w:tcPr>
            <w:tcW w:w="854" w:type="dxa"/>
            <w:shd w:val="clear" w:color="auto" w:fill="auto"/>
            <w:noWrap/>
            <w:vAlign w:val="center"/>
          </w:tcPr>
          <w:p w14:paraId="6A36F7A9">
            <w:pPr>
              <w:widowControl/>
              <w:jc w:val="center"/>
              <w:rPr>
                <w:rFonts w:ascii="宋体" w:hAnsi="宋体" w:cs="宋体"/>
                <w:kern w:val="0"/>
                <w:sz w:val="18"/>
                <w:szCs w:val="18"/>
              </w:rPr>
            </w:pPr>
            <w:r>
              <w:rPr>
                <w:rFonts w:hint="eastAsia" w:ascii="宋体" w:hAnsi="宋体" w:cs="宋体"/>
                <w:kern w:val="0"/>
                <w:sz w:val="18"/>
                <w:szCs w:val="18"/>
              </w:rPr>
              <w:t>0.47</w:t>
            </w:r>
          </w:p>
        </w:tc>
        <w:tc>
          <w:tcPr>
            <w:tcW w:w="1489" w:type="dxa"/>
            <w:shd w:val="clear" w:color="auto" w:fill="auto"/>
            <w:noWrap/>
          </w:tcPr>
          <w:p w14:paraId="3CAF6E80">
            <w:pPr>
              <w:jc w:val="center"/>
            </w:pPr>
            <w:r>
              <w:rPr>
                <w:rFonts w:hint="eastAsia" w:ascii="宋体" w:hAnsi="宋体" w:cs="宋体"/>
                <w:kern w:val="0"/>
                <w:sz w:val="15"/>
                <w:szCs w:val="15"/>
              </w:rPr>
              <w:t>阿旺镇</w:t>
            </w:r>
          </w:p>
        </w:tc>
        <w:tc>
          <w:tcPr>
            <w:tcW w:w="577" w:type="dxa"/>
            <w:shd w:val="clear" w:color="auto" w:fill="auto"/>
            <w:noWrap/>
            <w:vAlign w:val="center"/>
          </w:tcPr>
          <w:p w14:paraId="3F4D8518">
            <w:pPr>
              <w:widowControl/>
              <w:jc w:val="center"/>
              <w:rPr>
                <w:kern w:val="0"/>
                <w:sz w:val="18"/>
                <w:szCs w:val="18"/>
              </w:rPr>
            </w:pPr>
          </w:p>
        </w:tc>
      </w:tr>
      <w:tr w14:paraId="016F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D5C2C45">
            <w:pPr>
              <w:widowControl/>
              <w:jc w:val="center"/>
              <w:rPr>
                <w:rFonts w:ascii="宋体" w:hAnsi="宋体" w:cs="宋体"/>
                <w:kern w:val="0"/>
                <w:sz w:val="18"/>
                <w:szCs w:val="18"/>
              </w:rPr>
            </w:pPr>
          </w:p>
        </w:tc>
        <w:tc>
          <w:tcPr>
            <w:tcW w:w="3659" w:type="dxa"/>
            <w:shd w:val="clear" w:color="auto" w:fill="auto"/>
            <w:vAlign w:val="center"/>
          </w:tcPr>
          <w:p w14:paraId="35477243">
            <w:pPr>
              <w:widowControl/>
              <w:jc w:val="center"/>
              <w:rPr>
                <w:rFonts w:ascii="宋体" w:hAnsi="宋体" w:cs="宋体"/>
                <w:kern w:val="0"/>
                <w:sz w:val="18"/>
                <w:szCs w:val="18"/>
              </w:rPr>
            </w:pPr>
            <w:r>
              <w:rPr>
                <w:rFonts w:hint="eastAsia" w:ascii="宋体" w:hAnsi="宋体" w:cs="宋体"/>
                <w:kern w:val="0"/>
                <w:sz w:val="18"/>
                <w:szCs w:val="18"/>
              </w:rPr>
              <w:t>龙头山一级电站</w:t>
            </w:r>
          </w:p>
        </w:tc>
        <w:tc>
          <w:tcPr>
            <w:tcW w:w="796" w:type="dxa"/>
            <w:shd w:val="clear" w:color="auto" w:fill="auto"/>
            <w:noWrap/>
            <w:vAlign w:val="center"/>
          </w:tcPr>
          <w:p w14:paraId="1D6CA60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ACD0212">
            <w:pPr>
              <w:widowControl/>
              <w:jc w:val="center"/>
              <w:rPr>
                <w:rFonts w:ascii="宋体" w:hAnsi="宋体" w:cs="宋体"/>
                <w:kern w:val="0"/>
                <w:sz w:val="18"/>
                <w:szCs w:val="18"/>
              </w:rPr>
            </w:pPr>
            <w:r>
              <w:rPr>
                <w:rFonts w:hint="eastAsia" w:ascii="宋体" w:hAnsi="宋体" w:cs="宋体"/>
                <w:kern w:val="0"/>
                <w:sz w:val="18"/>
                <w:szCs w:val="18"/>
              </w:rPr>
              <w:t>2019</w:t>
            </w:r>
          </w:p>
        </w:tc>
        <w:tc>
          <w:tcPr>
            <w:tcW w:w="1026" w:type="dxa"/>
            <w:shd w:val="clear" w:color="auto" w:fill="auto"/>
            <w:noWrap/>
            <w:vAlign w:val="center"/>
          </w:tcPr>
          <w:p w14:paraId="231AAB1E">
            <w:pPr>
              <w:widowControl/>
              <w:jc w:val="center"/>
              <w:rPr>
                <w:rFonts w:ascii="宋体" w:hAnsi="宋体" w:cs="宋体"/>
                <w:kern w:val="0"/>
                <w:sz w:val="18"/>
                <w:szCs w:val="18"/>
              </w:rPr>
            </w:pPr>
            <w:r>
              <w:rPr>
                <w:rFonts w:hint="eastAsia" w:ascii="宋体" w:hAnsi="宋体" w:cs="宋体"/>
                <w:kern w:val="0"/>
                <w:sz w:val="18"/>
                <w:szCs w:val="18"/>
              </w:rPr>
              <w:t>0.24</w:t>
            </w:r>
          </w:p>
        </w:tc>
        <w:tc>
          <w:tcPr>
            <w:tcW w:w="946" w:type="dxa"/>
            <w:shd w:val="clear" w:color="auto" w:fill="auto"/>
            <w:noWrap/>
            <w:vAlign w:val="center"/>
          </w:tcPr>
          <w:p w14:paraId="35E86266">
            <w:pPr>
              <w:widowControl/>
              <w:jc w:val="center"/>
              <w:rPr>
                <w:rFonts w:ascii="宋体" w:hAnsi="宋体" w:cs="宋体"/>
                <w:kern w:val="0"/>
                <w:sz w:val="18"/>
                <w:szCs w:val="18"/>
              </w:rPr>
            </w:pPr>
            <w:r>
              <w:rPr>
                <w:rFonts w:hint="eastAsia" w:ascii="宋体" w:hAnsi="宋体" w:cs="宋体"/>
                <w:kern w:val="0"/>
                <w:sz w:val="18"/>
                <w:szCs w:val="18"/>
              </w:rPr>
              <w:t>0.24</w:t>
            </w:r>
          </w:p>
        </w:tc>
        <w:tc>
          <w:tcPr>
            <w:tcW w:w="854" w:type="dxa"/>
            <w:shd w:val="clear" w:color="auto" w:fill="auto"/>
            <w:noWrap/>
            <w:vAlign w:val="center"/>
          </w:tcPr>
          <w:p w14:paraId="003DCE8E">
            <w:pPr>
              <w:widowControl/>
              <w:jc w:val="center"/>
              <w:rPr>
                <w:rFonts w:ascii="宋体" w:hAnsi="宋体" w:cs="宋体"/>
                <w:kern w:val="0"/>
                <w:sz w:val="18"/>
                <w:szCs w:val="18"/>
              </w:rPr>
            </w:pPr>
            <w:r>
              <w:rPr>
                <w:rFonts w:hint="eastAsia" w:ascii="宋体" w:hAnsi="宋体" w:cs="宋体"/>
                <w:kern w:val="0"/>
                <w:sz w:val="18"/>
                <w:szCs w:val="18"/>
              </w:rPr>
              <w:t>0.47</w:t>
            </w:r>
          </w:p>
        </w:tc>
        <w:tc>
          <w:tcPr>
            <w:tcW w:w="1489" w:type="dxa"/>
            <w:shd w:val="clear" w:color="auto" w:fill="auto"/>
            <w:noWrap/>
          </w:tcPr>
          <w:p w14:paraId="625243A8">
            <w:pPr>
              <w:jc w:val="center"/>
            </w:pPr>
            <w:r>
              <w:rPr>
                <w:rFonts w:hint="eastAsia" w:ascii="宋体" w:hAnsi="宋体" w:cs="宋体"/>
                <w:kern w:val="0"/>
                <w:sz w:val="15"/>
                <w:szCs w:val="15"/>
              </w:rPr>
              <w:t>阿旺镇</w:t>
            </w:r>
          </w:p>
        </w:tc>
        <w:tc>
          <w:tcPr>
            <w:tcW w:w="577" w:type="dxa"/>
            <w:shd w:val="clear" w:color="auto" w:fill="auto"/>
            <w:noWrap/>
            <w:vAlign w:val="center"/>
          </w:tcPr>
          <w:p w14:paraId="6813D0EF">
            <w:pPr>
              <w:widowControl/>
              <w:jc w:val="center"/>
              <w:rPr>
                <w:rFonts w:ascii="宋体" w:hAnsi="宋体" w:cs="宋体"/>
                <w:kern w:val="0"/>
                <w:sz w:val="18"/>
                <w:szCs w:val="18"/>
              </w:rPr>
            </w:pPr>
          </w:p>
        </w:tc>
      </w:tr>
      <w:tr w14:paraId="7AF6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E6A6690">
            <w:pPr>
              <w:widowControl/>
              <w:jc w:val="center"/>
              <w:rPr>
                <w:rFonts w:ascii="宋体" w:hAnsi="宋体" w:cs="宋体"/>
                <w:kern w:val="0"/>
                <w:sz w:val="18"/>
                <w:szCs w:val="18"/>
              </w:rPr>
            </w:pPr>
          </w:p>
        </w:tc>
        <w:tc>
          <w:tcPr>
            <w:tcW w:w="3659" w:type="dxa"/>
            <w:shd w:val="clear" w:color="auto" w:fill="auto"/>
            <w:vAlign w:val="center"/>
          </w:tcPr>
          <w:p w14:paraId="66643992">
            <w:pPr>
              <w:widowControl/>
              <w:jc w:val="center"/>
              <w:rPr>
                <w:rFonts w:ascii="宋体" w:hAnsi="宋体" w:cs="宋体"/>
                <w:kern w:val="0"/>
                <w:sz w:val="18"/>
                <w:szCs w:val="18"/>
              </w:rPr>
            </w:pPr>
            <w:r>
              <w:rPr>
                <w:rFonts w:hint="eastAsia" w:ascii="宋体" w:hAnsi="宋体" w:cs="宋体"/>
                <w:kern w:val="0"/>
                <w:sz w:val="18"/>
                <w:szCs w:val="18"/>
              </w:rPr>
              <w:t>小清河六级电站</w:t>
            </w:r>
          </w:p>
        </w:tc>
        <w:tc>
          <w:tcPr>
            <w:tcW w:w="796" w:type="dxa"/>
            <w:shd w:val="clear" w:color="auto" w:fill="auto"/>
            <w:noWrap/>
            <w:vAlign w:val="center"/>
          </w:tcPr>
          <w:p w14:paraId="22750145">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29C22388">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19749E1A">
            <w:pPr>
              <w:widowControl/>
              <w:jc w:val="center"/>
              <w:rPr>
                <w:rFonts w:ascii="宋体" w:hAnsi="宋体" w:cs="宋体"/>
                <w:kern w:val="0"/>
                <w:sz w:val="18"/>
                <w:szCs w:val="18"/>
              </w:rPr>
            </w:pPr>
            <w:r>
              <w:rPr>
                <w:rFonts w:hint="eastAsia" w:ascii="宋体" w:hAnsi="宋体" w:cs="宋体"/>
                <w:kern w:val="0"/>
                <w:sz w:val="18"/>
                <w:szCs w:val="18"/>
              </w:rPr>
              <w:t>1.12</w:t>
            </w:r>
          </w:p>
        </w:tc>
        <w:tc>
          <w:tcPr>
            <w:tcW w:w="946" w:type="dxa"/>
            <w:shd w:val="clear" w:color="auto" w:fill="auto"/>
            <w:noWrap/>
            <w:vAlign w:val="center"/>
          </w:tcPr>
          <w:p w14:paraId="434CAEDB">
            <w:pPr>
              <w:widowControl/>
              <w:jc w:val="center"/>
              <w:rPr>
                <w:rFonts w:ascii="宋体" w:hAnsi="宋体" w:cs="宋体"/>
                <w:kern w:val="0"/>
                <w:sz w:val="18"/>
                <w:szCs w:val="18"/>
              </w:rPr>
            </w:pPr>
            <w:r>
              <w:rPr>
                <w:rFonts w:hint="eastAsia" w:ascii="宋体" w:hAnsi="宋体" w:cs="宋体"/>
                <w:kern w:val="0"/>
                <w:sz w:val="18"/>
                <w:szCs w:val="18"/>
              </w:rPr>
              <w:t>1.12</w:t>
            </w:r>
          </w:p>
        </w:tc>
        <w:tc>
          <w:tcPr>
            <w:tcW w:w="854" w:type="dxa"/>
            <w:shd w:val="clear" w:color="auto" w:fill="auto"/>
            <w:noWrap/>
            <w:vAlign w:val="center"/>
          </w:tcPr>
          <w:p w14:paraId="7A1F5AAA">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75D00556">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4E0AE848">
            <w:pPr>
              <w:widowControl/>
              <w:jc w:val="center"/>
              <w:rPr>
                <w:rFonts w:ascii="宋体" w:hAnsi="宋体" w:cs="宋体"/>
                <w:kern w:val="0"/>
                <w:sz w:val="18"/>
                <w:szCs w:val="18"/>
              </w:rPr>
            </w:pPr>
          </w:p>
        </w:tc>
      </w:tr>
      <w:tr w14:paraId="21F5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4A1DBFE">
            <w:pPr>
              <w:widowControl/>
              <w:jc w:val="center"/>
              <w:rPr>
                <w:rFonts w:ascii="宋体" w:hAnsi="宋体" w:cs="宋体"/>
                <w:kern w:val="0"/>
                <w:sz w:val="18"/>
                <w:szCs w:val="18"/>
              </w:rPr>
            </w:pPr>
          </w:p>
        </w:tc>
        <w:tc>
          <w:tcPr>
            <w:tcW w:w="3659" w:type="dxa"/>
            <w:shd w:val="clear" w:color="auto" w:fill="auto"/>
            <w:vAlign w:val="center"/>
          </w:tcPr>
          <w:p w14:paraId="0D852E63">
            <w:pPr>
              <w:widowControl/>
              <w:jc w:val="center"/>
              <w:rPr>
                <w:rFonts w:ascii="宋体" w:hAnsi="宋体" w:cs="宋体"/>
                <w:kern w:val="0"/>
                <w:sz w:val="18"/>
                <w:szCs w:val="18"/>
              </w:rPr>
            </w:pPr>
            <w:r>
              <w:rPr>
                <w:rFonts w:hint="eastAsia" w:ascii="宋体" w:hAnsi="宋体" w:cs="宋体"/>
                <w:kern w:val="0"/>
                <w:sz w:val="18"/>
                <w:szCs w:val="18"/>
              </w:rPr>
              <w:t>小清河七级电站</w:t>
            </w:r>
          </w:p>
        </w:tc>
        <w:tc>
          <w:tcPr>
            <w:tcW w:w="796" w:type="dxa"/>
            <w:shd w:val="clear" w:color="auto" w:fill="auto"/>
            <w:noWrap/>
            <w:vAlign w:val="center"/>
          </w:tcPr>
          <w:p w14:paraId="0CCA0508">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50EC464">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4717979A">
            <w:pPr>
              <w:widowControl/>
              <w:jc w:val="center"/>
              <w:rPr>
                <w:rFonts w:ascii="宋体" w:hAnsi="宋体" w:cs="宋体"/>
                <w:kern w:val="0"/>
                <w:sz w:val="18"/>
                <w:szCs w:val="18"/>
              </w:rPr>
            </w:pPr>
            <w:r>
              <w:rPr>
                <w:rFonts w:hint="eastAsia" w:ascii="宋体" w:hAnsi="宋体" w:cs="宋体"/>
                <w:kern w:val="0"/>
                <w:sz w:val="18"/>
                <w:szCs w:val="18"/>
              </w:rPr>
              <w:t>1.12</w:t>
            </w:r>
          </w:p>
        </w:tc>
        <w:tc>
          <w:tcPr>
            <w:tcW w:w="946" w:type="dxa"/>
            <w:shd w:val="clear" w:color="auto" w:fill="auto"/>
            <w:noWrap/>
            <w:vAlign w:val="center"/>
          </w:tcPr>
          <w:p w14:paraId="2DCC58B7">
            <w:pPr>
              <w:widowControl/>
              <w:jc w:val="center"/>
              <w:rPr>
                <w:rFonts w:ascii="宋体" w:hAnsi="宋体" w:cs="宋体"/>
                <w:kern w:val="0"/>
                <w:sz w:val="18"/>
                <w:szCs w:val="18"/>
              </w:rPr>
            </w:pPr>
            <w:r>
              <w:rPr>
                <w:rFonts w:hint="eastAsia" w:ascii="宋体" w:hAnsi="宋体" w:cs="宋体"/>
                <w:kern w:val="0"/>
                <w:sz w:val="18"/>
                <w:szCs w:val="18"/>
              </w:rPr>
              <w:t>1.12</w:t>
            </w:r>
          </w:p>
        </w:tc>
        <w:tc>
          <w:tcPr>
            <w:tcW w:w="854" w:type="dxa"/>
            <w:shd w:val="clear" w:color="auto" w:fill="auto"/>
            <w:noWrap/>
            <w:vAlign w:val="center"/>
          </w:tcPr>
          <w:p w14:paraId="44FB53F8">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2FCF90EE">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vMerge w:val="restart"/>
            <w:shd w:val="clear" w:color="auto" w:fill="auto"/>
            <w:noWrap/>
            <w:vAlign w:val="center"/>
          </w:tcPr>
          <w:p w14:paraId="432C0597">
            <w:pPr>
              <w:widowControl/>
              <w:jc w:val="center"/>
              <w:rPr>
                <w:rFonts w:ascii="宋体" w:hAnsi="宋体" w:cs="宋体"/>
                <w:kern w:val="0"/>
                <w:sz w:val="18"/>
                <w:szCs w:val="18"/>
              </w:rPr>
            </w:pPr>
          </w:p>
        </w:tc>
      </w:tr>
      <w:tr w14:paraId="1FB0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5658146">
            <w:pPr>
              <w:widowControl/>
              <w:jc w:val="center"/>
              <w:rPr>
                <w:rFonts w:ascii="宋体" w:hAnsi="宋体" w:cs="宋体"/>
                <w:kern w:val="0"/>
                <w:sz w:val="18"/>
                <w:szCs w:val="18"/>
              </w:rPr>
            </w:pPr>
          </w:p>
        </w:tc>
        <w:tc>
          <w:tcPr>
            <w:tcW w:w="3659" w:type="dxa"/>
            <w:shd w:val="clear" w:color="auto" w:fill="auto"/>
            <w:vAlign w:val="center"/>
          </w:tcPr>
          <w:p w14:paraId="78BBC645">
            <w:pPr>
              <w:widowControl/>
              <w:jc w:val="center"/>
              <w:rPr>
                <w:rFonts w:ascii="宋体" w:hAnsi="宋体" w:cs="宋体"/>
                <w:kern w:val="0"/>
                <w:sz w:val="18"/>
                <w:szCs w:val="18"/>
              </w:rPr>
            </w:pPr>
            <w:r>
              <w:rPr>
                <w:rFonts w:hint="eastAsia" w:ascii="宋体" w:hAnsi="宋体" w:cs="宋体"/>
                <w:kern w:val="0"/>
                <w:sz w:val="18"/>
                <w:szCs w:val="18"/>
              </w:rPr>
              <w:t>小清河四级电站</w:t>
            </w:r>
          </w:p>
        </w:tc>
        <w:tc>
          <w:tcPr>
            <w:tcW w:w="796" w:type="dxa"/>
            <w:shd w:val="clear" w:color="auto" w:fill="auto"/>
            <w:noWrap/>
            <w:vAlign w:val="center"/>
          </w:tcPr>
          <w:p w14:paraId="0A7BDDC4">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3B61C53">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7EC3DB6B">
            <w:pPr>
              <w:widowControl/>
              <w:jc w:val="center"/>
              <w:rPr>
                <w:rFonts w:ascii="宋体" w:hAnsi="宋体" w:cs="宋体"/>
                <w:kern w:val="0"/>
                <w:sz w:val="18"/>
                <w:szCs w:val="18"/>
              </w:rPr>
            </w:pPr>
            <w:r>
              <w:rPr>
                <w:rFonts w:hint="eastAsia" w:ascii="宋体" w:hAnsi="宋体" w:cs="宋体"/>
                <w:kern w:val="0"/>
                <w:sz w:val="18"/>
                <w:szCs w:val="18"/>
              </w:rPr>
              <w:t>0.71</w:t>
            </w:r>
          </w:p>
        </w:tc>
        <w:tc>
          <w:tcPr>
            <w:tcW w:w="946" w:type="dxa"/>
            <w:shd w:val="clear" w:color="auto" w:fill="auto"/>
            <w:noWrap/>
            <w:vAlign w:val="center"/>
          </w:tcPr>
          <w:p w14:paraId="0484B9B1">
            <w:pPr>
              <w:widowControl/>
              <w:jc w:val="center"/>
              <w:rPr>
                <w:rFonts w:ascii="宋体" w:hAnsi="宋体" w:cs="宋体"/>
                <w:kern w:val="0"/>
                <w:sz w:val="18"/>
                <w:szCs w:val="18"/>
              </w:rPr>
            </w:pPr>
            <w:r>
              <w:rPr>
                <w:rFonts w:hint="eastAsia" w:ascii="宋体" w:hAnsi="宋体" w:cs="宋体"/>
                <w:kern w:val="0"/>
                <w:sz w:val="18"/>
                <w:szCs w:val="18"/>
              </w:rPr>
              <w:t>0.7</w:t>
            </w:r>
          </w:p>
        </w:tc>
        <w:tc>
          <w:tcPr>
            <w:tcW w:w="854" w:type="dxa"/>
            <w:shd w:val="clear" w:color="auto" w:fill="auto"/>
            <w:noWrap/>
            <w:vAlign w:val="center"/>
          </w:tcPr>
          <w:p w14:paraId="3CFD353C">
            <w:pPr>
              <w:widowControl/>
              <w:jc w:val="center"/>
              <w:rPr>
                <w:rFonts w:ascii="宋体" w:hAnsi="宋体" w:cs="宋体"/>
                <w:kern w:val="0"/>
                <w:sz w:val="18"/>
                <w:szCs w:val="18"/>
              </w:rPr>
            </w:pPr>
            <w:r>
              <w:rPr>
                <w:rFonts w:hint="eastAsia" w:ascii="宋体" w:hAnsi="宋体" w:cs="宋体"/>
                <w:kern w:val="0"/>
                <w:sz w:val="18"/>
                <w:szCs w:val="18"/>
              </w:rPr>
              <w:t>0.36</w:t>
            </w:r>
          </w:p>
        </w:tc>
        <w:tc>
          <w:tcPr>
            <w:tcW w:w="1489" w:type="dxa"/>
            <w:shd w:val="clear" w:color="auto" w:fill="auto"/>
            <w:noWrap/>
            <w:vAlign w:val="center"/>
          </w:tcPr>
          <w:p w14:paraId="03B1F1EB">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vMerge w:val="continue"/>
            <w:vAlign w:val="center"/>
          </w:tcPr>
          <w:p w14:paraId="30AB083E">
            <w:pPr>
              <w:widowControl/>
              <w:jc w:val="center"/>
              <w:rPr>
                <w:rFonts w:ascii="宋体" w:hAnsi="宋体" w:cs="宋体"/>
                <w:kern w:val="0"/>
                <w:sz w:val="18"/>
                <w:szCs w:val="18"/>
              </w:rPr>
            </w:pPr>
          </w:p>
        </w:tc>
      </w:tr>
      <w:tr w14:paraId="4854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8BC262B">
            <w:pPr>
              <w:widowControl/>
              <w:jc w:val="center"/>
              <w:rPr>
                <w:rFonts w:ascii="宋体" w:hAnsi="宋体" w:cs="宋体"/>
                <w:kern w:val="0"/>
                <w:sz w:val="18"/>
                <w:szCs w:val="18"/>
              </w:rPr>
            </w:pPr>
          </w:p>
        </w:tc>
        <w:tc>
          <w:tcPr>
            <w:tcW w:w="3659" w:type="dxa"/>
            <w:shd w:val="clear" w:color="auto" w:fill="auto"/>
            <w:vAlign w:val="center"/>
          </w:tcPr>
          <w:p w14:paraId="5234A62A">
            <w:pPr>
              <w:widowControl/>
              <w:jc w:val="center"/>
              <w:rPr>
                <w:rFonts w:ascii="宋体" w:hAnsi="宋体" w:cs="宋体"/>
                <w:kern w:val="0"/>
                <w:sz w:val="18"/>
                <w:szCs w:val="18"/>
              </w:rPr>
            </w:pPr>
            <w:r>
              <w:rPr>
                <w:rFonts w:hint="eastAsia" w:ascii="宋体" w:hAnsi="宋体" w:cs="宋体"/>
                <w:kern w:val="0"/>
                <w:sz w:val="18"/>
                <w:szCs w:val="18"/>
              </w:rPr>
              <w:t>碧谷新村222变电站</w:t>
            </w:r>
          </w:p>
        </w:tc>
        <w:tc>
          <w:tcPr>
            <w:tcW w:w="796" w:type="dxa"/>
            <w:shd w:val="clear" w:color="auto" w:fill="auto"/>
            <w:noWrap/>
            <w:vAlign w:val="center"/>
          </w:tcPr>
          <w:p w14:paraId="5F4AB46F">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2EB46665">
            <w:pPr>
              <w:widowControl/>
              <w:jc w:val="center"/>
              <w:rPr>
                <w:rFonts w:ascii="宋体" w:hAnsi="宋体" w:cs="宋体"/>
                <w:kern w:val="0"/>
                <w:sz w:val="18"/>
                <w:szCs w:val="18"/>
              </w:rPr>
            </w:pPr>
            <w:r>
              <w:rPr>
                <w:rFonts w:hint="eastAsia" w:ascii="宋体" w:hAnsi="宋体" w:cs="宋体"/>
                <w:kern w:val="0"/>
                <w:sz w:val="18"/>
                <w:szCs w:val="18"/>
              </w:rPr>
              <w:t>2017-2019</w:t>
            </w:r>
          </w:p>
        </w:tc>
        <w:tc>
          <w:tcPr>
            <w:tcW w:w="1026" w:type="dxa"/>
            <w:shd w:val="clear" w:color="auto" w:fill="auto"/>
            <w:noWrap/>
            <w:vAlign w:val="center"/>
          </w:tcPr>
          <w:p w14:paraId="32736568">
            <w:pPr>
              <w:widowControl/>
              <w:jc w:val="center"/>
              <w:rPr>
                <w:rFonts w:ascii="宋体" w:hAnsi="宋体" w:cs="宋体"/>
                <w:kern w:val="0"/>
                <w:sz w:val="18"/>
                <w:szCs w:val="18"/>
              </w:rPr>
            </w:pPr>
            <w:r>
              <w:rPr>
                <w:rFonts w:hint="eastAsia" w:ascii="宋体" w:hAnsi="宋体" w:cs="宋体"/>
                <w:kern w:val="0"/>
                <w:sz w:val="18"/>
                <w:szCs w:val="18"/>
              </w:rPr>
              <w:t>0.96</w:t>
            </w:r>
          </w:p>
        </w:tc>
        <w:tc>
          <w:tcPr>
            <w:tcW w:w="946" w:type="dxa"/>
            <w:shd w:val="clear" w:color="auto" w:fill="auto"/>
            <w:noWrap/>
            <w:vAlign w:val="center"/>
          </w:tcPr>
          <w:p w14:paraId="388007C2">
            <w:pPr>
              <w:widowControl/>
              <w:jc w:val="center"/>
              <w:rPr>
                <w:rFonts w:ascii="宋体" w:hAnsi="宋体" w:cs="宋体"/>
                <w:kern w:val="0"/>
                <w:sz w:val="18"/>
                <w:szCs w:val="18"/>
              </w:rPr>
            </w:pPr>
            <w:r>
              <w:rPr>
                <w:rFonts w:hint="eastAsia" w:ascii="宋体" w:hAnsi="宋体" w:cs="宋体"/>
                <w:kern w:val="0"/>
                <w:sz w:val="18"/>
                <w:szCs w:val="18"/>
              </w:rPr>
              <w:t>0.93</w:t>
            </w:r>
          </w:p>
        </w:tc>
        <w:tc>
          <w:tcPr>
            <w:tcW w:w="854" w:type="dxa"/>
            <w:shd w:val="clear" w:color="auto" w:fill="auto"/>
            <w:noWrap/>
            <w:vAlign w:val="center"/>
          </w:tcPr>
          <w:p w14:paraId="1545C807">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2A51A244">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346F2312">
            <w:pPr>
              <w:widowControl/>
              <w:jc w:val="center"/>
              <w:rPr>
                <w:rFonts w:ascii="宋体" w:hAnsi="宋体" w:cs="宋体"/>
                <w:kern w:val="0"/>
                <w:sz w:val="18"/>
                <w:szCs w:val="18"/>
              </w:rPr>
            </w:pPr>
          </w:p>
        </w:tc>
      </w:tr>
      <w:tr w14:paraId="6A3B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318BD82">
            <w:pPr>
              <w:widowControl/>
              <w:jc w:val="center"/>
              <w:rPr>
                <w:rFonts w:ascii="宋体" w:hAnsi="宋体" w:cs="宋体"/>
                <w:kern w:val="0"/>
                <w:sz w:val="18"/>
                <w:szCs w:val="18"/>
              </w:rPr>
            </w:pPr>
          </w:p>
        </w:tc>
        <w:tc>
          <w:tcPr>
            <w:tcW w:w="3659" w:type="dxa"/>
            <w:shd w:val="clear" w:color="auto" w:fill="auto"/>
            <w:vAlign w:val="center"/>
          </w:tcPr>
          <w:p w14:paraId="26EB73D3">
            <w:pPr>
              <w:widowControl/>
              <w:jc w:val="center"/>
              <w:rPr>
                <w:rFonts w:ascii="宋体" w:hAnsi="宋体" w:cs="宋体"/>
                <w:kern w:val="0"/>
                <w:sz w:val="18"/>
                <w:szCs w:val="18"/>
              </w:rPr>
            </w:pPr>
            <w:r>
              <w:rPr>
                <w:rFonts w:hint="eastAsia" w:ascii="宋体" w:hAnsi="宋体" w:cs="宋体"/>
                <w:kern w:val="0"/>
                <w:sz w:val="18"/>
                <w:szCs w:val="18"/>
              </w:rPr>
              <w:t>因民镇田坝村金水变电站</w:t>
            </w:r>
          </w:p>
        </w:tc>
        <w:tc>
          <w:tcPr>
            <w:tcW w:w="796" w:type="dxa"/>
            <w:shd w:val="clear" w:color="auto" w:fill="auto"/>
            <w:noWrap/>
            <w:vAlign w:val="center"/>
          </w:tcPr>
          <w:p w14:paraId="2B221EC1">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23C461D8">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4AB98C7B">
            <w:pPr>
              <w:widowControl/>
              <w:jc w:val="center"/>
              <w:rPr>
                <w:rFonts w:ascii="宋体" w:hAnsi="宋体" w:cs="宋体"/>
                <w:kern w:val="0"/>
                <w:sz w:val="18"/>
                <w:szCs w:val="18"/>
              </w:rPr>
            </w:pPr>
            <w:r>
              <w:rPr>
                <w:rFonts w:hint="eastAsia" w:ascii="宋体" w:hAnsi="宋体" w:cs="宋体"/>
                <w:kern w:val="0"/>
                <w:sz w:val="18"/>
                <w:szCs w:val="18"/>
              </w:rPr>
              <w:t>0.19</w:t>
            </w:r>
          </w:p>
        </w:tc>
        <w:tc>
          <w:tcPr>
            <w:tcW w:w="946" w:type="dxa"/>
            <w:shd w:val="clear" w:color="auto" w:fill="auto"/>
            <w:noWrap/>
            <w:vAlign w:val="center"/>
          </w:tcPr>
          <w:p w14:paraId="4CCEE068">
            <w:pPr>
              <w:widowControl/>
              <w:jc w:val="center"/>
              <w:rPr>
                <w:rFonts w:ascii="宋体" w:hAnsi="宋体" w:cs="宋体"/>
                <w:kern w:val="0"/>
                <w:sz w:val="18"/>
                <w:szCs w:val="18"/>
              </w:rPr>
            </w:pPr>
            <w:r>
              <w:rPr>
                <w:rFonts w:hint="eastAsia" w:ascii="宋体" w:hAnsi="宋体" w:cs="宋体"/>
                <w:kern w:val="0"/>
                <w:sz w:val="18"/>
                <w:szCs w:val="18"/>
              </w:rPr>
              <w:t>0.04</w:t>
            </w:r>
          </w:p>
        </w:tc>
        <w:tc>
          <w:tcPr>
            <w:tcW w:w="854" w:type="dxa"/>
            <w:shd w:val="clear" w:color="auto" w:fill="auto"/>
            <w:noWrap/>
            <w:vAlign w:val="center"/>
          </w:tcPr>
          <w:p w14:paraId="7DADD7A0">
            <w:pPr>
              <w:widowControl/>
              <w:jc w:val="center"/>
              <w:rPr>
                <w:rFonts w:ascii="宋体" w:hAnsi="宋体" w:cs="宋体"/>
                <w:kern w:val="0"/>
                <w:sz w:val="18"/>
                <w:szCs w:val="18"/>
              </w:rPr>
            </w:pPr>
            <w:r>
              <w:rPr>
                <w:rFonts w:hint="eastAsia" w:ascii="宋体" w:hAnsi="宋体" w:cs="宋体"/>
                <w:kern w:val="0"/>
                <w:sz w:val="18"/>
                <w:szCs w:val="18"/>
              </w:rPr>
              <w:t>0.09</w:t>
            </w:r>
          </w:p>
        </w:tc>
        <w:tc>
          <w:tcPr>
            <w:tcW w:w="1489" w:type="dxa"/>
            <w:shd w:val="clear" w:color="auto" w:fill="auto"/>
            <w:noWrap/>
            <w:vAlign w:val="center"/>
          </w:tcPr>
          <w:p w14:paraId="2AAEDCB5">
            <w:pPr>
              <w:widowControl/>
              <w:jc w:val="center"/>
              <w:rPr>
                <w:rFonts w:ascii="宋体" w:hAnsi="宋体" w:cs="宋体"/>
                <w:kern w:val="0"/>
                <w:sz w:val="15"/>
                <w:szCs w:val="15"/>
              </w:rPr>
            </w:pPr>
            <w:r>
              <w:rPr>
                <w:rFonts w:hint="eastAsia" w:ascii="宋体" w:hAnsi="宋体" w:cs="宋体"/>
                <w:kern w:val="0"/>
                <w:sz w:val="15"/>
                <w:szCs w:val="15"/>
              </w:rPr>
              <w:t>因民镇</w:t>
            </w:r>
          </w:p>
        </w:tc>
        <w:tc>
          <w:tcPr>
            <w:tcW w:w="577" w:type="dxa"/>
            <w:vMerge w:val="restart"/>
            <w:shd w:val="clear" w:color="auto" w:fill="auto"/>
            <w:noWrap/>
            <w:vAlign w:val="center"/>
          </w:tcPr>
          <w:p w14:paraId="3F0DD72C">
            <w:pPr>
              <w:widowControl/>
              <w:jc w:val="center"/>
              <w:rPr>
                <w:rFonts w:ascii="宋体" w:hAnsi="宋体" w:cs="宋体"/>
                <w:kern w:val="0"/>
                <w:sz w:val="18"/>
                <w:szCs w:val="18"/>
              </w:rPr>
            </w:pPr>
          </w:p>
        </w:tc>
      </w:tr>
      <w:tr w14:paraId="55D2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0754383">
            <w:pPr>
              <w:widowControl/>
              <w:jc w:val="center"/>
              <w:rPr>
                <w:rFonts w:ascii="宋体" w:hAnsi="宋体" w:cs="宋体"/>
                <w:kern w:val="0"/>
                <w:sz w:val="18"/>
                <w:szCs w:val="18"/>
              </w:rPr>
            </w:pPr>
          </w:p>
        </w:tc>
        <w:tc>
          <w:tcPr>
            <w:tcW w:w="3659" w:type="dxa"/>
            <w:shd w:val="clear" w:color="auto" w:fill="auto"/>
            <w:vAlign w:val="center"/>
          </w:tcPr>
          <w:p w14:paraId="744B5C5C">
            <w:pPr>
              <w:widowControl/>
              <w:jc w:val="center"/>
              <w:rPr>
                <w:rFonts w:ascii="宋体" w:hAnsi="宋体" w:cs="宋体"/>
                <w:kern w:val="0"/>
                <w:sz w:val="18"/>
                <w:szCs w:val="18"/>
              </w:rPr>
            </w:pPr>
            <w:r>
              <w:rPr>
                <w:rFonts w:hint="eastAsia" w:ascii="宋体" w:hAnsi="宋体" w:cs="宋体"/>
                <w:kern w:val="0"/>
                <w:sz w:val="18"/>
                <w:szCs w:val="18"/>
              </w:rPr>
              <w:t>因民镇田坝村金水降压站</w:t>
            </w:r>
          </w:p>
        </w:tc>
        <w:tc>
          <w:tcPr>
            <w:tcW w:w="796" w:type="dxa"/>
            <w:shd w:val="clear" w:color="auto" w:fill="auto"/>
            <w:noWrap/>
            <w:vAlign w:val="center"/>
          </w:tcPr>
          <w:p w14:paraId="7E5E6E9B">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86B7BB4">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138E3D13">
            <w:pPr>
              <w:widowControl/>
              <w:jc w:val="center"/>
              <w:rPr>
                <w:rFonts w:ascii="宋体" w:hAnsi="宋体" w:cs="宋体"/>
                <w:kern w:val="0"/>
                <w:sz w:val="18"/>
                <w:szCs w:val="18"/>
              </w:rPr>
            </w:pPr>
            <w:r>
              <w:rPr>
                <w:rFonts w:hint="eastAsia" w:ascii="宋体" w:hAnsi="宋体" w:cs="宋体"/>
                <w:kern w:val="0"/>
                <w:sz w:val="18"/>
                <w:szCs w:val="18"/>
              </w:rPr>
              <w:t>0.19</w:t>
            </w:r>
          </w:p>
        </w:tc>
        <w:tc>
          <w:tcPr>
            <w:tcW w:w="946" w:type="dxa"/>
            <w:shd w:val="clear" w:color="auto" w:fill="auto"/>
            <w:noWrap/>
            <w:vAlign w:val="center"/>
          </w:tcPr>
          <w:p w14:paraId="2F6EA1A4">
            <w:pPr>
              <w:widowControl/>
              <w:jc w:val="center"/>
              <w:rPr>
                <w:rFonts w:ascii="宋体" w:hAnsi="宋体" w:cs="宋体"/>
                <w:kern w:val="0"/>
                <w:sz w:val="18"/>
                <w:szCs w:val="18"/>
              </w:rPr>
            </w:pPr>
            <w:r>
              <w:rPr>
                <w:rFonts w:hint="eastAsia" w:ascii="宋体" w:hAnsi="宋体" w:cs="宋体"/>
                <w:kern w:val="0"/>
                <w:sz w:val="18"/>
                <w:szCs w:val="18"/>
              </w:rPr>
              <w:t>0.09</w:t>
            </w:r>
          </w:p>
        </w:tc>
        <w:tc>
          <w:tcPr>
            <w:tcW w:w="854" w:type="dxa"/>
            <w:shd w:val="clear" w:color="auto" w:fill="auto"/>
            <w:noWrap/>
            <w:vAlign w:val="center"/>
          </w:tcPr>
          <w:p w14:paraId="217812AA">
            <w:pPr>
              <w:widowControl/>
              <w:jc w:val="center"/>
              <w:rPr>
                <w:rFonts w:ascii="宋体" w:hAnsi="宋体" w:cs="宋体"/>
                <w:kern w:val="0"/>
                <w:sz w:val="18"/>
                <w:szCs w:val="18"/>
              </w:rPr>
            </w:pPr>
            <w:r>
              <w:rPr>
                <w:rFonts w:hint="eastAsia" w:ascii="宋体" w:hAnsi="宋体" w:cs="宋体"/>
                <w:kern w:val="0"/>
                <w:sz w:val="18"/>
                <w:szCs w:val="18"/>
              </w:rPr>
              <w:t>0.95</w:t>
            </w:r>
          </w:p>
        </w:tc>
        <w:tc>
          <w:tcPr>
            <w:tcW w:w="1489" w:type="dxa"/>
            <w:shd w:val="clear" w:color="auto" w:fill="auto"/>
            <w:noWrap/>
            <w:vAlign w:val="center"/>
          </w:tcPr>
          <w:p w14:paraId="63BC1E60">
            <w:pPr>
              <w:widowControl/>
              <w:jc w:val="center"/>
              <w:rPr>
                <w:rFonts w:ascii="宋体" w:hAnsi="宋体" w:cs="宋体"/>
                <w:kern w:val="0"/>
                <w:sz w:val="15"/>
                <w:szCs w:val="15"/>
              </w:rPr>
            </w:pPr>
            <w:r>
              <w:rPr>
                <w:rFonts w:hint="eastAsia" w:ascii="宋体" w:hAnsi="宋体" w:cs="宋体"/>
                <w:kern w:val="0"/>
                <w:sz w:val="15"/>
                <w:szCs w:val="15"/>
              </w:rPr>
              <w:t>因民镇</w:t>
            </w:r>
          </w:p>
        </w:tc>
        <w:tc>
          <w:tcPr>
            <w:tcW w:w="577" w:type="dxa"/>
            <w:vMerge w:val="continue"/>
            <w:vAlign w:val="center"/>
          </w:tcPr>
          <w:p w14:paraId="10BE13F4">
            <w:pPr>
              <w:widowControl/>
              <w:jc w:val="center"/>
              <w:rPr>
                <w:rFonts w:ascii="宋体" w:hAnsi="宋体" w:cs="宋体"/>
                <w:kern w:val="0"/>
                <w:sz w:val="18"/>
                <w:szCs w:val="18"/>
              </w:rPr>
            </w:pPr>
          </w:p>
        </w:tc>
      </w:tr>
      <w:tr w14:paraId="7295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5FF315C">
            <w:pPr>
              <w:widowControl/>
              <w:jc w:val="center"/>
              <w:rPr>
                <w:rFonts w:ascii="宋体" w:hAnsi="宋体" w:cs="宋体"/>
                <w:kern w:val="0"/>
                <w:sz w:val="18"/>
                <w:szCs w:val="18"/>
              </w:rPr>
            </w:pPr>
          </w:p>
        </w:tc>
        <w:tc>
          <w:tcPr>
            <w:tcW w:w="3659" w:type="dxa"/>
            <w:shd w:val="clear" w:color="auto" w:fill="auto"/>
            <w:noWrap/>
            <w:vAlign w:val="center"/>
          </w:tcPr>
          <w:p w14:paraId="355995AA">
            <w:pPr>
              <w:widowControl/>
              <w:jc w:val="center"/>
              <w:rPr>
                <w:rFonts w:ascii="宋体" w:hAnsi="宋体" w:cs="宋体"/>
                <w:kern w:val="0"/>
                <w:sz w:val="18"/>
                <w:szCs w:val="18"/>
              </w:rPr>
            </w:pPr>
            <w:r>
              <w:rPr>
                <w:rFonts w:hint="eastAsia" w:ascii="宋体" w:hAnsi="宋体" w:cs="宋体"/>
                <w:kern w:val="0"/>
                <w:sz w:val="18"/>
                <w:szCs w:val="18"/>
              </w:rPr>
              <w:t>恒东电站</w:t>
            </w:r>
          </w:p>
        </w:tc>
        <w:tc>
          <w:tcPr>
            <w:tcW w:w="796" w:type="dxa"/>
            <w:shd w:val="clear" w:color="auto" w:fill="auto"/>
            <w:noWrap/>
            <w:vAlign w:val="center"/>
          </w:tcPr>
          <w:p w14:paraId="03C84D11">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D3151D3">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211DE764">
            <w:pPr>
              <w:widowControl/>
              <w:jc w:val="center"/>
              <w:rPr>
                <w:rFonts w:ascii="宋体" w:hAnsi="宋体" w:cs="宋体"/>
                <w:kern w:val="0"/>
                <w:sz w:val="18"/>
                <w:szCs w:val="18"/>
              </w:rPr>
            </w:pPr>
            <w:r>
              <w:rPr>
                <w:rFonts w:hint="eastAsia" w:ascii="宋体" w:hAnsi="宋体" w:cs="宋体"/>
                <w:kern w:val="0"/>
                <w:sz w:val="18"/>
                <w:szCs w:val="18"/>
              </w:rPr>
              <w:t>1.01</w:t>
            </w:r>
          </w:p>
        </w:tc>
        <w:tc>
          <w:tcPr>
            <w:tcW w:w="946" w:type="dxa"/>
            <w:shd w:val="clear" w:color="auto" w:fill="auto"/>
            <w:noWrap/>
            <w:vAlign w:val="center"/>
          </w:tcPr>
          <w:p w14:paraId="695FDD11">
            <w:pPr>
              <w:widowControl/>
              <w:jc w:val="center"/>
              <w:rPr>
                <w:rFonts w:ascii="宋体" w:hAnsi="宋体" w:cs="宋体"/>
                <w:kern w:val="0"/>
                <w:sz w:val="18"/>
                <w:szCs w:val="18"/>
              </w:rPr>
            </w:pPr>
            <w:r>
              <w:rPr>
                <w:rFonts w:hint="eastAsia" w:ascii="宋体" w:hAnsi="宋体" w:cs="宋体"/>
                <w:kern w:val="0"/>
                <w:sz w:val="18"/>
                <w:szCs w:val="18"/>
              </w:rPr>
              <w:t>1.01</w:t>
            </w:r>
          </w:p>
        </w:tc>
        <w:tc>
          <w:tcPr>
            <w:tcW w:w="854" w:type="dxa"/>
            <w:shd w:val="clear" w:color="auto" w:fill="auto"/>
            <w:noWrap/>
            <w:vAlign w:val="center"/>
          </w:tcPr>
          <w:p w14:paraId="2223D0A1">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48EA9488">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0575D205">
            <w:pPr>
              <w:widowControl/>
              <w:jc w:val="center"/>
              <w:rPr>
                <w:rFonts w:ascii="宋体" w:hAnsi="宋体" w:cs="宋体"/>
                <w:kern w:val="0"/>
                <w:sz w:val="18"/>
                <w:szCs w:val="18"/>
              </w:rPr>
            </w:pPr>
          </w:p>
        </w:tc>
      </w:tr>
      <w:tr w14:paraId="01FD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96F020E">
            <w:pPr>
              <w:widowControl/>
              <w:jc w:val="center"/>
              <w:rPr>
                <w:rFonts w:ascii="宋体" w:hAnsi="宋体" w:cs="宋体"/>
                <w:kern w:val="0"/>
                <w:sz w:val="18"/>
                <w:szCs w:val="18"/>
              </w:rPr>
            </w:pPr>
          </w:p>
        </w:tc>
        <w:tc>
          <w:tcPr>
            <w:tcW w:w="3659" w:type="dxa"/>
            <w:shd w:val="clear" w:color="auto" w:fill="auto"/>
            <w:vAlign w:val="center"/>
          </w:tcPr>
          <w:p w14:paraId="0B6B714F">
            <w:pPr>
              <w:widowControl/>
              <w:jc w:val="center"/>
              <w:rPr>
                <w:rFonts w:ascii="宋体" w:hAnsi="宋体" w:cs="宋体"/>
                <w:kern w:val="0"/>
                <w:sz w:val="18"/>
                <w:szCs w:val="18"/>
              </w:rPr>
            </w:pPr>
            <w:r>
              <w:rPr>
                <w:rFonts w:hint="eastAsia" w:ascii="宋体" w:hAnsi="宋体" w:cs="宋体"/>
                <w:kern w:val="0"/>
                <w:sz w:val="18"/>
                <w:szCs w:val="18"/>
              </w:rPr>
              <w:t>野牛风电场机位</w:t>
            </w:r>
          </w:p>
        </w:tc>
        <w:tc>
          <w:tcPr>
            <w:tcW w:w="796" w:type="dxa"/>
            <w:shd w:val="clear" w:color="auto" w:fill="auto"/>
            <w:noWrap/>
            <w:vAlign w:val="center"/>
          </w:tcPr>
          <w:p w14:paraId="35BCFDB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29CF1F63">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34AC353B">
            <w:pPr>
              <w:widowControl/>
              <w:jc w:val="center"/>
              <w:rPr>
                <w:rFonts w:ascii="宋体" w:hAnsi="宋体" w:cs="宋体"/>
                <w:kern w:val="0"/>
                <w:sz w:val="18"/>
                <w:szCs w:val="18"/>
              </w:rPr>
            </w:pPr>
            <w:r>
              <w:rPr>
                <w:rFonts w:hint="eastAsia" w:ascii="宋体" w:hAnsi="宋体" w:cs="宋体"/>
                <w:kern w:val="0"/>
                <w:sz w:val="18"/>
                <w:szCs w:val="18"/>
              </w:rPr>
              <w:t>2.31</w:t>
            </w:r>
          </w:p>
        </w:tc>
        <w:tc>
          <w:tcPr>
            <w:tcW w:w="946" w:type="dxa"/>
            <w:shd w:val="clear" w:color="auto" w:fill="auto"/>
            <w:noWrap/>
            <w:vAlign w:val="center"/>
          </w:tcPr>
          <w:p w14:paraId="56778124">
            <w:pPr>
              <w:widowControl/>
              <w:jc w:val="center"/>
              <w:rPr>
                <w:rFonts w:ascii="宋体" w:hAnsi="宋体" w:cs="宋体"/>
                <w:kern w:val="0"/>
                <w:sz w:val="18"/>
                <w:szCs w:val="18"/>
              </w:rPr>
            </w:pPr>
            <w:r>
              <w:rPr>
                <w:rFonts w:hint="eastAsia" w:ascii="宋体" w:hAnsi="宋体" w:cs="宋体"/>
                <w:kern w:val="0"/>
                <w:sz w:val="18"/>
                <w:szCs w:val="18"/>
              </w:rPr>
              <w:t>2.31</w:t>
            </w:r>
          </w:p>
        </w:tc>
        <w:tc>
          <w:tcPr>
            <w:tcW w:w="854" w:type="dxa"/>
            <w:shd w:val="clear" w:color="auto" w:fill="auto"/>
            <w:noWrap/>
            <w:vAlign w:val="center"/>
          </w:tcPr>
          <w:p w14:paraId="4D533797">
            <w:pPr>
              <w:widowControl/>
              <w:jc w:val="center"/>
              <w:rPr>
                <w:rFonts w:ascii="宋体" w:hAnsi="宋体" w:cs="宋体"/>
                <w:kern w:val="0"/>
                <w:sz w:val="18"/>
                <w:szCs w:val="18"/>
              </w:rPr>
            </w:pPr>
            <w:r>
              <w:rPr>
                <w:rFonts w:hint="eastAsia" w:ascii="宋体" w:hAnsi="宋体" w:cs="宋体"/>
                <w:kern w:val="0"/>
                <w:sz w:val="18"/>
                <w:szCs w:val="18"/>
              </w:rPr>
              <w:t>0.2</w:t>
            </w:r>
          </w:p>
        </w:tc>
        <w:tc>
          <w:tcPr>
            <w:tcW w:w="1489" w:type="dxa"/>
            <w:shd w:val="clear" w:color="auto" w:fill="auto"/>
            <w:noWrap/>
            <w:vAlign w:val="center"/>
          </w:tcPr>
          <w:p w14:paraId="12FA6688">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6A18686C">
            <w:pPr>
              <w:widowControl/>
              <w:jc w:val="center"/>
              <w:rPr>
                <w:rFonts w:ascii="宋体" w:hAnsi="宋体" w:cs="宋体"/>
                <w:kern w:val="0"/>
                <w:sz w:val="18"/>
                <w:szCs w:val="18"/>
              </w:rPr>
            </w:pPr>
          </w:p>
        </w:tc>
      </w:tr>
      <w:tr w14:paraId="40D7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570B915">
            <w:pPr>
              <w:widowControl/>
              <w:jc w:val="center"/>
              <w:rPr>
                <w:rFonts w:ascii="宋体" w:hAnsi="宋体" w:cs="宋体"/>
                <w:kern w:val="0"/>
                <w:sz w:val="18"/>
                <w:szCs w:val="18"/>
              </w:rPr>
            </w:pPr>
          </w:p>
        </w:tc>
        <w:tc>
          <w:tcPr>
            <w:tcW w:w="3659" w:type="dxa"/>
            <w:shd w:val="clear" w:color="auto" w:fill="auto"/>
            <w:vAlign w:val="center"/>
          </w:tcPr>
          <w:p w14:paraId="3C6060EA">
            <w:pPr>
              <w:widowControl/>
              <w:jc w:val="center"/>
              <w:rPr>
                <w:rFonts w:ascii="宋体" w:hAnsi="宋体" w:cs="宋体"/>
                <w:kern w:val="0"/>
                <w:sz w:val="18"/>
                <w:szCs w:val="18"/>
              </w:rPr>
            </w:pPr>
            <w:r>
              <w:rPr>
                <w:rFonts w:hint="eastAsia" w:ascii="宋体" w:hAnsi="宋体" w:cs="宋体"/>
                <w:kern w:val="0"/>
                <w:sz w:val="18"/>
                <w:szCs w:val="18"/>
              </w:rPr>
              <w:t>四方地磷化工220千伏变电站</w:t>
            </w:r>
          </w:p>
        </w:tc>
        <w:tc>
          <w:tcPr>
            <w:tcW w:w="796" w:type="dxa"/>
            <w:shd w:val="clear" w:color="auto" w:fill="auto"/>
            <w:noWrap/>
            <w:vAlign w:val="center"/>
          </w:tcPr>
          <w:p w14:paraId="127B0A53">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73FF138D">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4B76540A">
            <w:pPr>
              <w:widowControl/>
              <w:jc w:val="center"/>
              <w:rPr>
                <w:rFonts w:ascii="宋体" w:hAnsi="宋体" w:cs="宋体"/>
                <w:kern w:val="0"/>
                <w:sz w:val="18"/>
                <w:szCs w:val="18"/>
              </w:rPr>
            </w:pPr>
            <w:r>
              <w:rPr>
                <w:rFonts w:hint="eastAsia" w:ascii="宋体" w:hAnsi="宋体" w:cs="宋体"/>
                <w:kern w:val="0"/>
                <w:sz w:val="18"/>
                <w:szCs w:val="18"/>
              </w:rPr>
              <w:t>1.5</w:t>
            </w:r>
          </w:p>
        </w:tc>
        <w:tc>
          <w:tcPr>
            <w:tcW w:w="946" w:type="dxa"/>
            <w:shd w:val="clear" w:color="auto" w:fill="auto"/>
            <w:noWrap/>
            <w:vAlign w:val="center"/>
          </w:tcPr>
          <w:p w14:paraId="6B88201F">
            <w:pPr>
              <w:widowControl/>
              <w:jc w:val="center"/>
              <w:rPr>
                <w:rFonts w:ascii="宋体" w:hAnsi="宋体" w:cs="宋体"/>
                <w:kern w:val="0"/>
                <w:sz w:val="18"/>
                <w:szCs w:val="18"/>
              </w:rPr>
            </w:pPr>
            <w:r>
              <w:rPr>
                <w:rFonts w:hint="eastAsia" w:ascii="宋体" w:hAnsi="宋体" w:cs="宋体"/>
                <w:kern w:val="0"/>
                <w:sz w:val="18"/>
                <w:szCs w:val="18"/>
              </w:rPr>
              <w:t>1.5</w:t>
            </w:r>
          </w:p>
        </w:tc>
        <w:tc>
          <w:tcPr>
            <w:tcW w:w="854" w:type="dxa"/>
            <w:shd w:val="clear" w:color="auto" w:fill="auto"/>
            <w:noWrap/>
            <w:vAlign w:val="center"/>
          </w:tcPr>
          <w:p w14:paraId="038F658B">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34666BCC">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399A477C">
            <w:pPr>
              <w:widowControl/>
              <w:jc w:val="center"/>
              <w:rPr>
                <w:rFonts w:ascii="宋体" w:hAnsi="宋体" w:cs="宋体"/>
                <w:kern w:val="0"/>
                <w:sz w:val="18"/>
                <w:szCs w:val="18"/>
              </w:rPr>
            </w:pPr>
          </w:p>
        </w:tc>
      </w:tr>
      <w:tr w14:paraId="4260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7B6F7E7">
            <w:pPr>
              <w:widowControl/>
              <w:jc w:val="center"/>
              <w:rPr>
                <w:rFonts w:ascii="宋体" w:hAnsi="宋体" w:cs="宋体"/>
                <w:kern w:val="0"/>
                <w:sz w:val="18"/>
                <w:szCs w:val="18"/>
              </w:rPr>
            </w:pPr>
          </w:p>
        </w:tc>
        <w:tc>
          <w:tcPr>
            <w:tcW w:w="3659" w:type="dxa"/>
            <w:shd w:val="clear" w:color="auto" w:fill="auto"/>
            <w:vAlign w:val="center"/>
          </w:tcPr>
          <w:p w14:paraId="6BEEA140">
            <w:pPr>
              <w:widowControl/>
              <w:jc w:val="center"/>
              <w:rPr>
                <w:rFonts w:ascii="宋体" w:hAnsi="宋体" w:cs="宋体"/>
                <w:kern w:val="0"/>
                <w:sz w:val="18"/>
                <w:szCs w:val="18"/>
              </w:rPr>
            </w:pPr>
            <w:r>
              <w:rPr>
                <w:rFonts w:hint="eastAsia" w:ascii="宋体" w:hAnsi="宋体" w:cs="宋体"/>
                <w:kern w:val="0"/>
                <w:sz w:val="18"/>
                <w:szCs w:val="18"/>
              </w:rPr>
              <w:t>太阳谷园区岩头变电站</w:t>
            </w:r>
          </w:p>
        </w:tc>
        <w:tc>
          <w:tcPr>
            <w:tcW w:w="796" w:type="dxa"/>
            <w:shd w:val="clear" w:color="auto" w:fill="auto"/>
            <w:noWrap/>
            <w:vAlign w:val="center"/>
          </w:tcPr>
          <w:p w14:paraId="11FEE981">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6830C04">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741C1077">
            <w:pPr>
              <w:widowControl/>
              <w:jc w:val="center"/>
              <w:rPr>
                <w:rFonts w:ascii="宋体" w:hAnsi="宋体" w:cs="宋体"/>
                <w:kern w:val="0"/>
                <w:sz w:val="18"/>
                <w:szCs w:val="18"/>
              </w:rPr>
            </w:pPr>
            <w:r>
              <w:rPr>
                <w:rFonts w:hint="eastAsia" w:ascii="宋体" w:hAnsi="宋体" w:cs="宋体"/>
                <w:kern w:val="0"/>
                <w:sz w:val="18"/>
                <w:szCs w:val="18"/>
              </w:rPr>
              <w:t>0.68</w:t>
            </w:r>
          </w:p>
        </w:tc>
        <w:tc>
          <w:tcPr>
            <w:tcW w:w="946" w:type="dxa"/>
            <w:shd w:val="clear" w:color="auto" w:fill="auto"/>
            <w:noWrap/>
            <w:vAlign w:val="center"/>
          </w:tcPr>
          <w:p w14:paraId="4D03CE25">
            <w:pPr>
              <w:widowControl/>
              <w:jc w:val="center"/>
              <w:rPr>
                <w:rFonts w:ascii="宋体" w:hAnsi="宋体" w:cs="宋体"/>
                <w:kern w:val="0"/>
                <w:sz w:val="18"/>
                <w:szCs w:val="18"/>
              </w:rPr>
            </w:pPr>
            <w:r>
              <w:rPr>
                <w:rFonts w:hint="eastAsia" w:ascii="宋体" w:hAnsi="宋体" w:cs="宋体"/>
                <w:kern w:val="0"/>
                <w:sz w:val="18"/>
                <w:szCs w:val="18"/>
              </w:rPr>
              <w:t>0.68</w:t>
            </w:r>
          </w:p>
        </w:tc>
        <w:tc>
          <w:tcPr>
            <w:tcW w:w="854" w:type="dxa"/>
            <w:shd w:val="clear" w:color="auto" w:fill="auto"/>
            <w:noWrap/>
            <w:vAlign w:val="center"/>
          </w:tcPr>
          <w:p w14:paraId="6F14FA19">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0DF768F7">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2E8F2894">
            <w:pPr>
              <w:widowControl/>
              <w:jc w:val="center"/>
              <w:rPr>
                <w:rFonts w:ascii="宋体" w:hAnsi="宋体" w:cs="宋体"/>
                <w:kern w:val="0"/>
                <w:sz w:val="18"/>
                <w:szCs w:val="18"/>
              </w:rPr>
            </w:pPr>
          </w:p>
        </w:tc>
      </w:tr>
      <w:tr w14:paraId="311C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00C7A95">
            <w:pPr>
              <w:widowControl/>
              <w:jc w:val="center"/>
              <w:rPr>
                <w:rFonts w:ascii="宋体" w:hAnsi="宋体" w:cs="宋体"/>
                <w:kern w:val="0"/>
                <w:sz w:val="18"/>
                <w:szCs w:val="18"/>
              </w:rPr>
            </w:pPr>
          </w:p>
        </w:tc>
        <w:tc>
          <w:tcPr>
            <w:tcW w:w="3659" w:type="dxa"/>
            <w:shd w:val="clear" w:color="auto" w:fill="auto"/>
            <w:vAlign w:val="center"/>
          </w:tcPr>
          <w:p w14:paraId="7450BDF5">
            <w:pPr>
              <w:jc w:val="center"/>
              <w:rPr>
                <w:rFonts w:ascii="宋体" w:hAnsi="宋体" w:cs="宋体"/>
                <w:kern w:val="0"/>
                <w:sz w:val="18"/>
                <w:szCs w:val="18"/>
              </w:rPr>
            </w:pPr>
            <w:r>
              <w:rPr>
                <w:rFonts w:hint="eastAsia" w:ascii="宋体" w:hAnsi="宋体" w:cs="宋体"/>
                <w:kern w:val="0"/>
                <w:sz w:val="18"/>
                <w:szCs w:val="18"/>
              </w:rPr>
              <w:t>红土地35KV变电站</w:t>
            </w:r>
          </w:p>
        </w:tc>
        <w:tc>
          <w:tcPr>
            <w:tcW w:w="796" w:type="dxa"/>
            <w:shd w:val="clear" w:color="auto" w:fill="auto"/>
            <w:noWrap/>
            <w:vAlign w:val="center"/>
          </w:tcPr>
          <w:p w14:paraId="371F24D6">
            <w:pPr>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6F9D0997">
            <w:pPr>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68548841">
            <w:pPr>
              <w:jc w:val="center"/>
              <w:rPr>
                <w:rFonts w:ascii="宋体" w:hAnsi="宋体" w:cs="宋体"/>
                <w:kern w:val="0"/>
                <w:sz w:val="18"/>
                <w:szCs w:val="18"/>
              </w:rPr>
            </w:pPr>
            <w:r>
              <w:rPr>
                <w:rFonts w:hint="eastAsia" w:ascii="宋体" w:hAnsi="宋体" w:cs="宋体"/>
                <w:kern w:val="0"/>
                <w:sz w:val="18"/>
                <w:szCs w:val="18"/>
              </w:rPr>
              <w:t xml:space="preserve">3.33 </w:t>
            </w:r>
          </w:p>
        </w:tc>
        <w:tc>
          <w:tcPr>
            <w:tcW w:w="946" w:type="dxa"/>
            <w:shd w:val="clear" w:color="auto" w:fill="auto"/>
            <w:noWrap/>
            <w:vAlign w:val="center"/>
          </w:tcPr>
          <w:p w14:paraId="4E7890E7">
            <w:pPr>
              <w:jc w:val="center"/>
              <w:rPr>
                <w:rFonts w:ascii="宋体" w:hAnsi="宋体" w:cs="宋体"/>
                <w:kern w:val="0"/>
                <w:sz w:val="18"/>
                <w:szCs w:val="18"/>
              </w:rPr>
            </w:pPr>
            <w:r>
              <w:rPr>
                <w:rFonts w:hint="eastAsia" w:ascii="宋体" w:hAnsi="宋体" w:cs="宋体"/>
                <w:kern w:val="0"/>
                <w:sz w:val="18"/>
                <w:szCs w:val="18"/>
              </w:rPr>
              <w:t xml:space="preserve">3.33 </w:t>
            </w:r>
          </w:p>
        </w:tc>
        <w:tc>
          <w:tcPr>
            <w:tcW w:w="854" w:type="dxa"/>
            <w:shd w:val="clear" w:color="auto" w:fill="auto"/>
            <w:noWrap/>
            <w:vAlign w:val="center"/>
          </w:tcPr>
          <w:p w14:paraId="2241ED54">
            <w:pPr>
              <w:jc w:val="center"/>
              <w:rPr>
                <w:rFonts w:ascii="宋体" w:hAnsi="宋体" w:cs="宋体"/>
                <w:kern w:val="0"/>
                <w:sz w:val="18"/>
                <w:szCs w:val="18"/>
              </w:rPr>
            </w:pPr>
            <w:r>
              <w:rPr>
                <w:rFonts w:hint="eastAsia" w:ascii="宋体" w:hAnsi="宋体" w:cs="宋体"/>
                <w:kern w:val="0"/>
                <w:sz w:val="18"/>
                <w:szCs w:val="18"/>
              </w:rPr>
              <w:t xml:space="preserve">2.67 </w:t>
            </w:r>
          </w:p>
        </w:tc>
        <w:tc>
          <w:tcPr>
            <w:tcW w:w="1489" w:type="dxa"/>
            <w:shd w:val="clear" w:color="auto" w:fill="auto"/>
            <w:noWrap/>
            <w:vAlign w:val="center"/>
          </w:tcPr>
          <w:p w14:paraId="2417231A">
            <w:pPr>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7B423390">
            <w:pPr>
              <w:widowControl/>
              <w:jc w:val="center"/>
              <w:rPr>
                <w:rFonts w:ascii="宋体" w:hAnsi="宋体" w:cs="宋体"/>
                <w:kern w:val="0"/>
                <w:sz w:val="18"/>
                <w:szCs w:val="18"/>
              </w:rPr>
            </w:pPr>
          </w:p>
        </w:tc>
      </w:tr>
      <w:tr w14:paraId="6C0F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E28988E">
            <w:pPr>
              <w:widowControl/>
              <w:jc w:val="center"/>
              <w:rPr>
                <w:rFonts w:ascii="宋体" w:hAnsi="宋体" w:cs="宋体"/>
                <w:kern w:val="0"/>
                <w:sz w:val="18"/>
                <w:szCs w:val="18"/>
              </w:rPr>
            </w:pPr>
          </w:p>
        </w:tc>
        <w:tc>
          <w:tcPr>
            <w:tcW w:w="3659" w:type="dxa"/>
            <w:shd w:val="clear" w:color="auto" w:fill="auto"/>
            <w:vAlign w:val="center"/>
          </w:tcPr>
          <w:p w14:paraId="6CA175E6">
            <w:pPr>
              <w:jc w:val="center"/>
              <w:rPr>
                <w:rFonts w:ascii="宋体" w:hAnsi="宋体" w:cs="宋体"/>
                <w:kern w:val="0"/>
                <w:sz w:val="18"/>
                <w:szCs w:val="18"/>
              </w:rPr>
            </w:pPr>
            <w:r>
              <w:rPr>
                <w:rFonts w:hint="eastAsia" w:ascii="宋体" w:hAnsi="宋体" w:cs="宋体"/>
                <w:kern w:val="0"/>
                <w:sz w:val="18"/>
                <w:szCs w:val="18"/>
              </w:rPr>
              <w:t>舍块乡35KV变电站</w:t>
            </w:r>
          </w:p>
        </w:tc>
        <w:tc>
          <w:tcPr>
            <w:tcW w:w="796" w:type="dxa"/>
            <w:shd w:val="clear" w:color="auto" w:fill="auto"/>
            <w:noWrap/>
            <w:vAlign w:val="center"/>
          </w:tcPr>
          <w:p w14:paraId="1F36CF75">
            <w:pPr>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69C836E7">
            <w:pPr>
              <w:jc w:val="center"/>
              <w:rPr>
                <w:rFonts w:ascii="宋体" w:hAnsi="宋体" w:cs="宋体"/>
                <w:kern w:val="0"/>
                <w:sz w:val="18"/>
                <w:szCs w:val="18"/>
              </w:rPr>
            </w:pPr>
            <w:r>
              <w:rPr>
                <w:rFonts w:hint="eastAsia" w:ascii="宋体" w:hAnsi="宋体" w:cs="宋体"/>
                <w:kern w:val="0"/>
                <w:sz w:val="18"/>
                <w:szCs w:val="18"/>
              </w:rPr>
              <w:t>2016-2021</w:t>
            </w:r>
          </w:p>
        </w:tc>
        <w:tc>
          <w:tcPr>
            <w:tcW w:w="1026" w:type="dxa"/>
            <w:shd w:val="clear" w:color="auto" w:fill="auto"/>
            <w:noWrap/>
            <w:vAlign w:val="center"/>
          </w:tcPr>
          <w:p w14:paraId="22A481EB">
            <w:pPr>
              <w:jc w:val="center"/>
              <w:rPr>
                <w:rFonts w:ascii="宋体" w:hAnsi="宋体" w:cs="宋体"/>
                <w:kern w:val="0"/>
                <w:sz w:val="18"/>
                <w:szCs w:val="18"/>
              </w:rPr>
            </w:pPr>
            <w:r>
              <w:rPr>
                <w:rFonts w:hint="eastAsia" w:ascii="宋体" w:hAnsi="宋体" w:cs="宋体"/>
                <w:kern w:val="0"/>
                <w:sz w:val="18"/>
                <w:szCs w:val="18"/>
              </w:rPr>
              <w:t xml:space="preserve">0.67 </w:t>
            </w:r>
          </w:p>
        </w:tc>
        <w:tc>
          <w:tcPr>
            <w:tcW w:w="946" w:type="dxa"/>
            <w:shd w:val="clear" w:color="auto" w:fill="auto"/>
            <w:noWrap/>
            <w:vAlign w:val="center"/>
          </w:tcPr>
          <w:p w14:paraId="0F772F98">
            <w:pPr>
              <w:jc w:val="center"/>
              <w:rPr>
                <w:rFonts w:ascii="宋体" w:hAnsi="宋体" w:cs="宋体"/>
                <w:kern w:val="0"/>
                <w:sz w:val="18"/>
                <w:szCs w:val="18"/>
              </w:rPr>
            </w:pPr>
            <w:r>
              <w:rPr>
                <w:rFonts w:hint="eastAsia" w:ascii="宋体" w:hAnsi="宋体" w:cs="宋体"/>
                <w:kern w:val="0"/>
                <w:sz w:val="18"/>
                <w:szCs w:val="18"/>
              </w:rPr>
              <w:t xml:space="preserve">10.00 </w:t>
            </w:r>
          </w:p>
        </w:tc>
        <w:tc>
          <w:tcPr>
            <w:tcW w:w="854" w:type="dxa"/>
            <w:shd w:val="clear" w:color="auto" w:fill="auto"/>
            <w:noWrap/>
            <w:vAlign w:val="center"/>
          </w:tcPr>
          <w:p w14:paraId="6F3F5F24">
            <w:pPr>
              <w:jc w:val="center"/>
              <w:rPr>
                <w:rFonts w:ascii="宋体" w:hAnsi="宋体" w:cs="宋体"/>
                <w:kern w:val="0"/>
                <w:sz w:val="18"/>
                <w:szCs w:val="18"/>
              </w:rPr>
            </w:pPr>
            <w:r>
              <w:rPr>
                <w:rFonts w:hint="eastAsia" w:ascii="宋体" w:hAnsi="宋体" w:cs="宋体"/>
                <w:kern w:val="0"/>
                <w:sz w:val="18"/>
                <w:szCs w:val="18"/>
              </w:rPr>
              <w:t xml:space="preserve">8.00 </w:t>
            </w:r>
          </w:p>
        </w:tc>
        <w:tc>
          <w:tcPr>
            <w:tcW w:w="1489" w:type="dxa"/>
            <w:shd w:val="clear" w:color="auto" w:fill="auto"/>
            <w:noWrap/>
            <w:vAlign w:val="center"/>
          </w:tcPr>
          <w:p w14:paraId="61C55108">
            <w:pPr>
              <w:jc w:val="center"/>
              <w:rPr>
                <w:rFonts w:ascii="宋体" w:hAnsi="宋体" w:cs="宋体"/>
                <w:kern w:val="0"/>
                <w:sz w:val="18"/>
                <w:szCs w:val="18"/>
              </w:rPr>
            </w:pPr>
            <w:r>
              <w:rPr>
                <w:rFonts w:hint="eastAsia" w:ascii="宋体" w:hAnsi="宋体" w:cs="宋体"/>
                <w:kern w:val="0"/>
                <w:sz w:val="18"/>
                <w:szCs w:val="18"/>
              </w:rPr>
              <w:t>舍块乡　</w:t>
            </w:r>
          </w:p>
        </w:tc>
        <w:tc>
          <w:tcPr>
            <w:tcW w:w="577" w:type="dxa"/>
            <w:shd w:val="clear" w:color="auto" w:fill="auto"/>
            <w:noWrap/>
            <w:vAlign w:val="center"/>
          </w:tcPr>
          <w:p w14:paraId="3702948E">
            <w:pPr>
              <w:widowControl/>
              <w:jc w:val="center"/>
              <w:rPr>
                <w:rFonts w:ascii="宋体" w:hAnsi="宋体" w:cs="宋体"/>
                <w:kern w:val="0"/>
                <w:sz w:val="18"/>
                <w:szCs w:val="18"/>
              </w:rPr>
            </w:pPr>
          </w:p>
        </w:tc>
      </w:tr>
      <w:tr w14:paraId="7A47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626" w:type="dxa"/>
            <w:vMerge w:val="continue"/>
            <w:vAlign w:val="center"/>
          </w:tcPr>
          <w:p w14:paraId="76BDC18D">
            <w:pPr>
              <w:widowControl/>
              <w:jc w:val="center"/>
              <w:rPr>
                <w:rFonts w:ascii="宋体" w:hAnsi="宋体" w:cs="宋体"/>
                <w:kern w:val="0"/>
                <w:sz w:val="18"/>
                <w:szCs w:val="18"/>
              </w:rPr>
            </w:pPr>
          </w:p>
        </w:tc>
        <w:tc>
          <w:tcPr>
            <w:tcW w:w="3659" w:type="dxa"/>
            <w:shd w:val="clear" w:color="auto" w:fill="auto"/>
            <w:noWrap/>
            <w:vAlign w:val="center"/>
          </w:tcPr>
          <w:p w14:paraId="06EBD873">
            <w:pPr>
              <w:widowControl/>
              <w:jc w:val="center"/>
              <w:rPr>
                <w:rFonts w:ascii="宋体" w:hAnsi="宋体" w:cs="宋体"/>
                <w:kern w:val="0"/>
                <w:sz w:val="18"/>
                <w:szCs w:val="18"/>
              </w:rPr>
            </w:pPr>
            <w:r>
              <w:rPr>
                <w:rFonts w:hint="eastAsia" w:ascii="宋体" w:hAnsi="宋体" w:cs="宋体"/>
                <w:kern w:val="0"/>
                <w:sz w:val="18"/>
                <w:szCs w:val="18"/>
              </w:rPr>
              <w:t>小计</w:t>
            </w:r>
          </w:p>
        </w:tc>
        <w:tc>
          <w:tcPr>
            <w:tcW w:w="796" w:type="dxa"/>
            <w:shd w:val="clear" w:color="auto" w:fill="auto"/>
            <w:noWrap/>
            <w:vAlign w:val="center"/>
          </w:tcPr>
          <w:p w14:paraId="5B917F88">
            <w:pPr>
              <w:jc w:val="center"/>
            </w:pPr>
            <w:r>
              <w:rPr>
                <w:rFonts w:hint="eastAsia" w:ascii="宋体" w:hAnsi="宋体" w:cs="宋体"/>
                <w:kern w:val="0"/>
                <w:sz w:val="18"/>
                <w:szCs w:val="18"/>
              </w:rPr>
              <w:t>——</w:t>
            </w:r>
          </w:p>
        </w:tc>
        <w:tc>
          <w:tcPr>
            <w:tcW w:w="1206" w:type="dxa"/>
            <w:shd w:val="clear" w:color="auto" w:fill="auto"/>
            <w:noWrap/>
            <w:vAlign w:val="center"/>
          </w:tcPr>
          <w:p w14:paraId="18F9D8EB">
            <w:pPr>
              <w:jc w:val="center"/>
            </w:pPr>
            <w:r>
              <w:rPr>
                <w:rFonts w:hint="eastAsia" w:ascii="宋体" w:hAnsi="宋体" w:cs="宋体"/>
                <w:kern w:val="0"/>
                <w:sz w:val="18"/>
                <w:szCs w:val="18"/>
              </w:rPr>
              <w:t>——</w:t>
            </w:r>
          </w:p>
        </w:tc>
        <w:tc>
          <w:tcPr>
            <w:tcW w:w="1026" w:type="dxa"/>
            <w:shd w:val="clear" w:color="auto" w:fill="auto"/>
            <w:noWrap/>
            <w:vAlign w:val="center"/>
          </w:tcPr>
          <w:p w14:paraId="1CD6DA4D">
            <w:pPr>
              <w:jc w:val="center"/>
              <w:rPr>
                <w:rFonts w:ascii="宋体" w:hAnsi="宋体" w:cs="宋体"/>
                <w:kern w:val="0"/>
                <w:sz w:val="18"/>
                <w:szCs w:val="18"/>
              </w:rPr>
            </w:pPr>
            <w:r>
              <w:rPr>
                <w:rFonts w:hint="eastAsia" w:ascii="宋体" w:hAnsi="宋体" w:cs="宋体"/>
                <w:kern w:val="0"/>
                <w:sz w:val="18"/>
                <w:szCs w:val="18"/>
              </w:rPr>
              <w:t>33.71</w:t>
            </w:r>
          </w:p>
        </w:tc>
        <w:tc>
          <w:tcPr>
            <w:tcW w:w="946" w:type="dxa"/>
            <w:shd w:val="clear" w:color="auto" w:fill="auto"/>
            <w:noWrap/>
            <w:vAlign w:val="center"/>
          </w:tcPr>
          <w:p w14:paraId="1EE847A9">
            <w:pPr>
              <w:jc w:val="center"/>
              <w:rPr>
                <w:rFonts w:ascii="宋体" w:hAnsi="宋体" w:cs="宋体"/>
                <w:kern w:val="0"/>
                <w:sz w:val="18"/>
                <w:szCs w:val="18"/>
              </w:rPr>
            </w:pPr>
            <w:r>
              <w:rPr>
                <w:rFonts w:hint="eastAsia" w:ascii="宋体" w:hAnsi="宋体" w:cs="宋体"/>
                <w:kern w:val="0"/>
                <w:sz w:val="18"/>
                <w:szCs w:val="18"/>
              </w:rPr>
              <w:t>41.71</w:t>
            </w:r>
          </w:p>
        </w:tc>
        <w:tc>
          <w:tcPr>
            <w:tcW w:w="854" w:type="dxa"/>
            <w:shd w:val="clear" w:color="auto" w:fill="auto"/>
            <w:noWrap/>
            <w:vAlign w:val="center"/>
          </w:tcPr>
          <w:p w14:paraId="72EF04E3">
            <w:pPr>
              <w:jc w:val="center"/>
              <w:rPr>
                <w:rFonts w:ascii="宋体" w:hAnsi="宋体" w:cs="宋体"/>
                <w:kern w:val="0"/>
                <w:sz w:val="18"/>
                <w:szCs w:val="18"/>
              </w:rPr>
            </w:pPr>
            <w:r>
              <w:rPr>
                <w:rFonts w:hint="eastAsia" w:ascii="宋体" w:hAnsi="宋体" w:cs="宋体"/>
                <w:kern w:val="0"/>
                <w:sz w:val="18"/>
                <w:szCs w:val="18"/>
              </w:rPr>
              <w:t>14.45</w:t>
            </w:r>
          </w:p>
        </w:tc>
        <w:tc>
          <w:tcPr>
            <w:tcW w:w="1489" w:type="dxa"/>
            <w:shd w:val="clear" w:color="auto" w:fill="auto"/>
            <w:noWrap/>
            <w:vAlign w:val="center"/>
          </w:tcPr>
          <w:p w14:paraId="1AB43625">
            <w:pPr>
              <w:widowControl/>
              <w:jc w:val="center"/>
              <w:rPr>
                <w:rFonts w:ascii="宋体" w:hAnsi="宋体" w:cs="宋体"/>
                <w:kern w:val="0"/>
                <w:sz w:val="15"/>
                <w:szCs w:val="15"/>
              </w:rPr>
            </w:pPr>
            <w:r>
              <w:rPr>
                <w:rFonts w:hint="eastAsia" w:ascii="宋体" w:hAnsi="宋体" w:cs="宋体"/>
                <w:kern w:val="0"/>
                <w:sz w:val="15"/>
                <w:szCs w:val="15"/>
              </w:rPr>
              <w:t>——</w:t>
            </w:r>
          </w:p>
        </w:tc>
        <w:tc>
          <w:tcPr>
            <w:tcW w:w="577" w:type="dxa"/>
            <w:shd w:val="clear" w:color="auto" w:fill="auto"/>
            <w:noWrap/>
            <w:vAlign w:val="center"/>
          </w:tcPr>
          <w:p w14:paraId="105A0E6B">
            <w:pPr>
              <w:widowControl/>
              <w:jc w:val="center"/>
              <w:rPr>
                <w:rFonts w:ascii="宋体" w:hAnsi="宋体" w:cs="宋体"/>
                <w:kern w:val="0"/>
                <w:sz w:val="18"/>
                <w:szCs w:val="18"/>
              </w:rPr>
            </w:pPr>
          </w:p>
        </w:tc>
      </w:tr>
      <w:tr w14:paraId="7826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restart"/>
            <w:shd w:val="clear" w:color="auto" w:fill="auto"/>
            <w:noWrap/>
            <w:vAlign w:val="center"/>
          </w:tcPr>
          <w:p w14:paraId="098EC0DB">
            <w:pPr>
              <w:widowControl/>
              <w:jc w:val="center"/>
              <w:rPr>
                <w:rFonts w:ascii="宋体" w:hAnsi="宋体" w:cs="宋体"/>
                <w:kern w:val="0"/>
                <w:sz w:val="18"/>
                <w:szCs w:val="18"/>
              </w:rPr>
            </w:pPr>
            <w:r>
              <w:rPr>
                <w:rFonts w:hint="eastAsia" w:ascii="宋体" w:hAnsi="宋体" w:cs="宋体"/>
                <w:kern w:val="0"/>
                <w:sz w:val="18"/>
                <w:szCs w:val="18"/>
              </w:rPr>
              <w:t>4.旅游</w:t>
            </w:r>
          </w:p>
        </w:tc>
        <w:tc>
          <w:tcPr>
            <w:tcW w:w="3659" w:type="dxa"/>
            <w:shd w:val="clear" w:color="auto" w:fill="auto"/>
            <w:vAlign w:val="center"/>
          </w:tcPr>
          <w:p w14:paraId="4D7EB1FA">
            <w:pPr>
              <w:widowControl/>
              <w:jc w:val="center"/>
              <w:rPr>
                <w:rFonts w:ascii="宋体" w:hAnsi="宋体" w:cs="宋体"/>
                <w:kern w:val="0"/>
                <w:sz w:val="18"/>
                <w:szCs w:val="18"/>
              </w:rPr>
            </w:pPr>
            <w:r>
              <w:rPr>
                <w:rFonts w:hint="eastAsia" w:ascii="宋体" w:hAnsi="宋体" w:cs="宋体"/>
                <w:kern w:val="0"/>
                <w:sz w:val="18"/>
                <w:szCs w:val="18"/>
              </w:rPr>
              <w:t>乌蒙巅峰旅游牯牛山系列项目</w:t>
            </w:r>
          </w:p>
        </w:tc>
        <w:tc>
          <w:tcPr>
            <w:tcW w:w="796" w:type="dxa"/>
            <w:shd w:val="clear" w:color="auto" w:fill="auto"/>
            <w:noWrap/>
            <w:vAlign w:val="center"/>
          </w:tcPr>
          <w:p w14:paraId="3E74642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2969A154">
            <w:pPr>
              <w:widowControl/>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52956F84">
            <w:pPr>
              <w:widowControl/>
              <w:jc w:val="center"/>
              <w:rPr>
                <w:rFonts w:ascii="宋体" w:hAnsi="宋体" w:cs="宋体"/>
                <w:kern w:val="0"/>
                <w:sz w:val="18"/>
                <w:szCs w:val="18"/>
              </w:rPr>
            </w:pPr>
            <w:r>
              <w:rPr>
                <w:rFonts w:hint="eastAsia" w:ascii="宋体" w:hAnsi="宋体" w:cs="宋体"/>
                <w:kern w:val="0"/>
                <w:sz w:val="18"/>
                <w:szCs w:val="18"/>
              </w:rPr>
              <w:t>25.77</w:t>
            </w:r>
          </w:p>
        </w:tc>
        <w:tc>
          <w:tcPr>
            <w:tcW w:w="946" w:type="dxa"/>
            <w:shd w:val="clear" w:color="auto" w:fill="auto"/>
            <w:noWrap/>
            <w:vAlign w:val="center"/>
          </w:tcPr>
          <w:p w14:paraId="04A332E4">
            <w:pPr>
              <w:widowControl/>
              <w:jc w:val="center"/>
              <w:rPr>
                <w:rFonts w:ascii="宋体" w:hAnsi="宋体" w:cs="宋体"/>
                <w:kern w:val="0"/>
                <w:sz w:val="18"/>
                <w:szCs w:val="18"/>
              </w:rPr>
            </w:pPr>
            <w:r>
              <w:rPr>
                <w:rFonts w:hint="eastAsia" w:ascii="宋体" w:hAnsi="宋体" w:cs="宋体"/>
                <w:kern w:val="0"/>
                <w:sz w:val="18"/>
                <w:szCs w:val="18"/>
              </w:rPr>
              <w:t>25.77</w:t>
            </w:r>
          </w:p>
        </w:tc>
        <w:tc>
          <w:tcPr>
            <w:tcW w:w="854" w:type="dxa"/>
            <w:shd w:val="clear" w:color="auto" w:fill="auto"/>
            <w:noWrap/>
            <w:vAlign w:val="center"/>
          </w:tcPr>
          <w:p w14:paraId="31D79A1D">
            <w:pPr>
              <w:widowControl/>
              <w:jc w:val="center"/>
              <w:rPr>
                <w:rFonts w:ascii="宋体" w:hAnsi="宋体" w:cs="宋体"/>
                <w:kern w:val="0"/>
                <w:sz w:val="18"/>
                <w:szCs w:val="18"/>
              </w:rPr>
            </w:pPr>
            <w:r>
              <w:rPr>
                <w:rFonts w:hint="eastAsia" w:ascii="宋体" w:hAnsi="宋体" w:cs="宋体"/>
                <w:kern w:val="0"/>
                <w:sz w:val="18"/>
                <w:szCs w:val="18"/>
              </w:rPr>
              <w:t>2.97</w:t>
            </w:r>
          </w:p>
        </w:tc>
        <w:tc>
          <w:tcPr>
            <w:tcW w:w="1489" w:type="dxa"/>
            <w:shd w:val="clear" w:color="auto" w:fill="auto"/>
            <w:noWrap/>
            <w:vAlign w:val="center"/>
          </w:tcPr>
          <w:p w14:paraId="6009B5FB">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12F95DDA">
            <w:pPr>
              <w:widowControl/>
              <w:jc w:val="center"/>
              <w:rPr>
                <w:rFonts w:ascii="宋体" w:hAnsi="宋体" w:cs="宋体"/>
                <w:kern w:val="0"/>
                <w:sz w:val="18"/>
                <w:szCs w:val="18"/>
              </w:rPr>
            </w:pPr>
          </w:p>
        </w:tc>
      </w:tr>
      <w:tr w14:paraId="3A96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300B110D">
            <w:pPr>
              <w:widowControl/>
              <w:jc w:val="center"/>
              <w:rPr>
                <w:rFonts w:ascii="宋体" w:hAnsi="宋体" w:cs="宋体"/>
                <w:kern w:val="0"/>
                <w:sz w:val="18"/>
                <w:szCs w:val="18"/>
              </w:rPr>
            </w:pPr>
          </w:p>
        </w:tc>
        <w:tc>
          <w:tcPr>
            <w:tcW w:w="3659" w:type="dxa"/>
            <w:shd w:val="clear" w:color="auto" w:fill="auto"/>
            <w:vAlign w:val="center"/>
          </w:tcPr>
          <w:p w14:paraId="79838FF0">
            <w:pPr>
              <w:widowControl/>
              <w:jc w:val="center"/>
              <w:rPr>
                <w:rFonts w:ascii="宋体" w:hAnsi="宋体" w:cs="宋体"/>
                <w:kern w:val="0"/>
                <w:sz w:val="18"/>
                <w:szCs w:val="18"/>
              </w:rPr>
            </w:pPr>
            <w:r>
              <w:rPr>
                <w:rFonts w:hint="eastAsia" w:ascii="宋体" w:hAnsi="宋体" w:cs="宋体"/>
                <w:kern w:val="0"/>
                <w:sz w:val="18"/>
                <w:szCs w:val="18"/>
              </w:rPr>
              <w:t>铜都街道月牙山幸福乡村留住乡愁旅游区</w:t>
            </w:r>
          </w:p>
        </w:tc>
        <w:tc>
          <w:tcPr>
            <w:tcW w:w="796" w:type="dxa"/>
            <w:shd w:val="clear" w:color="auto" w:fill="auto"/>
            <w:noWrap/>
            <w:vAlign w:val="center"/>
          </w:tcPr>
          <w:p w14:paraId="1A903404">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2B140E5E">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699541F6">
            <w:pPr>
              <w:widowControl/>
              <w:jc w:val="center"/>
              <w:rPr>
                <w:rFonts w:ascii="宋体" w:hAnsi="宋体" w:cs="宋体"/>
                <w:kern w:val="0"/>
                <w:sz w:val="18"/>
                <w:szCs w:val="18"/>
              </w:rPr>
            </w:pPr>
            <w:r>
              <w:rPr>
                <w:rFonts w:hint="eastAsia" w:ascii="宋体" w:hAnsi="宋体" w:cs="宋体"/>
                <w:kern w:val="0"/>
                <w:sz w:val="18"/>
                <w:szCs w:val="18"/>
              </w:rPr>
              <w:t>6.05</w:t>
            </w:r>
          </w:p>
        </w:tc>
        <w:tc>
          <w:tcPr>
            <w:tcW w:w="946" w:type="dxa"/>
            <w:shd w:val="clear" w:color="auto" w:fill="auto"/>
            <w:noWrap/>
            <w:vAlign w:val="center"/>
          </w:tcPr>
          <w:p w14:paraId="17DD7565">
            <w:pPr>
              <w:widowControl/>
              <w:jc w:val="center"/>
              <w:rPr>
                <w:rFonts w:ascii="宋体" w:hAnsi="宋体" w:cs="宋体"/>
                <w:kern w:val="0"/>
                <w:sz w:val="18"/>
                <w:szCs w:val="18"/>
              </w:rPr>
            </w:pPr>
            <w:r>
              <w:rPr>
                <w:rFonts w:hint="eastAsia" w:ascii="宋体" w:hAnsi="宋体" w:cs="宋体"/>
                <w:kern w:val="0"/>
                <w:sz w:val="18"/>
                <w:szCs w:val="18"/>
              </w:rPr>
              <w:t>5.63</w:t>
            </w:r>
          </w:p>
        </w:tc>
        <w:tc>
          <w:tcPr>
            <w:tcW w:w="854" w:type="dxa"/>
            <w:shd w:val="clear" w:color="auto" w:fill="auto"/>
            <w:noWrap/>
            <w:vAlign w:val="center"/>
          </w:tcPr>
          <w:p w14:paraId="0AD82ACE">
            <w:pPr>
              <w:widowControl/>
              <w:jc w:val="center"/>
              <w:rPr>
                <w:rFonts w:ascii="宋体" w:hAnsi="宋体" w:cs="宋体"/>
                <w:kern w:val="0"/>
                <w:sz w:val="18"/>
                <w:szCs w:val="18"/>
              </w:rPr>
            </w:pPr>
            <w:r>
              <w:rPr>
                <w:rFonts w:hint="eastAsia" w:ascii="宋体" w:hAnsi="宋体" w:cs="宋体"/>
                <w:kern w:val="0"/>
                <w:sz w:val="18"/>
                <w:szCs w:val="18"/>
              </w:rPr>
              <w:t>2.30</w:t>
            </w:r>
          </w:p>
        </w:tc>
        <w:tc>
          <w:tcPr>
            <w:tcW w:w="1489" w:type="dxa"/>
            <w:shd w:val="clear" w:color="auto" w:fill="auto"/>
            <w:noWrap/>
            <w:vAlign w:val="center"/>
          </w:tcPr>
          <w:p w14:paraId="6E753B1C">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30E375E6">
            <w:pPr>
              <w:widowControl/>
              <w:jc w:val="center"/>
              <w:rPr>
                <w:rFonts w:ascii="宋体" w:hAnsi="宋体" w:cs="宋体"/>
                <w:kern w:val="0"/>
                <w:sz w:val="18"/>
                <w:szCs w:val="18"/>
              </w:rPr>
            </w:pPr>
          </w:p>
        </w:tc>
      </w:tr>
      <w:tr w14:paraId="1996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0A77B5A8">
            <w:pPr>
              <w:widowControl/>
              <w:jc w:val="center"/>
              <w:rPr>
                <w:rFonts w:ascii="宋体" w:hAnsi="宋体" w:cs="宋体"/>
                <w:kern w:val="0"/>
                <w:sz w:val="18"/>
                <w:szCs w:val="18"/>
              </w:rPr>
            </w:pPr>
          </w:p>
        </w:tc>
        <w:tc>
          <w:tcPr>
            <w:tcW w:w="3659" w:type="dxa"/>
            <w:shd w:val="clear" w:color="auto" w:fill="auto"/>
            <w:vAlign w:val="center"/>
          </w:tcPr>
          <w:p w14:paraId="799E0D17">
            <w:pPr>
              <w:widowControl/>
              <w:jc w:val="center"/>
              <w:rPr>
                <w:rFonts w:ascii="宋体" w:hAnsi="宋体" w:cs="宋体"/>
                <w:kern w:val="0"/>
                <w:sz w:val="18"/>
                <w:szCs w:val="18"/>
              </w:rPr>
            </w:pPr>
            <w:r>
              <w:rPr>
                <w:rFonts w:hint="eastAsia" w:ascii="宋体" w:hAnsi="宋体" w:cs="宋体"/>
                <w:kern w:val="0"/>
                <w:sz w:val="18"/>
                <w:szCs w:val="18"/>
              </w:rPr>
              <w:t>东川高峡出平湖旅游区</w:t>
            </w:r>
          </w:p>
        </w:tc>
        <w:tc>
          <w:tcPr>
            <w:tcW w:w="796" w:type="dxa"/>
            <w:shd w:val="clear" w:color="auto" w:fill="auto"/>
            <w:noWrap/>
            <w:vAlign w:val="center"/>
          </w:tcPr>
          <w:p w14:paraId="0E5C72A9">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5706882A">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57048BE9">
            <w:pPr>
              <w:widowControl/>
              <w:jc w:val="center"/>
              <w:rPr>
                <w:rFonts w:ascii="宋体" w:hAnsi="宋体" w:cs="宋体"/>
                <w:kern w:val="0"/>
                <w:sz w:val="18"/>
                <w:szCs w:val="18"/>
              </w:rPr>
            </w:pPr>
            <w:r>
              <w:rPr>
                <w:rFonts w:hint="eastAsia" w:ascii="宋体" w:hAnsi="宋体" w:cs="宋体"/>
                <w:kern w:val="0"/>
                <w:sz w:val="18"/>
                <w:szCs w:val="18"/>
              </w:rPr>
              <w:t>6.67</w:t>
            </w:r>
          </w:p>
        </w:tc>
        <w:tc>
          <w:tcPr>
            <w:tcW w:w="946" w:type="dxa"/>
            <w:shd w:val="clear" w:color="auto" w:fill="auto"/>
            <w:noWrap/>
            <w:vAlign w:val="center"/>
          </w:tcPr>
          <w:p w14:paraId="7B0F6587">
            <w:pPr>
              <w:widowControl/>
              <w:jc w:val="center"/>
              <w:rPr>
                <w:rFonts w:ascii="宋体" w:hAnsi="宋体" w:cs="宋体"/>
                <w:kern w:val="0"/>
                <w:sz w:val="18"/>
                <w:szCs w:val="18"/>
              </w:rPr>
            </w:pPr>
            <w:r>
              <w:rPr>
                <w:rFonts w:hint="eastAsia" w:ascii="宋体" w:hAnsi="宋体" w:cs="宋体"/>
                <w:kern w:val="0"/>
                <w:sz w:val="18"/>
                <w:szCs w:val="18"/>
              </w:rPr>
              <w:t>4.96</w:t>
            </w:r>
          </w:p>
        </w:tc>
        <w:tc>
          <w:tcPr>
            <w:tcW w:w="854" w:type="dxa"/>
            <w:shd w:val="clear" w:color="auto" w:fill="auto"/>
            <w:noWrap/>
            <w:vAlign w:val="center"/>
          </w:tcPr>
          <w:p w14:paraId="2892C6B1">
            <w:pPr>
              <w:widowControl/>
              <w:jc w:val="center"/>
              <w:rPr>
                <w:rFonts w:ascii="宋体" w:hAnsi="宋体" w:cs="宋体"/>
                <w:kern w:val="0"/>
                <w:sz w:val="18"/>
                <w:szCs w:val="18"/>
              </w:rPr>
            </w:pPr>
            <w:r>
              <w:rPr>
                <w:rFonts w:hint="eastAsia" w:ascii="宋体" w:hAnsi="宋体" w:cs="宋体"/>
                <w:kern w:val="0"/>
                <w:sz w:val="18"/>
                <w:szCs w:val="18"/>
              </w:rPr>
              <w:t>3.02</w:t>
            </w:r>
          </w:p>
        </w:tc>
        <w:tc>
          <w:tcPr>
            <w:tcW w:w="1489" w:type="dxa"/>
            <w:shd w:val="clear" w:color="auto" w:fill="auto"/>
            <w:noWrap/>
            <w:vAlign w:val="center"/>
          </w:tcPr>
          <w:p w14:paraId="0CEF3C90">
            <w:pPr>
              <w:widowControl/>
              <w:jc w:val="center"/>
              <w:rPr>
                <w:rFonts w:ascii="宋体" w:hAnsi="宋体" w:cs="宋体"/>
                <w:kern w:val="0"/>
                <w:sz w:val="15"/>
                <w:szCs w:val="15"/>
              </w:rPr>
            </w:pPr>
            <w:r>
              <w:rPr>
                <w:rFonts w:hint="eastAsia" w:ascii="宋体" w:hAnsi="宋体" w:cs="宋体"/>
                <w:kern w:val="0"/>
                <w:sz w:val="15"/>
                <w:szCs w:val="15"/>
              </w:rPr>
              <w:t>拖布卡镇、因民镇</w:t>
            </w:r>
          </w:p>
        </w:tc>
        <w:tc>
          <w:tcPr>
            <w:tcW w:w="577" w:type="dxa"/>
            <w:shd w:val="clear" w:color="auto" w:fill="auto"/>
            <w:noWrap/>
            <w:vAlign w:val="center"/>
          </w:tcPr>
          <w:p w14:paraId="2DE786E9">
            <w:pPr>
              <w:widowControl/>
              <w:jc w:val="center"/>
              <w:rPr>
                <w:rFonts w:ascii="宋体" w:hAnsi="宋体" w:cs="宋体"/>
                <w:kern w:val="0"/>
                <w:sz w:val="18"/>
                <w:szCs w:val="18"/>
              </w:rPr>
            </w:pPr>
          </w:p>
        </w:tc>
      </w:tr>
      <w:tr w14:paraId="79C4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374CA81F">
            <w:pPr>
              <w:widowControl/>
              <w:jc w:val="center"/>
              <w:rPr>
                <w:rFonts w:ascii="宋体" w:hAnsi="宋体" w:cs="宋体"/>
                <w:kern w:val="0"/>
                <w:sz w:val="18"/>
                <w:szCs w:val="18"/>
              </w:rPr>
            </w:pPr>
          </w:p>
        </w:tc>
        <w:tc>
          <w:tcPr>
            <w:tcW w:w="3659" w:type="dxa"/>
            <w:shd w:val="clear" w:color="auto" w:fill="auto"/>
            <w:vAlign w:val="center"/>
          </w:tcPr>
          <w:p w14:paraId="696406EE">
            <w:pPr>
              <w:widowControl/>
              <w:jc w:val="center"/>
              <w:rPr>
                <w:rFonts w:ascii="宋体" w:hAnsi="宋体" w:cs="宋体"/>
                <w:kern w:val="0"/>
                <w:sz w:val="18"/>
                <w:szCs w:val="18"/>
              </w:rPr>
            </w:pPr>
            <w:r>
              <w:rPr>
                <w:rFonts w:hint="eastAsia" w:ascii="宋体" w:hAnsi="宋体" w:cs="宋体"/>
                <w:kern w:val="0"/>
                <w:sz w:val="18"/>
                <w:szCs w:val="18"/>
              </w:rPr>
              <w:t>铜都街道木树朗瓦窑功东高速搬迁安置留住乡愁旅游区</w:t>
            </w:r>
          </w:p>
        </w:tc>
        <w:tc>
          <w:tcPr>
            <w:tcW w:w="796" w:type="dxa"/>
            <w:shd w:val="clear" w:color="auto" w:fill="auto"/>
            <w:noWrap/>
            <w:vAlign w:val="center"/>
          </w:tcPr>
          <w:p w14:paraId="3CCCD781">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2DF4F34E">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6B8862CC">
            <w:pPr>
              <w:widowControl/>
              <w:jc w:val="center"/>
              <w:rPr>
                <w:rFonts w:ascii="宋体" w:hAnsi="宋体" w:cs="宋体"/>
                <w:kern w:val="0"/>
                <w:sz w:val="18"/>
                <w:szCs w:val="18"/>
              </w:rPr>
            </w:pPr>
            <w:r>
              <w:rPr>
                <w:rFonts w:hint="eastAsia" w:ascii="宋体" w:hAnsi="宋体" w:cs="宋体"/>
                <w:kern w:val="0"/>
                <w:sz w:val="18"/>
                <w:szCs w:val="18"/>
              </w:rPr>
              <w:t>4.21</w:t>
            </w:r>
          </w:p>
        </w:tc>
        <w:tc>
          <w:tcPr>
            <w:tcW w:w="946" w:type="dxa"/>
            <w:shd w:val="clear" w:color="auto" w:fill="auto"/>
            <w:noWrap/>
            <w:vAlign w:val="center"/>
          </w:tcPr>
          <w:p w14:paraId="6A260EE6">
            <w:pPr>
              <w:widowControl/>
              <w:jc w:val="center"/>
              <w:rPr>
                <w:rFonts w:ascii="宋体" w:hAnsi="宋体" w:cs="宋体"/>
                <w:kern w:val="0"/>
                <w:sz w:val="18"/>
                <w:szCs w:val="18"/>
              </w:rPr>
            </w:pPr>
            <w:r>
              <w:rPr>
                <w:rFonts w:hint="eastAsia" w:ascii="宋体" w:hAnsi="宋体" w:cs="宋体"/>
                <w:kern w:val="0"/>
                <w:sz w:val="18"/>
                <w:szCs w:val="18"/>
              </w:rPr>
              <w:t>3.02</w:t>
            </w:r>
          </w:p>
        </w:tc>
        <w:tc>
          <w:tcPr>
            <w:tcW w:w="854" w:type="dxa"/>
            <w:shd w:val="clear" w:color="auto" w:fill="auto"/>
            <w:noWrap/>
            <w:vAlign w:val="center"/>
          </w:tcPr>
          <w:p w14:paraId="2E3832F3">
            <w:pPr>
              <w:widowControl/>
              <w:jc w:val="center"/>
              <w:rPr>
                <w:rFonts w:ascii="宋体" w:hAnsi="宋体" w:cs="宋体"/>
                <w:kern w:val="0"/>
                <w:sz w:val="18"/>
                <w:szCs w:val="18"/>
              </w:rPr>
            </w:pPr>
            <w:r>
              <w:rPr>
                <w:rFonts w:hint="eastAsia" w:ascii="宋体" w:hAnsi="宋体" w:cs="宋体"/>
                <w:kern w:val="0"/>
                <w:sz w:val="18"/>
                <w:szCs w:val="18"/>
              </w:rPr>
              <w:t>1.05</w:t>
            </w:r>
          </w:p>
        </w:tc>
        <w:tc>
          <w:tcPr>
            <w:tcW w:w="1489" w:type="dxa"/>
            <w:shd w:val="clear" w:color="auto" w:fill="auto"/>
            <w:noWrap/>
            <w:vAlign w:val="center"/>
          </w:tcPr>
          <w:p w14:paraId="0FCD3E75">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72981666">
            <w:pPr>
              <w:widowControl/>
              <w:jc w:val="center"/>
              <w:rPr>
                <w:rFonts w:ascii="宋体" w:hAnsi="宋体" w:cs="宋体"/>
                <w:kern w:val="0"/>
                <w:sz w:val="18"/>
                <w:szCs w:val="18"/>
              </w:rPr>
            </w:pPr>
          </w:p>
        </w:tc>
      </w:tr>
      <w:tr w14:paraId="2672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249F7E19">
            <w:pPr>
              <w:widowControl/>
              <w:jc w:val="center"/>
              <w:rPr>
                <w:rFonts w:ascii="宋体" w:hAnsi="宋体" w:cs="宋体"/>
                <w:kern w:val="0"/>
                <w:sz w:val="18"/>
                <w:szCs w:val="18"/>
              </w:rPr>
            </w:pPr>
          </w:p>
        </w:tc>
        <w:tc>
          <w:tcPr>
            <w:tcW w:w="3659" w:type="dxa"/>
            <w:shd w:val="clear" w:color="auto" w:fill="auto"/>
            <w:vAlign w:val="center"/>
          </w:tcPr>
          <w:p w14:paraId="25130338">
            <w:pPr>
              <w:widowControl/>
              <w:jc w:val="center"/>
              <w:rPr>
                <w:rFonts w:ascii="宋体" w:hAnsi="宋体" w:cs="宋体"/>
                <w:kern w:val="0"/>
                <w:sz w:val="18"/>
                <w:szCs w:val="18"/>
              </w:rPr>
            </w:pPr>
            <w:r>
              <w:rPr>
                <w:rFonts w:hint="eastAsia" w:ascii="宋体" w:hAnsi="宋体" w:cs="宋体"/>
                <w:kern w:val="0"/>
                <w:sz w:val="18"/>
                <w:szCs w:val="18"/>
              </w:rPr>
              <w:t>乌龙镇东吉金滩温泉</w:t>
            </w:r>
          </w:p>
        </w:tc>
        <w:tc>
          <w:tcPr>
            <w:tcW w:w="796" w:type="dxa"/>
            <w:shd w:val="clear" w:color="auto" w:fill="auto"/>
            <w:noWrap/>
            <w:vAlign w:val="center"/>
          </w:tcPr>
          <w:p w14:paraId="3EFF28EE">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30B32ECE">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568A805D">
            <w:pPr>
              <w:widowControl/>
              <w:jc w:val="center"/>
              <w:rPr>
                <w:rFonts w:ascii="宋体" w:hAnsi="宋体" w:cs="宋体"/>
                <w:kern w:val="0"/>
                <w:sz w:val="18"/>
                <w:szCs w:val="18"/>
              </w:rPr>
            </w:pPr>
            <w:r>
              <w:rPr>
                <w:rFonts w:hint="eastAsia" w:ascii="宋体" w:hAnsi="宋体" w:cs="宋体"/>
                <w:kern w:val="0"/>
                <w:sz w:val="18"/>
                <w:szCs w:val="18"/>
              </w:rPr>
              <w:t>1.33</w:t>
            </w:r>
          </w:p>
        </w:tc>
        <w:tc>
          <w:tcPr>
            <w:tcW w:w="946" w:type="dxa"/>
            <w:shd w:val="clear" w:color="auto" w:fill="auto"/>
            <w:noWrap/>
            <w:vAlign w:val="center"/>
          </w:tcPr>
          <w:p w14:paraId="5C644EE5">
            <w:pPr>
              <w:widowControl/>
              <w:jc w:val="center"/>
              <w:rPr>
                <w:rFonts w:ascii="宋体" w:hAnsi="宋体" w:cs="宋体"/>
                <w:kern w:val="0"/>
                <w:sz w:val="18"/>
                <w:szCs w:val="18"/>
              </w:rPr>
            </w:pPr>
            <w:r>
              <w:rPr>
                <w:rFonts w:hint="eastAsia" w:ascii="宋体" w:hAnsi="宋体" w:cs="宋体"/>
                <w:kern w:val="0"/>
                <w:sz w:val="18"/>
                <w:szCs w:val="18"/>
              </w:rPr>
              <w:t>0.98</w:t>
            </w:r>
          </w:p>
        </w:tc>
        <w:tc>
          <w:tcPr>
            <w:tcW w:w="854" w:type="dxa"/>
            <w:shd w:val="clear" w:color="auto" w:fill="auto"/>
            <w:noWrap/>
            <w:vAlign w:val="center"/>
          </w:tcPr>
          <w:p w14:paraId="604A8B20">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7C8C570E">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33BCB774">
            <w:pPr>
              <w:widowControl/>
              <w:jc w:val="center"/>
              <w:rPr>
                <w:rFonts w:ascii="宋体" w:hAnsi="宋体" w:cs="宋体"/>
                <w:kern w:val="0"/>
                <w:sz w:val="18"/>
                <w:szCs w:val="18"/>
              </w:rPr>
            </w:pPr>
          </w:p>
        </w:tc>
      </w:tr>
      <w:tr w14:paraId="3B95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358E15D9">
            <w:pPr>
              <w:widowControl/>
              <w:jc w:val="center"/>
              <w:rPr>
                <w:rFonts w:ascii="宋体" w:hAnsi="宋体" w:cs="宋体"/>
                <w:kern w:val="0"/>
                <w:sz w:val="18"/>
                <w:szCs w:val="18"/>
              </w:rPr>
            </w:pPr>
          </w:p>
        </w:tc>
        <w:tc>
          <w:tcPr>
            <w:tcW w:w="3659" w:type="dxa"/>
            <w:shd w:val="clear" w:color="auto" w:fill="auto"/>
            <w:vAlign w:val="center"/>
          </w:tcPr>
          <w:p w14:paraId="6888D2B6">
            <w:pPr>
              <w:widowControl/>
              <w:jc w:val="center"/>
              <w:rPr>
                <w:rFonts w:ascii="宋体" w:hAnsi="宋体" w:cs="宋体"/>
                <w:kern w:val="0"/>
                <w:sz w:val="18"/>
                <w:szCs w:val="18"/>
              </w:rPr>
            </w:pPr>
            <w:r>
              <w:rPr>
                <w:rFonts w:hint="eastAsia" w:ascii="宋体" w:hAnsi="宋体" w:cs="宋体"/>
                <w:kern w:val="0"/>
                <w:sz w:val="18"/>
                <w:szCs w:val="18"/>
              </w:rPr>
              <w:t>铜都街道大寨村玉龙温泉</w:t>
            </w:r>
          </w:p>
        </w:tc>
        <w:tc>
          <w:tcPr>
            <w:tcW w:w="796" w:type="dxa"/>
            <w:shd w:val="clear" w:color="auto" w:fill="auto"/>
            <w:noWrap/>
            <w:vAlign w:val="center"/>
          </w:tcPr>
          <w:p w14:paraId="23A200F6">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223FEC0A">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74AE3D9F">
            <w:pPr>
              <w:widowControl/>
              <w:jc w:val="center"/>
              <w:rPr>
                <w:rFonts w:ascii="宋体" w:hAnsi="宋体" w:cs="宋体"/>
                <w:kern w:val="0"/>
                <w:sz w:val="18"/>
                <w:szCs w:val="18"/>
              </w:rPr>
            </w:pPr>
            <w:r>
              <w:rPr>
                <w:rFonts w:hint="eastAsia" w:ascii="宋体" w:hAnsi="宋体" w:cs="宋体"/>
                <w:kern w:val="0"/>
                <w:sz w:val="18"/>
                <w:szCs w:val="18"/>
              </w:rPr>
              <w:t>3.03</w:t>
            </w:r>
          </w:p>
        </w:tc>
        <w:tc>
          <w:tcPr>
            <w:tcW w:w="946" w:type="dxa"/>
            <w:shd w:val="clear" w:color="auto" w:fill="auto"/>
            <w:noWrap/>
            <w:vAlign w:val="center"/>
          </w:tcPr>
          <w:p w14:paraId="515E1BD1">
            <w:pPr>
              <w:widowControl/>
              <w:jc w:val="center"/>
              <w:rPr>
                <w:rFonts w:ascii="宋体" w:hAnsi="宋体" w:cs="宋体"/>
                <w:kern w:val="0"/>
                <w:sz w:val="18"/>
                <w:szCs w:val="18"/>
              </w:rPr>
            </w:pPr>
            <w:r>
              <w:rPr>
                <w:rFonts w:hint="eastAsia" w:ascii="宋体" w:hAnsi="宋体" w:cs="宋体"/>
                <w:kern w:val="0"/>
                <w:sz w:val="18"/>
                <w:szCs w:val="18"/>
              </w:rPr>
              <w:t>1.68</w:t>
            </w:r>
          </w:p>
        </w:tc>
        <w:tc>
          <w:tcPr>
            <w:tcW w:w="854" w:type="dxa"/>
            <w:shd w:val="clear" w:color="auto" w:fill="auto"/>
            <w:noWrap/>
            <w:vAlign w:val="center"/>
          </w:tcPr>
          <w:p w14:paraId="6B47BCAB">
            <w:pPr>
              <w:widowControl/>
              <w:jc w:val="center"/>
              <w:rPr>
                <w:rFonts w:ascii="宋体" w:hAnsi="宋体" w:cs="宋体"/>
                <w:kern w:val="0"/>
                <w:sz w:val="18"/>
                <w:szCs w:val="18"/>
              </w:rPr>
            </w:pPr>
            <w:r>
              <w:rPr>
                <w:rFonts w:hint="eastAsia" w:ascii="宋体" w:hAnsi="宋体" w:cs="宋体"/>
                <w:kern w:val="0"/>
                <w:sz w:val="18"/>
                <w:szCs w:val="18"/>
              </w:rPr>
              <w:t>0.97</w:t>
            </w:r>
          </w:p>
        </w:tc>
        <w:tc>
          <w:tcPr>
            <w:tcW w:w="1489" w:type="dxa"/>
            <w:shd w:val="clear" w:color="auto" w:fill="auto"/>
            <w:noWrap/>
            <w:vAlign w:val="center"/>
          </w:tcPr>
          <w:p w14:paraId="5370E878">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7EE87661">
            <w:pPr>
              <w:widowControl/>
              <w:jc w:val="center"/>
              <w:rPr>
                <w:rFonts w:ascii="宋体" w:hAnsi="宋体" w:cs="宋体"/>
                <w:kern w:val="0"/>
                <w:sz w:val="18"/>
                <w:szCs w:val="18"/>
              </w:rPr>
            </w:pPr>
          </w:p>
        </w:tc>
      </w:tr>
      <w:tr w14:paraId="79C8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7B452D82">
            <w:pPr>
              <w:widowControl/>
              <w:jc w:val="center"/>
              <w:rPr>
                <w:rFonts w:ascii="宋体" w:hAnsi="宋体" w:cs="宋体"/>
                <w:kern w:val="0"/>
                <w:sz w:val="18"/>
                <w:szCs w:val="18"/>
              </w:rPr>
            </w:pPr>
          </w:p>
        </w:tc>
        <w:tc>
          <w:tcPr>
            <w:tcW w:w="3659" w:type="dxa"/>
            <w:shd w:val="clear" w:color="auto" w:fill="auto"/>
            <w:vAlign w:val="center"/>
          </w:tcPr>
          <w:p w14:paraId="34DEBE26">
            <w:pPr>
              <w:widowControl/>
              <w:jc w:val="center"/>
              <w:rPr>
                <w:rFonts w:ascii="宋体" w:hAnsi="宋体" w:cs="宋体"/>
                <w:kern w:val="0"/>
                <w:sz w:val="18"/>
                <w:szCs w:val="18"/>
              </w:rPr>
            </w:pPr>
            <w:r>
              <w:rPr>
                <w:rFonts w:hint="eastAsia" w:ascii="宋体" w:hAnsi="宋体" w:cs="宋体"/>
                <w:kern w:val="0"/>
                <w:sz w:val="18"/>
                <w:szCs w:val="18"/>
              </w:rPr>
              <w:t>铜都街道三江口布依农庄</w:t>
            </w:r>
          </w:p>
        </w:tc>
        <w:tc>
          <w:tcPr>
            <w:tcW w:w="796" w:type="dxa"/>
            <w:shd w:val="clear" w:color="auto" w:fill="auto"/>
            <w:noWrap/>
            <w:vAlign w:val="center"/>
          </w:tcPr>
          <w:p w14:paraId="5B10D9D3">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05E56EBE">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173978C9">
            <w:pPr>
              <w:widowControl/>
              <w:jc w:val="center"/>
              <w:rPr>
                <w:rFonts w:ascii="宋体" w:hAnsi="宋体" w:cs="宋体"/>
                <w:kern w:val="0"/>
                <w:sz w:val="18"/>
                <w:szCs w:val="18"/>
              </w:rPr>
            </w:pPr>
            <w:r>
              <w:rPr>
                <w:rFonts w:hint="eastAsia" w:ascii="宋体" w:hAnsi="宋体" w:cs="宋体"/>
                <w:kern w:val="0"/>
                <w:sz w:val="18"/>
                <w:szCs w:val="18"/>
              </w:rPr>
              <w:t>20</w:t>
            </w:r>
          </w:p>
        </w:tc>
        <w:tc>
          <w:tcPr>
            <w:tcW w:w="946" w:type="dxa"/>
            <w:shd w:val="clear" w:color="auto" w:fill="auto"/>
            <w:noWrap/>
            <w:vAlign w:val="center"/>
          </w:tcPr>
          <w:p w14:paraId="02923F0C">
            <w:pPr>
              <w:widowControl/>
              <w:jc w:val="center"/>
              <w:rPr>
                <w:rFonts w:ascii="宋体" w:hAnsi="宋体" w:cs="宋体"/>
                <w:kern w:val="0"/>
                <w:sz w:val="18"/>
                <w:szCs w:val="18"/>
              </w:rPr>
            </w:pPr>
            <w:r>
              <w:rPr>
                <w:rFonts w:hint="eastAsia" w:ascii="宋体" w:hAnsi="宋体" w:cs="宋体"/>
                <w:kern w:val="0"/>
                <w:sz w:val="18"/>
                <w:szCs w:val="18"/>
              </w:rPr>
              <w:t>16</w:t>
            </w:r>
          </w:p>
        </w:tc>
        <w:tc>
          <w:tcPr>
            <w:tcW w:w="854" w:type="dxa"/>
            <w:shd w:val="clear" w:color="auto" w:fill="auto"/>
            <w:noWrap/>
            <w:vAlign w:val="center"/>
          </w:tcPr>
          <w:p w14:paraId="005337A3">
            <w:pPr>
              <w:widowControl/>
              <w:jc w:val="center"/>
              <w:rPr>
                <w:rFonts w:ascii="宋体" w:hAnsi="宋体" w:cs="宋体"/>
                <w:kern w:val="0"/>
                <w:sz w:val="18"/>
                <w:szCs w:val="18"/>
              </w:rPr>
            </w:pPr>
            <w:r>
              <w:rPr>
                <w:rFonts w:hint="eastAsia" w:ascii="宋体" w:hAnsi="宋体" w:cs="宋体"/>
                <w:kern w:val="0"/>
                <w:sz w:val="18"/>
                <w:szCs w:val="18"/>
              </w:rPr>
              <w:t>3</w:t>
            </w:r>
          </w:p>
        </w:tc>
        <w:tc>
          <w:tcPr>
            <w:tcW w:w="1489" w:type="dxa"/>
            <w:shd w:val="clear" w:color="auto" w:fill="auto"/>
            <w:noWrap/>
            <w:vAlign w:val="center"/>
          </w:tcPr>
          <w:p w14:paraId="0CFF291E">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6DCFC8D7">
            <w:pPr>
              <w:widowControl/>
              <w:jc w:val="center"/>
              <w:rPr>
                <w:rFonts w:ascii="宋体" w:hAnsi="宋体" w:cs="宋体"/>
                <w:kern w:val="0"/>
                <w:sz w:val="18"/>
                <w:szCs w:val="18"/>
              </w:rPr>
            </w:pPr>
          </w:p>
        </w:tc>
      </w:tr>
      <w:tr w14:paraId="3A9D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34D53F1C">
            <w:pPr>
              <w:widowControl/>
              <w:jc w:val="center"/>
              <w:rPr>
                <w:rFonts w:ascii="宋体" w:hAnsi="宋体" w:cs="宋体"/>
                <w:kern w:val="0"/>
                <w:sz w:val="18"/>
                <w:szCs w:val="18"/>
              </w:rPr>
            </w:pPr>
          </w:p>
        </w:tc>
        <w:tc>
          <w:tcPr>
            <w:tcW w:w="3659" w:type="dxa"/>
            <w:shd w:val="clear" w:color="auto" w:fill="auto"/>
            <w:vAlign w:val="center"/>
          </w:tcPr>
          <w:p w14:paraId="214FE78B">
            <w:pPr>
              <w:widowControl/>
              <w:jc w:val="center"/>
              <w:rPr>
                <w:rFonts w:ascii="宋体" w:hAnsi="宋体" w:cs="宋体"/>
                <w:kern w:val="0"/>
                <w:sz w:val="18"/>
                <w:szCs w:val="18"/>
              </w:rPr>
            </w:pPr>
            <w:r>
              <w:rPr>
                <w:rFonts w:hint="eastAsia" w:ascii="宋体" w:hAnsi="宋体" w:cs="宋体"/>
                <w:kern w:val="0"/>
                <w:sz w:val="18"/>
                <w:szCs w:val="18"/>
              </w:rPr>
              <w:t>拖布卡镇补味温泉</w:t>
            </w:r>
          </w:p>
        </w:tc>
        <w:tc>
          <w:tcPr>
            <w:tcW w:w="796" w:type="dxa"/>
            <w:shd w:val="clear" w:color="auto" w:fill="auto"/>
            <w:noWrap/>
            <w:vAlign w:val="center"/>
          </w:tcPr>
          <w:p w14:paraId="2F36D6B8">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4A1511F0">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3EE0FE13">
            <w:pPr>
              <w:widowControl/>
              <w:jc w:val="center"/>
              <w:rPr>
                <w:rFonts w:ascii="宋体" w:hAnsi="宋体" w:cs="宋体"/>
                <w:kern w:val="0"/>
                <w:sz w:val="18"/>
                <w:szCs w:val="18"/>
              </w:rPr>
            </w:pPr>
            <w:r>
              <w:rPr>
                <w:rFonts w:hint="eastAsia" w:ascii="宋体" w:hAnsi="宋体" w:cs="宋体"/>
                <w:kern w:val="0"/>
                <w:sz w:val="18"/>
                <w:szCs w:val="18"/>
              </w:rPr>
              <w:t>1.35</w:t>
            </w:r>
          </w:p>
        </w:tc>
        <w:tc>
          <w:tcPr>
            <w:tcW w:w="946" w:type="dxa"/>
            <w:shd w:val="clear" w:color="auto" w:fill="auto"/>
            <w:noWrap/>
            <w:vAlign w:val="center"/>
          </w:tcPr>
          <w:p w14:paraId="4F7CC01C">
            <w:pPr>
              <w:widowControl/>
              <w:jc w:val="center"/>
              <w:rPr>
                <w:rFonts w:ascii="宋体" w:hAnsi="宋体" w:cs="宋体"/>
                <w:kern w:val="0"/>
                <w:sz w:val="18"/>
                <w:szCs w:val="18"/>
              </w:rPr>
            </w:pPr>
            <w:r>
              <w:rPr>
                <w:rFonts w:hint="eastAsia" w:ascii="宋体" w:hAnsi="宋体" w:cs="宋体"/>
                <w:kern w:val="0"/>
                <w:sz w:val="18"/>
                <w:szCs w:val="18"/>
              </w:rPr>
              <w:t>0.56</w:t>
            </w:r>
          </w:p>
        </w:tc>
        <w:tc>
          <w:tcPr>
            <w:tcW w:w="854" w:type="dxa"/>
            <w:shd w:val="clear" w:color="auto" w:fill="auto"/>
            <w:noWrap/>
            <w:vAlign w:val="center"/>
          </w:tcPr>
          <w:p w14:paraId="05B426B4">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07AC3DEF">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035D825D">
            <w:pPr>
              <w:widowControl/>
              <w:jc w:val="center"/>
              <w:rPr>
                <w:rFonts w:ascii="宋体" w:hAnsi="宋体" w:cs="宋体"/>
                <w:kern w:val="0"/>
                <w:sz w:val="18"/>
                <w:szCs w:val="18"/>
              </w:rPr>
            </w:pPr>
          </w:p>
        </w:tc>
      </w:tr>
      <w:tr w14:paraId="4DCA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4DE846EF">
            <w:pPr>
              <w:widowControl/>
              <w:jc w:val="center"/>
              <w:rPr>
                <w:rFonts w:ascii="宋体" w:hAnsi="宋体" w:cs="宋体"/>
                <w:kern w:val="0"/>
                <w:sz w:val="18"/>
                <w:szCs w:val="18"/>
              </w:rPr>
            </w:pPr>
          </w:p>
        </w:tc>
        <w:tc>
          <w:tcPr>
            <w:tcW w:w="3659" w:type="dxa"/>
            <w:shd w:val="clear" w:color="auto" w:fill="auto"/>
            <w:vAlign w:val="center"/>
          </w:tcPr>
          <w:p w14:paraId="42E079AA">
            <w:pPr>
              <w:widowControl/>
              <w:jc w:val="center"/>
              <w:rPr>
                <w:rFonts w:ascii="宋体" w:hAnsi="宋体" w:cs="宋体"/>
                <w:kern w:val="0"/>
                <w:sz w:val="18"/>
                <w:szCs w:val="18"/>
              </w:rPr>
            </w:pPr>
            <w:r>
              <w:rPr>
                <w:rFonts w:hint="eastAsia" w:ascii="宋体" w:hAnsi="宋体" w:cs="宋体"/>
                <w:kern w:val="0"/>
                <w:sz w:val="18"/>
                <w:szCs w:val="18"/>
              </w:rPr>
              <w:t>箐口村乌蒙山庄</w:t>
            </w:r>
          </w:p>
        </w:tc>
        <w:tc>
          <w:tcPr>
            <w:tcW w:w="796" w:type="dxa"/>
            <w:shd w:val="clear" w:color="auto" w:fill="auto"/>
            <w:noWrap/>
            <w:vAlign w:val="center"/>
          </w:tcPr>
          <w:p w14:paraId="5B18EC37">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0E633B05">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574329A5">
            <w:pPr>
              <w:widowControl/>
              <w:jc w:val="center"/>
              <w:rPr>
                <w:rFonts w:ascii="宋体" w:hAnsi="宋体" w:cs="宋体"/>
                <w:kern w:val="0"/>
                <w:sz w:val="18"/>
                <w:szCs w:val="18"/>
              </w:rPr>
            </w:pPr>
            <w:r>
              <w:rPr>
                <w:rFonts w:hint="eastAsia" w:ascii="宋体" w:hAnsi="宋体" w:cs="宋体"/>
                <w:kern w:val="0"/>
                <w:sz w:val="18"/>
                <w:szCs w:val="18"/>
              </w:rPr>
              <w:t>0.4</w:t>
            </w:r>
          </w:p>
        </w:tc>
        <w:tc>
          <w:tcPr>
            <w:tcW w:w="946" w:type="dxa"/>
            <w:shd w:val="clear" w:color="auto" w:fill="auto"/>
            <w:noWrap/>
            <w:vAlign w:val="center"/>
          </w:tcPr>
          <w:p w14:paraId="61624AEF">
            <w:pPr>
              <w:widowControl/>
              <w:jc w:val="center"/>
              <w:rPr>
                <w:rFonts w:ascii="宋体" w:hAnsi="宋体" w:cs="宋体"/>
                <w:kern w:val="0"/>
                <w:sz w:val="18"/>
                <w:szCs w:val="18"/>
              </w:rPr>
            </w:pPr>
            <w:r>
              <w:rPr>
                <w:rFonts w:hint="eastAsia" w:ascii="宋体" w:hAnsi="宋体" w:cs="宋体"/>
                <w:kern w:val="0"/>
                <w:sz w:val="18"/>
                <w:szCs w:val="18"/>
              </w:rPr>
              <w:t>0.4</w:t>
            </w:r>
          </w:p>
        </w:tc>
        <w:tc>
          <w:tcPr>
            <w:tcW w:w="854" w:type="dxa"/>
            <w:shd w:val="clear" w:color="auto" w:fill="auto"/>
            <w:noWrap/>
            <w:vAlign w:val="center"/>
          </w:tcPr>
          <w:p w14:paraId="22C168FA">
            <w:pPr>
              <w:widowControl/>
              <w:jc w:val="center"/>
              <w:rPr>
                <w:rFonts w:ascii="宋体" w:hAnsi="宋体" w:cs="宋体"/>
                <w:kern w:val="0"/>
                <w:sz w:val="18"/>
                <w:szCs w:val="18"/>
              </w:rPr>
            </w:pPr>
            <w:r>
              <w:rPr>
                <w:rFonts w:hint="eastAsia" w:ascii="宋体" w:hAnsi="宋体" w:cs="宋体"/>
                <w:kern w:val="0"/>
                <w:sz w:val="18"/>
                <w:szCs w:val="18"/>
              </w:rPr>
              <w:t>0.4</w:t>
            </w:r>
          </w:p>
        </w:tc>
        <w:tc>
          <w:tcPr>
            <w:tcW w:w="1489" w:type="dxa"/>
            <w:shd w:val="clear" w:color="auto" w:fill="auto"/>
            <w:noWrap/>
            <w:vAlign w:val="center"/>
          </w:tcPr>
          <w:p w14:paraId="45E1CE94">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75C86742">
            <w:pPr>
              <w:widowControl/>
              <w:jc w:val="center"/>
              <w:rPr>
                <w:rFonts w:ascii="宋体" w:hAnsi="宋体" w:cs="宋体"/>
                <w:kern w:val="0"/>
                <w:sz w:val="18"/>
                <w:szCs w:val="18"/>
              </w:rPr>
            </w:pPr>
          </w:p>
        </w:tc>
      </w:tr>
      <w:tr w14:paraId="245F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7451E84E">
            <w:pPr>
              <w:widowControl/>
              <w:jc w:val="center"/>
              <w:rPr>
                <w:rFonts w:ascii="宋体" w:hAnsi="宋体" w:cs="宋体"/>
                <w:kern w:val="0"/>
                <w:sz w:val="18"/>
                <w:szCs w:val="18"/>
              </w:rPr>
            </w:pPr>
          </w:p>
        </w:tc>
        <w:tc>
          <w:tcPr>
            <w:tcW w:w="3659" w:type="dxa"/>
            <w:shd w:val="clear" w:color="auto" w:fill="auto"/>
            <w:vAlign w:val="center"/>
          </w:tcPr>
          <w:p w14:paraId="3CB59DAA">
            <w:pPr>
              <w:widowControl/>
              <w:jc w:val="center"/>
              <w:rPr>
                <w:rFonts w:ascii="宋体" w:hAnsi="宋体" w:cs="宋体"/>
                <w:kern w:val="0"/>
                <w:sz w:val="18"/>
                <w:szCs w:val="18"/>
              </w:rPr>
            </w:pPr>
            <w:r>
              <w:rPr>
                <w:rFonts w:hint="eastAsia" w:ascii="宋体" w:hAnsi="宋体" w:cs="宋体"/>
                <w:kern w:val="0"/>
                <w:sz w:val="18"/>
                <w:szCs w:val="18"/>
              </w:rPr>
              <w:t>乌龙镇坝塘村乡村旅游开发项目建设用地</w:t>
            </w:r>
          </w:p>
        </w:tc>
        <w:tc>
          <w:tcPr>
            <w:tcW w:w="796" w:type="dxa"/>
            <w:shd w:val="clear" w:color="auto" w:fill="auto"/>
            <w:noWrap/>
            <w:vAlign w:val="center"/>
          </w:tcPr>
          <w:p w14:paraId="098BB58B">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5012FDE0">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671E3E4E">
            <w:pPr>
              <w:widowControl/>
              <w:jc w:val="center"/>
              <w:rPr>
                <w:rFonts w:ascii="宋体" w:hAnsi="宋体" w:cs="宋体"/>
                <w:kern w:val="0"/>
                <w:sz w:val="18"/>
                <w:szCs w:val="18"/>
              </w:rPr>
            </w:pPr>
            <w:r>
              <w:rPr>
                <w:rFonts w:hint="eastAsia" w:ascii="宋体" w:hAnsi="宋体" w:cs="宋体"/>
                <w:kern w:val="0"/>
                <w:sz w:val="18"/>
                <w:szCs w:val="18"/>
              </w:rPr>
              <w:t>1.04</w:t>
            </w:r>
          </w:p>
        </w:tc>
        <w:tc>
          <w:tcPr>
            <w:tcW w:w="946" w:type="dxa"/>
            <w:shd w:val="clear" w:color="auto" w:fill="auto"/>
            <w:noWrap/>
            <w:vAlign w:val="center"/>
          </w:tcPr>
          <w:p w14:paraId="51B60B13">
            <w:pPr>
              <w:widowControl/>
              <w:jc w:val="center"/>
              <w:rPr>
                <w:rFonts w:ascii="宋体" w:hAnsi="宋体" w:cs="宋体"/>
                <w:kern w:val="0"/>
                <w:sz w:val="18"/>
                <w:szCs w:val="18"/>
              </w:rPr>
            </w:pPr>
            <w:r>
              <w:rPr>
                <w:rFonts w:hint="eastAsia" w:ascii="宋体" w:hAnsi="宋体" w:cs="宋体"/>
                <w:kern w:val="0"/>
                <w:sz w:val="18"/>
                <w:szCs w:val="18"/>
              </w:rPr>
              <w:t>0.98</w:t>
            </w:r>
          </w:p>
        </w:tc>
        <w:tc>
          <w:tcPr>
            <w:tcW w:w="854" w:type="dxa"/>
            <w:shd w:val="clear" w:color="auto" w:fill="auto"/>
            <w:noWrap/>
            <w:vAlign w:val="center"/>
          </w:tcPr>
          <w:p w14:paraId="25589CB8">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0F5AF3F0">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665C5BCE">
            <w:pPr>
              <w:widowControl/>
              <w:jc w:val="center"/>
              <w:rPr>
                <w:rFonts w:ascii="宋体" w:hAnsi="宋体" w:cs="宋体"/>
                <w:kern w:val="0"/>
                <w:sz w:val="18"/>
                <w:szCs w:val="18"/>
              </w:rPr>
            </w:pPr>
          </w:p>
        </w:tc>
      </w:tr>
      <w:tr w14:paraId="4313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4FC04338">
            <w:pPr>
              <w:widowControl/>
              <w:jc w:val="center"/>
              <w:rPr>
                <w:rFonts w:ascii="宋体" w:hAnsi="宋体" w:cs="宋体"/>
                <w:kern w:val="0"/>
                <w:sz w:val="18"/>
                <w:szCs w:val="18"/>
              </w:rPr>
            </w:pPr>
          </w:p>
        </w:tc>
        <w:tc>
          <w:tcPr>
            <w:tcW w:w="3659" w:type="dxa"/>
            <w:shd w:val="clear" w:color="auto" w:fill="auto"/>
            <w:vAlign w:val="center"/>
          </w:tcPr>
          <w:p w14:paraId="2B2927DD">
            <w:pPr>
              <w:widowControl/>
              <w:jc w:val="center"/>
              <w:rPr>
                <w:rFonts w:ascii="宋体" w:hAnsi="宋体" w:cs="宋体"/>
                <w:kern w:val="0"/>
                <w:sz w:val="18"/>
                <w:szCs w:val="18"/>
              </w:rPr>
            </w:pPr>
            <w:r>
              <w:rPr>
                <w:rFonts w:hint="eastAsia" w:ascii="宋体" w:hAnsi="宋体" w:cs="宋体"/>
                <w:kern w:val="0"/>
                <w:sz w:val="18"/>
                <w:szCs w:val="18"/>
              </w:rPr>
              <w:t>云南文投集团东川合作协议系列项目</w:t>
            </w:r>
          </w:p>
        </w:tc>
        <w:tc>
          <w:tcPr>
            <w:tcW w:w="796" w:type="dxa"/>
            <w:shd w:val="clear" w:color="auto" w:fill="auto"/>
            <w:noWrap/>
            <w:vAlign w:val="center"/>
          </w:tcPr>
          <w:p w14:paraId="72383B3C">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6FAB94E7">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6FF6298E">
            <w:pPr>
              <w:widowControl/>
              <w:jc w:val="center"/>
              <w:rPr>
                <w:rFonts w:ascii="宋体" w:hAnsi="宋体" w:cs="宋体"/>
                <w:kern w:val="0"/>
                <w:sz w:val="18"/>
                <w:szCs w:val="18"/>
              </w:rPr>
            </w:pPr>
            <w:r>
              <w:rPr>
                <w:rFonts w:hint="eastAsia" w:ascii="宋体" w:hAnsi="宋体" w:cs="宋体"/>
                <w:kern w:val="0"/>
                <w:sz w:val="18"/>
                <w:szCs w:val="18"/>
              </w:rPr>
              <w:t>6.67</w:t>
            </w:r>
          </w:p>
        </w:tc>
        <w:tc>
          <w:tcPr>
            <w:tcW w:w="946" w:type="dxa"/>
            <w:shd w:val="clear" w:color="auto" w:fill="auto"/>
            <w:noWrap/>
            <w:vAlign w:val="center"/>
          </w:tcPr>
          <w:p w14:paraId="6E5C71CA">
            <w:pPr>
              <w:widowControl/>
              <w:jc w:val="center"/>
              <w:rPr>
                <w:rFonts w:ascii="宋体" w:hAnsi="宋体" w:cs="宋体"/>
                <w:kern w:val="0"/>
                <w:sz w:val="18"/>
                <w:szCs w:val="18"/>
              </w:rPr>
            </w:pPr>
            <w:r>
              <w:rPr>
                <w:rFonts w:hint="eastAsia" w:ascii="宋体" w:hAnsi="宋体" w:cs="宋体"/>
                <w:kern w:val="0"/>
                <w:sz w:val="18"/>
                <w:szCs w:val="18"/>
              </w:rPr>
              <w:t>3.46</w:t>
            </w:r>
          </w:p>
        </w:tc>
        <w:tc>
          <w:tcPr>
            <w:tcW w:w="854" w:type="dxa"/>
            <w:shd w:val="clear" w:color="auto" w:fill="auto"/>
            <w:noWrap/>
            <w:vAlign w:val="center"/>
          </w:tcPr>
          <w:p w14:paraId="1D3502CC">
            <w:pPr>
              <w:widowControl/>
              <w:jc w:val="center"/>
              <w:rPr>
                <w:rFonts w:ascii="宋体" w:hAnsi="宋体" w:cs="宋体"/>
                <w:kern w:val="0"/>
                <w:sz w:val="18"/>
                <w:szCs w:val="18"/>
              </w:rPr>
            </w:pPr>
            <w:r>
              <w:rPr>
                <w:rFonts w:hint="eastAsia" w:ascii="宋体" w:hAnsi="宋体" w:cs="宋体"/>
                <w:kern w:val="0"/>
                <w:sz w:val="18"/>
                <w:szCs w:val="18"/>
              </w:rPr>
              <w:t>1.45</w:t>
            </w:r>
          </w:p>
        </w:tc>
        <w:tc>
          <w:tcPr>
            <w:tcW w:w="1489" w:type="dxa"/>
            <w:shd w:val="clear" w:color="auto" w:fill="auto"/>
            <w:noWrap/>
            <w:vAlign w:val="center"/>
          </w:tcPr>
          <w:p w14:paraId="3911B411">
            <w:pPr>
              <w:widowControl/>
              <w:jc w:val="center"/>
              <w:rPr>
                <w:rFonts w:ascii="宋体" w:hAnsi="宋体" w:cs="宋体"/>
                <w:kern w:val="0"/>
                <w:sz w:val="15"/>
                <w:szCs w:val="15"/>
              </w:rPr>
            </w:pPr>
            <w:r>
              <w:rPr>
                <w:rFonts w:hint="eastAsia" w:ascii="宋体" w:hAnsi="宋体" w:cs="宋体"/>
                <w:kern w:val="0"/>
                <w:sz w:val="15"/>
                <w:szCs w:val="15"/>
              </w:rPr>
              <w:t>东川区全区范围</w:t>
            </w:r>
          </w:p>
        </w:tc>
        <w:tc>
          <w:tcPr>
            <w:tcW w:w="577" w:type="dxa"/>
            <w:shd w:val="clear" w:color="auto" w:fill="auto"/>
            <w:noWrap/>
            <w:vAlign w:val="center"/>
          </w:tcPr>
          <w:p w14:paraId="79B6BF04">
            <w:pPr>
              <w:widowControl/>
              <w:jc w:val="center"/>
              <w:rPr>
                <w:rFonts w:ascii="宋体" w:hAnsi="宋体" w:cs="宋体"/>
                <w:kern w:val="0"/>
                <w:sz w:val="18"/>
                <w:szCs w:val="18"/>
              </w:rPr>
            </w:pPr>
          </w:p>
        </w:tc>
      </w:tr>
      <w:tr w14:paraId="1D36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795F84CA">
            <w:pPr>
              <w:widowControl/>
              <w:jc w:val="center"/>
              <w:rPr>
                <w:rFonts w:ascii="宋体" w:hAnsi="宋体" w:cs="宋体"/>
                <w:kern w:val="0"/>
                <w:sz w:val="18"/>
                <w:szCs w:val="18"/>
              </w:rPr>
            </w:pPr>
          </w:p>
        </w:tc>
        <w:tc>
          <w:tcPr>
            <w:tcW w:w="3659" w:type="dxa"/>
            <w:shd w:val="clear" w:color="auto" w:fill="auto"/>
            <w:vAlign w:val="center"/>
          </w:tcPr>
          <w:p w14:paraId="19CA903D">
            <w:pPr>
              <w:widowControl/>
              <w:jc w:val="center"/>
              <w:rPr>
                <w:rFonts w:ascii="宋体" w:hAnsi="宋体" w:cs="宋体"/>
                <w:kern w:val="0"/>
                <w:sz w:val="18"/>
                <w:szCs w:val="18"/>
              </w:rPr>
            </w:pPr>
            <w:r>
              <w:rPr>
                <w:rFonts w:hint="eastAsia" w:ascii="宋体" w:hAnsi="宋体" w:cs="宋体"/>
                <w:kern w:val="0"/>
                <w:sz w:val="18"/>
                <w:szCs w:val="18"/>
              </w:rPr>
              <w:t>云南玺丰生态旅游农庄项目</w:t>
            </w:r>
          </w:p>
        </w:tc>
        <w:tc>
          <w:tcPr>
            <w:tcW w:w="796" w:type="dxa"/>
            <w:shd w:val="clear" w:color="auto" w:fill="auto"/>
            <w:noWrap/>
            <w:vAlign w:val="center"/>
          </w:tcPr>
          <w:p w14:paraId="5C56355E">
            <w:pPr>
              <w:jc w:val="center"/>
              <w:rPr>
                <w:rFonts w:ascii="宋体" w:hAnsi="宋体" w:cs="宋体"/>
                <w:sz w:val="20"/>
                <w:szCs w:val="20"/>
              </w:rPr>
            </w:pPr>
            <w:r>
              <w:rPr>
                <w:rFonts w:hint="eastAsia"/>
                <w:sz w:val="20"/>
                <w:szCs w:val="20"/>
              </w:rPr>
              <w:t>新建</w:t>
            </w:r>
          </w:p>
        </w:tc>
        <w:tc>
          <w:tcPr>
            <w:tcW w:w="1206" w:type="dxa"/>
            <w:shd w:val="clear" w:color="auto" w:fill="auto"/>
            <w:noWrap/>
            <w:vAlign w:val="center"/>
          </w:tcPr>
          <w:p w14:paraId="7DFEBC06">
            <w:pPr>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33F84361">
            <w:pPr>
              <w:widowControl/>
              <w:jc w:val="center"/>
              <w:rPr>
                <w:rFonts w:ascii="宋体" w:hAnsi="宋体" w:cs="宋体"/>
                <w:kern w:val="0"/>
                <w:sz w:val="18"/>
                <w:szCs w:val="18"/>
              </w:rPr>
            </w:pPr>
            <w:r>
              <w:rPr>
                <w:rFonts w:hint="eastAsia" w:ascii="宋体" w:hAnsi="宋体" w:cs="宋体"/>
                <w:kern w:val="0"/>
                <w:sz w:val="18"/>
                <w:szCs w:val="18"/>
              </w:rPr>
              <w:t>1.23</w:t>
            </w:r>
          </w:p>
        </w:tc>
        <w:tc>
          <w:tcPr>
            <w:tcW w:w="946" w:type="dxa"/>
            <w:shd w:val="clear" w:color="auto" w:fill="auto"/>
            <w:noWrap/>
            <w:vAlign w:val="center"/>
          </w:tcPr>
          <w:p w14:paraId="2BD30F46">
            <w:pPr>
              <w:widowControl/>
              <w:jc w:val="center"/>
              <w:rPr>
                <w:rFonts w:ascii="宋体" w:hAnsi="宋体" w:cs="宋体"/>
                <w:kern w:val="0"/>
                <w:sz w:val="18"/>
                <w:szCs w:val="18"/>
              </w:rPr>
            </w:pPr>
            <w:r>
              <w:rPr>
                <w:rFonts w:hint="eastAsia" w:ascii="宋体" w:hAnsi="宋体" w:cs="宋体"/>
                <w:kern w:val="0"/>
                <w:sz w:val="18"/>
                <w:szCs w:val="18"/>
              </w:rPr>
              <w:t>0</w:t>
            </w:r>
          </w:p>
        </w:tc>
        <w:tc>
          <w:tcPr>
            <w:tcW w:w="854" w:type="dxa"/>
            <w:shd w:val="clear" w:color="auto" w:fill="auto"/>
            <w:noWrap/>
            <w:vAlign w:val="center"/>
          </w:tcPr>
          <w:p w14:paraId="113CD05B">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0C8B068F">
            <w:pPr>
              <w:widowControl/>
              <w:jc w:val="center"/>
              <w:rPr>
                <w:rFonts w:ascii="宋体" w:hAnsi="宋体" w:cs="宋体"/>
                <w:kern w:val="0"/>
                <w:sz w:val="15"/>
                <w:szCs w:val="15"/>
              </w:rPr>
            </w:pPr>
            <w:r>
              <w:rPr>
                <w:rFonts w:hint="eastAsia" w:ascii="宋体" w:hAnsi="宋体" w:cs="宋体"/>
                <w:kern w:val="0"/>
                <w:sz w:val="15"/>
                <w:szCs w:val="15"/>
              </w:rPr>
              <w:t>阿旺镇</w:t>
            </w:r>
          </w:p>
        </w:tc>
        <w:tc>
          <w:tcPr>
            <w:tcW w:w="577" w:type="dxa"/>
            <w:shd w:val="clear" w:color="auto" w:fill="auto"/>
            <w:noWrap/>
            <w:vAlign w:val="center"/>
          </w:tcPr>
          <w:p w14:paraId="6064DD19">
            <w:pPr>
              <w:widowControl/>
              <w:jc w:val="center"/>
              <w:rPr>
                <w:rFonts w:ascii="宋体" w:hAnsi="宋体" w:cs="宋体"/>
                <w:kern w:val="0"/>
                <w:sz w:val="18"/>
                <w:szCs w:val="18"/>
              </w:rPr>
            </w:pPr>
          </w:p>
        </w:tc>
      </w:tr>
      <w:tr w14:paraId="7F8B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34ED50C3">
            <w:pPr>
              <w:widowControl/>
              <w:jc w:val="center"/>
              <w:rPr>
                <w:rFonts w:ascii="宋体" w:hAnsi="宋体" w:cs="宋体"/>
                <w:kern w:val="0"/>
                <w:sz w:val="18"/>
                <w:szCs w:val="18"/>
              </w:rPr>
            </w:pPr>
          </w:p>
        </w:tc>
        <w:tc>
          <w:tcPr>
            <w:tcW w:w="3659" w:type="dxa"/>
            <w:shd w:val="clear" w:color="auto" w:fill="auto"/>
            <w:vAlign w:val="center"/>
          </w:tcPr>
          <w:p w14:paraId="4F98E07F">
            <w:pPr>
              <w:widowControl/>
              <w:jc w:val="center"/>
              <w:rPr>
                <w:rFonts w:ascii="宋体" w:hAnsi="宋体" w:cs="宋体"/>
                <w:kern w:val="0"/>
                <w:sz w:val="18"/>
                <w:szCs w:val="18"/>
              </w:rPr>
            </w:pPr>
            <w:r>
              <w:rPr>
                <w:rFonts w:hint="eastAsia" w:ascii="宋体" w:hAnsi="宋体" w:cs="宋体"/>
                <w:kern w:val="0"/>
                <w:sz w:val="18"/>
                <w:szCs w:val="18"/>
              </w:rPr>
              <w:t>新碳房村窑山圣洁冰雪园地</w:t>
            </w:r>
          </w:p>
        </w:tc>
        <w:tc>
          <w:tcPr>
            <w:tcW w:w="796" w:type="dxa"/>
            <w:shd w:val="clear" w:color="auto" w:fill="auto"/>
            <w:noWrap/>
            <w:vAlign w:val="center"/>
          </w:tcPr>
          <w:p w14:paraId="4E5C71FD">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27AC0A09">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25892D1D">
            <w:pPr>
              <w:widowControl/>
              <w:jc w:val="center"/>
              <w:rPr>
                <w:rFonts w:ascii="宋体" w:hAnsi="宋体" w:cs="宋体"/>
                <w:kern w:val="0"/>
                <w:sz w:val="18"/>
                <w:szCs w:val="18"/>
              </w:rPr>
            </w:pPr>
            <w:r>
              <w:rPr>
                <w:rFonts w:hint="eastAsia" w:ascii="宋体" w:hAnsi="宋体" w:cs="宋体"/>
                <w:kern w:val="0"/>
                <w:sz w:val="18"/>
                <w:szCs w:val="18"/>
              </w:rPr>
              <w:t xml:space="preserve">2.91 </w:t>
            </w:r>
          </w:p>
        </w:tc>
        <w:tc>
          <w:tcPr>
            <w:tcW w:w="946" w:type="dxa"/>
            <w:shd w:val="clear" w:color="auto" w:fill="auto"/>
            <w:noWrap/>
            <w:vAlign w:val="center"/>
          </w:tcPr>
          <w:p w14:paraId="6C37D920">
            <w:pPr>
              <w:widowControl/>
              <w:jc w:val="center"/>
              <w:rPr>
                <w:rFonts w:ascii="宋体" w:hAnsi="宋体" w:cs="宋体"/>
                <w:kern w:val="0"/>
                <w:sz w:val="18"/>
                <w:szCs w:val="18"/>
              </w:rPr>
            </w:pPr>
            <w:r>
              <w:rPr>
                <w:rFonts w:hint="eastAsia" w:ascii="宋体" w:hAnsi="宋体" w:cs="宋体"/>
                <w:kern w:val="0"/>
                <w:sz w:val="18"/>
                <w:szCs w:val="18"/>
              </w:rPr>
              <w:t xml:space="preserve">2.91 </w:t>
            </w:r>
          </w:p>
        </w:tc>
        <w:tc>
          <w:tcPr>
            <w:tcW w:w="854" w:type="dxa"/>
            <w:shd w:val="clear" w:color="auto" w:fill="auto"/>
            <w:noWrap/>
            <w:vAlign w:val="center"/>
          </w:tcPr>
          <w:p w14:paraId="48DC6994">
            <w:pPr>
              <w:widowControl/>
              <w:jc w:val="center"/>
              <w:rPr>
                <w:rFonts w:ascii="宋体" w:hAnsi="宋体" w:cs="宋体"/>
                <w:kern w:val="0"/>
                <w:sz w:val="18"/>
                <w:szCs w:val="18"/>
              </w:rPr>
            </w:pPr>
            <w:r>
              <w:rPr>
                <w:rFonts w:hint="eastAsia" w:ascii="宋体" w:hAnsi="宋体" w:cs="宋体"/>
                <w:kern w:val="0"/>
                <w:sz w:val="18"/>
                <w:szCs w:val="18"/>
              </w:rPr>
              <w:t xml:space="preserve">2.33 </w:t>
            </w:r>
          </w:p>
        </w:tc>
        <w:tc>
          <w:tcPr>
            <w:tcW w:w="1489" w:type="dxa"/>
            <w:shd w:val="clear" w:color="auto" w:fill="auto"/>
            <w:noWrap/>
            <w:vAlign w:val="center"/>
          </w:tcPr>
          <w:p w14:paraId="3CE9E82E">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7378FA96">
            <w:pPr>
              <w:widowControl/>
              <w:jc w:val="center"/>
              <w:rPr>
                <w:rFonts w:ascii="宋体" w:hAnsi="宋体" w:cs="宋体"/>
                <w:kern w:val="0"/>
                <w:sz w:val="18"/>
                <w:szCs w:val="18"/>
              </w:rPr>
            </w:pPr>
          </w:p>
        </w:tc>
      </w:tr>
      <w:tr w14:paraId="39B4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390FE8C9">
            <w:pPr>
              <w:widowControl/>
              <w:jc w:val="center"/>
              <w:rPr>
                <w:rFonts w:ascii="宋体" w:hAnsi="宋体" w:cs="宋体"/>
                <w:kern w:val="0"/>
                <w:sz w:val="18"/>
                <w:szCs w:val="18"/>
              </w:rPr>
            </w:pPr>
          </w:p>
        </w:tc>
        <w:tc>
          <w:tcPr>
            <w:tcW w:w="3659" w:type="dxa"/>
            <w:shd w:val="clear" w:color="auto" w:fill="auto"/>
            <w:vAlign w:val="center"/>
          </w:tcPr>
          <w:p w14:paraId="6785AC5B">
            <w:pPr>
              <w:widowControl/>
              <w:jc w:val="center"/>
              <w:rPr>
                <w:rFonts w:ascii="宋体" w:hAnsi="宋体" w:cs="宋体"/>
                <w:kern w:val="0"/>
                <w:sz w:val="18"/>
                <w:szCs w:val="18"/>
              </w:rPr>
            </w:pPr>
            <w:r>
              <w:rPr>
                <w:rFonts w:hint="eastAsia" w:ascii="宋体" w:hAnsi="宋体" w:cs="宋体"/>
                <w:kern w:val="0"/>
                <w:sz w:val="18"/>
                <w:szCs w:val="18"/>
              </w:rPr>
              <w:t>大厂原始森林乐尼白探险秘境</w:t>
            </w:r>
          </w:p>
        </w:tc>
        <w:tc>
          <w:tcPr>
            <w:tcW w:w="796" w:type="dxa"/>
            <w:shd w:val="clear" w:color="auto" w:fill="auto"/>
            <w:noWrap/>
            <w:vAlign w:val="center"/>
          </w:tcPr>
          <w:p w14:paraId="0AF3638A">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2C47E036">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5744C238">
            <w:pPr>
              <w:widowControl/>
              <w:jc w:val="center"/>
              <w:rPr>
                <w:rFonts w:ascii="宋体" w:hAnsi="宋体" w:cs="宋体"/>
                <w:kern w:val="0"/>
                <w:sz w:val="18"/>
                <w:szCs w:val="18"/>
              </w:rPr>
            </w:pPr>
            <w:r>
              <w:rPr>
                <w:rFonts w:hint="eastAsia" w:ascii="宋体" w:hAnsi="宋体" w:cs="宋体"/>
                <w:kern w:val="0"/>
                <w:sz w:val="18"/>
                <w:szCs w:val="18"/>
              </w:rPr>
              <w:t xml:space="preserve">5.47 </w:t>
            </w:r>
          </w:p>
        </w:tc>
        <w:tc>
          <w:tcPr>
            <w:tcW w:w="946" w:type="dxa"/>
            <w:shd w:val="clear" w:color="auto" w:fill="auto"/>
            <w:noWrap/>
            <w:vAlign w:val="center"/>
          </w:tcPr>
          <w:p w14:paraId="1629D974">
            <w:pPr>
              <w:widowControl/>
              <w:jc w:val="center"/>
              <w:rPr>
                <w:rFonts w:ascii="宋体" w:hAnsi="宋体" w:cs="宋体"/>
                <w:kern w:val="0"/>
                <w:sz w:val="18"/>
                <w:szCs w:val="18"/>
              </w:rPr>
            </w:pPr>
            <w:r>
              <w:rPr>
                <w:rFonts w:hint="eastAsia" w:ascii="宋体" w:hAnsi="宋体" w:cs="宋体"/>
                <w:kern w:val="0"/>
                <w:sz w:val="18"/>
                <w:szCs w:val="18"/>
              </w:rPr>
              <w:t xml:space="preserve">5.47 </w:t>
            </w:r>
          </w:p>
        </w:tc>
        <w:tc>
          <w:tcPr>
            <w:tcW w:w="854" w:type="dxa"/>
            <w:shd w:val="clear" w:color="auto" w:fill="auto"/>
            <w:noWrap/>
            <w:vAlign w:val="center"/>
          </w:tcPr>
          <w:p w14:paraId="647DA655">
            <w:pPr>
              <w:widowControl/>
              <w:jc w:val="center"/>
              <w:rPr>
                <w:rFonts w:ascii="宋体" w:hAnsi="宋体" w:cs="宋体"/>
                <w:kern w:val="0"/>
                <w:sz w:val="18"/>
                <w:szCs w:val="18"/>
              </w:rPr>
            </w:pPr>
            <w:r>
              <w:rPr>
                <w:rFonts w:hint="eastAsia" w:ascii="宋体" w:hAnsi="宋体" w:cs="宋体"/>
                <w:kern w:val="0"/>
                <w:sz w:val="18"/>
                <w:szCs w:val="18"/>
              </w:rPr>
              <w:t xml:space="preserve">4.37 </w:t>
            </w:r>
          </w:p>
        </w:tc>
        <w:tc>
          <w:tcPr>
            <w:tcW w:w="1489" w:type="dxa"/>
            <w:shd w:val="clear" w:color="auto" w:fill="auto"/>
            <w:noWrap/>
            <w:vAlign w:val="center"/>
          </w:tcPr>
          <w:p w14:paraId="7A29919E">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08516CB9">
            <w:pPr>
              <w:widowControl/>
              <w:jc w:val="center"/>
              <w:rPr>
                <w:rFonts w:ascii="宋体" w:hAnsi="宋体" w:cs="宋体"/>
                <w:kern w:val="0"/>
                <w:sz w:val="18"/>
                <w:szCs w:val="18"/>
              </w:rPr>
            </w:pPr>
          </w:p>
        </w:tc>
      </w:tr>
      <w:tr w14:paraId="7D47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4DAF35EC">
            <w:pPr>
              <w:widowControl/>
              <w:jc w:val="center"/>
              <w:rPr>
                <w:rFonts w:ascii="宋体" w:hAnsi="宋体" w:cs="宋体"/>
                <w:kern w:val="0"/>
                <w:sz w:val="18"/>
                <w:szCs w:val="18"/>
              </w:rPr>
            </w:pPr>
          </w:p>
        </w:tc>
        <w:tc>
          <w:tcPr>
            <w:tcW w:w="3659" w:type="dxa"/>
            <w:shd w:val="clear" w:color="auto" w:fill="auto"/>
            <w:vAlign w:val="center"/>
          </w:tcPr>
          <w:p w14:paraId="72235D58">
            <w:pPr>
              <w:widowControl/>
              <w:jc w:val="center"/>
              <w:rPr>
                <w:rFonts w:ascii="宋体" w:hAnsi="宋体" w:cs="宋体"/>
                <w:kern w:val="0"/>
                <w:sz w:val="18"/>
                <w:szCs w:val="18"/>
              </w:rPr>
            </w:pPr>
            <w:r>
              <w:rPr>
                <w:rFonts w:hint="eastAsia" w:ascii="宋体" w:hAnsi="宋体" w:cs="宋体"/>
                <w:kern w:val="0"/>
                <w:sz w:val="18"/>
                <w:szCs w:val="18"/>
              </w:rPr>
              <w:t>茅坝子乐尼白探险秘境</w:t>
            </w:r>
          </w:p>
        </w:tc>
        <w:tc>
          <w:tcPr>
            <w:tcW w:w="796" w:type="dxa"/>
            <w:shd w:val="clear" w:color="auto" w:fill="auto"/>
            <w:noWrap/>
            <w:vAlign w:val="center"/>
          </w:tcPr>
          <w:p w14:paraId="311FD7CD">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33EC80C4">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5013AD6A">
            <w:pPr>
              <w:widowControl/>
              <w:jc w:val="center"/>
              <w:rPr>
                <w:rFonts w:ascii="宋体" w:hAnsi="宋体" w:cs="宋体"/>
                <w:kern w:val="0"/>
                <w:sz w:val="18"/>
                <w:szCs w:val="18"/>
              </w:rPr>
            </w:pPr>
            <w:r>
              <w:rPr>
                <w:rFonts w:hint="eastAsia" w:ascii="宋体" w:hAnsi="宋体" w:cs="宋体"/>
                <w:kern w:val="0"/>
                <w:sz w:val="18"/>
                <w:szCs w:val="18"/>
              </w:rPr>
              <w:t xml:space="preserve">7.20 </w:t>
            </w:r>
          </w:p>
        </w:tc>
        <w:tc>
          <w:tcPr>
            <w:tcW w:w="946" w:type="dxa"/>
            <w:shd w:val="clear" w:color="auto" w:fill="auto"/>
            <w:noWrap/>
            <w:vAlign w:val="center"/>
          </w:tcPr>
          <w:p w14:paraId="5579A1A8">
            <w:pPr>
              <w:widowControl/>
              <w:jc w:val="center"/>
              <w:rPr>
                <w:rFonts w:ascii="宋体" w:hAnsi="宋体" w:cs="宋体"/>
                <w:kern w:val="0"/>
                <w:sz w:val="18"/>
                <w:szCs w:val="18"/>
              </w:rPr>
            </w:pPr>
            <w:r>
              <w:rPr>
                <w:rFonts w:hint="eastAsia" w:ascii="宋体" w:hAnsi="宋体" w:cs="宋体"/>
                <w:kern w:val="0"/>
                <w:sz w:val="18"/>
                <w:szCs w:val="18"/>
              </w:rPr>
              <w:t xml:space="preserve">7.20 </w:t>
            </w:r>
          </w:p>
        </w:tc>
        <w:tc>
          <w:tcPr>
            <w:tcW w:w="854" w:type="dxa"/>
            <w:shd w:val="clear" w:color="auto" w:fill="auto"/>
            <w:noWrap/>
            <w:vAlign w:val="center"/>
          </w:tcPr>
          <w:p w14:paraId="618F5BDD">
            <w:pPr>
              <w:widowControl/>
              <w:jc w:val="center"/>
              <w:rPr>
                <w:rFonts w:ascii="宋体" w:hAnsi="宋体" w:cs="宋体"/>
                <w:kern w:val="0"/>
                <w:sz w:val="18"/>
                <w:szCs w:val="18"/>
              </w:rPr>
            </w:pPr>
            <w:r>
              <w:rPr>
                <w:rFonts w:hint="eastAsia" w:ascii="宋体" w:hAnsi="宋体" w:cs="宋体"/>
                <w:kern w:val="0"/>
                <w:sz w:val="18"/>
                <w:szCs w:val="18"/>
              </w:rPr>
              <w:t xml:space="preserve">5.76 </w:t>
            </w:r>
          </w:p>
        </w:tc>
        <w:tc>
          <w:tcPr>
            <w:tcW w:w="1489" w:type="dxa"/>
            <w:shd w:val="clear" w:color="auto" w:fill="auto"/>
            <w:noWrap/>
            <w:vAlign w:val="center"/>
          </w:tcPr>
          <w:p w14:paraId="1293F9F8">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2C4A258C">
            <w:pPr>
              <w:widowControl/>
              <w:jc w:val="center"/>
              <w:rPr>
                <w:rFonts w:ascii="宋体" w:hAnsi="宋体" w:cs="宋体"/>
                <w:kern w:val="0"/>
                <w:sz w:val="18"/>
                <w:szCs w:val="18"/>
              </w:rPr>
            </w:pPr>
          </w:p>
        </w:tc>
      </w:tr>
      <w:tr w14:paraId="2DE1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56D7FBB3">
            <w:pPr>
              <w:widowControl/>
              <w:jc w:val="center"/>
              <w:rPr>
                <w:rFonts w:ascii="宋体" w:hAnsi="宋体" w:cs="宋体"/>
                <w:kern w:val="0"/>
                <w:sz w:val="18"/>
                <w:szCs w:val="18"/>
              </w:rPr>
            </w:pPr>
          </w:p>
        </w:tc>
        <w:tc>
          <w:tcPr>
            <w:tcW w:w="3659" w:type="dxa"/>
            <w:shd w:val="clear" w:color="auto" w:fill="auto"/>
            <w:vAlign w:val="center"/>
          </w:tcPr>
          <w:p w14:paraId="693F9DAD">
            <w:pPr>
              <w:widowControl/>
              <w:jc w:val="center"/>
              <w:rPr>
                <w:rFonts w:ascii="宋体" w:hAnsi="宋体" w:cs="宋体"/>
                <w:kern w:val="0"/>
                <w:sz w:val="18"/>
                <w:szCs w:val="18"/>
              </w:rPr>
            </w:pPr>
            <w:r>
              <w:rPr>
                <w:rFonts w:hint="eastAsia" w:ascii="宋体" w:hAnsi="宋体" w:cs="宋体"/>
                <w:kern w:val="0"/>
                <w:sz w:val="18"/>
                <w:szCs w:val="18"/>
              </w:rPr>
              <w:t>花沟村委会七彩坡旅游设施项目</w:t>
            </w:r>
          </w:p>
        </w:tc>
        <w:tc>
          <w:tcPr>
            <w:tcW w:w="796" w:type="dxa"/>
            <w:shd w:val="clear" w:color="auto" w:fill="auto"/>
            <w:noWrap/>
            <w:vAlign w:val="center"/>
          </w:tcPr>
          <w:p w14:paraId="5245E19F">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3460711B">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2C3DC90C">
            <w:pPr>
              <w:widowControl/>
              <w:jc w:val="center"/>
              <w:rPr>
                <w:rFonts w:ascii="宋体" w:hAnsi="宋体" w:cs="宋体"/>
                <w:kern w:val="0"/>
                <w:sz w:val="18"/>
                <w:szCs w:val="18"/>
              </w:rPr>
            </w:pPr>
            <w:r>
              <w:rPr>
                <w:rFonts w:hint="eastAsia" w:ascii="宋体" w:hAnsi="宋体" w:cs="宋体"/>
                <w:kern w:val="0"/>
                <w:sz w:val="18"/>
                <w:szCs w:val="18"/>
              </w:rPr>
              <w:t xml:space="preserve">2.21 </w:t>
            </w:r>
          </w:p>
        </w:tc>
        <w:tc>
          <w:tcPr>
            <w:tcW w:w="946" w:type="dxa"/>
            <w:shd w:val="clear" w:color="auto" w:fill="auto"/>
            <w:noWrap/>
            <w:vAlign w:val="center"/>
          </w:tcPr>
          <w:p w14:paraId="42A3273C">
            <w:pPr>
              <w:widowControl/>
              <w:jc w:val="center"/>
              <w:rPr>
                <w:rFonts w:ascii="宋体" w:hAnsi="宋体" w:cs="宋体"/>
                <w:kern w:val="0"/>
                <w:sz w:val="18"/>
                <w:szCs w:val="18"/>
              </w:rPr>
            </w:pPr>
            <w:r>
              <w:rPr>
                <w:rFonts w:hint="eastAsia" w:ascii="宋体" w:hAnsi="宋体" w:cs="宋体"/>
                <w:kern w:val="0"/>
                <w:sz w:val="18"/>
                <w:szCs w:val="18"/>
              </w:rPr>
              <w:t xml:space="preserve">2.21 </w:t>
            </w:r>
          </w:p>
        </w:tc>
        <w:tc>
          <w:tcPr>
            <w:tcW w:w="854" w:type="dxa"/>
            <w:shd w:val="clear" w:color="auto" w:fill="auto"/>
            <w:noWrap/>
            <w:vAlign w:val="center"/>
          </w:tcPr>
          <w:p w14:paraId="7A394AE4">
            <w:pPr>
              <w:widowControl/>
              <w:jc w:val="center"/>
              <w:rPr>
                <w:rFonts w:ascii="宋体" w:hAnsi="宋体" w:cs="宋体"/>
                <w:kern w:val="0"/>
                <w:sz w:val="18"/>
                <w:szCs w:val="18"/>
              </w:rPr>
            </w:pPr>
            <w:r>
              <w:rPr>
                <w:rFonts w:hint="eastAsia" w:ascii="宋体" w:hAnsi="宋体" w:cs="宋体"/>
                <w:kern w:val="0"/>
                <w:sz w:val="18"/>
                <w:szCs w:val="18"/>
              </w:rPr>
              <w:t xml:space="preserve">1.77 </w:t>
            </w:r>
          </w:p>
        </w:tc>
        <w:tc>
          <w:tcPr>
            <w:tcW w:w="1489" w:type="dxa"/>
            <w:shd w:val="clear" w:color="auto" w:fill="auto"/>
            <w:noWrap/>
            <w:vAlign w:val="center"/>
          </w:tcPr>
          <w:p w14:paraId="16E61166">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7DC0FE55">
            <w:pPr>
              <w:widowControl/>
              <w:jc w:val="center"/>
              <w:rPr>
                <w:rFonts w:ascii="宋体" w:hAnsi="宋体" w:cs="宋体"/>
                <w:kern w:val="0"/>
                <w:sz w:val="18"/>
                <w:szCs w:val="18"/>
              </w:rPr>
            </w:pPr>
          </w:p>
        </w:tc>
      </w:tr>
      <w:tr w14:paraId="7985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470CE004">
            <w:pPr>
              <w:widowControl/>
              <w:jc w:val="center"/>
              <w:rPr>
                <w:rFonts w:ascii="宋体" w:hAnsi="宋体" w:cs="宋体"/>
                <w:kern w:val="0"/>
                <w:sz w:val="18"/>
                <w:szCs w:val="18"/>
              </w:rPr>
            </w:pPr>
          </w:p>
        </w:tc>
        <w:tc>
          <w:tcPr>
            <w:tcW w:w="3659" w:type="dxa"/>
            <w:shd w:val="clear" w:color="auto" w:fill="auto"/>
            <w:vAlign w:val="center"/>
          </w:tcPr>
          <w:p w14:paraId="309DDD8F">
            <w:pPr>
              <w:widowControl/>
              <w:jc w:val="center"/>
              <w:rPr>
                <w:rFonts w:ascii="宋体" w:hAnsi="宋体" w:cs="宋体"/>
                <w:kern w:val="0"/>
                <w:sz w:val="18"/>
                <w:szCs w:val="18"/>
              </w:rPr>
            </w:pPr>
            <w:r>
              <w:rPr>
                <w:rFonts w:hint="eastAsia" w:ascii="宋体" w:hAnsi="宋体" w:cs="宋体"/>
                <w:kern w:val="0"/>
                <w:sz w:val="18"/>
                <w:szCs w:val="18"/>
              </w:rPr>
              <w:t>花沟村委会锦绣园旅游设施项目</w:t>
            </w:r>
          </w:p>
        </w:tc>
        <w:tc>
          <w:tcPr>
            <w:tcW w:w="796" w:type="dxa"/>
            <w:shd w:val="clear" w:color="auto" w:fill="auto"/>
            <w:noWrap/>
            <w:vAlign w:val="center"/>
          </w:tcPr>
          <w:p w14:paraId="7FC197CD">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08DC5813">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4B79A5B4">
            <w:pPr>
              <w:widowControl/>
              <w:jc w:val="center"/>
              <w:rPr>
                <w:rFonts w:ascii="宋体" w:hAnsi="宋体" w:cs="宋体"/>
                <w:kern w:val="0"/>
                <w:sz w:val="18"/>
                <w:szCs w:val="18"/>
              </w:rPr>
            </w:pPr>
            <w:r>
              <w:rPr>
                <w:rFonts w:hint="eastAsia" w:ascii="宋体" w:hAnsi="宋体" w:cs="宋体"/>
                <w:kern w:val="0"/>
                <w:sz w:val="18"/>
                <w:szCs w:val="18"/>
              </w:rPr>
              <w:t xml:space="preserve">3.46 </w:t>
            </w:r>
          </w:p>
        </w:tc>
        <w:tc>
          <w:tcPr>
            <w:tcW w:w="946" w:type="dxa"/>
            <w:shd w:val="clear" w:color="auto" w:fill="auto"/>
            <w:noWrap/>
            <w:vAlign w:val="center"/>
          </w:tcPr>
          <w:p w14:paraId="5EA79979">
            <w:pPr>
              <w:widowControl/>
              <w:jc w:val="center"/>
              <w:rPr>
                <w:rFonts w:ascii="宋体" w:hAnsi="宋体" w:cs="宋体"/>
                <w:kern w:val="0"/>
                <w:sz w:val="18"/>
                <w:szCs w:val="18"/>
              </w:rPr>
            </w:pPr>
            <w:r>
              <w:rPr>
                <w:rFonts w:hint="eastAsia" w:ascii="宋体" w:hAnsi="宋体" w:cs="宋体"/>
                <w:kern w:val="0"/>
                <w:sz w:val="18"/>
                <w:szCs w:val="18"/>
              </w:rPr>
              <w:t xml:space="preserve">3.46 </w:t>
            </w:r>
          </w:p>
        </w:tc>
        <w:tc>
          <w:tcPr>
            <w:tcW w:w="854" w:type="dxa"/>
            <w:shd w:val="clear" w:color="auto" w:fill="auto"/>
            <w:noWrap/>
            <w:vAlign w:val="center"/>
          </w:tcPr>
          <w:p w14:paraId="39B9E9B1">
            <w:pPr>
              <w:widowControl/>
              <w:jc w:val="center"/>
              <w:rPr>
                <w:rFonts w:ascii="宋体" w:hAnsi="宋体" w:cs="宋体"/>
                <w:kern w:val="0"/>
                <w:sz w:val="18"/>
                <w:szCs w:val="18"/>
              </w:rPr>
            </w:pPr>
            <w:r>
              <w:rPr>
                <w:rFonts w:hint="eastAsia" w:ascii="宋体" w:hAnsi="宋体" w:cs="宋体"/>
                <w:kern w:val="0"/>
                <w:sz w:val="18"/>
                <w:szCs w:val="18"/>
              </w:rPr>
              <w:t xml:space="preserve">2.76 </w:t>
            </w:r>
          </w:p>
        </w:tc>
        <w:tc>
          <w:tcPr>
            <w:tcW w:w="1489" w:type="dxa"/>
            <w:shd w:val="clear" w:color="auto" w:fill="auto"/>
            <w:noWrap/>
            <w:vAlign w:val="center"/>
          </w:tcPr>
          <w:p w14:paraId="0552EA42">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2249BCFD">
            <w:pPr>
              <w:widowControl/>
              <w:jc w:val="center"/>
              <w:rPr>
                <w:rFonts w:ascii="宋体" w:hAnsi="宋体" w:cs="宋体"/>
                <w:kern w:val="0"/>
                <w:sz w:val="18"/>
                <w:szCs w:val="18"/>
              </w:rPr>
            </w:pPr>
          </w:p>
        </w:tc>
      </w:tr>
      <w:tr w14:paraId="4348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6B32E019">
            <w:pPr>
              <w:widowControl/>
              <w:jc w:val="center"/>
              <w:rPr>
                <w:rFonts w:ascii="宋体" w:hAnsi="宋体" w:cs="宋体"/>
                <w:kern w:val="0"/>
                <w:sz w:val="18"/>
                <w:szCs w:val="18"/>
              </w:rPr>
            </w:pPr>
          </w:p>
        </w:tc>
        <w:tc>
          <w:tcPr>
            <w:tcW w:w="3659" w:type="dxa"/>
            <w:shd w:val="clear" w:color="auto" w:fill="auto"/>
            <w:vAlign w:val="center"/>
          </w:tcPr>
          <w:p w14:paraId="4A58EFC2">
            <w:pPr>
              <w:widowControl/>
              <w:jc w:val="center"/>
              <w:rPr>
                <w:rFonts w:ascii="宋体" w:hAnsi="宋体" w:cs="宋体"/>
                <w:kern w:val="0"/>
                <w:sz w:val="18"/>
                <w:szCs w:val="18"/>
              </w:rPr>
            </w:pPr>
            <w:r>
              <w:rPr>
                <w:rFonts w:hint="eastAsia" w:ascii="宋体" w:hAnsi="宋体" w:cs="宋体"/>
                <w:kern w:val="0"/>
                <w:sz w:val="18"/>
                <w:szCs w:val="18"/>
              </w:rPr>
              <w:t>花沟村委会花沟水库红土印象对面旅游设施项目</w:t>
            </w:r>
          </w:p>
        </w:tc>
        <w:tc>
          <w:tcPr>
            <w:tcW w:w="796" w:type="dxa"/>
            <w:shd w:val="clear" w:color="auto" w:fill="auto"/>
            <w:noWrap/>
            <w:vAlign w:val="center"/>
          </w:tcPr>
          <w:p w14:paraId="1E8BB343">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586B5B15">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45CD1A58">
            <w:pPr>
              <w:widowControl/>
              <w:jc w:val="center"/>
              <w:rPr>
                <w:rFonts w:ascii="宋体" w:hAnsi="宋体" w:cs="宋体"/>
                <w:kern w:val="0"/>
                <w:sz w:val="18"/>
                <w:szCs w:val="18"/>
              </w:rPr>
            </w:pPr>
            <w:r>
              <w:rPr>
                <w:rFonts w:hint="eastAsia" w:ascii="宋体" w:hAnsi="宋体" w:cs="宋体"/>
                <w:kern w:val="0"/>
                <w:sz w:val="18"/>
                <w:szCs w:val="18"/>
              </w:rPr>
              <w:t xml:space="preserve">30.42 </w:t>
            </w:r>
          </w:p>
        </w:tc>
        <w:tc>
          <w:tcPr>
            <w:tcW w:w="946" w:type="dxa"/>
            <w:shd w:val="clear" w:color="auto" w:fill="auto"/>
            <w:noWrap/>
            <w:vAlign w:val="center"/>
          </w:tcPr>
          <w:p w14:paraId="45F09062">
            <w:pPr>
              <w:widowControl/>
              <w:jc w:val="center"/>
              <w:rPr>
                <w:rFonts w:ascii="宋体" w:hAnsi="宋体" w:cs="宋体"/>
                <w:kern w:val="0"/>
                <w:sz w:val="18"/>
                <w:szCs w:val="18"/>
              </w:rPr>
            </w:pPr>
            <w:r>
              <w:rPr>
                <w:rFonts w:hint="eastAsia" w:ascii="宋体" w:hAnsi="宋体" w:cs="宋体"/>
                <w:kern w:val="0"/>
                <w:sz w:val="18"/>
                <w:szCs w:val="18"/>
              </w:rPr>
              <w:t xml:space="preserve">30.42 </w:t>
            </w:r>
          </w:p>
        </w:tc>
        <w:tc>
          <w:tcPr>
            <w:tcW w:w="854" w:type="dxa"/>
            <w:shd w:val="clear" w:color="auto" w:fill="auto"/>
            <w:noWrap/>
            <w:vAlign w:val="center"/>
          </w:tcPr>
          <w:p w14:paraId="3100C389">
            <w:pPr>
              <w:widowControl/>
              <w:jc w:val="center"/>
              <w:rPr>
                <w:rFonts w:ascii="宋体" w:hAnsi="宋体" w:cs="宋体"/>
                <w:kern w:val="0"/>
                <w:sz w:val="18"/>
                <w:szCs w:val="18"/>
              </w:rPr>
            </w:pPr>
            <w:r>
              <w:rPr>
                <w:rFonts w:hint="eastAsia" w:ascii="宋体" w:hAnsi="宋体" w:cs="宋体"/>
                <w:kern w:val="0"/>
                <w:sz w:val="18"/>
                <w:szCs w:val="18"/>
              </w:rPr>
              <w:t xml:space="preserve">24.34 </w:t>
            </w:r>
          </w:p>
        </w:tc>
        <w:tc>
          <w:tcPr>
            <w:tcW w:w="1489" w:type="dxa"/>
            <w:shd w:val="clear" w:color="auto" w:fill="auto"/>
            <w:noWrap/>
            <w:vAlign w:val="center"/>
          </w:tcPr>
          <w:p w14:paraId="011B8003">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5307C933">
            <w:pPr>
              <w:widowControl/>
              <w:jc w:val="center"/>
              <w:rPr>
                <w:rFonts w:ascii="宋体" w:hAnsi="宋体" w:cs="宋体"/>
                <w:kern w:val="0"/>
                <w:sz w:val="18"/>
                <w:szCs w:val="18"/>
              </w:rPr>
            </w:pPr>
          </w:p>
        </w:tc>
      </w:tr>
      <w:tr w14:paraId="2BCB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749364AB">
            <w:pPr>
              <w:widowControl/>
              <w:jc w:val="center"/>
              <w:rPr>
                <w:rFonts w:ascii="宋体" w:hAnsi="宋体" w:cs="宋体"/>
                <w:kern w:val="0"/>
                <w:sz w:val="18"/>
                <w:szCs w:val="18"/>
              </w:rPr>
            </w:pPr>
          </w:p>
        </w:tc>
        <w:tc>
          <w:tcPr>
            <w:tcW w:w="3659" w:type="dxa"/>
            <w:shd w:val="clear" w:color="auto" w:fill="auto"/>
            <w:vAlign w:val="center"/>
          </w:tcPr>
          <w:p w14:paraId="353C8CB9">
            <w:pPr>
              <w:widowControl/>
              <w:jc w:val="center"/>
              <w:rPr>
                <w:rFonts w:ascii="宋体" w:hAnsi="宋体" w:cs="宋体"/>
                <w:kern w:val="0"/>
                <w:sz w:val="18"/>
                <w:szCs w:val="18"/>
              </w:rPr>
            </w:pPr>
            <w:r>
              <w:rPr>
                <w:rFonts w:hint="eastAsia" w:ascii="宋体" w:hAnsi="宋体" w:cs="宋体"/>
                <w:kern w:val="0"/>
                <w:sz w:val="18"/>
                <w:szCs w:val="18"/>
              </w:rPr>
              <w:t>金水花沟村委会花石头旅游设施项目</w:t>
            </w:r>
          </w:p>
        </w:tc>
        <w:tc>
          <w:tcPr>
            <w:tcW w:w="796" w:type="dxa"/>
            <w:shd w:val="clear" w:color="auto" w:fill="auto"/>
            <w:noWrap/>
            <w:vAlign w:val="center"/>
          </w:tcPr>
          <w:p w14:paraId="3E7F2774">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197056C0">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3D4559A0">
            <w:pPr>
              <w:widowControl/>
              <w:jc w:val="center"/>
              <w:rPr>
                <w:rFonts w:ascii="宋体" w:hAnsi="宋体" w:cs="宋体"/>
                <w:kern w:val="0"/>
                <w:sz w:val="18"/>
                <w:szCs w:val="18"/>
              </w:rPr>
            </w:pPr>
            <w:r>
              <w:rPr>
                <w:rFonts w:hint="eastAsia" w:ascii="宋体" w:hAnsi="宋体" w:cs="宋体"/>
                <w:kern w:val="0"/>
                <w:sz w:val="18"/>
                <w:szCs w:val="18"/>
              </w:rPr>
              <w:t xml:space="preserve">7.30 </w:t>
            </w:r>
          </w:p>
        </w:tc>
        <w:tc>
          <w:tcPr>
            <w:tcW w:w="946" w:type="dxa"/>
            <w:shd w:val="clear" w:color="auto" w:fill="auto"/>
            <w:noWrap/>
            <w:vAlign w:val="center"/>
          </w:tcPr>
          <w:p w14:paraId="14B94DCD">
            <w:pPr>
              <w:widowControl/>
              <w:jc w:val="center"/>
              <w:rPr>
                <w:rFonts w:ascii="宋体" w:hAnsi="宋体" w:cs="宋体"/>
                <w:kern w:val="0"/>
                <w:sz w:val="18"/>
                <w:szCs w:val="18"/>
              </w:rPr>
            </w:pPr>
            <w:r>
              <w:rPr>
                <w:rFonts w:hint="eastAsia" w:ascii="宋体" w:hAnsi="宋体" w:cs="宋体"/>
                <w:kern w:val="0"/>
                <w:sz w:val="18"/>
                <w:szCs w:val="18"/>
              </w:rPr>
              <w:t xml:space="preserve">7.30 </w:t>
            </w:r>
          </w:p>
        </w:tc>
        <w:tc>
          <w:tcPr>
            <w:tcW w:w="854" w:type="dxa"/>
            <w:shd w:val="clear" w:color="auto" w:fill="auto"/>
            <w:noWrap/>
            <w:vAlign w:val="center"/>
          </w:tcPr>
          <w:p w14:paraId="3D98CA78">
            <w:pPr>
              <w:widowControl/>
              <w:jc w:val="center"/>
              <w:rPr>
                <w:rFonts w:ascii="宋体" w:hAnsi="宋体" w:cs="宋体"/>
                <w:kern w:val="0"/>
                <w:sz w:val="18"/>
                <w:szCs w:val="18"/>
              </w:rPr>
            </w:pPr>
            <w:r>
              <w:rPr>
                <w:rFonts w:hint="eastAsia" w:ascii="宋体" w:hAnsi="宋体" w:cs="宋体"/>
                <w:kern w:val="0"/>
                <w:sz w:val="18"/>
                <w:szCs w:val="18"/>
              </w:rPr>
              <w:t xml:space="preserve">5.84 </w:t>
            </w:r>
          </w:p>
        </w:tc>
        <w:tc>
          <w:tcPr>
            <w:tcW w:w="1489" w:type="dxa"/>
            <w:shd w:val="clear" w:color="auto" w:fill="auto"/>
            <w:noWrap/>
            <w:vAlign w:val="center"/>
          </w:tcPr>
          <w:p w14:paraId="060C5FBD">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286E4286">
            <w:pPr>
              <w:widowControl/>
              <w:jc w:val="center"/>
              <w:rPr>
                <w:rFonts w:ascii="宋体" w:hAnsi="宋体" w:cs="宋体"/>
                <w:kern w:val="0"/>
                <w:sz w:val="18"/>
                <w:szCs w:val="18"/>
              </w:rPr>
            </w:pPr>
          </w:p>
        </w:tc>
      </w:tr>
      <w:tr w14:paraId="50B4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44237A1F">
            <w:pPr>
              <w:widowControl/>
              <w:jc w:val="center"/>
              <w:rPr>
                <w:rFonts w:ascii="宋体" w:hAnsi="宋体" w:cs="宋体"/>
                <w:kern w:val="0"/>
                <w:sz w:val="18"/>
                <w:szCs w:val="18"/>
              </w:rPr>
            </w:pPr>
          </w:p>
        </w:tc>
        <w:tc>
          <w:tcPr>
            <w:tcW w:w="3659" w:type="dxa"/>
            <w:shd w:val="clear" w:color="auto" w:fill="auto"/>
            <w:vAlign w:val="center"/>
          </w:tcPr>
          <w:p w14:paraId="79A7330D">
            <w:pPr>
              <w:widowControl/>
              <w:jc w:val="center"/>
              <w:rPr>
                <w:rFonts w:ascii="宋体" w:hAnsi="宋体" w:cs="宋体"/>
                <w:kern w:val="0"/>
                <w:sz w:val="18"/>
                <w:szCs w:val="18"/>
              </w:rPr>
            </w:pPr>
            <w:r>
              <w:rPr>
                <w:rFonts w:hint="eastAsia" w:ascii="宋体" w:hAnsi="宋体" w:cs="宋体"/>
                <w:kern w:val="0"/>
                <w:sz w:val="18"/>
                <w:szCs w:val="18"/>
              </w:rPr>
              <w:t>花沟村委会乐谱凹旅游设施项目</w:t>
            </w:r>
          </w:p>
        </w:tc>
        <w:tc>
          <w:tcPr>
            <w:tcW w:w="796" w:type="dxa"/>
            <w:shd w:val="clear" w:color="auto" w:fill="auto"/>
            <w:noWrap/>
            <w:vAlign w:val="center"/>
          </w:tcPr>
          <w:p w14:paraId="7CE83DE8">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166CDD79">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055058AA">
            <w:pPr>
              <w:widowControl/>
              <w:jc w:val="center"/>
              <w:rPr>
                <w:rFonts w:ascii="宋体" w:hAnsi="宋体" w:cs="宋体"/>
                <w:kern w:val="0"/>
                <w:sz w:val="18"/>
                <w:szCs w:val="18"/>
              </w:rPr>
            </w:pPr>
            <w:r>
              <w:rPr>
                <w:rFonts w:hint="eastAsia" w:ascii="宋体" w:hAnsi="宋体" w:cs="宋体"/>
                <w:kern w:val="0"/>
                <w:sz w:val="18"/>
                <w:szCs w:val="18"/>
              </w:rPr>
              <w:t xml:space="preserve">14.75 </w:t>
            </w:r>
          </w:p>
        </w:tc>
        <w:tc>
          <w:tcPr>
            <w:tcW w:w="946" w:type="dxa"/>
            <w:shd w:val="clear" w:color="auto" w:fill="auto"/>
            <w:noWrap/>
            <w:vAlign w:val="center"/>
          </w:tcPr>
          <w:p w14:paraId="2743B0A4">
            <w:pPr>
              <w:widowControl/>
              <w:jc w:val="center"/>
              <w:rPr>
                <w:rFonts w:ascii="宋体" w:hAnsi="宋体" w:cs="宋体"/>
                <w:kern w:val="0"/>
                <w:sz w:val="18"/>
                <w:szCs w:val="18"/>
              </w:rPr>
            </w:pPr>
            <w:r>
              <w:rPr>
                <w:rFonts w:hint="eastAsia" w:ascii="宋体" w:hAnsi="宋体" w:cs="宋体"/>
                <w:kern w:val="0"/>
                <w:sz w:val="18"/>
                <w:szCs w:val="18"/>
              </w:rPr>
              <w:t xml:space="preserve">14.75 </w:t>
            </w:r>
          </w:p>
        </w:tc>
        <w:tc>
          <w:tcPr>
            <w:tcW w:w="854" w:type="dxa"/>
            <w:shd w:val="clear" w:color="auto" w:fill="auto"/>
            <w:noWrap/>
            <w:vAlign w:val="center"/>
          </w:tcPr>
          <w:p w14:paraId="267617DF">
            <w:pPr>
              <w:widowControl/>
              <w:jc w:val="center"/>
              <w:rPr>
                <w:rFonts w:ascii="宋体" w:hAnsi="宋体" w:cs="宋体"/>
                <w:kern w:val="0"/>
                <w:sz w:val="18"/>
                <w:szCs w:val="18"/>
              </w:rPr>
            </w:pPr>
            <w:r>
              <w:rPr>
                <w:rFonts w:hint="eastAsia" w:ascii="宋体" w:hAnsi="宋体" w:cs="宋体"/>
                <w:kern w:val="0"/>
                <w:sz w:val="18"/>
                <w:szCs w:val="18"/>
              </w:rPr>
              <w:t xml:space="preserve">11.80 </w:t>
            </w:r>
          </w:p>
        </w:tc>
        <w:tc>
          <w:tcPr>
            <w:tcW w:w="1489" w:type="dxa"/>
            <w:shd w:val="clear" w:color="auto" w:fill="auto"/>
            <w:noWrap/>
            <w:vAlign w:val="center"/>
          </w:tcPr>
          <w:p w14:paraId="7B6F593C">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61848C35">
            <w:pPr>
              <w:widowControl/>
              <w:jc w:val="center"/>
              <w:rPr>
                <w:rFonts w:ascii="宋体" w:hAnsi="宋体" w:cs="宋体"/>
                <w:kern w:val="0"/>
                <w:sz w:val="18"/>
                <w:szCs w:val="18"/>
              </w:rPr>
            </w:pPr>
          </w:p>
        </w:tc>
      </w:tr>
      <w:tr w14:paraId="150E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262A063B">
            <w:pPr>
              <w:widowControl/>
              <w:jc w:val="center"/>
              <w:rPr>
                <w:rFonts w:ascii="宋体" w:hAnsi="宋体" w:cs="宋体"/>
                <w:kern w:val="0"/>
                <w:sz w:val="18"/>
                <w:szCs w:val="18"/>
              </w:rPr>
            </w:pPr>
          </w:p>
        </w:tc>
        <w:tc>
          <w:tcPr>
            <w:tcW w:w="3659" w:type="dxa"/>
            <w:shd w:val="clear" w:color="auto" w:fill="auto"/>
            <w:vAlign w:val="center"/>
          </w:tcPr>
          <w:p w14:paraId="3450F8F0">
            <w:pPr>
              <w:widowControl/>
              <w:jc w:val="center"/>
              <w:rPr>
                <w:rFonts w:ascii="宋体" w:hAnsi="宋体" w:cs="宋体"/>
                <w:kern w:val="0"/>
                <w:sz w:val="18"/>
                <w:szCs w:val="18"/>
              </w:rPr>
            </w:pPr>
            <w:r>
              <w:rPr>
                <w:rFonts w:hint="eastAsia" w:ascii="宋体" w:hAnsi="宋体" w:cs="宋体"/>
                <w:kern w:val="0"/>
                <w:sz w:val="18"/>
                <w:szCs w:val="18"/>
              </w:rPr>
              <w:t xml:space="preserve"> 红土地假日酒店</w:t>
            </w:r>
          </w:p>
        </w:tc>
        <w:tc>
          <w:tcPr>
            <w:tcW w:w="796" w:type="dxa"/>
            <w:shd w:val="clear" w:color="auto" w:fill="auto"/>
            <w:noWrap/>
            <w:vAlign w:val="center"/>
          </w:tcPr>
          <w:p w14:paraId="0274B68E">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6D2784F4">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09FF66B1">
            <w:pPr>
              <w:widowControl/>
              <w:jc w:val="center"/>
              <w:rPr>
                <w:rFonts w:ascii="宋体" w:hAnsi="宋体" w:cs="宋体"/>
                <w:kern w:val="0"/>
                <w:sz w:val="18"/>
                <w:szCs w:val="18"/>
              </w:rPr>
            </w:pPr>
            <w:r>
              <w:rPr>
                <w:rFonts w:hint="eastAsia" w:ascii="宋体" w:hAnsi="宋体" w:cs="宋体"/>
                <w:kern w:val="0"/>
                <w:sz w:val="18"/>
                <w:szCs w:val="18"/>
              </w:rPr>
              <w:t xml:space="preserve">5.42 </w:t>
            </w:r>
          </w:p>
        </w:tc>
        <w:tc>
          <w:tcPr>
            <w:tcW w:w="946" w:type="dxa"/>
            <w:shd w:val="clear" w:color="auto" w:fill="auto"/>
            <w:noWrap/>
            <w:vAlign w:val="center"/>
          </w:tcPr>
          <w:p w14:paraId="46E3C05B">
            <w:pPr>
              <w:widowControl/>
              <w:jc w:val="center"/>
              <w:rPr>
                <w:rFonts w:ascii="宋体" w:hAnsi="宋体" w:cs="宋体"/>
                <w:kern w:val="0"/>
                <w:sz w:val="18"/>
                <w:szCs w:val="18"/>
              </w:rPr>
            </w:pPr>
            <w:r>
              <w:rPr>
                <w:rFonts w:hint="eastAsia" w:ascii="宋体" w:hAnsi="宋体" w:cs="宋体"/>
                <w:kern w:val="0"/>
                <w:sz w:val="18"/>
                <w:szCs w:val="18"/>
              </w:rPr>
              <w:t xml:space="preserve">5.42 </w:t>
            </w:r>
          </w:p>
        </w:tc>
        <w:tc>
          <w:tcPr>
            <w:tcW w:w="854" w:type="dxa"/>
            <w:shd w:val="clear" w:color="auto" w:fill="auto"/>
            <w:noWrap/>
            <w:vAlign w:val="center"/>
          </w:tcPr>
          <w:p w14:paraId="0D8DC87B">
            <w:pPr>
              <w:widowControl/>
              <w:jc w:val="center"/>
              <w:rPr>
                <w:rFonts w:ascii="宋体" w:hAnsi="宋体" w:cs="宋体"/>
                <w:kern w:val="0"/>
                <w:sz w:val="18"/>
                <w:szCs w:val="18"/>
              </w:rPr>
            </w:pPr>
            <w:r>
              <w:rPr>
                <w:rFonts w:hint="eastAsia" w:ascii="宋体" w:hAnsi="宋体" w:cs="宋体"/>
                <w:kern w:val="0"/>
                <w:sz w:val="18"/>
                <w:szCs w:val="18"/>
              </w:rPr>
              <w:t xml:space="preserve">4.34 </w:t>
            </w:r>
          </w:p>
        </w:tc>
        <w:tc>
          <w:tcPr>
            <w:tcW w:w="1489" w:type="dxa"/>
            <w:shd w:val="clear" w:color="auto" w:fill="auto"/>
            <w:noWrap/>
            <w:vAlign w:val="center"/>
          </w:tcPr>
          <w:p w14:paraId="72981DEB">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13A59B6D">
            <w:pPr>
              <w:widowControl/>
              <w:jc w:val="center"/>
              <w:rPr>
                <w:rFonts w:ascii="宋体" w:hAnsi="宋体" w:cs="宋体"/>
                <w:kern w:val="0"/>
                <w:sz w:val="18"/>
                <w:szCs w:val="18"/>
              </w:rPr>
            </w:pPr>
          </w:p>
        </w:tc>
      </w:tr>
      <w:tr w14:paraId="4537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1C3E525E">
            <w:pPr>
              <w:widowControl/>
              <w:jc w:val="center"/>
              <w:rPr>
                <w:rFonts w:ascii="宋体" w:hAnsi="宋体" w:cs="宋体"/>
                <w:kern w:val="0"/>
                <w:sz w:val="18"/>
                <w:szCs w:val="18"/>
              </w:rPr>
            </w:pPr>
          </w:p>
        </w:tc>
        <w:tc>
          <w:tcPr>
            <w:tcW w:w="3659" w:type="dxa"/>
            <w:shd w:val="clear" w:color="auto" w:fill="auto"/>
            <w:vAlign w:val="center"/>
          </w:tcPr>
          <w:p w14:paraId="309E7D3B">
            <w:pPr>
              <w:widowControl/>
              <w:jc w:val="center"/>
              <w:rPr>
                <w:rFonts w:ascii="宋体" w:hAnsi="宋体" w:cs="宋体"/>
                <w:kern w:val="0"/>
                <w:sz w:val="18"/>
                <w:szCs w:val="18"/>
              </w:rPr>
            </w:pPr>
            <w:r>
              <w:rPr>
                <w:rFonts w:hint="eastAsia" w:ascii="宋体" w:hAnsi="宋体" w:cs="宋体"/>
                <w:kern w:val="0"/>
                <w:sz w:val="18"/>
                <w:szCs w:val="18"/>
              </w:rPr>
              <w:t>花沟村委会乐谱凹旅游设施项目</w:t>
            </w:r>
          </w:p>
        </w:tc>
        <w:tc>
          <w:tcPr>
            <w:tcW w:w="796" w:type="dxa"/>
            <w:shd w:val="clear" w:color="auto" w:fill="auto"/>
            <w:noWrap/>
            <w:vAlign w:val="center"/>
          </w:tcPr>
          <w:p w14:paraId="099BED6E">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708455F7">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5ACE982A">
            <w:pPr>
              <w:widowControl/>
              <w:jc w:val="center"/>
              <w:rPr>
                <w:rFonts w:ascii="宋体" w:hAnsi="宋体" w:cs="宋体"/>
                <w:kern w:val="0"/>
                <w:sz w:val="18"/>
                <w:szCs w:val="18"/>
              </w:rPr>
            </w:pPr>
            <w:r>
              <w:rPr>
                <w:rFonts w:hint="eastAsia" w:ascii="宋体" w:hAnsi="宋体" w:cs="宋体"/>
                <w:kern w:val="0"/>
                <w:sz w:val="18"/>
                <w:szCs w:val="18"/>
              </w:rPr>
              <w:t xml:space="preserve">10.49 </w:t>
            </w:r>
          </w:p>
        </w:tc>
        <w:tc>
          <w:tcPr>
            <w:tcW w:w="946" w:type="dxa"/>
            <w:shd w:val="clear" w:color="auto" w:fill="auto"/>
            <w:noWrap/>
            <w:vAlign w:val="center"/>
          </w:tcPr>
          <w:p w14:paraId="1FE54722">
            <w:pPr>
              <w:widowControl/>
              <w:jc w:val="center"/>
              <w:rPr>
                <w:rFonts w:ascii="宋体" w:hAnsi="宋体" w:cs="宋体"/>
                <w:kern w:val="0"/>
                <w:sz w:val="18"/>
                <w:szCs w:val="18"/>
              </w:rPr>
            </w:pPr>
            <w:r>
              <w:rPr>
                <w:rFonts w:hint="eastAsia" w:ascii="宋体" w:hAnsi="宋体" w:cs="宋体"/>
                <w:kern w:val="0"/>
                <w:sz w:val="18"/>
                <w:szCs w:val="18"/>
              </w:rPr>
              <w:t xml:space="preserve">10.49 </w:t>
            </w:r>
          </w:p>
        </w:tc>
        <w:tc>
          <w:tcPr>
            <w:tcW w:w="854" w:type="dxa"/>
            <w:shd w:val="clear" w:color="auto" w:fill="auto"/>
            <w:noWrap/>
            <w:vAlign w:val="center"/>
          </w:tcPr>
          <w:p w14:paraId="67743A4A">
            <w:pPr>
              <w:widowControl/>
              <w:jc w:val="center"/>
              <w:rPr>
                <w:rFonts w:ascii="宋体" w:hAnsi="宋体" w:cs="宋体"/>
                <w:kern w:val="0"/>
                <w:sz w:val="18"/>
                <w:szCs w:val="18"/>
              </w:rPr>
            </w:pPr>
            <w:r>
              <w:rPr>
                <w:rFonts w:hint="eastAsia" w:ascii="宋体" w:hAnsi="宋体" w:cs="宋体"/>
                <w:kern w:val="0"/>
                <w:sz w:val="18"/>
                <w:szCs w:val="18"/>
              </w:rPr>
              <w:t xml:space="preserve">8.39 </w:t>
            </w:r>
          </w:p>
        </w:tc>
        <w:tc>
          <w:tcPr>
            <w:tcW w:w="1489" w:type="dxa"/>
            <w:shd w:val="clear" w:color="auto" w:fill="auto"/>
            <w:noWrap/>
            <w:vAlign w:val="center"/>
          </w:tcPr>
          <w:p w14:paraId="26D7AB0C">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5F1760FD">
            <w:pPr>
              <w:widowControl/>
              <w:jc w:val="center"/>
              <w:rPr>
                <w:rFonts w:ascii="宋体" w:hAnsi="宋体" w:cs="宋体"/>
                <w:kern w:val="0"/>
                <w:sz w:val="18"/>
                <w:szCs w:val="18"/>
              </w:rPr>
            </w:pPr>
          </w:p>
        </w:tc>
      </w:tr>
      <w:tr w14:paraId="42AE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277BDCF5">
            <w:pPr>
              <w:widowControl/>
              <w:jc w:val="center"/>
              <w:rPr>
                <w:rFonts w:ascii="宋体" w:hAnsi="宋体" w:cs="宋体"/>
                <w:kern w:val="0"/>
                <w:sz w:val="18"/>
                <w:szCs w:val="18"/>
              </w:rPr>
            </w:pPr>
          </w:p>
        </w:tc>
        <w:tc>
          <w:tcPr>
            <w:tcW w:w="3659" w:type="dxa"/>
            <w:shd w:val="clear" w:color="auto" w:fill="auto"/>
            <w:vAlign w:val="center"/>
          </w:tcPr>
          <w:p w14:paraId="7223586A">
            <w:pPr>
              <w:widowControl/>
              <w:jc w:val="center"/>
              <w:rPr>
                <w:rFonts w:ascii="宋体" w:hAnsi="宋体" w:cs="宋体"/>
                <w:kern w:val="0"/>
                <w:sz w:val="18"/>
                <w:szCs w:val="18"/>
              </w:rPr>
            </w:pPr>
            <w:r>
              <w:rPr>
                <w:rFonts w:hint="eastAsia" w:ascii="宋体" w:hAnsi="宋体" w:cs="宋体"/>
                <w:kern w:val="0"/>
                <w:sz w:val="18"/>
                <w:szCs w:val="18"/>
              </w:rPr>
              <w:t>罗泊河水库基础设施建设用地</w:t>
            </w:r>
          </w:p>
        </w:tc>
        <w:tc>
          <w:tcPr>
            <w:tcW w:w="796" w:type="dxa"/>
            <w:shd w:val="clear" w:color="auto" w:fill="auto"/>
            <w:noWrap/>
            <w:vAlign w:val="center"/>
          </w:tcPr>
          <w:p w14:paraId="14EBB016">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211C831F">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4B1C5CA5">
            <w:pPr>
              <w:widowControl/>
              <w:jc w:val="center"/>
              <w:rPr>
                <w:rFonts w:ascii="宋体" w:hAnsi="宋体" w:cs="宋体"/>
                <w:kern w:val="0"/>
                <w:sz w:val="18"/>
                <w:szCs w:val="18"/>
              </w:rPr>
            </w:pPr>
            <w:r>
              <w:rPr>
                <w:rFonts w:hint="eastAsia" w:ascii="宋体" w:hAnsi="宋体" w:cs="宋体"/>
                <w:kern w:val="0"/>
                <w:sz w:val="18"/>
                <w:szCs w:val="18"/>
              </w:rPr>
              <w:t xml:space="preserve">36.39 </w:t>
            </w:r>
          </w:p>
        </w:tc>
        <w:tc>
          <w:tcPr>
            <w:tcW w:w="946" w:type="dxa"/>
            <w:shd w:val="clear" w:color="auto" w:fill="auto"/>
            <w:noWrap/>
            <w:vAlign w:val="center"/>
          </w:tcPr>
          <w:p w14:paraId="20CD46B6">
            <w:pPr>
              <w:widowControl/>
              <w:jc w:val="center"/>
              <w:rPr>
                <w:rFonts w:ascii="宋体" w:hAnsi="宋体" w:cs="宋体"/>
                <w:kern w:val="0"/>
                <w:sz w:val="18"/>
                <w:szCs w:val="18"/>
              </w:rPr>
            </w:pPr>
            <w:r>
              <w:rPr>
                <w:rFonts w:hint="eastAsia" w:ascii="宋体" w:hAnsi="宋体" w:cs="宋体"/>
                <w:kern w:val="0"/>
                <w:sz w:val="18"/>
                <w:szCs w:val="18"/>
              </w:rPr>
              <w:t xml:space="preserve">36.39 </w:t>
            </w:r>
          </w:p>
        </w:tc>
        <w:tc>
          <w:tcPr>
            <w:tcW w:w="854" w:type="dxa"/>
            <w:shd w:val="clear" w:color="auto" w:fill="auto"/>
            <w:noWrap/>
            <w:vAlign w:val="center"/>
          </w:tcPr>
          <w:p w14:paraId="54681963">
            <w:pPr>
              <w:widowControl/>
              <w:jc w:val="center"/>
              <w:rPr>
                <w:rFonts w:ascii="宋体" w:hAnsi="宋体" w:cs="宋体"/>
                <w:kern w:val="0"/>
                <w:sz w:val="18"/>
                <w:szCs w:val="18"/>
              </w:rPr>
            </w:pPr>
            <w:r>
              <w:rPr>
                <w:rFonts w:hint="eastAsia" w:ascii="宋体" w:hAnsi="宋体" w:cs="宋体"/>
                <w:kern w:val="0"/>
                <w:sz w:val="18"/>
                <w:szCs w:val="18"/>
              </w:rPr>
              <w:t xml:space="preserve">29.11 </w:t>
            </w:r>
          </w:p>
        </w:tc>
        <w:tc>
          <w:tcPr>
            <w:tcW w:w="1489" w:type="dxa"/>
            <w:shd w:val="clear" w:color="auto" w:fill="auto"/>
            <w:noWrap/>
            <w:vAlign w:val="center"/>
          </w:tcPr>
          <w:p w14:paraId="60DC8112">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05BE0E34">
            <w:pPr>
              <w:widowControl/>
              <w:jc w:val="center"/>
              <w:rPr>
                <w:rFonts w:ascii="宋体" w:hAnsi="宋体" w:cs="宋体"/>
                <w:kern w:val="0"/>
                <w:sz w:val="18"/>
                <w:szCs w:val="18"/>
              </w:rPr>
            </w:pPr>
          </w:p>
        </w:tc>
      </w:tr>
      <w:tr w14:paraId="2727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1FF833F6">
            <w:pPr>
              <w:widowControl/>
              <w:jc w:val="center"/>
              <w:rPr>
                <w:rFonts w:ascii="宋体" w:hAnsi="宋体" w:cs="宋体"/>
                <w:kern w:val="0"/>
                <w:sz w:val="18"/>
                <w:szCs w:val="18"/>
              </w:rPr>
            </w:pPr>
          </w:p>
        </w:tc>
        <w:tc>
          <w:tcPr>
            <w:tcW w:w="3659" w:type="dxa"/>
            <w:shd w:val="clear" w:color="auto" w:fill="auto"/>
            <w:vAlign w:val="center"/>
          </w:tcPr>
          <w:p w14:paraId="76B11D30">
            <w:pPr>
              <w:widowControl/>
              <w:jc w:val="center"/>
              <w:rPr>
                <w:rFonts w:ascii="宋体" w:hAnsi="宋体" w:cs="宋体"/>
                <w:kern w:val="0"/>
                <w:sz w:val="18"/>
                <w:szCs w:val="18"/>
              </w:rPr>
            </w:pPr>
            <w:r>
              <w:rPr>
                <w:rFonts w:hint="eastAsia" w:ascii="宋体" w:hAnsi="宋体" w:cs="宋体"/>
                <w:kern w:val="0"/>
                <w:sz w:val="18"/>
                <w:szCs w:val="18"/>
              </w:rPr>
              <w:t>花沟村委会锅底塘一期旅游设施项目</w:t>
            </w:r>
          </w:p>
        </w:tc>
        <w:tc>
          <w:tcPr>
            <w:tcW w:w="796" w:type="dxa"/>
            <w:shd w:val="clear" w:color="auto" w:fill="auto"/>
            <w:noWrap/>
            <w:vAlign w:val="center"/>
          </w:tcPr>
          <w:p w14:paraId="4BA04AAA">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168EF1B3">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2927C237">
            <w:pPr>
              <w:widowControl/>
              <w:jc w:val="center"/>
              <w:rPr>
                <w:rFonts w:ascii="宋体" w:hAnsi="宋体" w:cs="宋体"/>
                <w:kern w:val="0"/>
                <w:sz w:val="18"/>
                <w:szCs w:val="18"/>
              </w:rPr>
            </w:pPr>
            <w:r>
              <w:rPr>
                <w:rFonts w:hint="eastAsia" w:ascii="宋体" w:hAnsi="宋体" w:cs="宋体"/>
                <w:kern w:val="0"/>
                <w:sz w:val="18"/>
                <w:szCs w:val="18"/>
              </w:rPr>
              <w:t xml:space="preserve">35.62 </w:t>
            </w:r>
          </w:p>
        </w:tc>
        <w:tc>
          <w:tcPr>
            <w:tcW w:w="946" w:type="dxa"/>
            <w:shd w:val="clear" w:color="auto" w:fill="auto"/>
            <w:noWrap/>
            <w:vAlign w:val="center"/>
          </w:tcPr>
          <w:p w14:paraId="56B64AA2">
            <w:pPr>
              <w:widowControl/>
              <w:jc w:val="center"/>
              <w:rPr>
                <w:rFonts w:ascii="宋体" w:hAnsi="宋体" w:cs="宋体"/>
                <w:kern w:val="0"/>
                <w:sz w:val="18"/>
                <w:szCs w:val="18"/>
              </w:rPr>
            </w:pPr>
            <w:r>
              <w:rPr>
                <w:rFonts w:hint="eastAsia" w:ascii="宋体" w:hAnsi="宋体" w:cs="宋体"/>
                <w:kern w:val="0"/>
                <w:sz w:val="18"/>
                <w:szCs w:val="18"/>
              </w:rPr>
              <w:t xml:space="preserve">35.62 </w:t>
            </w:r>
          </w:p>
        </w:tc>
        <w:tc>
          <w:tcPr>
            <w:tcW w:w="854" w:type="dxa"/>
            <w:shd w:val="clear" w:color="auto" w:fill="auto"/>
            <w:noWrap/>
            <w:vAlign w:val="center"/>
          </w:tcPr>
          <w:p w14:paraId="68CF2C87">
            <w:pPr>
              <w:widowControl/>
              <w:jc w:val="center"/>
              <w:rPr>
                <w:rFonts w:ascii="宋体" w:hAnsi="宋体" w:cs="宋体"/>
                <w:kern w:val="0"/>
                <w:sz w:val="18"/>
                <w:szCs w:val="18"/>
              </w:rPr>
            </w:pPr>
            <w:r>
              <w:rPr>
                <w:rFonts w:hint="eastAsia" w:ascii="宋体" w:hAnsi="宋体" w:cs="宋体"/>
                <w:kern w:val="0"/>
                <w:sz w:val="18"/>
                <w:szCs w:val="18"/>
              </w:rPr>
              <w:t xml:space="preserve">28.50 </w:t>
            </w:r>
          </w:p>
        </w:tc>
        <w:tc>
          <w:tcPr>
            <w:tcW w:w="1489" w:type="dxa"/>
            <w:shd w:val="clear" w:color="auto" w:fill="auto"/>
            <w:noWrap/>
            <w:vAlign w:val="center"/>
          </w:tcPr>
          <w:p w14:paraId="393B9793">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22E8406B">
            <w:pPr>
              <w:widowControl/>
              <w:jc w:val="center"/>
              <w:rPr>
                <w:rFonts w:ascii="宋体" w:hAnsi="宋体" w:cs="宋体"/>
                <w:kern w:val="0"/>
                <w:sz w:val="18"/>
                <w:szCs w:val="18"/>
              </w:rPr>
            </w:pPr>
          </w:p>
        </w:tc>
      </w:tr>
      <w:tr w14:paraId="65D0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6EA33AFD">
            <w:pPr>
              <w:widowControl/>
              <w:jc w:val="center"/>
              <w:rPr>
                <w:rFonts w:ascii="宋体" w:hAnsi="宋体" w:cs="宋体"/>
                <w:kern w:val="0"/>
                <w:sz w:val="18"/>
                <w:szCs w:val="18"/>
              </w:rPr>
            </w:pPr>
          </w:p>
        </w:tc>
        <w:tc>
          <w:tcPr>
            <w:tcW w:w="3659" w:type="dxa"/>
            <w:shd w:val="clear" w:color="auto" w:fill="auto"/>
            <w:vAlign w:val="center"/>
          </w:tcPr>
          <w:p w14:paraId="49454598">
            <w:pPr>
              <w:widowControl/>
              <w:jc w:val="center"/>
              <w:rPr>
                <w:rFonts w:ascii="宋体" w:hAnsi="宋体" w:cs="宋体"/>
                <w:kern w:val="0"/>
                <w:sz w:val="18"/>
                <w:szCs w:val="18"/>
              </w:rPr>
            </w:pPr>
            <w:r>
              <w:rPr>
                <w:rFonts w:hint="eastAsia" w:ascii="宋体" w:hAnsi="宋体" w:cs="宋体"/>
                <w:kern w:val="0"/>
                <w:sz w:val="18"/>
                <w:szCs w:val="18"/>
              </w:rPr>
              <w:t>杨家湾秧田冲旅游设施项目</w:t>
            </w:r>
          </w:p>
        </w:tc>
        <w:tc>
          <w:tcPr>
            <w:tcW w:w="796" w:type="dxa"/>
            <w:shd w:val="clear" w:color="auto" w:fill="auto"/>
            <w:noWrap/>
            <w:vAlign w:val="center"/>
          </w:tcPr>
          <w:p w14:paraId="4CDA4B3E">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7707469B">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5498C626">
            <w:pPr>
              <w:widowControl/>
              <w:jc w:val="center"/>
              <w:rPr>
                <w:rFonts w:ascii="宋体" w:hAnsi="宋体" w:cs="宋体"/>
                <w:kern w:val="0"/>
                <w:sz w:val="18"/>
                <w:szCs w:val="18"/>
              </w:rPr>
            </w:pPr>
            <w:r>
              <w:rPr>
                <w:rFonts w:hint="eastAsia" w:ascii="宋体" w:hAnsi="宋体" w:cs="宋体"/>
                <w:kern w:val="0"/>
                <w:sz w:val="18"/>
                <w:szCs w:val="18"/>
              </w:rPr>
              <w:t xml:space="preserve">5.93 </w:t>
            </w:r>
          </w:p>
        </w:tc>
        <w:tc>
          <w:tcPr>
            <w:tcW w:w="946" w:type="dxa"/>
            <w:shd w:val="clear" w:color="auto" w:fill="auto"/>
            <w:noWrap/>
            <w:vAlign w:val="center"/>
          </w:tcPr>
          <w:p w14:paraId="2DE72E95">
            <w:pPr>
              <w:widowControl/>
              <w:jc w:val="center"/>
              <w:rPr>
                <w:rFonts w:ascii="宋体" w:hAnsi="宋体" w:cs="宋体"/>
                <w:kern w:val="0"/>
                <w:sz w:val="18"/>
                <w:szCs w:val="18"/>
              </w:rPr>
            </w:pPr>
            <w:r>
              <w:rPr>
                <w:rFonts w:hint="eastAsia" w:ascii="宋体" w:hAnsi="宋体" w:cs="宋体"/>
                <w:kern w:val="0"/>
                <w:sz w:val="18"/>
                <w:szCs w:val="18"/>
              </w:rPr>
              <w:t xml:space="preserve">5.93 </w:t>
            </w:r>
          </w:p>
        </w:tc>
        <w:tc>
          <w:tcPr>
            <w:tcW w:w="854" w:type="dxa"/>
            <w:shd w:val="clear" w:color="auto" w:fill="auto"/>
            <w:noWrap/>
            <w:vAlign w:val="center"/>
          </w:tcPr>
          <w:p w14:paraId="7794F377">
            <w:pPr>
              <w:widowControl/>
              <w:jc w:val="center"/>
              <w:rPr>
                <w:rFonts w:ascii="宋体" w:hAnsi="宋体" w:cs="宋体"/>
                <w:kern w:val="0"/>
                <w:sz w:val="18"/>
                <w:szCs w:val="18"/>
              </w:rPr>
            </w:pPr>
            <w:r>
              <w:rPr>
                <w:rFonts w:hint="eastAsia" w:ascii="宋体" w:hAnsi="宋体" w:cs="宋体"/>
                <w:kern w:val="0"/>
                <w:sz w:val="18"/>
                <w:szCs w:val="18"/>
              </w:rPr>
              <w:t xml:space="preserve">4.75 </w:t>
            </w:r>
          </w:p>
        </w:tc>
        <w:tc>
          <w:tcPr>
            <w:tcW w:w="1489" w:type="dxa"/>
            <w:shd w:val="clear" w:color="auto" w:fill="auto"/>
            <w:noWrap/>
            <w:vAlign w:val="center"/>
          </w:tcPr>
          <w:p w14:paraId="17D90A84">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77B7B01A">
            <w:pPr>
              <w:widowControl/>
              <w:jc w:val="center"/>
              <w:rPr>
                <w:rFonts w:ascii="宋体" w:hAnsi="宋体" w:cs="宋体"/>
                <w:kern w:val="0"/>
                <w:sz w:val="18"/>
                <w:szCs w:val="18"/>
              </w:rPr>
            </w:pPr>
          </w:p>
        </w:tc>
      </w:tr>
      <w:tr w14:paraId="082F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1745DED1">
            <w:pPr>
              <w:widowControl/>
              <w:jc w:val="center"/>
              <w:rPr>
                <w:rFonts w:ascii="宋体" w:hAnsi="宋体" w:cs="宋体"/>
                <w:kern w:val="0"/>
                <w:sz w:val="18"/>
                <w:szCs w:val="18"/>
              </w:rPr>
            </w:pPr>
          </w:p>
        </w:tc>
        <w:tc>
          <w:tcPr>
            <w:tcW w:w="3659" w:type="dxa"/>
            <w:shd w:val="clear" w:color="auto" w:fill="auto"/>
            <w:vAlign w:val="center"/>
          </w:tcPr>
          <w:p w14:paraId="671AC891">
            <w:pPr>
              <w:widowControl/>
              <w:jc w:val="center"/>
              <w:rPr>
                <w:rFonts w:ascii="宋体" w:hAnsi="宋体" w:cs="宋体"/>
                <w:kern w:val="0"/>
                <w:sz w:val="18"/>
                <w:szCs w:val="18"/>
              </w:rPr>
            </w:pPr>
            <w:r>
              <w:rPr>
                <w:rFonts w:hint="eastAsia" w:ascii="宋体" w:hAnsi="宋体" w:cs="宋体"/>
                <w:kern w:val="0"/>
                <w:sz w:val="18"/>
                <w:szCs w:val="18"/>
              </w:rPr>
              <w:t>花沟村委会老龙树旅游设施项目</w:t>
            </w:r>
          </w:p>
        </w:tc>
        <w:tc>
          <w:tcPr>
            <w:tcW w:w="796" w:type="dxa"/>
            <w:shd w:val="clear" w:color="auto" w:fill="auto"/>
            <w:noWrap/>
            <w:vAlign w:val="center"/>
          </w:tcPr>
          <w:p w14:paraId="19C3AE53">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39A10CCB">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33D4CF80">
            <w:pPr>
              <w:widowControl/>
              <w:jc w:val="center"/>
              <w:rPr>
                <w:rFonts w:ascii="宋体" w:hAnsi="宋体" w:cs="宋体"/>
                <w:kern w:val="0"/>
                <w:sz w:val="18"/>
                <w:szCs w:val="18"/>
              </w:rPr>
            </w:pPr>
            <w:r>
              <w:rPr>
                <w:rFonts w:hint="eastAsia" w:ascii="宋体" w:hAnsi="宋体" w:cs="宋体"/>
                <w:kern w:val="0"/>
                <w:sz w:val="18"/>
                <w:szCs w:val="18"/>
              </w:rPr>
              <w:t xml:space="preserve">9.22 </w:t>
            </w:r>
          </w:p>
        </w:tc>
        <w:tc>
          <w:tcPr>
            <w:tcW w:w="946" w:type="dxa"/>
            <w:shd w:val="clear" w:color="auto" w:fill="auto"/>
            <w:noWrap/>
            <w:vAlign w:val="center"/>
          </w:tcPr>
          <w:p w14:paraId="4A8C0A68">
            <w:pPr>
              <w:widowControl/>
              <w:jc w:val="center"/>
              <w:rPr>
                <w:rFonts w:ascii="宋体" w:hAnsi="宋体" w:cs="宋体"/>
                <w:kern w:val="0"/>
                <w:sz w:val="18"/>
                <w:szCs w:val="18"/>
              </w:rPr>
            </w:pPr>
            <w:r>
              <w:rPr>
                <w:rFonts w:hint="eastAsia" w:ascii="宋体" w:hAnsi="宋体" w:cs="宋体"/>
                <w:kern w:val="0"/>
                <w:sz w:val="18"/>
                <w:szCs w:val="18"/>
              </w:rPr>
              <w:t xml:space="preserve">9.22 </w:t>
            </w:r>
          </w:p>
        </w:tc>
        <w:tc>
          <w:tcPr>
            <w:tcW w:w="854" w:type="dxa"/>
            <w:shd w:val="clear" w:color="auto" w:fill="auto"/>
            <w:noWrap/>
            <w:vAlign w:val="center"/>
          </w:tcPr>
          <w:p w14:paraId="69D5FFC3">
            <w:pPr>
              <w:widowControl/>
              <w:jc w:val="center"/>
              <w:rPr>
                <w:rFonts w:ascii="宋体" w:hAnsi="宋体" w:cs="宋体"/>
                <w:kern w:val="0"/>
                <w:sz w:val="18"/>
                <w:szCs w:val="18"/>
              </w:rPr>
            </w:pPr>
            <w:r>
              <w:rPr>
                <w:rFonts w:hint="eastAsia" w:ascii="宋体" w:hAnsi="宋体" w:cs="宋体"/>
                <w:kern w:val="0"/>
                <w:sz w:val="18"/>
                <w:szCs w:val="18"/>
              </w:rPr>
              <w:t xml:space="preserve">7.38 </w:t>
            </w:r>
          </w:p>
        </w:tc>
        <w:tc>
          <w:tcPr>
            <w:tcW w:w="1489" w:type="dxa"/>
            <w:shd w:val="clear" w:color="auto" w:fill="auto"/>
            <w:noWrap/>
            <w:vAlign w:val="center"/>
          </w:tcPr>
          <w:p w14:paraId="5717BD23">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1C23C5EE">
            <w:pPr>
              <w:widowControl/>
              <w:jc w:val="center"/>
              <w:rPr>
                <w:rFonts w:ascii="宋体" w:hAnsi="宋体" w:cs="宋体"/>
                <w:kern w:val="0"/>
                <w:sz w:val="18"/>
                <w:szCs w:val="18"/>
              </w:rPr>
            </w:pPr>
          </w:p>
        </w:tc>
      </w:tr>
      <w:tr w14:paraId="3575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5A15D960">
            <w:pPr>
              <w:widowControl/>
              <w:jc w:val="center"/>
              <w:rPr>
                <w:rFonts w:ascii="宋体" w:hAnsi="宋体" w:cs="宋体"/>
                <w:kern w:val="0"/>
                <w:sz w:val="18"/>
                <w:szCs w:val="18"/>
              </w:rPr>
            </w:pPr>
          </w:p>
        </w:tc>
        <w:tc>
          <w:tcPr>
            <w:tcW w:w="3659" w:type="dxa"/>
            <w:shd w:val="clear" w:color="auto" w:fill="auto"/>
            <w:vAlign w:val="center"/>
          </w:tcPr>
          <w:p w14:paraId="06BF39F1">
            <w:pPr>
              <w:widowControl/>
              <w:jc w:val="center"/>
              <w:rPr>
                <w:rFonts w:ascii="宋体" w:hAnsi="宋体" w:cs="宋体"/>
                <w:kern w:val="0"/>
                <w:sz w:val="18"/>
                <w:szCs w:val="18"/>
              </w:rPr>
            </w:pPr>
            <w:r>
              <w:rPr>
                <w:rFonts w:hint="eastAsia" w:ascii="宋体" w:hAnsi="宋体" w:cs="宋体"/>
                <w:kern w:val="0"/>
                <w:sz w:val="18"/>
                <w:szCs w:val="18"/>
              </w:rPr>
              <w:t xml:space="preserve"> 花沟村委会落霞沟旅游设施项目</w:t>
            </w:r>
          </w:p>
        </w:tc>
        <w:tc>
          <w:tcPr>
            <w:tcW w:w="796" w:type="dxa"/>
            <w:shd w:val="clear" w:color="auto" w:fill="auto"/>
            <w:noWrap/>
            <w:vAlign w:val="center"/>
          </w:tcPr>
          <w:p w14:paraId="0C6B97C8">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27ECC5B8">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540986CF">
            <w:pPr>
              <w:widowControl/>
              <w:jc w:val="center"/>
              <w:rPr>
                <w:rFonts w:ascii="宋体" w:hAnsi="宋体" w:cs="宋体"/>
                <w:kern w:val="0"/>
                <w:sz w:val="18"/>
                <w:szCs w:val="18"/>
              </w:rPr>
            </w:pPr>
            <w:r>
              <w:rPr>
                <w:rFonts w:hint="eastAsia" w:ascii="宋体" w:hAnsi="宋体" w:cs="宋体"/>
                <w:kern w:val="0"/>
                <w:sz w:val="18"/>
                <w:szCs w:val="18"/>
              </w:rPr>
              <w:t xml:space="preserve">31.62 </w:t>
            </w:r>
          </w:p>
        </w:tc>
        <w:tc>
          <w:tcPr>
            <w:tcW w:w="946" w:type="dxa"/>
            <w:shd w:val="clear" w:color="auto" w:fill="auto"/>
            <w:noWrap/>
            <w:vAlign w:val="center"/>
          </w:tcPr>
          <w:p w14:paraId="119895D6">
            <w:pPr>
              <w:widowControl/>
              <w:jc w:val="center"/>
              <w:rPr>
                <w:rFonts w:ascii="宋体" w:hAnsi="宋体" w:cs="宋体"/>
                <w:kern w:val="0"/>
                <w:sz w:val="18"/>
                <w:szCs w:val="18"/>
              </w:rPr>
            </w:pPr>
            <w:r>
              <w:rPr>
                <w:rFonts w:hint="eastAsia" w:ascii="宋体" w:hAnsi="宋体" w:cs="宋体"/>
                <w:kern w:val="0"/>
                <w:sz w:val="18"/>
                <w:szCs w:val="18"/>
              </w:rPr>
              <w:t xml:space="preserve">31.62 </w:t>
            </w:r>
          </w:p>
        </w:tc>
        <w:tc>
          <w:tcPr>
            <w:tcW w:w="854" w:type="dxa"/>
            <w:shd w:val="clear" w:color="auto" w:fill="auto"/>
            <w:noWrap/>
            <w:vAlign w:val="center"/>
          </w:tcPr>
          <w:p w14:paraId="4BFB9442">
            <w:pPr>
              <w:widowControl/>
              <w:jc w:val="center"/>
              <w:rPr>
                <w:rFonts w:ascii="宋体" w:hAnsi="宋体" w:cs="宋体"/>
                <w:kern w:val="0"/>
                <w:sz w:val="18"/>
                <w:szCs w:val="18"/>
              </w:rPr>
            </w:pPr>
            <w:r>
              <w:rPr>
                <w:rFonts w:hint="eastAsia" w:ascii="宋体" w:hAnsi="宋体" w:cs="宋体"/>
                <w:kern w:val="0"/>
                <w:sz w:val="18"/>
                <w:szCs w:val="18"/>
              </w:rPr>
              <w:t xml:space="preserve">25.30 </w:t>
            </w:r>
          </w:p>
        </w:tc>
        <w:tc>
          <w:tcPr>
            <w:tcW w:w="1489" w:type="dxa"/>
            <w:shd w:val="clear" w:color="auto" w:fill="auto"/>
            <w:noWrap/>
            <w:vAlign w:val="center"/>
          </w:tcPr>
          <w:p w14:paraId="005B570A">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46D8C921">
            <w:pPr>
              <w:widowControl/>
              <w:jc w:val="center"/>
              <w:rPr>
                <w:rFonts w:ascii="宋体" w:hAnsi="宋体" w:cs="宋体"/>
                <w:kern w:val="0"/>
                <w:sz w:val="18"/>
                <w:szCs w:val="18"/>
              </w:rPr>
            </w:pPr>
          </w:p>
        </w:tc>
      </w:tr>
      <w:tr w14:paraId="303D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214221F2">
            <w:pPr>
              <w:widowControl/>
              <w:jc w:val="center"/>
              <w:rPr>
                <w:rFonts w:ascii="宋体" w:hAnsi="宋体" w:cs="宋体"/>
                <w:kern w:val="0"/>
                <w:sz w:val="18"/>
                <w:szCs w:val="18"/>
              </w:rPr>
            </w:pPr>
          </w:p>
        </w:tc>
        <w:tc>
          <w:tcPr>
            <w:tcW w:w="3659" w:type="dxa"/>
            <w:shd w:val="clear" w:color="auto" w:fill="auto"/>
            <w:vAlign w:val="center"/>
          </w:tcPr>
          <w:p w14:paraId="480F2152">
            <w:pPr>
              <w:widowControl/>
              <w:jc w:val="center"/>
              <w:rPr>
                <w:rFonts w:ascii="宋体" w:hAnsi="宋体" w:cs="宋体"/>
                <w:kern w:val="0"/>
                <w:sz w:val="18"/>
                <w:szCs w:val="18"/>
              </w:rPr>
            </w:pPr>
            <w:r>
              <w:rPr>
                <w:rFonts w:hint="eastAsia" w:ascii="宋体" w:hAnsi="宋体" w:cs="宋体"/>
                <w:kern w:val="0"/>
                <w:sz w:val="18"/>
                <w:szCs w:val="18"/>
              </w:rPr>
              <w:t>松毛棚村委会大坪子小组旅游设施项目</w:t>
            </w:r>
          </w:p>
        </w:tc>
        <w:tc>
          <w:tcPr>
            <w:tcW w:w="796" w:type="dxa"/>
            <w:shd w:val="clear" w:color="auto" w:fill="auto"/>
            <w:noWrap/>
            <w:vAlign w:val="center"/>
          </w:tcPr>
          <w:p w14:paraId="6EF4A9CC">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434BB232">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3FB4FABC">
            <w:pPr>
              <w:widowControl/>
              <w:jc w:val="center"/>
              <w:rPr>
                <w:rFonts w:ascii="宋体" w:hAnsi="宋体" w:cs="宋体"/>
                <w:kern w:val="0"/>
                <w:sz w:val="18"/>
                <w:szCs w:val="18"/>
              </w:rPr>
            </w:pPr>
            <w:r>
              <w:rPr>
                <w:rFonts w:hint="eastAsia" w:ascii="宋体" w:hAnsi="宋体" w:cs="宋体"/>
                <w:kern w:val="0"/>
                <w:sz w:val="18"/>
                <w:szCs w:val="18"/>
              </w:rPr>
              <w:t xml:space="preserve">52.14 </w:t>
            </w:r>
          </w:p>
        </w:tc>
        <w:tc>
          <w:tcPr>
            <w:tcW w:w="946" w:type="dxa"/>
            <w:shd w:val="clear" w:color="auto" w:fill="auto"/>
            <w:noWrap/>
            <w:vAlign w:val="center"/>
          </w:tcPr>
          <w:p w14:paraId="1E88135C">
            <w:pPr>
              <w:widowControl/>
              <w:jc w:val="center"/>
              <w:rPr>
                <w:rFonts w:ascii="宋体" w:hAnsi="宋体" w:cs="宋体"/>
                <w:kern w:val="0"/>
                <w:sz w:val="18"/>
                <w:szCs w:val="18"/>
              </w:rPr>
            </w:pPr>
            <w:r>
              <w:rPr>
                <w:rFonts w:hint="eastAsia" w:ascii="宋体" w:hAnsi="宋体" w:cs="宋体"/>
                <w:kern w:val="0"/>
                <w:sz w:val="18"/>
                <w:szCs w:val="18"/>
              </w:rPr>
              <w:t xml:space="preserve">52.14 </w:t>
            </w:r>
          </w:p>
        </w:tc>
        <w:tc>
          <w:tcPr>
            <w:tcW w:w="854" w:type="dxa"/>
            <w:shd w:val="clear" w:color="auto" w:fill="auto"/>
            <w:noWrap/>
            <w:vAlign w:val="center"/>
          </w:tcPr>
          <w:p w14:paraId="04E10410">
            <w:pPr>
              <w:widowControl/>
              <w:jc w:val="center"/>
              <w:rPr>
                <w:rFonts w:ascii="宋体" w:hAnsi="宋体" w:cs="宋体"/>
                <w:kern w:val="0"/>
                <w:sz w:val="18"/>
                <w:szCs w:val="18"/>
              </w:rPr>
            </w:pPr>
            <w:r>
              <w:rPr>
                <w:rFonts w:hint="eastAsia" w:ascii="宋体" w:hAnsi="宋体" w:cs="宋体"/>
                <w:kern w:val="0"/>
                <w:sz w:val="18"/>
                <w:szCs w:val="18"/>
              </w:rPr>
              <w:t xml:space="preserve">41.71 </w:t>
            </w:r>
          </w:p>
        </w:tc>
        <w:tc>
          <w:tcPr>
            <w:tcW w:w="1489" w:type="dxa"/>
            <w:shd w:val="clear" w:color="auto" w:fill="auto"/>
            <w:noWrap/>
            <w:vAlign w:val="center"/>
          </w:tcPr>
          <w:p w14:paraId="42666288">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3F8861BC">
            <w:pPr>
              <w:widowControl/>
              <w:jc w:val="center"/>
              <w:rPr>
                <w:rFonts w:ascii="宋体" w:hAnsi="宋体" w:cs="宋体"/>
                <w:kern w:val="0"/>
                <w:sz w:val="18"/>
                <w:szCs w:val="18"/>
              </w:rPr>
            </w:pPr>
          </w:p>
        </w:tc>
      </w:tr>
      <w:tr w14:paraId="7722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7A35BE63">
            <w:pPr>
              <w:widowControl/>
              <w:jc w:val="center"/>
              <w:rPr>
                <w:rFonts w:ascii="宋体" w:hAnsi="宋体" w:cs="宋体"/>
                <w:kern w:val="0"/>
                <w:sz w:val="18"/>
                <w:szCs w:val="18"/>
              </w:rPr>
            </w:pPr>
          </w:p>
        </w:tc>
        <w:tc>
          <w:tcPr>
            <w:tcW w:w="3659" w:type="dxa"/>
            <w:shd w:val="clear" w:color="auto" w:fill="auto"/>
            <w:vAlign w:val="center"/>
          </w:tcPr>
          <w:p w14:paraId="5A615FE0">
            <w:pPr>
              <w:widowControl/>
              <w:jc w:val="center"/>
              <w:rPr>
                <w:rFonts w:ascii="宋体" w:hAnsi="宋体" w:cs="宋体"/>
                <w:kern w:val="0"/>
                <w:sz w:val="18"/>
                <w:szCs w:val="18"/>
              </w:rPr>
            </w:pPr>
            <w:r>
              <w:rPr>
                <w:rFonts w:hint="eastAsia" w:ascii="宋体" w:hAnsi="宋体" w:cs="宋体"/>
                <w:kern w:val="0"/>
                <w:sz w:val="18"/>
                <w:szCs w:val="18"/>
              </w:rPr>
              <w:t>普渡河大峡谷旅游开发项目</w:t>
            </w:r>
          </w:p>
        </w:tc>
        <w:tc>
          <w:tcPr>
            <w:tcW w:w="796" w:type="dxa"/>
            <w:shd w:val="clear" w:color="auto" w:fill="auto"/>
            <w:noWrap/>
            <w:vAlign w:val="center"/>
          </w:tcPr>
          <w:p w14:paraId="20B9076B">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38C33B87">
            <w:pPr>
              <w:widowControl/>
              <w:jc w:val="center"/>
              <w:rPr>
                <w:rFonts w:ascii="宋体" w:hAnsi="宋体" w:cs="宋体"/>
                <w:kern w:val="0"/>
                <w:sz w:val="18"/>
                <w:szCs w:val="18"/>
              </w:rPr>
            </w:pPr>
            <w:r>
              <w:rPr>
                <w:rFonts w:hint="eastAsia" w:ascii="宋体" w:hAnsi="宋体" w:cs="宋体"/>
                <w:kern w:val="0"/>
                <w:sz w:val="18"/>
                <w:szCs w:val="18"/>
              </w:rPr>
              <w:t>2016-2021</w:t>
            </w:r>
          </w:p>
        </w:tc>
        <w:tc>
          <w:tcPr>
            <w:tcW w:w="1026" w:type="dxa"/>
            <w:shd w:val="clear" w:color="auto" w:fill="auto"/>
            <w:noWrap/>
            <w:vAlign w:val="center"/>
          </w:tcPr>
          <w:p w14:paraId="1CA7277B">
            <w:pPr>
              <w:widowControl/>
              <w:jc w:val="center"/>
              <w:rPr>
                <w:rFonts w:ascii="宋体" w:hAnsi="宋体" w:cs="宋体"/>
                <w:kern w:val="0"/>
                <w:sz w:val="18"/>
                <w:szCs w:val="18"/>
              </w:rPr>
            </w:pPr>
            <w:r>
              <w:rPr>
                <w:rFonts w:hint="eastAsia" w:ascii="宋体" w:hAnsi="宋体" w:cs="宋体"/>
                <w:kern w:val="0"/>
                <w:sz w:val="18"/>
                <w:szCs w:val="18"/>
              </w:rPr>
              <w:t xml:space="preserve">10.00 </w:t>
            </w:r>
          </w:p>
        </w:tc>
        <w:tc>
          <w:tcPr>
            <w:tcW w:w="946" w:type="dxa"/>
            <w:shd w:val="clear" w:color="auto" w:fill="auto"/>
            <w:noWrap/>
            <w:vAlign w:val="center"/>
          </w:tcPr>
          <w:p w14:paraId="34608D5C">
            <w:pPr>
              <w:widowControl/>
              <w:jc w:val="center"/>
              <w:rPr>
                <w:rFonts w:ascii="宋体" w:hAnsi="宋体" w:cs="宋体"/>
                <w:kern w:val="0"/>
                <w:sz w:val="18"/>
                <w:szCs w:val="18"/>
              </w:rPr>
            </w:pPr>
            <w:r>
              <w:rPr>
                <w:rFonts w:hint="eastAsia" w:ascii="宋体" w:hAnsi="宋体" w:cs="宋体"/>
                <w:kern w:val="0"/>
                <w:sz w:val="18"/>
                <w:szCs w:val="18"/>
              </w:rPr>
              <w:t xml:space="preserve">10.00 </w:t>
            </w:r>
          </w:p>
        </w:tc>
        <w:tc>
          <w:tcPr>
            <w:tcW w:w="854" w:type="dxa"/>
            <w:shd w:val="clear" w:color="auto" w:fill="auto"/>
            <w:noWrap/>
            <w:vAlign w:val="center"/>
          </w:tcPr>
          <w:p w14:paraId="39F16589">
            <w:pPr>
              <w:widowControl/>
              <w:jc w:val="center"/>
              <w:rPr>
                <w:rFonts w:ascii="宋体" w:hAnsi="宋体" w:cs="宋体"/>
                <w:kern w:val="0"/>
                <w:sz w:val="18"/>
                <w:szCs w:val="18"/>
              </w:rPr>
            </w:pPr>
            <w:r>
              <w:rPr>
                <w:rFonts w:hint="eastAsia" w:ascii="宋体" w:hAnsi="宋体" w:cs="宋体"/>
                <w:kern w:val="0"/>
                <w:sz w:val="18"/>
                <w:szCs w:val="18"/>
              </w:rPr>
              <w:t xml:space="preserve">8.00 </w:t>
            </w:r>
          </w:p>
        </w:tc>
        <w:tc>
          <w:tcPr>
            <w:tcW w:w="1489" w:type="dxa"/>
            <w:shd w:val="clear" w:color="auto" w:fill="auto"/>
            <w:noWrap/>
            <w:vAlign w:val="center"/>
          </w:tcPr>
          <w:p w14:paraId="6D4CC73C">
            <w:pPr>
              <w:widowControl/>
              <w:jc w:val="center"/>
              <w:rPr>
                <w:rFonts w:ascii="宋体" w:hAnsi="宋体" w:cs="宋体"/>
                <w:kern w:val="0"/>
                <w:sz w:val="18"/>
                <w:szCs w:val="18"/>
              </w:rPr>
            </w:pPr>
            <w:r>
              <w:rPr>
                <w:rFonts w:hint="eastAsia" w:ascii="宋体" w:hAnsi="宋体" w:cs="宋体"/>
                <w:kern w:val="0"/>
                <w:sz w:val="18"/>
                <w:szCs w:val="18"/>
              </w:rPr>
              <w:t>舍块乡</w:t>
            </w:r>
          </w:p>
        </w:tc>
        <w:tc>
          <w:tcPr>
            <w:tcW w:w="577" w:type="dxa"/>
            <w:shd w:val="clear" w:color="auto" w:fill="auto"/>
            <w:noWrap/>
            <w:vAlign w:val="center"/>
          </w:tcPr>
          <w:p w14:paraId="4E38B175">
            <w:pPr>
              <w:widowControl/>
              <w:jc w:val="center"/>
              <w:rPr>
                <w:rFonts w:ascii="宋体" w:hAnsi="宋体" w:cs="宋体"/>
                <w:kern w:val="0"/>
                <w:sz w:val="18"/>
                <w:szCs w:val="18"/>
              </w:rPr>
            </w:pPr>
          </w:p>
        </w:tc>
      </w:tr>
      <w:tr w14:paraId="1BF4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61EC164">
            <w:pPr>
              <w:widowControl/>
              <w:jc w:val="center"/>
              <w:rPr>
                <w:rFonts w:ascii="宋体" w:hAnsi="宋体" w:cs="宋体"/>
                <w:kern w:val="0"/>
                <w:sz w:val="18"/>
                <w:szCs w:val="18"/>
              </w:rPr>
            </w:pPr>
          </w:p>
        </w:tc>
        <w:tc>
          <w:tcPr>
            <w:tcW w:w="3659" w:type="dxa"/>
            <w:shd w:val="clear" w:color="auto" w:fill="auto"/>
            <w:noWrap/>
            <w:vAlign w:val="center"/>
          </w:tcPr>
          <w:p w14:paraId="3CEEFF5E">
            <w:pPr>
              <w:widowControl/>
              <w:jc w:val="center"/>
              <w:rPr>
                <w:rFonts w:ascii="宋体" w:hAnsi="宋体" w:cs="宋体"/>
                <w:kern w:val="0"/>
                <w:sz w:val="18"/>
                <w:szCs w:val="18"/>
              </w:rPr>
            </w:pPr>
            <w:r>
              <w:rPr>
                <w:rFonts w:hint="eastAsia" w:ascii="宋体" w:hAnsi="宋体" w:cs="宋体"/>
                <w:kern w:val="0"/>
                <w:sz w:val="18"/>
                <w:szCs w:val="18"/>
              </w:rPr>
              <w:t>小计</w:t>
            </w:r>
          </w:p>
        </w:tc>
        <w:tc>
          <w:tcPr>
            <w:tcW w:w="796" w:type="dxa"/>
            <w:shd w:val="clear" w:color="auto" w:fill="auto"/>
            <w:noWrap/>
            <w:vAlign w:val="center"/>
          </w:tcPr>
          <w:p w14:paraId="78729AFA">
            <w:pPr>
              <w:jc w:val="center"/>
            </w:pPr>
            <w:r>
              <w:rPr>
                <w:rFonts w:hint="eastAsia" w:ascii="宋体" w:hAnsi="宋体" w:cs="宋体"/>
                <w:kern w:val="0"/>
                <w:sz w:val="18"/>
                <w:szCs w:val="18"/>
              </w:rPr>
              <w:t>——</w:t>
            </w:r>
          </w:p>
        </w:tc>
        <w:tc>
          <w:tcPr>
            <w:tcW w:w="1206" w:type="dxa"/>
            <w:shd w:val="clear" w:color="auto" w:fill="auto"/>
            <w:noWrap/>
            <w:vAlign w:val="center"/>
          </w:tcPr>
          <w:p w14:paraId="5E87A929">
            <w:pPr>
              <w:jc w:val="center"/>
            </w:pPr>
            <w:r>
              <w:rPr>
                <w:rFonts w:hint="eastAsia" w:ascii="宋体" w:hAnsi="宋体" w:cs="宋体"/>
                <w:kern w:val="0"/>
                <w:sz w:val="18"/>
                <w:szCs w:val="18"/>
              </w:rPr>
              <w:t>——</w:t>
            </w:r>
          </w:p>
        </w:tc>
        <w:tc>
          <w:tcPr>
            <w:tcW w:w="1026" w:type="dxa"/>
            <w:shd w:val="clear" w:color="auto" w:fill="auto"/>
            <w:noWrap/>
            <w:vAlign w:val="center"/>
          </w:tcPr>
          <w:p w14:paraId="3B3D96A4">
            <w:pPr>
              <w:widowControl/>
              <w:jc w:val="center"/>
              <w:rPr>
                <w:rFonts w:ascii="宋体" w:hAnsi="宋体" w:cs="宋体"/>
                <w:kern w:val="0"/>
                <w:sz w:val="18"/>
                <w:szCs w:val="18"/>
              </w:rPr>
            </w:pPr>
            <w:r>
              <w:rPr>
                <w:rFonts w:hint="eastAsia" w:ascii="宋体" w:hAnsi="宋体" w:cs="宋体"/>
                <w:kern w:val="0"/>
                <w:sz w:val="18"/>
                <w:szCs w:val="18"/>
              </w:rPr>
              <w:t>348.3</w:t>
            </w:r>
          </w:p>
        </w:tc>
        <w:tc>
          <w:tcPr>
            <w:tcW w:w="946" w:type="dxa"/>
            <w:shd w:val="clear" w:color="auto" w:fill="auto"/>
            <w:noWrap/>
            <w:vAlign w:val="center"/>
          </w:tcPr>
          <w:p w14:paraId="390F559A">
            <w:pPr>
              <w:widowControl/>
              <w:jc w:val="center"/>
              <w:rPr>
                <w:rFonts w:ascii="宋体" w:hAnsi="宋体" w:cs="宋体"/>
                <w:kern w:val="0"/>
                <w:sz w:val="18"/>
                <w:szCs w:val="18"/>
              </w:rPr>
            </w:pPr>
            <w:r>
              <w:rPr>
                <w:rFonts w:hint="eastAsia" w:ascii="宋体" w:hAnsi="宋体" w:cs="宋体"/>
                <w:kern w:val="0"/>
                <w:sz w:val="18"/>
                <w:szCs w:val="18"/>
              </w:rPr>
              <w:t>333.99</w:t>
            </w:r>
          </w:p>
        </w:tc>
        <w:tc>
          <w:tcPr>
            <w:tcW w:w="854" w:type="dxa"/>
            <w:shd w:val="clear" w:color="auto" w:fill="auto"/>
            <w:noWrap/>
            <w:vAlign w:val="center"/>
          </w:tcPr>
          <w:p w14:paraId="30B29698">
            <w:pPr>
              <w:widowControl/>
              <w:jc w:val="center"/>
              <w:rPr>
                <w:rFonts w:ascii="宋体" w:hAnsi="宋体" w:cs="宋体"/>
                <w:kern w:val="0"/>
                <w:sz w:val="18"/>
                <w:szCs w:val="18"/>
              </w:rPr>
            </w:pPr>
            <w:r>
              <w:rPr>
                <w:rFonts w:hint="eastAsia" w:ascii="宋体" w:hAnsi="宋体" w:cs="宋体"/>
                <w:kern w:val="0"/>
                <w:sz w:val="18"/>
                <w:szCs w:val="18"/>
              </w:rPr>
              <w:t>231.61</w:t>
            </w:r>
          </w:p>
        </w:tc>
        <w:tc>
          <w:tcPr>
            <w:tcW w:w="1489" w:type="dxa"/>
            <w:shd w:val="clear" w:color="auto" w:fill="auto"/>
            <w:noWrap/>
            <w:vAlign w:val="center"/>
          </w:tcPr>
          <w:p w14:paraId="3BE000C5">
            <w:pPr>
              <w:widowControl/>
              <w:jc w:val="center"/>
              <w:rPr>
                <w:rFonts w:ascii="宋体" w:hAnsi="宋体" w:cs="宋体"/>
                <w:kern w:val="0"/>
                <w:sz w:val="15"/>
                <w:szCs w:val="15"/>
              </w:rPr>
            </w:pPr>
            <w:r>
              <w:rPr>
                <w:rFonts w:hint="eastAsia" w:ascii="宋体" w:hAnsi="宋体" w:cs="宋体"/>
                <w:kern w:val="0"/>
                <w:sz w:val="15"/>
                <w:szCs w:val="15"/>
              </w:rPr>
              <w:t>——</w:t>
            </w:r>
          </w:p>
        </w:tc>
        <w:tc>
          <w:tcPr>
            <w:tcW w:w="577" w:type="dxa"/>
            <w:shd w:val="clear" w:color="auto" w:fill="auto"/>
            <w:noWrap/>
            <w:vAlign w:val="center"/>
          </w:tcPr>
          <w:p w14:paraId="22BDA98F">
            <w:pPr>
              <w:widowControl/>
              <w:jc w:val="center"/>
              <w:rPr>
                <w:rFonts w:ascii="宋体" w:hAnsi="宋体" w:cs="宋体"/>
                <w:kern w:val="0"/>
                <w:sz w:val="18"/>
                <w:szCs w:val="18"/>
              </w:rPr>
            </w:pPr>
          </w:p>
        </w:tc>
      </w:tr>
      <w:tr w14:paraId="2B64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restart"/>
            <w:shd w:val="clear" w:color="auto" w:fill="auto"/>
            <w:vAlign w:val="center"/>
          </w:tcPr>
          <w:p w14:paraId="3EEE24D0">
            <w:pPr>
              <w:widowControl/>
              <w:jc w:val="center"/>
              <w:rPr>
                <w:rFonts w:ascii="宋体" w:hAnsi="宋体" w:cs="宋体"/>
                <w:kern w:val="0"/>
                <w:sz w:val="18"/>
                <w:szCs w:val="18"/>
              </w:rPr>
            </w:pPr>
            <w:r>
              <w:rPr>
                <w:rFonts w:hint="eastAsia" w:ascii="宋体" w:hAnsi="宋体" w:cs="宋体"/>
                <w:kern w:val="0"/>
                <w:sz w:val="18"/>
                <w:szCs w:val="18"/>
              </w:rPr>
              <w:t>5.移民搬迁安置项目</w:t>
            </w:r>
          </w:p>
        </w:tc>
        <w:tc>
          <w:tcPr>
            <w:tcW w:w="3659" w:type="dxa"/>
            <w:shd w:val="clear" w:color="auto" w:fill="auto"/>
            <w:vAlign w:val="center"/>
          </w:tcPr>
          <w:p w14:paraId="10EE16B0">
            <w:pPr>
              <w:widowControl/>
              <w:jc w:val="center"/>
              <w:rPr>
                <w:rFonts w:ascii="宋体" w:hAnsi="宋体" w:cs="宋体"/>
                <w:kern w:val="0"/>
                <w:sz w:val="18"/>
                <w:szCs w:val="18"/>
              </w:rPr>
            </w:pPr>
            <w:r>
              <w:rPr>
                <w:rFonts w:hint="eastAsia" w:ascii="宋体" w:hAnsi="宋体" w:cs="宋体"/>
                <w:kern w:val="0"/>
                <w:sz w:val="18"/>
                <w:szCs w:val="18"/>
              </w:rPr>
              <w:t>阿旺镇小河村搬迁集中安置点</w:t>
            </w:r>
          </w:p>
        </w:tc>
        <w:tc>
          <w:tcPr>
            <w:tcW w:w="796" w:type="dxa"/>
            <w:shd w:val="clear" w:color="auto" w:fill="auto"/>
            <w:noWrap/>
            <w:vAlign w:val="center"/>
          </w:tcPr>
          <w:p w14:paraId="67A8943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21299065">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1CBA7A5F">
            <w:pPr>
              <w:widowControl/>
              <w:jc w:val="center"/>
              <w:rPr>
                <w:rFonts w:ascii="宋体" w:hAnsi="宋体" w:cs="宋体"/>
                <w:kern w:val="0"/>
                <w:sz w:val="18"/>
                <w:szCs w:val="18"/>
              </w:rPr>
            </w:pPr>
            <w:r>
              <w:rPr>
                <w:rFonts w:hint="eastAsia" w:ascii="宋体" w:hAnsi="宋体" w:cs="宋体"/>
                <w:kern w:val="0"/>
                <w:sz w:val="18"/>
                <w:szCs w:val="18"/>
              </w:rPr>
              <w:t>5.78</w:t>
            </w:r>
          </w:p>
        </w:tc>
        <w:tc>
          <w:tcPr>
            <w:tcW w:w="946" w:type="dxa"/>
            <w:shd w:val="clear" w:color="auto" w:fill="auto"/>
            <w:noWrap/>
            <w:vAlign w:val="center"/>
          </w:tcPr>
          <w:p w14:paraId="2E797459">
            <w:pPr>
              <w:widowControl/>
              <w:jc w:val="center"/>
              <w:rPr>
                <w:rFonts w:ascii="宋体" w:hAnsi="宋体" w:cs="宋体"/>
                <w:kern w:val="0"/>
                <w:sz w:val="18"/>
                <w:szCs w:val="18"/>
              </w:rPr>
            </w:pPr>
            <w:r>
              <w:rPr>
                <w:rFonts w:hint="eastAsia" w:ascii="宋体" w:hAnsi="宋体" w:cs="宋体"/>
                <w:kern w:val="0"/>
                <w:sz w:val="18"/>
                <w:szCs w:val="18"/>
              </w:rPr>
              <w:t>5.78</w:t>
            </w:r>
          </w:p>
        </w:tc>
        <w:tc>
          <w:tcPr>
            <w:tcW w:w="854" w:type="dxa"/>
            <w:shd w:val="clear" w:color="auto" w:fill="auto"/>
            <w:noWrap/>
            <w:vAlign w:val="center"/>
          </w:tcPr>
          <w:p w14:paraId="50D1D47A">
            <w:pPr>
              <w:widowControl/>
              <w:jc w:val="center"/>
              <w:rPr>
                <w:rFonts w:ascii="宋体" w:hAnsi="宋体" w:cs="宋体"/>
                <w:kern w:val="0"/>
                <w:sz w:val="18"/>
                <w:szCs w:val="18"/>
              </w:rPr>
            </w:pPr>
            <w:r>
              <w:rPr>
                <w:rFonts w:hint="eastAsia" w:ascii="宋体" w:hAnsi="宋体" w:cs="宋体"/>
                <w:kern w:val="0"/>
                <w:sz w:val="18"/>
                <w:szCs w:val="18"/>
              </w:rPr>
              <w:t>5.78</w:t>
            </w:r>
          </w:p>
        </w:tc>
        <w:tc>
          <w:tcPr>
            <w:tcW w:w="1489" w:type="dxa"/>
            <w:shd w:val="clear" w:color="auto" w:fill="auto"/>
            <w:vAlign w:val="center"/>
          </w:tcPr>
          <w:p w14:paraId="7D125CB5">
            <w:pPr>
              <w:widowControl/>
              <w:jc w:val="center"/>
              <w:rPr>
                <w:rFonts w:ascii="宋体" w:hAnsi="宋体" w:cs="宋体"/>
                <w:kern w:val="0"/>
                <w:sz w:val="15"/>
                <w:szCs w:val="15"/>
              </w:rPr>
            </w:pPr>
            <w:r>
              <w:rPr>
                <w:rFonts w:hint="eastAsia" w:ascii="宋体" w:hAnsi="宋体" w:cs="宋体"/>
                <w:kern w:val="0"/>
                <w:sz w:val="15"/>
                <w:szCs w:val="15"/>
              </w:rPr>
              <w:t>阿旺镇</w:t>
            </w:r>
          </w:p>
        </w:tc>
        <w:tc>
          <w:tcPr>
            <w:tcW w:w="577" w:type="dxa"/>
            <w:shd w:val="clear" w:color="auto" w:fill="auto"/>
            <w:noWrap/>
            <w:vAlign w:val="center"/>
          </w:tcPr>
          <w:p w14:paraId="163FFDEE">
            <w:pPr>
              <w:widowControl/>
              <w:jc w:val="center"/>
              <w:rPr>
                <w:rFonts w:ascii="宋体" w:hAnsi="宋体" w:cs="宋体"/>
                <w:kern w:val="0"/>
                <w:sz w:val="18"/>
                <w:szCs w:val="18"/>
              </w:rPr>
            </w:pPr>
          </w:p>
        </w:tc>
      </w:tr>
      <w:tr w14:paraId="4D5D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2A2F645">
            <w:pPr>
              <w:widowControl/>
              <w:jc w:val="center"/>
              <w:rPr>
                <w:rFonts w:ascii="宋体" w:hAnsi="宋体" w:cs="宋体"/>
                <w:kern w:val="0"/>
                <w:sz w:val="18"/>
                <w:szCs w:val="18"/>
              </w:rPr>
            </w:pPr>
          </w:p>
        </w:tc>
        <w:tc>
          <w:tcPr>
            <w:tcW w:w="3659" w:type="dxa"/>
            <w:shd w:val="clear" w:color="auto" w:fill="auto"/>
            <w:vAlign w:val="center"/>
          </w:tcPr>
          <w:p w14:paraId="19E83003">
            <w:pPr>
              <w:widowControl/>
              <w:jc w:val="center"/>
              <w:rPr>
                <w:rFonts w:ascii="宋体" w:hAnsi="宋体" w:cs="宋体"/>
                <w:kern w:val="0"/>
                <w:sz w:val="18"/>
                <w:szCs w:val="18"/>
              </w:rPr>
            </w:pPr>
            <w:r>
              <w:rPr>
                <w:rFonts w:hint="eastAsia" w:ascii="宋体" w:hAnsi="宋体" w:cs="宋体"/>
                <w:kern w:val="0"/>
                <w:sz w:val="18"/>
                <w:szCs w:val="18"/>
              </w:rPr>
              <w:t>阿旺镇阿旺宜居农房建设搬迁集中安置点</w:t>
            </w:r>
          </w:p>
        </w:tc>
        <w:tc>
          <w:tcPr>
            <w:tcW w:w="796" w:type="dxa"/>
            <w:shd w:val="clear" w:color="auto" w:fill="auto"/>
            <w:noWrap/>
            <w:vAlign w:val="center"/>
          </w:tcPr>
          <w:p w14:paraId="5C682128">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513F6542">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647ED2BF">
            <w:pPr>
              <w:widowControl/>
              <w:jc w:val="center"/>
              <w:rPr>
                <w:rFonts w:ascii="宋体" w:hAnsi="宋体" w:cs="宋体"/>
                <w:kern w:val="0"/>
                <w:sz w:val="18"/>
                <w:szCs w:val="18"/>
              </w:rPr>
            </w:pPr>
            <w:r>
              <w:rPr>
                <w:rFonts w:hint="eastAsia" w:ascii="宋体" w:hAnsi="宋体" w:cs="宋体"/>
                <w:kern w:val="0"/>
                <w:sz w:val="18"/>
                <w:szCs w:val="18"/>
              </w:rPr>
              <w:t>0.85</w:t>
            </w:r>
          </w:p>
        </w:tc>
        <w:tc>
          <w:tcPr>
            <w:tcW w:w="946" w:type="dxa"/>
            <w:shd w:val="clear" w:color="auto" w:fill="auto"/>
            <w:noWrap/>
            <w:vAlign w:val="center"/>
          </w:tcPr>
          <w:p w14:paraId="4C09E8A9">
            <w:pPr>
              <w:widowControl/>
              <w:jc w:val="center"/>
              <w:rPr>
                <w:rFonts w:ascii="宋体" w:hAnsi="宋体" w:cs="宋体"/>
                <w:kern w:val="0"/>
                <w:sz w:val="18"/>
                <w:szCs w:val="18"/>
              </w:rPr>
            </w:pPr>
            <w:r>
              <w:rPr>
                <w:rFonts w:hint="eastAsia" w:ascii="宋体" w:hAnsi="宋体" w:cs="宋体"/>
                <w:kern w:val="0"/>
                <w:sz w:val="18"/>
                <w:szCs w:val="18"/>
              </w:rPr>
              <w:t>0.79</w:t>
            </w:r>
          </w:p>
        </w:tc>
        <w:tc>
          <w:tcPr>
            <w:tcW w:w="854" w:type="dxa"/>
            <w:shd w:val="clear" w:color="auto" w:fill="auto"/>
            <w:noWrap/>
            <w:vAlign w:val="center"/>
          </w:tcPr>
          <w:p w14:paraId="624F9E7D">
            <w:pPr>
              <w:widowControl/>
              <w:jc w:val="center"/>
              <w:rPr>
                <w:rFonts w:ascii="宋体" w:hAnsi="宋体" w:cs="宋体"/>
                <w:kern w:val="0"/>
                <w:sz w:val="18"/>
                <w:szCs w:val="18"/>
              </w:rPr>
            </w:pPr>
            <w:r>
              <w:rPr>
                <w:rFonts w:hint="eastAsia" w:ascii="宋体" w:hAnsi="宋体" w:cs="宋体"/>
                <w:kern w:val="0"/>
                <w:sz w:val="18"/>
                <w:szCs w:val="18"/>
              </w:rPr>
              <w:t>0.79</w:t>
            </w:r>
          </w:p>
        </w:tc>
        <w:tc>
          <w:tcPr>
            <w:tcW w:w="1489" w:type="dxa"/>
            <w:shd w:val="clear" w:color="auto" w:fill="auto"/>
            <w:noWrap/>
            <w:vAlign w:val="center"/>
          </w:tcPr>
          <w:p w14:paraId="7D983DB4">
            <w:pPr>
              <w:widowControl/>
              <w:jc w:val="center"/>
              <w:rPr>
                <w:rFonts w:ascii="宋体" w:hAnsi="宋体" w:cs="宋体"/>
                <w:kern w:val="0"/>
                <w:sz w:val="15"/>
                <w:szCs w:val="15"/>
              </w:rPr>
            </w:pPr>
            <w:r>
              <w:rPr>
                <w:rFonts w:hint="eastAsia" w:ascii="宋体" w:hAnsi="宋体" w:cs="宋体"/>
                <w:kern w:val="0"/>
                <w:sz w:val="15"/>
                <w:szCs w:val="15"/>
              </w:rPr>
              <w:t>阿旺镇</w:t>
            </w:r>
          </w:p>
        </w:tc>
        <w:tc>
          <w:tcPr>
            <w:tcW w:w="577" w:type="dxa"/>
            <w:shd w:val="clear" w:color="auto" w:fill="auto"/>
            <w:noWrap/>
            <w:vAlign w:val="center"/>
          </w:tcPr>
          <w:p w14:paraId="22A8756D">
            <w:pPr>
              <w:widowControl/>
              <w:jc w:val="center"/>
              <w:rPr>
                <w:rFonts w:ascii="宋体" w:hAnsi="宋体" w:cs="宋体"/>
                <w:kern w:val="0"/>
                <w:sz w:val="18"/>
                <w:szCs w:val="18"/>
              </w:rPr>
            </w:pPr>
          </w:p>
        </w:tc>
      </w:tr>
      <w:tr w14:paraId="76DC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5951E01">
            <w:pPr>
              <w:widowControl/>
              <w:jc w:val="center"/>
              <w:rPr>
                <w:rFonts w:ascii="宋体" w:hAnsi="宋体" w:cs="宋体"/>
                <w:kern w:val="0"/>
                <w:sz w:val="18"/>
                <w:szCs w:val="18"/>
              </w:rPr>
            </w:pPr>
          </w:p>
        </w:tc>
        <w:tc>
          <w:tcPr>
            <w:tcW w:w="3659" w:type="dxa"/>
            <w:shd w:val="clear" w:color="auto" w:fill="auto"/>
            <w:vAlign w:val="center"/>
          </w:tcPr>
          <w:p w14:paraId="157D3428">
            <w:pPr>
              <w:widowControl/>
              <w:jc w:val="center"/>
              <w:rPr>
                <w:rFonts w:ascii="宋体" w:hAnsi="宋体" w:cs="宋体"/>
                <w:kern w:val="0"/>
                <w:sz w:val="18"/>
                <w:szCs w:val="18"/>
              </w:rPr>
            </w:pPr>
            <w:r>
              <w:rPr>
                <w:rFonts w:hint="eastAsia" w:ascii="宋体" w:hAnsi="宋体" w:cs="宋体"/>
                <w:kern w:val="0"/>
                <w:sz w:val="18"/>
                <w:szCs w:val="18"/>
              </w:rPr>
              <w:t>汤丹镇达朵小田坝宜居农房建设搬迁集中安置点项目</w:t>
            </w:r>
          </w:p>
        </w:tc>
        <w:tc>
          <w:tcPr>
            <w:tcW w:w="796" w:type="dxa"/>
            <w:shd w:val="clear" w:color="auto" w:fill="auto"/>
            <w:noWrap/>
            <w:vAlign w:val="center"/>
          </w:tcPr>
          <w:p w14:paraId="73925E9B">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5CD363CD">
            <w:pPr>
              <w:widowControl/>
              <w:jc w:val="center"/>
              <w:rPr>
                <w:rFonts w:ascii="宋体" w:hAnsi="宋体" w:cs="宋体"/>
                <w:kern w:val="0"/>
                <w:sz w:val="18"/>
                <w:szCs w:val="18"/>
              </w:rPr>
            </w:pPr>
            <w:r>
              <w:rPr>
                <w:rFonts w:hint="eastAsia" w:ascii="宋体" w:hAnsi="宋体" w:cs="宋体"/>
                <w:kern w:val="0"/>
                <w:sz w:val="18"/>
                <w:szCs w:val="18"/>
              </w:rPr>
              <w:t>2014-2020</w:t>
            </w:r>
          </w:p>
        </w:tc>
        <w:tc>
          <w:tcPr>
            <w:tcW w:w="1026" w:type="dxa"/>
            <w:shd w:val="clear" w:color="auto" w:fill="auto"/>
            <w:noWrap/>
            <w:vAlign w:val="center"/>
          </w:tcPr>
          <w:p w14:paraId="5151FAAF">
            <w:pPr>
              <w:widowControl/>
              <w:jc w:val="center"/>
              <w:rPr>
                <w:rFonts w:ascii="宋体" w:hAnsi="宋体" w:cs="宋体"/>
                <w:kern w:val="0"/>
                <w:sz w:val="18"/>
                <w:szCs w:val="18"/>
              </w:rPr>
            </w:pPr>
            <w:r>
              <w:rPr>
                <w:rFonts w:hint="eastAsia" w:ascii="宋体" w:hAnsi="宋体" w:cs="宋体"/>
                <w:kern w:val="0"/>
                <w:sz w:val="18"/>
                <w:szCs w:val="18"/>
              </w:rPr>
              <w:t>1.08</w:t>
            </w:r>
          </w:p>
        </w:tc>
        <w:tc>
          <w:tcPr>
            <w:tcW w:w="946" w:type="dxa"/>
            <w:shd w:val="clear" w:color="auto" w:fill="auto"/>
            <w:noWrap/>
            <w:vAlign w:val="center"/>
          </w:tcPr>
          <w:p w14:paraId="26F4DBC0">
            <w:pPr>
              <w:widowControl/>
              <w:jc w:val="center"/>
              <w:rPr>
                <w:rFonts w:ascii="宋体" w:hAnsi="宋体" w:cs="宋体"/>
                <w:kern w:val="0"/>
                <w:sz w:val="18"/>
                <w:szCs w:val="18"/>
              </w:rPr>
            </w:pPr>
            <w:r>
              <w:rPr>
                <w:rFonts w:hint="eastAsia" w:ascii="宋体" w:hAnsi="宋体" w:cs="宋体"/>
                <w:kern w:val="0"/>
                <w:sz w:val="18"/>
                <w:szCs w:val="18"/>
              </w:rPr>
              <w:t>1.08</w:t>
            </w:r>
          </w:p>
        </w:tc>
        <w:tc>
          <w:tcPr>
            <w:tcW w:w="854" w:type="dxa"/>
            <w:shd w:val="clear" w:color="auto" w:fill="auto"/>
            <w:noWrap/>
            <w:vAlign w:val="center"/>
          </w:tcPr>
          <w:p w14:paraId="59D2F67B">
            <w:pPr>
              <w:widowControl/>
              <w:jc w:val="center"/>
              <w:rPr>
                <w:rFonts w:ascii="宋体" w:hAnsi="宋体" w:cs="宋体"/>
                <w:kern w:val="0"/>
                <w:sz w:val="18"/>
                <w:szCs w:val="18"/>
              </w:rPr>
            </w:pPr>
            <w:r>
              <w:rPr>
                <w:rFonts w:hint="eastAsia" w:ascii="宋体" w:hAnsi="宋体" w:cs="宋体"/>
                <w:kern w:val="0"/>
                <w:sz w:val="18"/>
                <w:szCs w:val="18"/>
              </w:rPr>
              <w:t>1.08</w:t>
            </w:r>
          </w:p>
        </w:tc>
        <w:tc>
          <w:tcPr>
            <w:tcW w:w="1489" w:type="dxa"/>
            <w:shd w:val="clear" w:color="auto" w:fill="auto"/>
            <w:noWrap/>
            <w:vAlign w:val="center"/>
          </w:tcPr>
          <w:p w14:paraId="74CCE863">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1A2A311A">
            <w:pPr>
              <w:widowControl/>
              <w:jc w:val="center"/>
              <w:rPr>
                <w:rFonts w:ascii="宋体" w:hAnsi="宋体" w:cs="宋体"/>
                <w:kern w:val="0"/>
                <w:sz w:val="18"/>
                <w:szCs w:val="18"/>
              </w:rPr>
            </w:pPr>
          </w:p>
        </w:tc>
      </w:tr>
      <w:tr w14:paraId="519A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3400D08">
            <w:pPr>
              <w:widowControl/>
              <w:jc w:val="center"/>
              <w:rPr>
                <w:rFonts w:ascii="宋体" w:hAnsi="宋体" w:cs="宋体"/>
                <w:kern w:val="0"/>
                <w:sz w:val="18"/>
                <w:szCs w:val="18"/>
              </w:rPr>
            </w:pPr>
          </w:p>
        </w:tc>
        <w:tc>
          <w:tcPr>
            <w:tcW w:w="3659" w:type="dxa"/>
            <w:shd w:val="clear" w:color="auto" w:fill="auto"/>
            <w:vAlign w:val="center"/>
          </w:tcPr>
          <w:p w14:paraId="35A02EBA">
            <w:pPr>
              <w:widowControl/>
              <w:jc w:val="center"/>
              <w:rPr>
                <w:rFonts w:ascii="宋体" w:hAnsi="宋体" w:cs="宋体"/>
                <w:kern w:val="0"/>
                <w:sz w:val="18"/>
                <w:szCs w:val="18"/>
              </w:rPr>
            </w:pPr>
            <w:r>
              <w:rPr>
                <w:rFonts w:hint="eastAsia" w:ascii="宋体" w:hAnsi="宋体" w:cs="宋体"/>
                <w:kern w:val="0"/>
                <w:sz w:val="18"/>
                <w:szCs w:val="18"/>
              </w:rPr>
              <w:t>汤丹镇大地坡村大地坡小组宜居农房建设搬迁集中安置点项目</w:t>
            </w:r>
          </w:p>
        </w:tc>
        <w:tc>
          <w:tcPr>
            <w:tcW w:w="796" w:type="dxa"/>
            <w:shd w:val="clear" w:color="auto" w:fill="auto"/>
            <w:noWrap/>
            <w:vAlign w:val="center"/>
          </w:tcPr>
          <w:p w14:paraId="6358E127">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44075C4B">
            <w:pPr>
              <w:widowControl/>
              <w:jc w:val="center"/>
              <w:rPr>
                <w:rFonts w:ascii="宋体" w:hAnsi="宋体" w:cs="宋体"/>
                <w:kern w:val="0"/>
                <w:sz w:val="18"/>
                <w:szCs w:val="18"/>
              </w:rPr>
            </w:pPr>
            <w:r>
              <w:rPr>
                <w:rFonts w:hint="eastAsia" w:ascii="宋体" w:hAnsi="宋体" w:cs="宋体"/>
                <w:kern w:val="0"/>
                <w:sz w:val="18"/>
                <w:szCs w:val="18"/>
              </w:rPr>
              <w:t>2014-2020</w:t>
            </w:r>
          </w:p>
        </w:tc>
        <w:tc>
          <w:tcPr>
            <w:tcW w:w="1026" w:type="dxa"/>
            <w:shd w:val="clear" w:color="auto" w:fill="auto"/>
            <w:noWrap/>
            <w:vAlign w:val="center"/>
          </w:tcPr>
          <w:p w14:paraId="0853DA4C">
            <w:pPr>
              <w:widowControl/>
              <w:jc w:val="center"/>
              <w:rPr>
                <w:rFonts w:ascii="宋体" w:hAnsi="宋体" w:cs="宋体"/>
                <w:kern w:val="0"/>
                <w:sz w:val="18"/>
                <w:szCs w:val="18"/>
              </w:rPr>
            </w:pPr>
            <w:r>
              <w:rPr>
                <w:rFonts w:hint="eastAsia" w:ascii="宋体" w:hAnsi="宋体" w:cs="宋体"/>
                <w:kern w:val="0"/>
                <w:sz w:val="18"/>
                <w:szCs w:val="18"/>
              </w:rPr>
              <w:t>0.58</w:t>
            </w:r>
          </w:p>
        </w:tc>
        <w:tc>
          <w:tcPr>
            <w:tcW w:w="946" w:type="dxa"/>
            <w:shd w:val="clear" w:color="auto" w:fill="auto"/>
            <w:noWrap/>
            <w:vAlign w:val="center"/>
          </w:tcPr>
          <w:p w14:paraId="712CA20F">
            <w:pPr>
              <w:widowControl/>
              <w:jc w:val="center"/>
              <w:rPr>
                <w:rFonts w:ascii="宋体" w:hAnsi="宋体" w:cs="宋体"/>
                <w:kern w:val="0"/>
                <w:sz w:val="18"/>
                <w:szCs w:val="18"/>
              </w:rPr>
            </w:pPr>
            <w:r>
              <w:rPr>
                <w:rFonts w:hint="eastAsia" w:ascii="宋体" w:hAnsi="宋体" w:cs="宋体"/>
                <w:kern w:val="0"/>
                <w:sz w:val="18"/>
                <w:szCs w:val="18"/>
              </w:rPr>
              <w:t>0.52</w:t>
            </w:r>
          </w:p>
        </w:tc>
        <w:tc>
          <w:tcPr>
            <w:tcW w:w="854" w:type="dxa"/>
            <w:shd w:val="clear" w:color="auto" w:fill="auto"/>
            <w:noWrap/>
            <w:vAlign w:val="center"/>
          </w:tcPr>
          <w:p w14:paraId="7DCA0B1F">
            <w:pPr>
              <w:widowControl/>
              <w:jc w:val="center"/>
              <w:rPr>
                <w:rFonts w:ascii="宋体" w:hAnsi="宋体" w:cs="宋体"/>
                <w:kern w:val="0"/>
                <w:sz w:val="18"/>
                <w:szCs w:val="18"/>
              </w:rPr>
            </w:pPr>
            <w:r>
              <w:rPr>
                <w:rFonts w:hint="eastAsia" w:ascii="宋体" w:hAnsi="宋体" w:cs="宋体"/>
                <w:kern w:val="0"/>
                <w:sz w:val="18"/>
                <w:szCs w:val="18"/>
              </w:rPr>
              <w:t>0.52</w:t>
            </w:r>
          </w:p>
        </w:tc>
        <w:tc>
          <w:tcPr>
            <w:tcW w:w="1489" w:type="dxa"/>
            <w:shd w:val="clear" w:color="auto" w:fill="auto"/>
            <w:noWrap/>
            <w:vAlign w:val="center"/>
          </w:tcPr>
          <w:p w14:paraId="4471A48E">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7D3A1FF5">
            <w:pPr>
              <w:widowControl/>
              <w:jc w:val="center"/>
              <w:rPr>
                <w:rFonts w:ascii="宋体" w:hAnsi="宋体" w:cs="宋体"/>
                <w:kern w:val="0"/>
                <w:sz w:val="18"/>
                <w:szCs w:val="18"/>
              </w:rPr>
            </w:pPr>
          </w:p>
        </w:tc>
      </w:tr>
      <w:tr w14:paraId="3307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2DC1162">
            <w:pPr>
              <w:widowControl/>
              <w:jc w:val="center"/>
              <w:rPr>
                <w:rFonts w:ascii="宋体" w:hAnsi="宋体" w:cs="宋体"/>
                <w:kern w:val="0"/>
                <w:sz w:val="18"/>
                <w:szCs w:val="18"/>
              </w:rPr>
            </w:pPr>
          </w:p>
        </w:tc>
        <w:tc>
          <w:tcPr>
            <w:tcW w:w="3659" w:type="dxa"/>
            <w:shd w:val="clear" w:color="auto" w:fill="auto"/>
            <w:vAlign w:val="center"/>
          </w:tcPr>
          <w:p w14:paraId="26EEA85C">
            <w:pPr>
              <w:widowControl/>
              <w:jc w:val="center"/>
              <w:rPr>
                <w:rFonts w:ascii="宋体" w:hAnsi="宋体" w:cs="宋体"/>
                <w:kern w:val="0"/>
                <w:sz w:val="18"/>
                <w:szCs w:val="18"/>
              </w:rPr>
            </w:pPr>
            <w:r>
              <w:rPr>
                <w:rFonts w:hint="eastAsia" w:ascii="宋体" w:hAnsi="宋体" w:cs="宋体"/>
                <w:kern w:val="0"/>
                <w:sz w:val="18"/>
                <w:szCs w:val="18"/>
              </w:rPr>
              <w:t>汤丹镇大地坡村大地坡组宜居农房建设搬迁集中安置点项目</w:t>
            </w:r>
          </w:p>
        </w:tc>
        <w:tc>
          <w:tcPr>
            <w:tcW w:w="796" w:type="dxa"/>
            <w:shd w:val="clear" w:color="auto" w:fill="auto"/>
            <w:noWrap/>
            <w:vAlign w:val="center"/>
          </w:tcPr>
          <w:p w14:paraId="002D322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6FF220BA">
            <w:pPr>
              <w:widowControl/>
              <w:jc w:val="center"/>
              <w:rPr>
                <w:rFonts w:ascii="宋体" w:hAnsi="宋体" w:cs="宋体"/>
                <w:kern w:val="0"/>
                <w:sz w:val="18"/>
                <w:szCs w:val="18"/>
              </w:rPr>
            </w:pPr>
            <w:r>
              <w:rPr>
                <w:rFonts w:hint="eastAsia" w:ascii="宋体" w:hAnsi="宋体" w:cs="宋体"/>
                <w:kern w:val="0"/>
                <w:sz w:val="18"/>
                <w:szCs w:val="18"/>
              </w:rPr>
              <w:t>2014-2018</w:t>
            </w:r>
          </w:p>
        </w:tc>
        <w:tc>
          <w:tcPr>
            <w:tcW w:w="1026" w:type="dxa"/>
            <w:shd w:val="clear" w:color="auto" w:fill="auto"/>
            <w:noWrap/>
            <w:vAlign w:val="center"/>
          </w:tcPr>
          <w:p w14:paraId="456FCEFB">
            <w:pPr>
              <w:widowControl/>
              <w:jc w:val="center"/>
              <w:rPr>
                <w:rFonts w:ascii="宋体" w:hAnsi="宋体" w:cs="宋体"/>
                <w:kern w:val="0"/>
                <w:sz w:val="18"/>
                <w:szCs w:val="18"/>
              </w:rPr>
            </w:pPr>
            <w:r>
              <w:rPr>
                <w:rFonts w:hint="eastAsia" w:ascii="宋体" w:hAnsi="宋体" w:cs="宋体"/>
                <w:kern w:val="0"/>
                <w:sz w:val="18"/>
                <w:szCs w:val="18"/>
              </w:rPr>
              <w:t>1.21</w:t>
            </w:r>
          </w:p>
        </w:tc>
        <w:tc>
          <w:tcPr>
            <w:tcW w:w="946" w:type="dxa"/>
            <w:shd w:val="clear" w:color="auto" w:fill="auto"/>
            <w:noWrap/>
            <w:vAlign w:val="center"/>
          </w:tcPr>
          <w:p w14:paraId="185F38D7">
            <w:pPr>
              <w:widowControl/>
              <w:jc w:val="center"/>
              <w:rPr>
                <w:rFonts w:ascii="宋体" w:hAnsi="宋体" w:cs="宋体"/>
                <w:kern w:val="0"/>
                <w:sz w:val="18"/>
                <w:szCs w:val="18"/>
              </w:rPr>
            </w:pPr>
            <w:r>
              <w:rPr>
                <w:rFonts w:hint="eastAsia" w:ascii="宋体" w:hAnsi="宋体" w:cs="宋体"/>
                <w:kern w:val="0"/>
                <w:sz w:val="18"/>
                <w:szCs w:val="18"/>
              </w:rPr>
              <w:t>1.21</w:t>
            </w:r>
          </w:p>
        </w:tc>
        <w:tc>
          <w:tcPr>
            <w:tcW w:w="854" w:type="dxa"/>
            <w:shd w:val="clear" w:color="auto" w:fill="auto"/>
            <w:noWrap/>
            <w:vAlign w:val="center"/>
          </w:tcPr>
          <w:p w14:paraId="3B958421">
            <w:pPr>
              <w:widowControl/>
              <w:jc w:val="center"/>
              <w:rPr>
                <w:rFonts w:ascii="宋体" w:hAnsi="宋体" w:cs="宋体"/>
                <w:kern w:val="0"/>
                <w:sz w:val="18"/>
                <w:szCs w:val="18"/>
              </w:rPr>
            </w:pPr>
            <w:r>
              <w:rPr>
                <w:rFonts w:hint="eastAsia" w:ascii="宋体" w:hAnsi="宋体" w:cs="宋体"/>
                <w:kern w:val="0"/>
                <w:sz w:val="18"/>
                <w:szCs w:val="18"/>
              </w:rPr>
              <w:t>0.9</w:t>
            </w:r>
          </w:p>
        </w:tc>
        <w:tc>
          <w:tcPr>
            <w:tcW w:w="1489" w:type="dxa"/>
            <w:shd w:val="clear" w:color="auto" w:fill="auto"/>
            <w:noWrap/>
            <w:vAlign w:val="center"/>
          </w:tcPr>
          <w:p w14:paraId="0E3A9FFE">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358EF9BD">
            <w:pPr>
              <w:widowControl/>
              <w:jc w:val="center"/>
              <w:rPr>
                <w:rFonts w:ascii="宋体" w:hAnsi="宋体" w:cs="宋体"/>
                <w:kern w:val="0"/>
                <w:sz w:val="18"/>
                <w:szCs w:val="18"/>
              </w:rPr>
            </w:pPr>
          </w:p>
        </w:tc>
      </w:tr>
      <w:tr w14:paraId="2E47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4F8760E">
            <w:pPr>
              <w:widowControl/>
              <w:jc w:val="center"/>
              <w:rPr>
                <w:rFonts w:ascii="宋体" w:hAnsi="宋体" w:cs="宋体"/>
                <w:kern w:val="0"/>
                <w:sz w:val="18"/>
                <w:szCs w:val="18"/>
              </w:rPr>
            </w:pPr>
          </w:p>
        </w:tc>
        <w:tc>
          <w:tcPr>
            <w:tcW w:w="3659" w:type="dxa"/>
            <w:shd w:val="clear" w:color="auto" w:fill="auto"/>
            <w:vAlign w:val="center"/>
          </w:tcPr>
          <w:p w14:paraId="799A62CD">
            <w:pPr>
              <w:widowControl/>
              <w:jc w:val="center"/>
              <w:rPr>
                <w:rFonts w:ascii="宋体" w:hAnsi="宋体" w:cs="宋体"/>
                <w:kern w:val="0"/>
                <w:sz w:val="18"/>
                <w:szCs w:val="18"/>
              </w:rPr>
            </w:pPr>
            <w:r>
              <w:rPr>
                <w:rFonts w:hint="eastAsia" w:ascii="宋体" w:hAnsi="宋体" w:cs="宋体"/>
                <w:kern w:val="0"/>
                <w:sz w:val="18"/>
                <w:szCs w:val="18"/>
              </w:rPr>
              <w:t>汤丹镇大地坡村大黑山组宜居农房建设搬迁集中安置点项目</w:t>
            </w:r>
          </w:p>
        </w:tc>
        <w:tc>
          <w:tcPr>
            <w:tcW w:w="796" w:type="dxa"/>
            <w:shd w:val="clear" w:color="auto" w:fill="auto"/>
            <w:noWrap/>
            <w:vAlign w:val="center"/>
          </w:tcPr>
          <w:p w14:paraId="2E79AC8F">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1896A1C5">
            <w:pPr>
              <w:widowControl/>
              <w:jc w:val="center"/>
              <w:rPr>
                <w:rFonts w:ascii="宋体" w:hAnsi="宋体" w:cs="宋体"/>
                <w:kern w:val="0"/>
                <w:sz w:val="18"/>
                <w:szCs w:val="18"/>
              </w:rPr>
            </w:pPr>
            <w:r>
              <w:rPr>
                <w:rFonts w:hint="eastAsia" w:ascii="宋体" w:hAnsi="宋体" w:cs="宋体"/>
                <w:kern w:val="0"/>
                <w:sz w:val="18"/>
                <w:szCs w:val="18"/>
              </w:rPr>
              <w:t>2014-2018</w:t>
            </w:r>
          </w:p>
        </w:tc>
        <w:tc>
          <w:tcPr>
            <w:tcW w:w="1026" w:type="dxa"/>
            <w:shd w:val="clear" w:color="auto" w:fill="auto"/>
            <w:noWrap/>
            <w:vAlign w:val="center"/>
          </w:tcPr>
          <w:p w14:paraId="4BE98B5C">
            <w:pPr>
              <w:widowControl/>
              <w:jc w:val="center"/>
              <w:rPr>
                <w:rFonts w:ascii="宋体" w:hAnsi="宋体" w:cs="宋体"/>
                <w:kern w:val="0"/>
                <w:sz w:val="18"/>
                <w:szCs w:val="18"/>
              </w:rPr>
            </w:pPr>
            <w:r>
              <w:rPr>
                <w:rFonts w:hint="eastAsia" w:ascii="宋体" w:hAnsi="宋体" w:cs="宋体"/>
                <w:kern w:val="0"/>
                <w:sz w:val="18"/>
                <w:szCs w:val="18"/>
              </w:rPr>
              <w:t>1.24</w:t>
            </w:r>
          </w:p>
        </w:tc>
        <w:tc>
          <w:tcPr>
            <w:tcW w:w="946" w:type="dxa"/>
            <w:shd w:val="clear" w:color="auto" w:fill="auto"/>
            <w:noWrap/>
            <w:vAlign w:val="center"/>
          </w:tcPr>
          <w:p w14:paraId="523F812A">
            <w:pPr>
              <w:widowControl/>
              <w:jc w:val="center"/>
              <w:rPr>
                <w:rFonts w:ascii="宋体" w:hAnsi="宋体" w:cs="宋体"/>
                <w:kern w:val="0"/>
                <w:sz w:val="18"/>
                <w:szCs w:val="18"/>
              </w:rPr>
            </w:pPr>
            <w:r>
              <w:rPr>
                <w:rFonts w:hint="eastAsia" w:ascii="宋体" w:hAnsi="宋体" w:cs="宋体"/>
                <w:kern w:val="0"/>
                <w:sz w:val="18"/>
                <w:szCs w:val="18"/>
              </w:rPr>
              <w:t>1.24</w:t>
            </w:r>
          </w:p>
        </w:tc>
        <w:tc>
          <w:tcPr>
            <w:tcW w:w="854" w:type="dxa"/>
            <w:shd w:val="clear" w:color="auto" w:fill="auto"/>
            <w:noWrap/>
            <w:vAlign w:val="center"/>
          </w:tcPr>
          <w:p w14:paraId="0206A38A">
            <w:pPr>
              <w:widowControl/>
              <w:jc w:val="center"/>
              <w:rPr>
                <w:rFonts w:ascii="宋体" w:hAnsi="宋体" w:cs="宋体"/>
                <w:kern w:val="0"/>
                <w:sz w:val="18"/>
                <w:szCs w:val="18"/>
              </w:rPr>
            </w:pPr>
            <w:r>
              <w:rPr>
                <w:rFonts w:hint="eastAsia" w:ascii="宋体" w:hAnsi="宋体" w:cs="宋体"/>
                <w:kern w:val="0"/>
                <w:sz w:val="18"/>
                <w:szCs w:val="18"/>
              </w:rPr>
              <w:t>1.15</w:t>
            </w:r>
          </w:p>
        </w:tc>
        <w:tc>
          <w:tcPr>
            <w:tcW w:w="1489" w:type="dxa"/>
            <w:shd w:val="clear" w:color="auto" w:fill="auto"/>
            <w:vAlign w:val="center"/>
          </w:tcPr>
          <w:p w14:paraId="282E9AAC">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560653DC">
            <w:pPr>
              <w:widowControl/>
              <w:jc w:val="center"/>
              <w:rPr>
                <w:rFonts w:ascii="宋体" w:hAnsi="宋体" w:cs="宋体"/>
                <w:kern w:val="0"/>
                <w:sz w:val="18"/>
                <w:szCs w:val="18"/>
              </w:rPr>
            </w:pPr>
          </w:p>
        </w:tc>
      </w:tr>
      <w:tr w14:paraId="70D6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2FF12D5">
            <w:pPr>
              <w:widowControl/>
              <w:jc w:val="center"/>
              <w:rPr>
                <w:rFonts w:ascii="宋体" w:hAnsi="宋体" w:cs="宋体"/>
                <w:kern w:val="0"/>
                <w:sz w:val="18"/>
                <w:szCs w:val="18"/>
              </w:rPr>
            </w:pPr>
          </w:p>
        </w:tc>
        <w:tc>
          <w:tcPr>
            <w:tcW w:w="3659" w:type="dxa"/>
            <w:shd w:val="clear" w:color="auto" w:fill="auto"/>
            <w:vAlign w:val="center"/>
          </w:tcPr>
          <w:p w14:paraId="015ED532">
            <w:pPr>
              <w:widowControl/>
              <w:jc w:val="center"/>
              <w:rPr>
                <w:rFonts w:ascii="宋体" w:hAnsi="宋体" w:cs="宋体"/>
                <w:kern w:val="0"/>
                <w:sz w:val="18"/>
                <w:szCs w:val="18"/>
              </w:rPr>
            </w:pPr>
            <w:r>
              <w:rPr>
                <w:rFonts w:hint="eastAsia" w:ascii="宋体" w:hAnsi="宋体" w:cs="宋体"/>
                <w:kern w:val="0"/>
                <w:sz w:val="18"/>
                <w:szCs w:val="18"/>
              </w:rPr>
              <w:t>汤丹镇大地坡大龙潭组宜居农房建设搬迁集中安置点项目</w:t>
            </w:r>
          </w:p>
        </w:tc>
        <w:tc>
          <w:tcPr>
            <w:tcW w:w="796" w:type="dxa"/>
            <w:shd w:val="clear" w:color="auto" w:fill="auto"/>
            <w:noWrap/>
            <w:vAlign w:val="center"/>
          </w:tcPr>
          <w:p w14:paraId="2D39F188">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46733B7E">
            <w:pPr>
              <w:widowControl/>
              <w:jc w:val="center"/>
              <w:rPr>
                <w:rFonts w:ascii="宋体" w:hAnsi="宋体" w:cs="宋体"/>
                <w:kern w:val="0"/>
                <w:sz w:val="18"/>
                <w:szCs w:val="18"/>
              </w:rPr>
            </w:pPr>
            <w:r>
              <w:rPr>
                <w:rFonts w:hint="eastAsia" w:ascii="宋体" w:hAnsi="宋体" w:cs="宋体"/>
                <w:kern w:val="0"/>
                <w:sz w:val="18"/>
                <w:szCs w:val="18"/>
              </w:rPr>
              <w:t>2014-2016</w:t>
            </w:r>
          </w:p>
        </w:tc>
        <w:tc>
          <w:tcPr>
            <w:tcW w:w="1026" w:type="dxa"/>
            <w:shd w:val="clear" w:color="auto" w:fill="auto"/>
            <w:noWrap/>
            <w:vAlign w:val="center"/>
          </w:tcPr>
          <w:p w14:paraId="402B6A8B">
            <w:pPr>
              <w:widowControl/>
              <w:jc w:val="center"/>
              <w:rPr>
                <w:rFonts w:ascii="宋体" w:hAnsi="宋体" w:cs="宋体"/>
                <w:kern w:val="0"/>
                <w:sz w:val="18"/>
                <w:szCs w:val="18"/>
              </w:rPr>
            </w:pPr>
            <w:r>
              <w:rPr>
                <w:rFonts w:hint="eastAsia" w:ascii="宋体" w:hAnsi="宋体" w:cs="宋体"/>
                <w:kern w:val="0"/>
                <w:sz w:val="18"/>
                <w:szCs w:val="18"/>
              </w:rPr>
              <w:t>0.64</w:t>
            </w:r>
          </w:p>
        </w:tc>
        <w:tc>
          <w:tcPr>
            <w:tcW w:w="946" w:type="dxa"/>
            <w:shd w:val="clear" w:color="auto" w:fill="auto"/>
            <w:noWrap/>
            <w:vAlign w:val="center"/>
          </w:tcPr>
          <w:p w14:paraId="0A20B0C2">
            <w:pPr>
              <w:widowControl/>
              <w:jc w:val="center"/>
              <w:rPr>
                <w:rFonts w:ascii="宋体" w:hAnsi="宋体" w:cs="宋体"/>
                <w:kern w:val="0"/>
                <w:sz w:val="18"/>
                <w:szCs w:val="18"/>
              </w:rPr>
            </w:pPr>
            <w:r>
              <w:rPr>
                <w:rFonts w:hint="eastAsia" w:ascii="宋体" w:hAnsi="宋体" w:cs="宋体"/>
                <w:kern w:val="0"/>
                <w:sz w:val="18"/>
                <w:szCs w:val="18"/>
              </w:rPr>
              <w:t>0.56</w:t>
            </w:r>
          </w:p>
        </w:tc>
        <w:tc>
          <w:tcPr>
            <w:tcW w:w="854" w:type="dxa"/>
            <w:shd w:val="clear" w:color="auto" w:fill="auto"/>
            <w:noWrap/>
            <w:vAlign w:val="center"/>
          </w:tcPr>
          <w:p w14:paraId="3F743B15">
            <w:pPr>
              <w:widowControl/>
              <w:jc w:val="center"/>
              <w:rPr>
                <w:rFonts w:ascii="宋体" w:hAnsi="宋体" w:cs="宋体"/>
                <w:kern w:val="0"/>
                <w:sz w:val="18"/>
                <w:szCs w:val="18"/>
              </w:rPr>
            </w:pPr>
            <w:r>
              <w:rPr>
                <w:rFonts w:hint="eastAsia" w:ascii="宋体" w:hAnsi="宋体" w:cs="宋体"/>
                <w:kern w:val="0"/>
                <w:sz w:val="18"/>
                <w:szCs w:val="18"/>
              </w:rPr>
              <w:t>0.56</w:t>
            </w:r>
          </w:p>
        </w:tc>
        <w:tc>
          <w:tcPr>
            <w:tcW w:w="1489" w:type="dxa"/>
            <w:shd w:val="clear" w:color="auto" w:fill="auto"/>
            <w:vAlign w:val="center"/>
          </w:tcPr>
          <w:p w14:paraId="25E0A105">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0E06D420">
            <w:pPr>
              <w:widowControl/>
              <w:jc w:val="center"/>
              <w:rPr>
                <w:rFonts w:ascii="宋体" w:hAnsi="宋体" w:cs="宋体"/>
                <w:kern w:val="0"/>
                <w:sz w:val="18"/>
                <w:szCs w:val="18"/>
              </w:rPr>
            </w:pPr>
          </w:p>
        </w:tc>
      </w:tr>
      <w:tr w14:paraId="1249C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9E34510">
            <w:pPr>
              <w:widowControl/>
              <w:jc w:val="center"/>
              <w:rPr>
                <w:rFonts w:ascii="宋体" w:hAnsi="宋体" w:cs="宋体"/>
                <w:kern w:val="0"/>
                <w:sz w:val="18"/>
                <w:szCs w:val="18"/>
              </w:rPr>
            </w:pPr>
          </w:p>
        </w:tc>
        <w:tc>
          <w:tcPr>
            <w:tcW w:w="3659" w:type="dxa"/>
            <w:shd w:val="clear" w:color="auto" w:fill="auto"/>
            <w:vAlign w:val="center"/>
          </w:tcPr>
          <w:p w14:paraId="071232B6">
            <w:pPr>
              <w:widowControl/>
              <w:jc w:val="center"/>
              <w:rPr>
                <w:rFonts w:ascii="宋体" w:hAnsi="宋体" w:cs="宋体"/>
                <w:kern w:val="0"/>
                <w:sz w:val="18"/>
                <w:szCs w:val="18"/>
              </w:rPr>
            </w:pPr>
            <w:r>
              <w:rPr>
                <w:rFonts w:hint="eastAsia" w:ascii="宋体" w:hAnsi="宋体" w:cs="宋体"/>
                <w:kern w:val="0"/>
                <w:sz w:val="18"/>
                <w:szCs w:val="18"/>
              </w:rPr>
              <w:t>汤丹镇大地坡村大黑山组宜居农房建设搬迁集中安置点项目</w:t>
            </w:r>
          </w:p>
        </w:tc>
        <w:tc>
          <w:tcPr>
            <w:tcW w:w="796" w:type="dxa"/>
            <w:shd w:val="clear" w:color="auto" w:fill="auto"/>
            <w:noWrap/>
            <w:vAlign w:val="center"/>
          </w:tcPr>
          <w:p w14:paraId="7941C404">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57CD7925">
            <w:pPr>
              <w:widowControl/>
              <w:jc w:val="center"/>
              <w:rPr>
                <w:rFonts w:ascii="宋体" w:hAnsi="宋体" w:cs="宋体"/>
                <w:kern w:val="0"/>
                <w:sz w:val="18"/>
                <w:szCs w:val="18"/>
              </w:rPr>
            </w:pPr>
            <w:r>
              <w:rPr>
                <w:rFonts w:hint="eastAsia" w:ascii="宋体" w:hAnsi="宋体" w:cs="宋体"/>
                <w:kern w:val="0"/>
                <w:sz w:val="18"/>
                <w:szCs w:val="18"/>
              </w:rPr>
              <w:t>2016-2018</w:t>
            </w:r>
          </w:p>
        </w:tc>
        <w:tc>
          <w:tcPr>
            <w:tcW w:w="1026" w:type="dxa"/>
            <w:shd w:val="clear" w:color="auto" w:fill="auto"/>
            <w:noWrap/>
            <w:vAlign w:val="center"/>
          </w:tcPr>
          <w:p w14:paraId="66EB9286">
            <w:pPr>
              <w:widowControl/>
              <w:jc w:val="center"/>
              <w:rPr>
                <w:rFonts w:ascii="宋体" w:hAnsi="宋体" w:cs="宋体"/>
                <w:kern w:val="0"/>
                <w:sz w:val="18"/>
                <w:szCs w:val="18"/>
              </w:rPr>
            </w:pPr>
            <w:r>
              <w:rPr>
                <w:rFonts w:hint="eastAsia" w:ascii="宋体" w:hAnsi="宋体" w:cs="宋体"/>
                <w:kern w:val="0"/>
                <w:sz w:val="18"/>
                <w:szCs w:val="18"/>
              </w:rPr>
              <w:t>0.88</w:t>
            </w:r>
          </w:p>
        </w:tc>
        <w:tc>
          <w:tcPr>
            <w:tcW w:w="946" w:type="dxa"/>
            <w:shd w:val="clear" w:color="auto" w:fill="auto"/>
            <w:noWrap/>
            <w:vAlign w:val="center"/>
          </w:tcPr>
          <w:p w14:paraId="29D69399">
            <w:pPr>
              <w:widowControl/>
              <w:jc w:val="center"/>
              <w:rPr>
                <w:rFonts w:ascii="宋体" w:hAnsi="宋体" w:cs="宋体"/>
                <w:kern w:val="0"/>
                <w:sz w:val="18"/>
                <w:szCs w:val="18"/>
              </w:rPr>
            </w:pPr>
            <w:r>
              <w:rPr>
                <w:rFonts w:hint="eastAsia" w:ascii="宋体" w:hAnsi="宋体" w:cs="宋体"/>
                <w:kern w:val="0"/>
                <w:sz w:val="18"/>
                <w:szCs w:val="18"/>
              </w:rPr>
              <w:t>0.88</w:t>
            </w:r>
          </w:p>
        </w:tc>
        <w:tc>
          <w:tcPr>
            <w:tcW w:w="854" w:type="dxa"/>
            <w:shd w:val="clear" w:color="auto" w:fill="auto"/>
            <w:noWrap/>
            <w:vAlign w:val="center"/>
          </w:tcPr>
          <w:p w14:paraId="1BA8A66A">
            <w:pPr>
              <w:widowControl/>
              <w:jc w:val="center"/>
              <w:rPr>
                <w:rFonts w:ascii="宋体" w:hAnsi="宋体" w:cs="宋体"/>
                <w:kern w:val="0"/>
                <w:sz w:val="18"/>
                <w:szCs w:val="18"/>
              </w:rPr>
            </w:pPr>
            <w:r>
              <w:rPr>
                <w:rFonts w:hint="eastAsia" w:ascii="宋体" w:hAnsi="宋体" w:cs="宋体"/>
                <w:kern w:val="0"/>
                <w:sz w:val="18"/>
                <w:szCs w:val="18"/>
              </w:rPr>
              <w:t>0.39</w:t>
            </w:r>
          </w:p>
        </w:tc>
        <w:tc>
          <w:tcPr>
            <w:tcW w:w="1489" w:type="dxa"/>
            <w:shd w:val="clear" w:color="auto" w:fill="auto"/>
            <w:vAlign w:val="center"/>
          </w:tcPr>
          <w:p w14:paraId="2300C2C1">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782E6C4E">
            <w:pPr>
              <w:widowControl/>
              <w:jc w:val="center"/>
              <w:rPr>
                <w:rFonts w:ascii="宋体" w:hAnsi="宋体" w:cs="宋体"/>
                <w:kern w:val="0"/>
                <w:sz w:val="18"/>
                <w:szCs w:val="18"/>
              </w:rPr>
            </w:pPr>
          </w:p>
        </w:tc>
      </w:tr>
      <w:tr w14:paraId="35C9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714A92B">
            <w:pPr>
              <w:widowControl/>
              <w:jc w:val="center"/>
              <w:rPr>
                <w:rFonts w:ascii="宋体" w:hAnsi="宋体" w:cs="宋体"/>
                <w:kern w:val="0"/>
                <w:sz w:val="18"/>
                <w:szCs w:val="18"/>
              </w:rPr>
            </w:pPr>
          </w:p>
        </w:tc>
        <w:tc>
          <w:tcPr>
            <w:tcW w:w="3659" w:type="dxa"/>
            <w:shd w:val="clear" w:color="auto" w:fill="auto"/>
            <w:vAlign w:val="center"/>
          </w:tcPr>
          <w:p w14:paraId="18E2EEA5">
            <w:pPr>
              <w:widowControl/>
              <w:jc w:val="center"/>
              <w:rPr>
                <w:rFonts w:ascii="宋体" w:hAnsi="宋体" w:cs="宋体"/>
                <w:kern w:val="0"/>
                <w:sz w:val="18"/>
                <w:szCs w:val="18"/>
              </w:rPr>
            </w:pPr>
            <w:r>
              <w:rPr>
                <w:rFonts w:hint="eastAsia" w:ascii="宋体" w:hAnsi="宋体" w:cs="宋体"/>
                <w:kern w:val="0"/>
                <w:sz w:val="18"/>
                <w:szCs w:val="18"/>
              </w:rPr>
              <w:t>汤丹镇梨坪村大梨树组宜居农房建设搬迁集中安置点项目</w:t>
            </w:r>
          </w:p>
        </w:tc>
        <w:tc>
          <w:tcPr>
            <w:tcW w:w="796" w:type="dxa"/>
            <w:shd w:val="clear" w:color="auto" w:fill="auto"/>
            <w:noWrap/>
            <w:vAlign w:val="center"/>
          </w:tcPr>
          <w:p w14:paraId="619C501B">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46035C02">
            <w:pPr>
              <w:widowControl/>
              <w:jc w:val="center"/>
              <w:rPr>
                <w:rFonts w:ascii="宋体" w:hAnsi="宋体" w:cs="宋体"/>
                <w:kern w:val="0"/>
                <w:sz w:val="18"/>
                <w:szCs w:val="18"/>
              </w:rPr>
            </w:pPr>
            <w:r>
              <w:rPr>
                <w:rFonts w:hint="eastAsia" w:ascii="宋体" w:hAnsi="宋体" w:cs="宋体"/>
                <w:kern w:val="0"/>
                <w:sz w:val="18"/>
                <w:szCs w:val="18"/>
              </w:rPr>
              <w:t>2014</w:t>
            </w:r>
          </w:p>
        </w:tc>
        <w:tc>
          <w:tcPr>
            <w:tcW w:w="1026" w:type="dxa"/>
            <w:shd w:val="clear" w:color="auto" w:fill="auto"/>
            <w:noWrap/>
            <w:vAlign w:val="center"/>
          </w:tcPr>
          <w:p w14:paraId="4EC199E7">
            <w:pPr>
              <w:widowControl/>
              <w:jc w:val="center"/>
              <w:rPr>
                <w:rFonts w:ascii="宋体" w:hAnsi="宋体" w:cs="宋体"/>
                <w:kern w:val="0"/>
                <w:sz w:val="18"/>
                <w:szCs w:val="18"/>
              </w:rPr>
            </w:pPr>
            <w:r>
              <w:rPr>
                <w:rFonts w:hint="eastAsia" w:ascii="宋体" w:hAnsi="宋体" w:cs="宋体"/>
                <w:kern w:val="0"/>
                <w:sz w:val="18"/>
                <w:szCs w:val="18"/>
              </w:rPr>
              <w:t>0.84</w:t>
            </w:r>
          </w:p>
        </w:tc>
        <w:tc>
          <w:tcPr>
            <w:tcW w:w="946" w:type="dxa"/>
            <w:shd w:val="clear" w:color="auto" w:fill="auto"/>
            <w:noWrap/>
            <w:vAlign w:val="center"/>
          </w:tcPr>
          <w:p w14:paraId="30D2E7A7">
            <w:pPr>
              <w:widowControl/>
              <w:jc w:val="center"/>
              <w:rPr>
                <w:rFonts w:ascii="宋体" w:hAnsi="宋体" w:cs="宋体"/>
                <w:kern w:val="0"/>
                <w:sz w:val="18"/>
                <w:szCs w:val="18"/>
              </w:rPr>
            </w:pPr>
            <w:r>
              <w:rPr>
                <w:rFonts w:hint="eastAsia" w:ascii="宋体" w:hAnsi="宋体" w:cs="宋体"/>
                <w:kern w:val="0"/>
                <w:sz w:val="18"/>
                <w:szCs w:val="18"/>
              </w:rPr>
              <w:t>0.84</w:t>
            </w:r>
          </w:p>
        </w:tc>
        <w:tc>
          <w:tcPr>
            <w:tcW w:w="854" w:type="dxa"/>
            <w:shd w:val="clear" w:color="auto" w:fill="auto"/>
            <w:noWrap/>
            <w:vAlign w:val="center"/>
          </w:tcPr>
          <w:p w14:paraId="05C6BBC9">
            <w:pPr>
              <w:widowControl/>
              <w:jc w:val="center"/>
              <w:rPr>
                <w:rFonts w:ascii="宋体" w:hAnsi="宋体" w:cs="宋体"/>
                <w:kern w:val="0"/>
                <w:sz w:val="18"/>
                <w:szCs w:val="18"/>
              </w:rPr>
            </w:pPr>
            <w:r>
              <w:rPr>
                <w:rFonts w:hint="eastAsia" w:ascii="宋体" w:hAnsi="宋体" w:cs="宋体"/>
                <w:kern w:val="0"/>
                <w:sz w:val="18"/>
                <w:szCs w:val="18"/>
              </w:rPr>
              <w:t>0.55</w:t>
            </w:r>
          </w:p>
        </w:tc>
        <w:tc>
          <w:tcPr>
            <w:tcW w:w="1489" w:type="dxa"/>
            <w:shd w:val="clear" w:color="auto" w:fill="auto"/>
            <w:vAlign w:val="center"/>
          </w:tcPr>
          <w:p w14:paraId="4B95B5A5">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63A40F1A">
            <w:pPr>
              <w:widowControl/>
              <w:jc w:val="center"/>
              <w:rPr>
                <w:rFonts w:ascii="宋体" w:hAnsi="宋体" w:cs="宋体"/>
                <w:kern w:val="0"/>
                <w:sz w:val="18"/>
                <w:szCs w:val="18"/>
              </w:rPr>
            </w:pPr>
          </w:p>
        </w:tc>
      </w:tr>
      <w:tr w14:paraId="1D3B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23077DB">
            <w:pPr>
              <w:widowControl/>
              <w:jc w:val="center"/>
              <w:rPr>
                <w:rFonts w:ascii="宋体" w:hAnsi="宋体" w:cs="宋体"/>
                <w:kern w:val="0"/>
                <w:sz w:val="18"/>
                <w:szCs w:val="18"/>
              </w:rPr>
            </w:pPr>
          </w:p>
        </w:tc>
        <w:tc>
          <w:tcPr>
            <w:tcW w:w="3659" w:type="dxa"/>
            <w:shd w:val="clear" w:color="auto" w:fill="auto"/>
            <w:vAlign w:val="center"/>
          </w:tcPr>
          <w:p w14:paraId="0B1F1D8F">
            <w:pPr>
              <w:widowControl/>
              <w:jc w:val="center"/>
              <w:rPr>
                <w:rFonts w:ascii="宋体" w:hAnsi="宋体" w:cs="宋体"/>
                <w:kern w:val="0"/>
                <w:sz w:val="18"/>
                <w:szCs w:val="18"/>
              </w:rPr>
            </w:pPr>
            <w:r>
              <w:rPr>
                <w:rFonts w:hint="eastAsia" w:ascii="宋体" w:hAnsi="宋体" w:cs="宋体"/>
                <w:kern w:val="0"/>
                <w:sz w:val="18"/>
                <w:szCs w:val="18"/>
              </w:rPr>
              <w:t>汤丹镇梨坪村上坪山组宜居农房建设搬迁集中安置点项目</w:t>
            </w:r>
          </w:p>
        </w:tc>
        <w:tc>
          <w:tcPr>
            <w:tcW w:w="796" w:type="dxa"/>
            <w:shd w:val="clear" w:color="auto" w:fill="auto"/>
            <w:noWrap/>
            <w:vAlign w:val="center"/>
          </w:tcPr>
          <w:p w14:paraId="3E35E185">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57CB5317">
            <w:pPr>
              <w:widowControl/>
              <w:jc w:val="center"/>
              <w:rPr>
                <w:rFonts w:ascii="宋体" w:hAnsi="宋体" w:cs="宋体"/>
                <w:kern w:val="0"/>
                <w:sz w:val="18"/>
                <w:szCs w:val="18"/>
              </w:rPr>
            </w:pPr>
            <w:r>
              <w:rPr>
                <w:rFonts w:hint="eastAsia" w:ascii="宋体" w:hAnsi="宋体" w:cs="宋体"/>
                <w:kern w:val="0"/>
                <w:sz w:val="18"/>
                <w:szCs w:val="18"/>
              </w:rPr>
              <w:t>2014</w:t>
            </w:r>
          </w:p>
        </w:tc>
        <w:tc>
          <w:tcPr>
            <w:tcW w:w="1026" w:type="dxa"/>
            <w:shd w:val="clear" w:color="auto" w:fill="auto"/>
            <w:noWrap/>
            <w:vAlign w:val="center"/>
          </w:tcPr>
          <w:p w14:paraId="6A0D6846">
            <w:pPr>
              <w:widowControl/>
              <w:jc w:val="center"/>
              <w:rPr>
                <w:rFonts w:ascii="宋体" w:hAnsi="宋体" w:cs="宋体"/>
                <w:kern w:val="0"/>
                <w:sz w:val="18"/>
                <w:szCs w:val="18"/>
              </w:rPr>
            </w:pPr>
            <w:r>
              <w:rPr>
                <w:rFonts w:hint="eastAsia" w:ascii="宋体" w:hAnsi="宋体" w:cs="宋体"/>
                <w:kern w:val="0"/>
                <w:sz w:val="18"/>
                <w:szCs w:val="18"/>
              </w:rPr>
              <w:t>1.01</w:t>
            </w:r>
          </w:p>
        </w:tc>
        <w:tc>
          <w:tcPr>
            <w:tcW w:w="946" w:type="dxa"/>
            <w:shd w:val="clear" w:color="auto" w:fill="auto"/>
            <w:noWrap/>
            <w:vAlign w:val="center"/>
          </w:tcPr>
          <w:p w14:paraId="3B813F4C">
            <w:pPr>
              <w:widowControl/>
              <w:jc w:val="center"/>
              <w:rPr>
                <w:rFonts w:ascii="宋体" w:hAnsi="宋体" w:cs="宋体"/>
                <w:kern w:val="0"/>
                <w:sz w:val="18"/>
                <w:szCs w:val="18"/>
              </w:rPr>
            </w:pPr>
            <w:r>
              <w:rPr>
                <w:rFonts w:hint="eastAsia" w:ascii="宋体" w:hAnsi="宋体" w:cs="宋体"/>
                <w:kern w:val="0"/>
                <w:sz w:val="18"/>
                <w:szCs w:val="18"/>
              </w:rPr>
              <w:t>1.01</w:t>
            </w:r>
          </w:p>
        </w:tc>
        <w:tc>
          <w:tcPr>
            <w:tcW w:w="854" w:type="dxa"/>
            <w:shd w:val="clear" w:color="auto" w:fill="auto"/>
            <w:noWrap/>
            <w:vAlign w:val="center"/>
          </w:tcPr>
          <w:p w14:paraId="01FF0016">
            <w:pPr>
              <w:widowControl/>
              <w:jc w:val="center"/>
              <w:rPr>
                <w:rFonts w:ascii="宋体" w:hAnsi="宋体" w:cs="宋体"/>
                <w:kern w:val="0"/>
                <w:sz w:val="18"/>
                <w:szCs w:val="18"/>
              </w:rPr>
            </w:pPr>
            <w:r>
              <w:rPr>
                <w:rFonts w:hint="eastAsia" w:ascii="宋体" w:hAnsi="宋体" w:cs="宋体"/>
                <w:kern w:val="0"/>
                <w:sz w:val="18"/>
                <w:szCs w:val="18"/>
              </w:rPr>
              <w:t>1.01</w:t>
            </w:r>
          </w:p>
        </w:tc>
        <w:tc>
          <w:tcPr>
            <w:tcW w:w="1489" w:type="dxa"/>
            <w:shd w:val="clear" w:color="auto" w:fill="auto"/>
            <w:vAlign w:val="center"/>
          </w:tcPr>
          <w:p w14:paraId="12E22A16">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7E0D93B4">
            <w:pPr>
              <w:widowControl/>
              <w:jc w:val="center"/>
              <w:rPr>
                <w:rFonts w:ascii="宋体" w:hAnsi="宋体" w:cs="宋体"/>
                <w:kern w:val="0"/>
                <w:sz w:val="18"/>
                <w:szCs w:val="18"/>
              </w:rPr>
            </w:pPr>
          </w:p>
        </w:tc>
      </w:tr>
      <w:tr w14:paraId="48D2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3CFAF27">
            <w:pPr>
              <w:widowControl/>
              <w:jc w:val="center"/>
              <w:rPr>
                <w:rFonts w:ascii="宋体" w:hAnsi="宋体" w:cs="宋体"/>
                <w:kern w:val="0"/>
                <w:sz w:val="18"/>
                <w:szCs w:val="18"/>
              </w:rPr>
            </w:pPr>
          </w:p>
        </w:tc>
        <w:tc>
          <w:tcPr>
            <w:tcW w:w="3659" w:type="dxa"/>
            <w:shd w:val="clear" w:color="auto" w:fill="auto"/>
            <w:vAlign w:val="center"/>
          </w:tcPr>
          <w:p w14:paraId="76C516FF">
            <w:pPr>
              <w:widowControl/>
              <w:jc w:val="center"/>
              <w:rPr>
                <w:rFonts w:ascii="宋体" w:hAnsi="宋体" w:cs="宋体"/>
                <w:kern w:val="0"/>
                <w:sz w:val="18"/>
                <w:szCs w:val="18"/>
              </w:rPr>
            </w:pPr>
            <w:r>
              <w:rPr>
                <w:rFonts w:hint="eastAsia" w:ascii="宋体" w:hAnsi="宋体" w:cs="宋体"/>
                <w:kern w:val="0"/>
                <w:sz w:val="18"/>
                <w:szCs w:val="18"/>
              </w:rPr>
              <w:t>汤丹镇梨坪村田坝组宜居农房建设搬迁集中安置点项目</w:t>
            </w:r>
          </w:p>
        </w:tc>
        <w:tc>
          <w:tcPr>
            <w:tcW w:w="796" w:type="dxa"/>
            <w:shd w:val="clear" w:color="auto" w:fill="auto"/>
            <w:noWrap/>
            <w:vAlign w:val="center"/>
          </w:tcPr>
          <w:p w14:paraId="6BB7D75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5701BB49">
            <w:pPr>
              <w:widowControl/>
              <w:jc w:val="center"/>
              <w:rPr>
                <w:rFonts w:ascii="宋体" w:hAnsi="宋体" w:cs="宋体"/>
                <w:kern w:val="0"/>
                <w:sz w:val="18"/>
                <w:szCs w:val="18"/>
              </w:rPr>
            </w:pPr>
            <w:r>
              <w:rPr>
                <w:rFonts w:hint="eastAsia" w:ascii="宋体" w:hAnsi="宋体" w:cs="宋体"/>
                <w:kern w:val="0"/>
                <w:sz w:val="18"/>
                <w:szCs w:val="18"/>
              </w:rPr>
              <w:t>2012-2020</w:t>
            </w:r>
          </w:p>
        </w:tc>
        <w:tc>
          <w:tcPr>
            <w:tcW w:w="1026" w:type="dxa"/>
            <w:shd w:val="clear" w:color="auto" w:fill="auto"/>
            <w:noWrap/>
            <w:vAlign w:val="center"/>
          </w:tcPr>
          <w:p w14:paraId="4BBC0E98">
            <w:pPr>
              <w:widowControl/>
              <w:jc w:val="center"/>
              <w:rPr>
                <w:rFonts w:ascii="宋体" w:hAnsi="宋体" w:cs="宋体"/>
                <w:kern w:val="0"/>
                <w:sz w:val="18"/>
                <w:szCs w:val="18"/>
              </w:rPr>
            </w:pPr>
            <w:r>
              <w:rPr>
                <w:rFonts w:hint="eastAsia" w:ascii="宋体" w:hAnsi="宋体" w:cs="宋体"/>
                <w:kern w:val="0"/>
                <w:sz w:val="18"/>
                <w:szCs w:val="18"/>
              </w:rPr>
              <w:t>1.60</w:t>
            </w:r>
          </w:p>
        </w:tc>
        <w:tc>
          <w:tcPr>
            <w:tcW w:w="946" w:type="dxa"/>
            <w:shd w:val="clear" w:color="auto" w:fill="auto"/>
            <w:noWrap/>
            <w:vAlign w:val="center"/>
          </w:tcPr>
          <w:p w14:paraId="57D0AC66">
            <w:pPr>
              <w:widowControl/>
              <w:jc w:val="center"/>
              <w:rPr>
                <w:rFonts w:ascii="宋体" w:hAnsi="宋体" w:cs="宋体"/>
                <w:kern w:val="0"/>
                <w:sz w:val="18"/>
                <w:szCs w:val="18"/>
              </w:rPr>
            </w:pPr>
            <w:r>
              <w:rPr>
                <w:rFonts w:hint="eastAsia" w:ascii="宋体" w:hAnsi="宋体" w:cs="宋体"/>
                <w:kern w:val="0"/>
                <w:sz w:val="18"/>
                <w:szCs w:val="18"/>
              </w:rPr>
              <w:t>1.35</w:t>
            </w:r>
          </w:p>
        </w:tc>
        <w:tc>
          <w:tcPr>
            <w:tcW w:w="854" w:type="dxa"/>
            <w:shd w:val="clear" w:color="auto" w:fill="auto"/>
            <w:noWrap/>
            <w:vAlign w:val="center"/>
          </w:tcPr>
          <w:p w14:paraId="2DC84BF7">
            <w:pPr>
              <w:widowControl/>
              <w:jc w:val="center"/>
              <w:rPr>
                <w:rFonts w:ascii="宋体" w:hAnsi="宋体" w:cs="宋体"/>
                <w:kern w:val="0"/>
                <w:sz w:val="18"/>
                <w:szCs w:val="18"/>
              </w:rPr>
            </w:pPr>
            <w:r>
              <w:rPr>
                <w:rFonts w:hint="eastAsia" w:ascii="宋体" w:hAnsi="宋体" w:cs="宋体"/>
                <w:kern w:val="0"/>
                <w:sz w:val="18"/>
                <w:szCs w:val="18"/>
              </w:rPr>
              <w:t>0.75</w:t>
            </w:r>
          </w:p>
        </w:tc>
        <w:tc>
          <w:tcPr>
            <w:tcW w:w="1489" w:type="dxa"/>
            <w:shd w:val="clear" w:color="auto" w:fill="auto"/>
            <w:vAlign w:val="center"/>
          </w:tcPr>
          <w:p w14:paraId="45D7D233">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262F348A">
            <w:pPr>
              <w:widowControl/>
              <w:jc w:val="center"/>
              <w:rPr>
                <w:rFonts w:ascii="宋体" w:hAnsi="宋体" w:cs="宋体"/>
                <w:kern w:val="0"/>
                <w:sz w:val="18"/>
                <w:szCs w:val="18"/>
              </w:rPr>
            </w:pPr>
          </w:p>
        </w:tc>
      </w:tr>
      <w:tr w14:paraId="79849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8263FED">
            <w:pPr>
              <w:widowControl/>
              <w:jc w:val="center"/>
              <w:rPr>
                <w:rFonts w:ascii="宋体" w:hAnsi="宋体" w:cs="宋体"/>
                <w:kern w:val="0"/>
                <w:sz w:val="18"/>
                <w:szCs w:val="18"/>
              </w:rPr>
            </w:pPr>
          </w:p>
        </w:tc>
        <w:tc>
          <w:tcPr>
            <w:tcW w:w="3659" w:type="dxa"/>
            <w:shd w:val="clear" w:color="auto" w:fill="auto"/>
            <w:vAlign w:val="center"/>
          </w:tcPr>
          <w:p w14:paraId="7C760FEB">
            <w:pPr>
              <w:widowControl/>
              <w:jc w:val="center"/>
              <w:rPr>
                <w:rFonts w:ascii="宋体" w:hAnsi="宋体" w:cs="宋体"/>
                <w:kern w:val="0"/>
                <w:sz w:val="18"/>
                <w:szCs w:val="18"/>
              </w:rPr>
            </w:pPr>
            <w:r>
              <w:rPr>
                <w:rFonts w:hint="eastAsia" w:ascii="宋体" w:hAnsi="宋体" w:cs="宋体"/>
                <w:kern w:val="0"/>
                <w:sz w:val="18"/>
                <w:szCs w:val="18"/>
              </w:rPr>
              <w:t>汤丹镇梨坪村下坪山组宜居农房建设搬迁集中安置点项目</w:t>
            </w:r>
          </w:p>
        </w:tc>
        <w:tc>
          <w:tcPr>
            <w:tcW w:w="796" w:type="dxa"/>
            <w:shd w:val="clear" w:color="auto" w:fill="auto"/>
            <w:noWrap/>
            <w:vAlign w:val="center"/>
          </w:tcPr>
          <w:p w14:paraId="7FDC9B47">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166EAFEF">
            <w:pPr>
              <w:widowControl/>
              <w:jc w:val="center"/>
              <w:rPr>
                <w:rFonts w:ascii="宋体" w:hAnsi="宋体" w:cs="宋体"/>
                <w:kern w:val="0"/>
                <w:sz w:val="18"/>
                <w:szCs w:val="18"/>
              </w:rPr>
            </w:pPr>
            <w:r>
              <w:rPr>
                <w:rFonts w:hint="eastAsia" w:ascii="宋体" w:hAnsi="宋体" w:cs="宋体"/>
                <w:kern w:val="0"/>
                <w:sz w:val="18"/>
                <w:szCs w:val="18"/>
              </w:rPr>
              <w:t>2014-2020</w:t>
            </w:r>
          </w:p>
        </w:tc>
        <w:tc>
          <w:tcPr>
            <w:tcW w:w="1026" w:type="dxa"/>
            <w:shd w:val="clear" w:color="auto" w:fill="auto"/>
            <w:noWrap/>
            <w:vAlign w:val="center"/>
          </w:tcPr>
          <w:p w14:paraId="7B4F90E8">
            <w:pPr>
              <w:widowControl/>
              <w:jc w:val="center"/>
              <w:rPr>
                <w:rFonts w:ascii="宋体" w:hAnsi="宋体" w:cs="宋体"/>
                <w:kern w:val="0"/>
                <w:sz w:val="18"/>
                <w:szCs w:val="18"/>
              </w:rPr>
            </w:pPr>
            <w:r>
              <w:rPr>
                <w:rFonts w:hint="eastAsia" w:ascii="宋体" w:hAnsi="宋体" w:cs="宋体"/>
                <w:kern w:val="0"/>
                <w:sz w:val="18"/>
                <w:szCs w:val="18"/>
              </w:rPr>
              <w:t>0.68</w:t>
            </w:r>
          </w:p>
        </w:tc>
        <w:tc>
          <w:tcPr>
            <w:tcW w:w="946" w:type="dxa"/>
            <w:shd w:val="clear" w:color="auto" w:fill="auto"/>
            <w:noWrap/>
            <w:vAlign w:val="center"/>
          </w:tcPr>
          <w:p w14:paraId="4E1094C9">
            <w:pPr>
              <w:widowControl/>
              <w:jc w:val="center"/>
              <w:rPr>
                <w:rFonts w:ascii="宋体" w:hAnsi="宋体" w:cs="宋体"/>
                <w:kern w:val="0"/>
                <w:sz w:val="18"/>
                <w:szCs w:val="18"/>
              </w:rPr>
            </w:pPr>
            <w:r>
              <w:rPr>
                <w:rFonts w:hint="eastAsia" w:ascii="宋体" w:hAnsi="宋体" w:cs="宋体"/>
                <w:kern w:val="0"/>
                <w:sz w:val="18"/>
                <w:szCs w:val="18"/>
              </w:rPr>
              <w:t>0.68</w:t>
            </w:r>
          </w:p>
        </w:tc>
        <w:tc>
          <w:tcPr>
            <w:tcW w:w="854" w:type="dxa"/>
            <w:shd w:val="clear" w:color="auto" w:fill="auto"/>
            <w:noWrap/>
            <w:vAlign w:val="center"/>
          </w:tcPr>
          <w:p w14:paraId="15204947">
            <w:pPr>
              <w:widowControl/>
              <w:jc w:val="center"/>
              <w:rPr>
                <w:rFonts w:ascii="宋体" w:hAnsi="宋体" w:cs="宋体"/>
                <w:kern w:val="0"/>
                <w:sz w:val="18"/>
                <w:szCs w:val="18"/>
              </w:rPr>
            </w:pPr>
            <w:r>
              <w:rPr>
                <w:rFonts w:hint="eastAsia" w:ascii="宋体" w:hAnsi="宋体" w:cs="宋体"/>
                <w:kern w:val="0"/>
                <w:sz w:val="18"/>
                <w:szCs w:val="18"/>
              </w:rPr>
              <w:t>0.68</w:t>
            </w:r>
          </w:p>
        </w:tc>
        <w:tc>
          <w:tcPr>
            <w:tcW w:w="1489" w:type="dxa"/>
            <w:shd w:val="clear" w:color="auto" w:fill="auto"/>
            <w:vAlign w:val="center"/>
          </w:tcPr>
          <w:p w14:paraId="795B713C">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6EAB4FD4">
            <w:pPr>
              <w:widowControl/>
              <w:jc w:val="center"/>
              <w:rPr>
                <w:rFonts w:ascii="宋体" w:hAnsi="宋体" w:cs="宋体"/>
                <w:kern w:val="0"/>
                <w:sz w:val="18"/>
                <w:szCs w:val="18"/>
              </w:rPr>
            </w:pPr>
          </w:p>
        </w:tc>
      </w:tr>
      <w:tr w14:paraId="1201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64DF771">
            <w:pPr>
              <w:widowControl/>
              <w:jc w:val="center"/>
              <w:rPr>
                <w:rFonts w:ascii="宋体" w:hAnsi="宋体" w:cs="宋体"/>
                <w:kern w:val="0"/>
                <w:sz w:val="18"/>
                <w:szCs w:val="18"/>
              </w:rPr>
            </w:pPr>
          </w:p>
        </w:tc>
        <w:tc>
          <w:tcPr>
            <w:tcW w:w="3659" w:type="dxa"/>
            <w:shd w:val="clear" w:color="auto" w:fill="auto"/>
            <w:vAlign w:val="center"/>
          </w:tcPr>
          <w:p w14:paraId="52130FB5">
            <w:pPr>
              <w:widowControl/>
              <w:jc w:val="center"/>
              <w:rPr>
                <w:rFonts w:ascii="宋体" w:hAnsi="宋体" w:cs="宋体"/>
                <w:kern w:val="0"/>
                <w:sz w:val="18"/>
                <w:szCs w:val="18"/>
              </w:rPr>
            </w:pPr>
            <w:r>
              <w:rPr>
                <w:rFonts w:hint="eastAsia" w:ascii="宋体" w:hAnsi="宋体" w:cs="宋体"/>
                <w:kern w:val="0"/>
                <w:sz w:val="18"/>
                <w:szCs w:val="18"/>
              </w:rPr>
              <w:t>汤丹镇梨坪村新田小组宜居农房建设搬迁集中安置点项目</w:t>
            </w:r>
          </w:p>
        </w:tc>
        <w:tc>
          <w:tcPr>
            <w:tcW w:w="796" w:type="dxa"/>
            <w:shd w:val="clear" w:color="auto" w:fill="auto"/>
            <w:noWrap/>
            <w:vAlign w:val="center"/>
          </w:tcPr>
          <w:p w14:paraId="13DF7A82">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2FC824D2">
            <w:pPr>
              <w:widowControl/>
              <w:jc w:val="center"/>
              <w:rPr>
                <w:rFonts w:ascii="宋体" w:hAnsi="宋体" w:cs="宋体"/>
                <w:kern w:val="0"/>
                <w:sz w:val="18"/>
                <w:szCs w:val="18"/>
              </w:rPr>
            </w:pPr>
            <w:r>
              <w:rPr>
                <w:rFonts w:hint="eastAsia" w:ascii="宋体" w:hAnsi="宋体" w:cs="宋体"/>
                <w:kern w:val="0"/>
                <w:sz w:val="18"/>
                <w:szCs w:val="18"/>
              </w:rPr>
              <w:t>2017-2020</w:t>
            </w:r>
          </w:p>
        </w:tc>
        <w:tc>
          <w:tcPr>
            <w:tcW w:w="1026" w:type="dxa"/>
            <w:shd w:val="clear" w:color="auto" w:fill="auto"/>
            <w:noWrap/>
            <w:vAlign w:val="center"/>
          </w:tcPr>
          <w:p w14:paraId="42231B84">
            <w:pPr>
              <w:widowControl/>
              <w:jc w:val="center"/>
              <w:rPr>
                <w:rFonts w:ascii="宋体" w:hAnsi="宋体" w:cs="宋体"/>
                <w:kern w:val="0"/>
                <w:sz w:val="18"/>
                <w:szCs w:val="18"/>
              </w:rPr>
            </w:pPr>
            <w:r>
              <w:rPr>
                <w:rFonts w:hint="eastAsia" w:ascii="宋体" w:hAnsi="宋体" w:cs="宋体"/>
                <w:kern w:val="0"/>
                <w:sz w:val="18"/>
                <w:szCs w:val="18"/>
              </w:rPr>
              <w:t>1.12</w:t>
            </w:r>
          </w:p>
        </w:tc>
        <w:tc>
          <w:tcPr>
            <w:tcW w:w="946" w:type="dxa"/>
            <w:shd w:val="clear" w:color="auto" w:fill="auto"/>
            <w:noWrap/>
            <w:vAlign w:val="center"/>
          </w:tcPr>
          <w:p w14:paraId="50DD722E">
            <w:pPr>
              <w:widowControl/>
              <w:jc w:val="center"/>
              <w:rPr>
                <w:rFonts w:ascii="宋体" w:hAnsi="宋体" w:cs="宋体"/>
                <w:kern w:val="0"/>
                <w:sz w:val="18"/>
                <w:szCs w:val="18"/>
              </w:rPr>
            </w:pPr>
            <w:r>
              <w:rPr>
                <w:rFonts w:hint="eastAsia" w:ascii="宋体" w:hAnsi="宋体" w:cs="宋体"/>
                <w:kern w:val="0"/>
                <w:sz w:val="18"/>
                <w:szCs w:val="18"/>
              </w:rPr>
              <w:t>1.04</w:t>
            </w:r>
          </w:p>
        </w:tc>
        <w:tc>
          <w:tcPr>
            <w:tcW w:w="854" w:type="dxa"/>
            <w:shd w:val="clear" w:color="auto" w:fill="auto"/>
            <w:noWrap/>
            <w:vAlign w:val="center"/>
          </w:tcPr>
          <w:p w14:paraId="78A82D0F">
            <w:pPr>
              <w:widowControl/>
              <w:jc w:val="center"/>
              <w:rPr>
                <w:rFonts w:ascii="宋体" w:hAnsi="宋体" w:cs="宋体"/>
                <w:kern w:val="0"/>
                <w:sz w:val="18"/>
                <w:szCs w:val="18"/>
              </w:rPr>
            </w:pPr>
            <w:r>
              <w:rPr>
                <w:rFonts w:hint="eastAsia" w:ascii="宋体" w:hAnsi="宋体" w:cs="宋体"/>
                <w:kern w:val="0"/>
                <w:sz w:val="18"/>
                <w:szCs w:val="18"/>
              </w:rPr>
              <w:t>1.04</w:t>
            </w:r>
          </w:p>
        </w:tc>
        <w:tc>
          <w:tcPr>
            <w:tcW w:w="1489" w:type="dxa"/>
            <w:shd w:val="clear" w:color="auto" w:fill="auto"/>
            <w:vAlign w:val="center"/>
          </w:tcPr>
          <w:p w14:paraId="0ABB9986">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2CF41AE0">
            <w:pPr>
              <w:widowControl/>
              <w:jc w:val="center"/>
              <w:rPr>
                <w:rFonts w:ascii="宋体" w:hAnsi="宋体" w:cs="宋体"/>
                <w:kern w:val="0"/>
                <w:sz w:val="18"/>
                <w:szCs w:val="18"/>
              </w:rPr>
            </w:pPr>
          </w:p>
        </w:tc>
      </w:tr>
      <w:tr w14:paraId="4BCD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EEFA80C">
            <w:pPr>
              <w:widowControl/>
              <w:jc w:val="center"/>
              <w:rPr>
                <w:rFonts w:ascii="宋体" w:hAnsi="宋体" w:cs="宋体"/>
                <w:kern w:val="0"/>
                <w:sz w:val="18"/>
                <w:szCs w:val="18"/>
              </w:rPr>
            </w:pPr>
          </w:p>
        </w:tc>
        <w:tc>
          <w:tcPr>
            <w:tcW w:w="3659" w:type="dxa"/>
            <w:shd w:val="clear" w:color="auto" w:fill="auto"/>
            <w:vAlign w:val="center"/>
          </w:tcPr>
          <w:p w14:paraId="20D3524A">
            <w:pPr>
              <w:widowControl/>
              <w:jc w:val="center"/>
              <w:rPr>
                <w:rFonts w:ascii="宋体" w:hAnsi="宋体" w:cs="宋体"/>
                <w:kern w:val="0"/>
                <w:sz w:val="18"/>
                <w:szCs w:val="18"/>
              </w:rPr>
            </w:pPr>
            <w:r>
              <w:rPr>
                <w:rFonts w:hint="eastAsia" w:ascii="宋体" w:hAnsi="宋体" w:cs="宋体"/>
                <w:kern w:val="0"/>
                <w:sz w:val="18"/>
                <w:szCs w:val="18"/>
              </w:rPr>
              <w:t>汤丹镇梨坪村烟地小组宜居农房建设搬迁集中安置点项目</w:t>
            </w:r>
          </w:p>
        </w:tc>
        <w:tc>
          <w:tcPr>
            <w:tcW w:w="796" w:type="dxa"/>
            <w:shd w:val="clear" w:color="auto" w:fill="auto"/>
            <w:noWrap/>
            <w:vAlign w:val="center"/>
          </w:tcPr>
          <w:p w14:paraId="1D7443A5">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70E44AFF">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4131B997">
            <w:pPr>
              <w:widowControl/>
              <w:jc w:val="center"/>
              <w:rPr>
                <w:rFonts w:ascii="宋体" w:hAnsi="宋体" w:cs="宋体"/>
                <w:kern w:val="0"/>
                <w:sz w:val="18"/>
                <w:szCs w:val="18"/>
              </w:rPr>
            </w:pPr>
            <w:r>
              <w:rPr>
                <w:rFonts w:hint="eastAsia" w:ascii="宋体" w:hAnsi="宋体" w:cs="宋体"/>
                <w:kern w:val="0"/>
                <w:sz w:val="18"/>
                <w:szCs w:val="18"/>
              </w:rPr>
              <w:t>1.90</w:t>
            </w:r>
          </w:p>
        </w:tc>
        <w:tc>
          <w:tcPr>
            <w:tcW w:w="946" w:type="dxa"/>
            <w:shd w:val="clear" w:color="auto" w:fill="auto"/>
            <w:noWrap/>
            <w:vAlign w:val="center"/>
          </w:tcPr>
          <w:p w14:paraId="7B4C2559">
            <w:pPr>
              <w:widowControl/>
              <w:jc w:val="center"/>
              <w:rPr>
                <w:rFonts w:ascii="宋体" w:hAnsi="宋体" w:cs="宋体"/>
                <w:kern w:val="0"/>
                <w:sz w:val="18"/>
                <w:szCs w:val="18"/>
              </w:rPr>
            </w:pPr>
            <w:r>
              <w:rPr>
                <w:rFonts w:hint="eastAsia" w:ascii="宋体" w:hAnsi="宋体" w:cs="宋体"/>
                <w:kern w:val="0"/>
                <w:sz w:val="18"/>
                <w:szCs w:val="18"/>
              </w:rPr>
              <w:t>1.9</w:t>
            </w:r>
          </w:p>
        </w:tc>
        <w:tc>
          <w:tcPr>
            <w:tcW w:w="854" w:type="dxa"/>
            <w:shd w:val="clear" w:color="auto" w:fill="auto"/>
            <w:noWrap/>
            <w:vAlign w:val="center"/>
          </w:tcPr>
          <w:p w14:paraId="5BDDDE04">
            <w:pPr>
              <w:widowControl/>
              <w:jc w:val="center"/>
              <w:rPr>
                <w:rFonts w:ascii="宋体" w:hAnsi="宋体" w:cs="宋体"/>
                <w:kern w:val="0"/>
                <w:sz w:val="18"/>
                <w:szCs w:val="18"/>
              </w:rPr>
            </w:pPr>
            <w:r>
              <w:rPr>
                <w:rFonts w:hint="eastAsia" w:ascii="宋体" w:hAnsi="宋体" w:cs="宋体"/>
                <w:kern w:val="0"/>
                <w:sz w:val="18"/>
                <w:szCs w:val="18"/>
              </w:rPr>
              <w:t>1.9</w:t>
            </w:r>
          </w:p>
        </w:tc>
        <w:tc>
          <w:tcPr>
            <w:tcW w:w="1489" w:type="dxa"/>
            <w:shd w:val="clear" w:color="auto" w:fill="auto"/>
            <w:vAlign w:val="center"/>
          </w:tcPr>
          <w:p w14:paraId="4683EC2C">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6B07DE96">
            <w:pPr>
              <w:widowControl/>
              <w:jc w:val="center"/>
              <w:rPr>
                <w:rFonts w:ascii="宋体" w:hAnsi="宋体" w:cs="宋体"/>
                <w:kern w:val="0"/>
                <w:sz w:val="18"/>
                <w:szCs w:val="18"/>
              </w:rPr>
            </w:pPr>
          </w:p>
        </w:tc>
      </w:tr>
      <w:tr w14:paraId="7597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D664D2B">
            <w:pPr>
              <w:widowControl/>
              <w:jc w:val="center"/>
              <w:rPr>
                <w:rFonts w:ascii="宋体" w:hAnsi="宋体" w:cs="宋体"/>
                <w:kern w:val="0"/>
                <w:sz w:val="18"/>
                <w:szCs w:val="18"/>
              </w:rPr>
            </w:pPr>
          </w:p>
        </w:tc>
        <w:tc>
          <w:tcPr>
            <w:tcW w:w="3659" w:type="dxa"/>
            <w:shd w:val="clear" w:color="auto" w:fill="auto"/>
            <w:vAlign w:val="center"/>
          </w:tcPr>
          <w:p w14:paraId="54FC6DD7">
            <w:pPr>
              <w:widowControl/>
              <w:jc w:val="center"/>
              <w:rPr>
                <w:rFonts w:ascii="宋体" w:hAnsi="宋体" w:cs="宋体"/>
                <w:kern w:val="0"/>
                <w:sz w:val="18"/>
                <w:szCs w:val="18"/>
              </w:rPr>
            </w:pPr>
            <w:r>
              <w:rPr>
                <w:rFonts w:hint="eastAsia" w:ascii="宋体" w:hAnsi="宋体" w:cs="宋体"/>
                <w:kern w:val="0"/>
                <w:sz w:val="18"/>
                <w:szCs w:val="18"/>
              </w:rPr>
              <w:t>汤丹镇梨坪村中村组宜居农房建设搬迁集中安置点项目</w:t>
            </w:r>
          </w:p>
        </w:tc>
        <w:tc>
          <w:tcPr>
            <w:tcW w:w="796" w:type="dxa"/>
            <w:shd w:val="clear" w:color="auto" w:fill="auto"/>
            <w:noWrap/>
            <w:vAlign w:val="center"/>
          </w:tcPr>
          <w:p w14:paraId="377875C8">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2011790E">
            <w:pPr>
              <w:widowControl/>
              <w:jc w:val="center"/>
              <w:rPr>
                <w:rFonts w:ascii="宋体" w:hAnsi="宋体" w:cs="宋体"/>
                <w:kern w:val="0"/>
                <w:sz w:val="18"/>
                <w:szCs w:val="18"/>
              </w:rPr>
            </w:pPr>
            <w:r>
              <w:rPr>
                <w:rFonts w:hint="eastAsia" w:ascii="宋体" w:hAnsi="宋体" w:cs="宋体"/>
                <w:kern w:val="0"/>
                <w:sz w:val="18"/>
                <w:szCs w:val="18"/>
              </w:rPr>
              <w:t>2010-2020</w:t>
            </w:r>
          </w:p>
        </w:tc>
        <w:tc>
          <w:tcPr>
            <w:tcW w:w="1026" w:type="dxa"/>
            <w:shd w:val="clear" w:color="auto" w:fill="auto"/>
            <w:noWrap/>
            <w:vAlign w:val="center"/>
          </w:tcPr>
          <w:p w14:paraId="380CE0F1">
            <w:pPr>
              <w:widowControl/>
              <w:jc w:val="center"/>
              <w:rPr>
                <w:rFonts w:ascii="宋体" w:hAnsi="宋体" w:cs="宋体"/>
                <w:kern w:val="0"/>
                <w:sz w:val="18"/>
                <w:szCs w:val="18"/>
              </w:rPr>
            </w:pPr>
            <w:r>
              <w:rPr>
                <w:rFonts w:hint="eastAsia" w:ascii="宋体" w:hAnsi="宋体" w:cs="宋体"/>
                <w:kern w:val="0"/>
                <w:sz w:val="18"/>
                <w:szCs w:val="18"/>
              </w:rPr>
              <w:t>0.95</w:t>
            </w:r>
          </w:p>
        </w:tc>
        <w:tc>
          <w:tcPr>
            <w:tcW w:w="946" w:type="dxa"/>
            <w:shd w:val="clear" w:color="auto" w:fill="auto"/>
            <w:noWrap/>
            <w:vAlign w:val="center"/>
          </w:tcPr>
          <w:p w14:paraId="588626EF">
            <w:pPr>
              <w:widowControl/>
              <w:jc w:val="center"/>
              <w:rPr>
                <w:rFonts w:ascii="宋体" w:hAnsi="宋体" w:cs="宋体"/>
                <w:kern w:val="0"/>
                <w:sz w:val="18"/>
                <w:szCs w:val="18"/>
              </w:rPr>
            </w:pPr>
            <w:r>
              <w:rPr>
                <w:rFonts w:hint="eastAsia" w:ascii="宋体" w:hAnsi="宋体" w:cs="宋体"/>
                <w:kern w:val="0"/>
                <w:sz w:val="18"/>
                <w:szCs w:val="18"/>
              </w:rPr>
              <w:t>0.93</w:t>
            </w:r>
          </w:p>
        </w:tc>
        <w:tc>
          <w:tcPr>
            <w:tcW w:w="854" w:type="dxa"/>
            <w:shd w:val="clear" w:color="auto" w:fill="auto"/>
            <w:noWrap/>
            <w:vAlign w:val="center"/>
          </w:tcPr>
          <w:p w14:paraId="343DE7E6">
            <w:pPr>
              <w:widowControl/>
              <w:jc w:val="center"/>
              <w:rPr>
                <w:rFonts w:ascii="宋体" w:hAnsi="宋体" w:cs="宋体"/>
                <w:kern w:val="0"/>
                <w:sz w:val="18"/>
                <w:szCs w:val="18"/>
              </w:rPr>
            </w:pPr>
            <w:r>
              <w:rPr>
                <w:rFonts w:hint="eastAsia" w:ascii="宋体" w:hAnsi="宋体" w:cs="宋体"/>
                <w:kern w:val="0"/>
                <w:sz w:val="18"/>
                <w:szCs w:val="18"/>
              </w:rPr>
              <w:t>0.93</w:t>
            </w:r>
          </w:p>
        </w:tc>
        <w:tc>
          <w:tcPr>
            <w:tcW w:w="1489" w:type="dxa"/>
            <w:shd w:val="clear" w:color="auto" w:fill="auto"/>
            <w:vAlign w:val="center"/>
          </w:tcPr>
          <w:p w14:paraId="3AFDFF18">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009BE8E0">
            <w:pPr>
              <w:widowControl/>
              <w:jc w:val="center"/>
              <w:rPr>
                <w:rFonts w:ascii="宋体" w:hAnsi="宋体" w:cs="宋体"/>
                <w:kern w:val="0"/>
                <w:sz w:val="18"/>
                <w:szCs w:val="18"/>
              </w:rPr>
            </w:pPr>
          </w:p>
        </w:tc>
      </w:tr>
      <w:tr w14:paraId="4667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AF7450E">
            <w:pPr>
              <w:widowControl/>
              <w:jc w:val="center"/>
              <w:rPr>
                <w:rFonts w:ascii="宋体" w:hAnsi="宋体" w:cs="宋体"/>
                <w:kern w:val="0"/>
                <w:sz w:val="18"/>
                <w:szCs w:val="18"/>
              </w:rPr>
            </w:pPr>
          </w:p>
        </w:tc>
        <w:tc>
          <w:tcPr>
            <w:tcW w:w="3659" w:type="dxa"/>
            <w:shd w:val="clear" w:color="auto" w:fill="auto"/>
            <w:vAlign w:val="center"/>
          </w:tcPr>
          <w:p w14:paraId="16DD79B5">
            <w:pPr>
              <w:widowControl/>
              <w:jc w:val="center"/>
              <w:rPr>
                <w:rFonts w:ascii="宋体" w:hAnsi="宋体" w:cs="宋体"/>
                <w:kern w:val="0"/>
                <w:sz w:val="18"/>
                <w:szCs w:val="18"/>
              </w:rPr>
            </w:pPr>
            <w:r>
              <w:rPr>
                <w:rFonts w:hint="eastAsia" w:ascii="宋体" w:hAnsi="宋体" w:cs="宋体"/>
                <w:kern w:val="0"/>
                <w:sz w:val="18"/>
                <w:szCs w:val="18"/>
              </w:rPr>
              <w:t>汤丹镇洒海村小新村干坪子宜居农房建设搬迁集中安置点项目</w:t>
            </w:r>
          </w:p>
        </w:tc>
        <w:tc>
          <w:tcPr>
            <w:tcW w:w="796" w:type="dxa"/>
            <w:shd w:val="clear" w:color="auto" w:fill="auto"/>
            <w:noWrap/>
            <w:vAlign w:val="center"/>
          </w:tcPr>
          <w:p w14:paraId="0B97BB66">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16D8DD1B">
            <w:pPr>
              <w:widowControl/>
              <w:jc w:val="center"/>
              <w:rPr>
                <w:rFonts w:ascii="宋体" w:hAnsi="宋体" w:cs="宋体"/>
                <w:kern w:val="0"/>
                <w:sz w:val="18"/>
                <w:szCs w:val="18"/>
              </w:rPr>
            </w:pPr>
            <w:r>
              <w:rPr>
                <w:rFonts w:hint="eastAsia" w:ascii="宋体" w:hAnsi="宋体" w:cs="宋体"/>
                <w:kern w:val="0"/>
                <w:sz w:val="18"/>
                <w:szCs w:val="18"/>
              </w:rPr>
              <w:t>2017-2020</w:t>
            </w:r>
          </w:p>
        </w:tc>
        <w:tc>
          <w:tcPr>
            <w:tcW w:w="1026" w:type="dxa"/>
            <w:shd w:val="clear" w:color="auto" w:fill="auto"/>
            <w:noWrap/>
            <w:vAlign w:val="center"/>
          </w:tcPr>
          <w:p w14:paraId="03986ADE">
            <w:pPr>
              <w:widowControl/>
              <w:jc w:val="center"/>
              <w:rPr>
                <w:rFonts w:ascii="宋体" w:hAnsi="宋体" w:cs="宋体"/>
                <w:kern w:val="0"/>
                <w:sz w:val="18"/>
                <w:szCs w:val="18"/>
              </w:rPr>
            </w:pPr>
            <w:r>
              <w:rPr>
                <w:rFonts w:hint="eastAsia" w:ascii="宋体" w:hAnsi="宋体" w:cs="宋体"/>
                <w:kern w:val="0"/>
                <w:sz w:val="18"/>
                <w:szCs w:val="18"/>
              </w:rPr>
              <w:t>1.42</w:t>
            </w:r>
          </w:p>
        </w:tc>
        <w:tc>
          <w:tcPr>
            <w:tcW w:w="946" w:type="dxa"/>
            <w:shd w:val="clear" w:color="auto" w:fill="auto"/>
            <w:noWrap/>
            <w:vAlign w:val="center"/>
          </w:tcPr>
          <w:p w14:paraId="62A1CE37">
            <w:pPr>
              <w:widowControl/>
              <w:jc w:val="center"/>
              <w:rPr>
                <w:rFonts w:ascii="宋体" w:hAnsi="宋体" w:cs="宋体"/>
                <w:kern w:val="0"/>
                <w:sz w:val="18"/>
                <w:szCs w:val="18"/>
              </w:rPr>
            </w:pPr>
            <w:r>
              <w:rPr>
                <w:rFonts w:hint="eastAsia" w:ascii="宋体" w:hAnsi="宋体" w:cs="宋体"/>
                <w:kern w:val="0"/>
                <w:sz w:val="18"/>
                <w:szCs w:val="18"/>
              </w:rPr>
              <w:t>1.42</w:t>
            </w:r>
          </w:p>
        </w:tc>
        <w:tc>
          <w:tcPr>
            <w:tcW w:w="854" w:type="dxa"/>
            <w:shd w:val="clear" w:color="auto" w:fill="auto"/>
            <w:noWrap/>
            <w:vAlign w:val="center"/>
          </w:tcPr>
          <w:p w14:paraId="0CE1A086">
            <w:pPr>
              <w:widowControl/>
              <w:jc w:val="center"/>
              <w:rPr>
                <w:rFonts w:ascii="宋体" w:hAnsi="宋体" w:cs="宋体"/>
                <w:kern w:val="0"/>
                <w:sz w:val="18"/>
                <w:szCs w:val="18"/>
              </w:rPr>
            </w:pPr>
            <w:r>
              <w:rPr>
                <w:rFonts w:hint="eastAsia" w:ascii="宋体" w:hAnsi="宋体" w:cs="宋体"/>
                <w:kern w:val="0"/>
                <w:sz w:val="18"/>
                <w:szCs w:val="18"/>
              </w:rPr>
              <w:t>1.42</w:t>
            </w:r>
          </w:p>
        </w:tc>
        <w:tc>
          <w:tcPr>
            <w:tcW w:w="1489" w:type="dxa"/>
            <w:shd w:val="clear" w:color="auto" w:fill="auto"/>
            <w:noWrap/>
            <w:vAlign w:val="center"/>
          </w:tcPr>
          <w:p w14:paraId="0A7BF221">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3F53591C">
            <w:pPr>
              <w:widowControl/>
              <w:jc w:val="center"/>
              <w:rPr>
                <w:rFonts w:ascii="宋体" w:hAnsi="宋体" w:cs="宋体"/>
                <w:kern w:val="0"/>
                <w:sz w:val="18"/>
                <w:szCs w:val="18"/>
              </w:rPr>
            </w:pPr>
          </w:p>
        </w:tc>
      </w:tr>
      <w:tr w14:paraId="7C74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03ABF77">
            <w:pPr>
              <w:widowControl/>
              <w:jc w:val="center"/>
              <w:rPr>
                <w:rFonts w:ascii="宋体" w:hAnsi="宋体" w:cs="宋体"/>
                <w:kern w:val="0"/>
                <w:sz w:val="18"/>
                <w:szCs w:val="18"/>
              </w:rPr>
            </w:pPr>
          </w:p>
        </w:tc>
        <w:tc>
          <w:tcPr>
            <w:tcW w:w="3659" w:type="dxa"/>
            <w:shd w:val="clear" w:color="auto" w:fill="auto"/>
            <w:vAlign w:val="center"/>
          </w:tcPr>
          <w:p w14:paraId="6F2E401C">
            <w:pPr>
              <w:widowControl/>
              <w:jc w:val="center"/>
              <w:rPr>
                <w:rFonts w:ascii="宋体" w:hAnsi="宋体" w:cs="宋体"/>
                <w:kern w:val="0"/>
                <w:sz w:val="18"/>
                <w:szCs w:val="18"/>
              </w:rPr>
            </w:pPr>
            <w:r>
              <w:rPr>
                <w:rFonts w:hint="eastAsia" w:ascii="宋体" w:hAnsi="宋体" w:cs="宋体"/>
                <w:kern w:val="0"/>
                <w:sz w:val="18"/>
                <w:szCs w:val="18"/>
              </w:rPr>
              <w:t>汤丹镇洒海村新建村组青沙包宜居农房建设搬迁集中安置点</w:t>
            </w:r>
          </w:p>
        </w:tc>
        <w:tc>
          <w:tcPr>
            <w:tcW w:w="796" w:type="dxa"/>
            <w:shd w:val="clear" w:color="auto" w:fill="auto"/>
            <w:noWrap/>
            <w:vAlign w:val="center"/>
          </w:tcPr>
          <w:p w14:paraId="542FE85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2B382934">
            <w:pPr>
              <w:widowControl/>
              <w:jc w:val="center"/>
              <w:rPr>
                <w:rFonts w:ascii="宋体" w:hAnsi="宋体" w:cs="宋体"/>
                <w:kern w:val="0"/>
                <w:sz w:val="18"/>
                <w:szCs w:val="18"/>
              </w:rPr>
            </w:pPr>
            <w:r>
              <w:rPr>
                <w:rFonts w:hint="eastAsia" w:ascii="宋体" w:hAnsi="宋体" w:cs="宋体"/>
                <w:kern w:val="0"/>
                <w:sz w:val="18"/>
                <w:szCs w:val="18"/>
              </w:rPr>
              <w:t>2014-2020</w:t>
            </w:r>
          </w:p>
        </w:tc>
        <w:tc>
          <w:tcPr>
            <w:tcW w:w="1026" w:type="dxa"/>
            <w:shd w:val="clear" w:color="auto" w:fill="auto"/>
            <w:noWrap/>
            <w:vAlign w:val="center"/>
          </w:tcPr>
          <w:p w14:paraId="555C9834">
            <w:pPr>
              <w:widowControl/>
              <w:jc w:val="center"/>
              <w:rPr>
                <w:rFonts w:ascii="宋体" w:hAnsi="宋体" w:cs="宋体"/>
                <w:kern w:val="0"/>
                <w:sz w:val="18"/>
                <w:szCs w:val="18"/>
              </w:rPr>
            </w:pPr>
            <w:r>
              <w:rPr>
                <w:rFonts w:hint="eastAsia" w:ascii="宋体" w:hAnsi="宋体" w:cs="宋体"/>
                <w:kern w:val="0"/>
                <w:sz w:val="18"/>
                <w:szCs w:val="18"/>
              </w:rPr>
              <w:t>7.07</w:t>
            </w:r>
          </w:p>
        </w:tc>
        <w:tc>
          <w:tcPr>
            <w:tcW w:w="946" w:type="dxa"/>
            <w:shd w:val="clear" w:color="auto" w:fill="auto"/>
            <w:noWrap/>
            <w:vAlign w:val="center"/>
          </w:tcPr>
          <w:p w14:paraId="7C99981B">
            <w:pPr>
              <w:widowControl/>
              <w:jc w:val="center"/>
              <w:rPr>
                <w:rFonts w:ascii="宋体" w:hAnsi="宋体" w:cs="宋体"/>
                <w:kern w:val="0"/>
                <w:sz w:val="18"/>
                <w:szCs w:val="18"/>
              </w:rPr>
            </w:pPr>
            <w:r>
              <w:rPr>
                <w:rFonts w:hint="eastAsia" w:ascii="宋体" w:hAnsi="宋体" w:cs="宋体"/>
                <w:kern w:val="0"/>
                <w:sz w:val="18"/>
                <w:szCs w:val="18"/>
              </w:rPr>
              <w:t>6.92</w:t>
            </w:r>
          </w:p>
        </w:tc>
        <w:tc>
          <w:tcPr>
            <w:tcW w:w="854" w:type="dxa"/>
            <w:shd w:val="clear" w:color="auto" w:fill="auto"/>
            <w:noWrap/>
            <w:vAlign w:val="center"/>
          </w:tcPr>
          <w:p w14:paraId="3F602AB5">
            <w:pPr>
              <w:widowControl/>
              <w:jc w:val="center"/>
              <w:rPr>
                <w:rFonts w:ascii="宋体" w:hAnsi="宋体" w:cs="宋体"/>
                <w:kern w:val="0"/>
                <w:sz w:val="18"/>
                <w:szCs w:val="18"/>
              </w:rPr>
            </w:pPr>
            <w:r>
              <w:rPr>
                <w:rFonts w:hint="eastAsia" w:ascii="宋体" w:hAnsi="宋体" w:cs="宋体"/>
                <w:kern w:val="0"/>
                <w:sz w:val="18"/>
                <w:szCs w:val="18"/>
              </w:rPr>
              <w:t>4.82</w:t>
            </w:r>
          </w:p>
        </w:tc>
        <w:tc>
          <w:tcPr>
            <w:tcW w:w="1489" w:type="dxa"/>
            <w:shd w:val="clear" w:color="auto" w:fill="auto"/>
            <w:noWrap/>
            <w:vAlign w:val="center"/>
          </w:tcPr>
          <w:p w14:paraId="0690DAB9">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1D413790">
            <w:pPr>
              <w:widowControl/>
              <w:jc w:val="center"/>
              <w:rPr>
                <w:rFonts w:ascii="宋体" w:hAnsi="宋体" w:cs="宋体"/>
                <w:kern w:val="0"/>
                <w:sz w:val="18"/>
                <w:szCs w:val="18"/>
              </w:rPr>
            </w:pPr>
          </w:p>
        </w:tc>
      </w:tr>
      <w:tr w14:paraId="4C80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1194DBE">
            <w:pPr>
              <w:widowControl/>
              <w:jc w:val="center"/>
              <w:rPr>
                <w:rFonts w:ascii="宋体" w:hAnsi="宋体" w:cs="宋体"/>
                <w:kern w:val="0"/>
                <w:sz w:val="18"/>
                <w:szCs w:val="18"/>
              </w:rPr>
            </w:pPr>
          </w:p>
        </w:tc>
        <w:tc>
          <w:tcPr>
            <w:tcW w:w="3659" w:type="dxa"/>
            <w:shd w:val="clear" w:color="auto" w:fill="auto"/>
            <w:vAlign w:val="center"/>
          </w:tcPr>
          <w:p w14:paraId="21F7D9BE">
            <w:pPr>
              <w:widowControl/>
              <w:jc w:val="center"/>
              <w:rPr>
                <w:rFonts w:ascii="宋体" w:hAnsi="宋体" w:cs="宋体"/>
                <w:kern w:val="0"/>
                <w:sz w:val="18"/>
                <w:szCs w:val="18"/>
              </w:rPr>
            </w:pPr>
            <w:r>
              <w:rPr>
                <w:rFonts w:hint="eastAsia" w:ascii="宋体" w:hAnsi="宋体" w:cs="宋体"/>
                <w:kern w:val="0"/>
                <w:sz w:val="18"/>
                <w:szCs w:val="18"/>
              </w:rPr>
              <w:t>汤丹镇洒海村易地扶贫搬迁集中安置点项目</w:t>
            </w:r>
          </w:p>
        </w:tc>
        <w:tc>
          <w:tcPr>
            <w:tcW w:w="796" w:type="dxa"/>
            <w:shd w:val="clear" w:color="auto" w:fill="auto"/>
            <w:noWrap/>
            <w:vAlign w:val="center"/>
          </w:tcPr>
          <w:p w14:paraId="75413D11">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16A86D69">
            <w:pPr>
              <w:widowControl/>
              <w:jc w:val="center"/>
              <w:rPr>
                <w:rFonts w:ascii="宋体" w:hAnsi="宋体" w:cs="宋体"/>
                <w:kern w:val="0"/>
                <w:sz w:val="18"/>
                <w:szCs w:val="18"/>
              </w:rPr>
            </w:pPr>
            <w:r>
              <w:rPr>
                <w:rFonts w:hint="eastAsia" w:ascii="宋体" w:hAnsi="宋体" w:cs="宋体"/>
                <w:kern w:val="0"/>
                <w:sz w:val="18"/>
                <w:szCs w:val="18"/>
              </w:rPr>
              <w:t>2016-2018</w:t>
            </w:r>
          </w:p>
        </w:tc>
        <w:tc>
          <w:tcPr>
            <w:tcW w:w="1026" w:type="dxa"/>
            <w:shd w:val="clear" w:color="auto" w:fill="auto"/>
            <w:noWrap/>
            <w:vAlign w:val="center"/>
          </w:tcPr>
          <w:p w14:paraId="455CC37D">
            <w:pPr>
              <w:widowControl/>
              <w:jc w:val="center"/>
              <w:rPr>
                <w:rFonts w:ascii="宋体" w:hAnsi="宋体" w:cs="宋体"/>
                <w:kern w:val="0"/>
                <w:sz w:val="18"/>
                <w:szCs w:val="18"/>
              </w:rPr>
            </w:pPr>
            <w:r>
              <w:rPr>
                <w:rFonts w:hint="eastAsia" w:ascii="宋体" w:hAnsi="宋体" w:cs="宋体"/>
                <w:kern w:val="0"/>
                <w:sz w:val="18"/>
                <w:szCs w:val="18"/>
              </w:rPr>
              <w:t>0.45</w:t>
            </w:r>
          </w:p>
        </w:tc>
        <w:tc>
          <w:tcPr>
            <w:tcW w:w="946" w:type="dxa"/>
            <w:shd w:val="clear" w:color="auto" w:fill="auto"/>
            <w:noWrap/>
            <w:vAlign w:val="center"/>
          </w:tcPr>
          <w:p w14:paraId="1BBF5D4B">
            <w:pPr>
              <w:widowControl/>
              <w:jc w:val="center"/>
              <w:rPr>
                <w:rFonts w:ascii="宋体" w:hAnsi="宋体" w:cs="宋体"/>
                <w:kern w:val="0"/>
                <w:sz w:val="18"/>
                <w:szCs w:val="18"/>
              </w:rPr>
            </w:pPr>
            <w:r>
              <w:rPr>
                <w:rFonts w:hint="eastAsia" w:ascii="宋体" w:hAnsi="宋体" w:cs="宋体"/>
                <w:kern w:val="0"/>
                <w:sz w:val="18"/>
                <w:szCs w:val="18"/>
              </w:rPr>
              <w:t>0.45</w:t>
            </w:r>
          </w:p>
        </w:tc>
        <w:tc>
          <w:tcPr>
            <w:tcW w:w="854" w:type="dxa"/>
            <w:shd w:val="clear" w:color="auto" w:fill="auto"/>
            <w:noWrap/>
            <w:vAlign w:val="center"/>
          </w:tcPr>
          <w:p w14:paraId="1E96A40E">
            <w:pPr>
              <w:widowControl/>
              <w:jc w:val="center"/>
              <w:rPr>
                <w:rFonts w:ascii="宋体" w:hAnsi="宋体" w:cs="宋体"/>
                <w:kern w:val="0"/>
                <w:sz w:val="18"/>
                <w:szCs w:val="18"/>
              </w:rPr>
            </w:pPr>
            <w:r>
              <w:rPr>
                <w:rFonts w:hint="eastAsia" w:ascii="宋体" w:hAnsi="宋体" w:cs="宋体"/>
                <w:kern w:val="0"/>
                <w:sz w:val="18"/>
                <w:szCs w:val="18"/>
              </w:rPr>
              <w:t>0.45</w:t>
            </w:r>
          </w:p>
        </w:tc>
        <w:tc>
          <w:tcPr>
            <w:tcW w:w="1489" w:type="dxa"/>
            <w:shd w:val="clear" w:color="auto" w:fill="auto"/>
            <w:noWrap/>
            <w:vAlign w:val="center"/>
          </w:tcPr>
          <w:p w14:paraId="405C1A97">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1D6AE44B">
            <w:pPr>
              <w:widowControl/>
              <w:jc w:val="center"/>
              <w:rPr>
                <w:rFonts w:ascii="宋体" w:hAnsi="宋体" w:cs="宋体"/>
                <w:kern w:val="0"/>
                <w:sz w:val="18"/>
                <w:szCs w:val="18"/>
              </w:rPr>
            </w:pPr>
          </w:p>
        </w:tc>
      </w:tr>
      <w:tr w14:paraId="388D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27FD3C9">
            <w:pPr>
              <w:widowControl/>
              <w:jc w:val="center"/>
              <w:rPr>
                <w:rFonts w:ascii="宋体" w:hAnsi="宋体" w:cs="宋体"/>
                <w:kern w:val="0"/>
                <w:sz w:val="18"/>
                <w:szCs w:val="18"/>
              </w:rPr>
            </w:pPr>
          </w:p>
        </w:tc>
        <w:tc>
          <w:tcPr>
            <w:tcW w:w="3659" w:type="dxa"/>
            <w:shd w:val="clear" w:color="auto" w:fill="auto"/>
            <w:vAlign w:val="center"/>
          </w:tcPr>
          <w:p w14:paraId="33151ABB">
            <w:pPr>
              <w:widowControl/>
              <w:jc w:val="center"/>
              <w:rPr>
                <w:rFonts w:ascii="宋体" w:hAnsi="宋体" w:cs="宋体"/>
                <w:kern w:val="0"/>
                <w:sz w:val="18"/>
                <w:szCs w:val="18"/>
              </w:rPr>
            </w:pPr>
            <w:r>
              <w:rPr>
                <w:rFonts w:hint="eastAsia" w:ascii="宋体" w:hAnsi="宋体" w:cs="宋体"/>
                <w:kern w:val="0"/>
                <w:sz w:val="18"/>
                <w:szCs w:val="18"/>
              </w:rPr>
              <w:t>汤丹镇洒海浪田坝组宜居农房建设搬迁集中安置点项目</w:t>
            </w:r>
          </w:p>
        </w:tc>
        <w:tc>
          <w:tcPr>
            <w:tcW w:w="796" w:type="dxa"/>
            <w:shd w:val="clear" w:color="auto" w:fill="auto"/>
            <w:noWrap/>
            <w:vAlign w:val="center"/>
          </w:tcPr>
          <w:p w14:paraId="5CD376C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02B74D96">
            <w:pPr>
              <w:widowControl/>
              <w:jc w:val="center"/>
              <w:rPr>
                <w:rFonts w:ascii="宋体" w:hAnsi="宋体" w:cs="宋体"/>
                <w:kern w:val="0"/>
                <w:sz w:val="18"/>
                <w:szCs w:val="18"/>
              </w:rPr>
            </w:pPr>
            <w:r>
              <w:rPr>
                <w:rFonts w:hint="eastAsia" w:ascii="宋体" w:hAnsi="宋体" w:cs="宋体"/>
                <w:kern w:val="0"/>
                <w:sz w:val="18"/>
                <w:szCs w:val="18"/>
              </w:rPr>
              <w:t>2012-2015</w:t>
            </w:r>
          </w:p>
        </w:tc>
        <w:tc>
          <w:tcPr>
            <w:tcW w:w="1026" w:type="dxa"/>
            <w:shd w:val="clear" w:color="auto" w:fill="auto"/>
            <w:noWrap/>
            <w:vAlign w:val="center"/>
          </w:tcPr>
          <w:p w14:paraId="21A2670B">
            <w:pPr>
              <w:widowControl/>
              <w:jc w:val="center"/>
              <w:rPr>
                <w:rFonts w:ascii="宋体" w:hAnsi="宋体" w:cs="宋体"/>
                <w:kern w:val="0"/>
                <w:sz w:val="18"/>
                <w:szCs w:val="18"/>
              </w:rPr>
            </w:pPr>
            <w:r>
              <w:rPr>
                <w:rFonts w:hint="eastAsia" w:ascii="宋体" w:hAnsi="宋体" w:cs="宋体"/>
                <w:kern w:val="0"/>
                <w:sz w:val="18"/>
                <w:szCs w:val="18"/>
              </w:rPr>
              <w:t>2.06</w:t>
            </w:r>
          </w:p>
        </w:tc>
        <w:tc>
          <w:tcPr>
            <w:tcW w:w="946" w:type="dxa"/>
            <w:shd w:val="clear" w:color="auto" w:fill="auto"/>
            <w:noWrap/>
            <w:vAlign w:val="center"/>
          </w:tcPr>
          <w:p w14:paraId="6B51AFA8">
            <w:pPr>
              <w:widowControl/>
              <w:jc w:val="center"/>
              <w:rPr>
                <w:rFonts w:ascii="宋体" w:hAnsi="宋体" w:cs="宋体"/>
                <w:kern w:val="0"/>
                <w:sz w:val="18"/>
                <w:szCs w:val="18"/>
              </w:rPr>
            </w:pPr>
            <w:r>
              <w:rPr>
                <w:rFonts w:hint="eastAsia" w:ascii="宋体" w:hAnsi="宋体" w:cs="宋体"/>
                <w:kern w:val="0"/>
                <w:sz w:val="18"/>
                <w:szCs w:val="18"/>
              </w:rPr>
              <w:t>1.97</w:t>
            </w:r>
          </w:p>
        </w:tc>
        <w:tc>
          <w:tcPr>
            <w:tcW w:w="854" w:type="dxa"/>
            <w:shd w:val="clear" w:color="auto" w:fill="auto"/>
            <w:noWrap/>
            <w:vAlign w:val="center"/>
          </w:tcPr>
          <w:p w14:paraId="01684594">
            <w:pPr>
              <w:widowControl/>
              <w:jc w:val="center"/>
              <w:rPr>
                <w:rFonts w:ascii="宋体" w:hAnsi="宋体" w:cs="宋体"/>
                <w:kern w:val="0"/>
                <w:sz w:val="18"/>
                <w:szCs w:val="18"/>
              </w:rPr>
            </w:pPr>
            <w:r>
              <w:rPr>
                <w:rFonts w:hint="eastAsia" w:ascii="宋体" w:hAnsi="宋体" w:cs="宋体"/>
                <w:kern w:val="0"/>
                <w:sz w:val="18"/>
                <w:szCs w:val="18"/>
              </w:rPr>
              <w:t>1.97</w:t>
            </w:r>
          </w:p>
        </w:tc>
        <w:tc>
          <w:tcPr>
            <w:tcW w:w="1489" w:type="dxa"/>
            <w:shd w:val="clear" w:color="auto" w:fill="auto"/>
            <w:vAlign w:val="center"/>
          </w:tcPr>
          <w:p w14:paraId="3F70071F">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4F50E96F">
            <w:pPr>
              <w:widowControl/>
              <w:jc w:val="center"/>
              <w:rPr>
                <w:rFonts w:ascii="宋体" w:hAnsi="宋体" w:cs="宋体"/>
                <w:kern w:val="0"/>
                <w:sz w:val="18"/>
                <w:szCs w:val="18"/>
              </w:rPr>
            </w:pPr>
          </w:p>
        </w:tc>
      </w:tr>
      <w:tr w14:paraId="6E61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CDE9188">
            <w:pPr>
              <w:widowControl/>
              <w:jc w:val="center"/>
              <w:rPr>
                <w:rFonts w:ascii="宋体" w:hAnsi="宋体" w:cs="宋体"/>
                <w:kern w:val="0"/>
                <w:sz w:val="18"/>
                <w:szCs w:val="18"/>
              </w:rPr>
            </w:pPr>
          </w:p>
        </w:tc>
        <w:tc>
          <w:tcPr>
            <w:tcW w:w="3659" w:type="dxa"/>
            <w:shd w:val="clear" w:color="auto" w:fill="auto"/>
            <w:vAlign w:val="center"/>
          </w:tcPr>
          <w:p w14:paraId="4C993E55">
            <w:pPr>
              <w:widowControl/>
              <w:jc w:val="center"/>
              <w:rPr>
                <w:rFonts w:ascii="宋体" w:hAnsi="宋体" w:cs="宋体"/>
                <w:kern w:val="0"/>
                <w:sz w:val="18"/>
                <w:szCs w:val="18"/>
              </w:rPr>
            </w:pPr>
            <w:r>
              <w:rPr>
                <w:rFonts w:hint="eastAsia" w:ascii="宋体" w:hAnsi="宋体" w:cs="宋体"/>
                <w:kern w:val="0"/>
                <w:sz w:val="18"/>
                <w:szCs w:val="18"/>
              </w:rPr>
              <w:t>汤丹镇三家村上田坝组宜居农房建设搬迁集中安置点项目</w:t>
            </w:r>
          </w:p>
        </w:tc>
        <w:tc>
          <w:tcPr>
            <w:tcW w:w="796" w:type="dxa"/>
            <w:shd w:val="clear" w:color="auto" w:fill="auto"/>
            <w:noWrap/>
            <w:vAlign w:val="center"/>
          </w:tcPr>
          <w:p w14:paraId="7401E6D7">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0CAD6D36">
            <w:pPr>
              <w:widowControl/>
              <w:jc w:val="center"/>
              <w:rPr>
                <w:rFonts w:ascii="宋体" w:hAnsi="宋体" w:cs="宋体"/>
                <w:kern w:val="0"/>
                <w:sz w:val="18"/>
                <w:szCs w:val="18"/>
              </w:rPr>
            </w:pPr>
            <w:r>
              <w:rPr>
                <w:rFonts w:hint="eastAsia" w:ascii="宋体" w:hAnsi="宋体" w:cs="宋体"/>
                <w:kern w:val="0"/>
                <w:sz w:val="18"/>
                <w:szCs w:val="18"/>
              </w:rPr>
              <w:t>2012-2015</w:t>
            </w:r>
          </w:p>
        </w:tc>
        <w:tc>
          <w:tcPr>
            <w:tcW w:w="1026" w:type="dxa"/>
            <w:shd w:val="clear" w:color="auto" w:fill="auto"/>
            <w:noWrap/>
            <w:vAlign w:val="center"/>
          </w:tcPr>
          <w:p w14:paraId="6C9D5C6C">
            <w:pPr>
              <w:widowControl/>
              <w:jc w:val="center"/>
              <w:rPr>
                <w:rFonts w:ascii="宋体" w:hAnsi="宋体" w:cs="宋体"/>
                <w:kern w:val="0"/>
                <w:sz w:val="18"/>
                <w:szCs w:val="18"/>
              </w:rPr>
            </w:pPr>
            <w:r>
              <w:rPr>
                <w:rFonts w:hint="eastAsia" w:ascii="宋体" w:hAnsi="宋体" w:cs="宋体"/>
                <w:kern w:val="0"/>
                <w:sz w:val="18"/>
                <w:szCs w:val="18"/>
              </w:rPr>
              <w:t>1.27</w:t>
            </w:r>
          </w:p>
        </w:tc>
        <w:tc>
          <w:tcPr>
            <w:tcW w:w="946" w:type="dxa"/>
            <w:shd w:val="clear" w:color="auto" w:fill="auto"/>
            <w:noWrap/>
            <w:vAlign w:val="center"/>
          </w:tcPr>
          <w:p w14:paraId="6EB7B567">
            <w:pPr>
              <w:widowControl/>
              <w:jc w:val="center"/>
              <w:rPr>
                <w:rFonts w:ascii="宋体" w:hAnsi="宋体" w:cs="宋体"/>
                <w:kern w:val="0"/>
                <w:sz w:val="18"/>
                <w:szCs w:val="18"/>
              </w:rPr>
            </w:pPr>
            <w:r>
              <w:rPr>
                <w:rFonts w:hint="eastAsia" w:ascii="宋体" w:hAnsi="宋体" w:cs="宋体"/>
                <w:kern w:val="0"/>
                <w:sz w:val="18"/>
                <w:szCs w:val="18"/>
              </w:rPr>
              <w:t>1.27</w:t>
            </w:r>
          </w:p>
        </w:tc>
        <w:tc>
          <w:tcPr>
            <w:tcW w:w="854" w:type="dxa"/>
            <w:shd w:val="clear" w:color="auto" w:fill="auto"/>
            <w:noWrap/>
            <w:vAlign w:val="center"/>
          </w:tcPr>
          <w:p w14:paraId="4666CD6D">
            <w:pPr>
              <w:widowControl/>
              <w:jc w:val="center"/>
              <w:rPr>
                <w:rFonts w:ascii="宋体" w:hAnsi="宋体" w:cs="宋体"/>
                <w:kern w:val="0"/>
                <w:sz w:val="18"/>
                <w:szCs w:val="18"/>
              </w:rPr>
            </w:pPr>
            <w:r>
              <w:rPr>
                <w:rFonts w:hint="eastAsia" w:ascii="宋体" w:hAnsi="宋体" w:cs="宋体"/>
                <w:kern w:val="0"/>
                <w:sz w:val="18"/>
                <w:szCs w:val="18"/>
              </w:rPr>
              <w:t>1.27</w:t>
            </w:r>
          </w:p>
        </w:tc>
        <w:tc>
          <w:tcPr>
            <w:tcW w:w="1489" w:type="dxa"/>
            <w:shd w:val="clear" w:color="auto" w:fill="auto"/>
            <w:vAlign w:val="center"/>
          </w:tcPr>
          <w:p w14:paraId="6DB6230F">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3A29E0A0">
            <w:pPr>
              <w:widowControl/>
              <w:jc w:val="center"/>
              <w:rPr>
                <w:rFonts w:ascii="宋体" w:hAnsi="宋体" w:cs="宋体"/>
                <w:kern w:val="0"/>
                <w:sz w:val="18"/>
                <w:szCs w:val="18"/>
              </w:rPr>
            </w:pPr>
          </w:p>
        </w:tc>
      </w:tr>
      <w:tr w14:paraId="3115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AA07832">
            <w:pPr>
              <w:widowControl/>
              <w:jc w:val="center"/>
              <w:rPr>
                <w:rFonts w:ascii="宋体" w:hAnsi="宋体" w:cs="宋体"/>
                <w:kern w:val="0"/>
                <w:sz w:val="18"/>
                <w:szCs w:val="18"/>
              </w:rPr>
            </w:pPr>
          </w:p>
        </w:tc>
        <w:tc>
          <w:tcPr>
            <w:tcW w:w="3659" w:type="dxa"/>
            <w:shd w:val="clear" w:color="auto" w:fill="auto"/>
            <w:vAlign w:val="center"/>
          </w:tcPr>
          <w:p w14:paraId="05957C0B">
            <w:pPr>
              <w:widowControl/>
              <w:jc w:val="center"/>
              <w:rPr>
                <w:rFonts w:ascii="宋体" w:hAnsi="宋体" w:cs="宋体"/>
                <w:kern w:val="0"/>
                <w:sz w:val="18"/>
                <w:szCs w:val="18"/>
              </w:rPr>
            </w:pPr>
            <w:r>
              <w:rPr>
                <w:rFonts w:hint="eastAsia" w:ascii="宋体" w:hAnsi="宋体" w:cs="宋体"/>
                <w:kern w:val="0"/>
                <w:sz w:val="18"/>
                <w:szCs w:val="18"/>
              </w:rPr>
              <w:t>汤丹镇三家村下田坝宜居农房建设搬迁集中安置点项目</w:t>
            </w:r>
          </w:p>
        </w:tc>
        <w:tc>
          <w:tcPr>
            <w:tcW w:w="796" w:type="dxa"/>
            <w:shd w:val="clear" w:color="auto" w:fill="auto"/>
            <w:noWrap/>
            <w:vAlign w:val="center"/>
          </w:tcPr>
          <w:p w14:paraId="755267EE">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335C3B9E">
            <w:pPr>
              <w:widowControl/>
              <w:jc w:val="center"/>
              <w:rPr>
                <w:rFonts w:ascii="宋体" w:hAnsi="宋体" w:cs="宋体"/>
                <w:kern w:val="0"/>
                <w:sz w:val="18"/>
                <w:szCs w:val="18"/>
              </w:rPr>
            </w:pPr>
            <w:r>
              <w:rPr>
                <w:rFonts w:hint="eastAsia" w:ascii="宋体" w:hAnsi="宋体" w:cs="宋体"/>
                <w:kern w:val="0"/>
                <w:sz w:val="18"/>
                <w:szCs w:val="18"/>
              </w:rPr>
              <w:t>2012-2015</w:t>
            </w:r>
          </w:p>
        </w:tc>
        <w:tc>
          <w:tcPr>
            <w:tcW w:w="1026" w:type="dxa"/>
            <w:shd w:val="clear" w:color="auto" w:fill="auto"/>
            <w:noWrap/>
            <w:vAlign w:val="center"/>
          </w:tcPr>
          <w:p w14:paraId="4CF811B4">
            <w:pPr>
              <w:widowControl/>
              <w:jc w:val="center"/>
              <w:rPr>
                <w:rFonts w:ascii="宋体" w:hAnsi="宋体" w:cs="宋体"/>
                <w:kern w:val="0"/>
                <w:sz w:val="18"/>
                <w:szCs w:val="18"/>
              </w:rPr>
            </w:pPr>
            <w:r>
              <w:rPr>
                <w:rFonts w:hint="eastAsia" w:ascii="宋体" w:hAnsi="宋体" w:cs="宋体"/>
                <w:kern w:val="0"/>
                <w:sz w:val="18"/>
                <w:szCs w:val="18"/>
              </w:rPr>
              <w:t>0.64</w:t>
            </w:r>
          </w:p>
        </w:tc>
        <w:tc>
          <w:tcPr>
            <w:tcW w:w="946" w:type="dxa"/>
            <w:shd w:val="clear" w:color="auto" w:fill="auto"/>
            <w:noWrap/>
            <w:vAlign w:val="center"/>
          </w:tcPr>
          <w:p w14:paraId="0652DE35">
            <w:pPr>
              <w:widowControl/>
              <w:jc w:val="center"/>
              <w:rPr>
                <w:rFonts w:ascii="宋体" w:hAnsi="宋体" w:cs="宋体"/>
                <w:kern w:val="0"/>
                <w:sz w:val="18"/>
                <w:szCs w:val="18"/>
              </w:rPr>
            </w:pPr>
            <w:r>
              <w:rPr>
                <w:rFonts w:hint="eastAsia" w:ascii="宋体" w:hAnsi="宋体" w:cs="宋体"/>
                <w:kern w:val="0"/>
                <w:sz w:val="18"/>
                <w:szCs w:val="18"/>
              </w:rPr>
              <w:t>0.64</w:t>
            </w:r>
          </w:p>
        </w:tc>
        <w:tc>
          <w:tcPr>
            <w:tcW w:w="854" w:type="dxa"/>
            <w:shd w:val="clear" w:color="auto" w:fill="auto"/>
            <w:noWrap/>
            <w:vAlign w:val="center"/>
          </w:tcPr>
          <w:p w14:paraId="75DFFDDD">
            <w:pPr>
              <w:widowControl/>
              <w:jc w:val="center"/>
              <w:rPr>
                <w:rFonts w:ascii="宋体" w:hAnsi="宋体" w:cs="宋体"/>
                <w:kern w:val="0"/>
                <w:sz w:val="18"/>
                <w:szCs w:val="18"/>
              </w:rPr>
            </w:pPr>
            <w:r>
              <w:rPr>
                <w:rFonts w:hint="eastAsia" w:ascii="宋体" w:hAnsi="宋体" w:cs="宋体"/>
                <w:kern w:val="0"/>
                <w:sz w:val="18"/>
                <w:szCs w:val="18"/>
              </w:rPr>
              <w:t>0.28</w:t>
            </w:r>
          </w:p>
        </w:tc>
        <w:tc>
          <w:tcPr>
            <w:tcW w:w="1489" w:type="dxa"/>
            <w:shd w:val="clear" w:color="auto" w:fill="auto"/>
            <w:noWrap/>
            <w:vAlign w:val="center"/>
          </w:tcPr>
          <w:p w14:paraId="6FA31E83">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00CF136E">
            <w:pPr>
              <w:widowControl/>
              <w:jc w:val="center"/>
              <w:rPr>
                <w:rFonts w:ascii="宋体" w:hAnsi="宋体" w:cs="宋体"/>
                <w:kern w:val="0"/>
                <w:sz w:val="18"/>
                <w:szCs w:val="18"/>
              </w:rPr>
            </w:pPr>
          </w:p>
        </w:tc>
      </w:tr>
      <w:tr w14:paraId="5CB6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FC891C5">
            <w:pPr>
              <w:widowControl/>
              <w:jc w:val="center"/>
              <w:rPr>
                <w:rFonts w:ascii="宋体" w:hAnsi="宋体" w:cs="宋体"/>
                <w:kern w:val="0"/>
                <w:sz w:val="18"/>
                <w:szCs w:val="18"/>
              </w:rPr>
            </w:pPr>
          </w:p>
        </w:tc>
        <w:tc>
          <w:tcPr>
            <w:tcW w:w="3659" w:type="dxa"/>
            <w:shd w:val="clear" w:color="auto" w:fill="auto"/>
            <w:vAlign w:val="center"/>
          </w:tcPr>
          <w:p w14:paraId="57E4D8E8">
            <w:pPr>
              <w:widowControl/>
              <w:jc w:val="center"/>
              <w:rPr>
                <w:rFonts w:ascii="宋体" w:hAnsi="宋体" w:cs="宋体"/>
                <w:kern w:val="0"/>
                <w:sz w:val="18"/>
                <w:szCs w:val="18"/>
              </w:rPr>
            </w:pPr>
            <w:r>
              <w:rPr>
                <w:rFonts w:hint="eastAsia" w:ascii="宋体" w:hAnsi="宋体" w:cs="宋体"/>
                <w:kern w:val="0"/>
                <w:sz w:val="18"/>
                <w:szCs w:val="18"/>
              </w:rPr>
              <w:t>汤丹镇杉木村大窑洞组宜居农房建设搬迁集中安置点</w:t>
            </w:r>
          </w:p>
        </w:tc>
        <w:tc>
          <w:tcPr>
            <w:tcW w:w="796" w:type="dxa"/>
            <w:shd w:val="clear" w:color="auto" w:fill="auto"/>
            <w:noWrap/>
            <w:vAlign w:val="center"/>
          </w:tcPr>
          <w:p w14:paraId="0AF4B81E">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3D587F55">
            <w:pPr>
              <w:widowControl/>
              <w:jc w:val="center"/>
              <w:rPr>
                <w:rFonts w:ascii="宋体" w:hAnsi="宋体" w:cs="宋体"/>
                <w:kern w:val="0"/>
                <w:sz w:val="18"/>
                <w:szCs w:val="18"/>
              </w:rPr>
            </w:pPr>
            <w:r>
              <w:rPr>
                <w:rFonts w:hint="eastAsia" w:ascii="宋体" w:hAnsi="宋体" w:cs="宋体"/>
                <w:kern w:val="0"/>
                <w:sz w:val="18"/>
                <w:szCs w:val="18"/>
              </w:rPr>
              <w:t>2012-2015</w:t>
            </w:r>
          </w:p>
        </w:tc>
        <w:tc>
          <w:tcPr>
            <w:tcW w:w="1026" w:type="dxa"/>
            <w:shd w:val="clear" w:color="auto" w:fill="auto"/>
            <w:noWrap/>
            <w:vAlign w:val="center"/>
          </w:tcPr>
          <w:p w14:paraId="076F9140">
            <w:pPr>
              <w:widowControl/>
              <w:jc w:val="center"/>
              <w:rPr>
                <w:rFonts w:ascii="宋体" w:hAnsi="宋体" w:cs="宋体"/>
                <w:kern w:val="0"/>
                <w:sz w:val="18"/>
                <w:szCs w:val="18"/>
              </w:rPr>
            </w:pPr>
            <w:r>
              <w:rPr>
                <w:rFonts w:hint="eastAsia" w:ascii="宋体" w:hAnsi="宋体" w:cs="宋体"/>
                <w:kern w:val="0"/>
                <w:sz w:val="18"/>
                <w:szCs w:val="18"/>
              </w:rPr>
              <w:t>1.01</w:t>
            </w:r>
          </w:p>
        </w:tc>
        <w:tc>
          <w:tcPr>
            <w:tcW w:w="946" w:type="dxa"/>
            <w:shd w:val="clear" w:color="auto" w:fill="auto"/>
            <w:noWrap/>
            <w:vAlign w:val="center"/>
          </w:tcPr>
          <w:p w14:paraId="37121968">
            <w:pPr>
              <w:widowControl/>
              <w:jc w:val="center"/>
              <w:rPr>
                <w:rFonts w:ascii="宋体" w:hAnsi="宋体" w:cs="宋体"/>
                <w:kern w:val="0"/>
                <w:sz w:val="18"/>
                <w:szCs w:val="18"/>
              </w:rPr>
            </w:pPr>
            <w:r>
              <w:rPr>
                <w:rFonts w:hint="eastAsia" w:ascii="宋体" w:hAnsi="宋体" w:cs="宋体"/>
                <w:kern w:val="0"/>
                <w:sz w:val="18"/>
                <w:szCs w:val="18"/>
              </w:rPr>
              <w:t>1.01</w:t>
            </w:r>
          </w:p>
        </w:tc>
        <w:tc>
          <w:tcPr>
            <w:tcW w:w="854" w:type="dxa"/>
            <w:shd w:val="clear" w:color="auto" w:fill="auto"/>
            <w:noWrap/>
            <w:vAlign w:val="center"/>
          </w:tcPr>
          <w:p w14:paraId="703B58DA">
            <w:pPr>
              <w:widowControl/>
              <w:jc w:val="center"/>
              <w:rPr>
                <w:rFonts w:ascii="宋体" w:hAnsi="宋体" w:cs="宋体"/>
                <w:kern w:val="0"/>
                <w:sz w:val="18"/>
                <w:szCs w:val="18"/>
              </w:rPr>
            </w:pPr>
            <w:r>
              <w:rPr>
                <w:rFonts w:hint="eastAsia" w:ascii="宋体" w:hAnsi="宋体" w:cs="宋体"/>
                <w:kern w:val="0"/>
                <w:sz w:val="18"/>
                <w:szCs w:val="18"/>
              </w:rPr>
              <w:t>1.01</w:t>
            </w:r>
          </w:p>
        </w:tc>
        <w:tc>
          <w:tcPr>
            <w:tcW w:w="1489" w:type="dxa"/>
            <w:shd w:val="clear" w:color="auto" w:fill="auto"/>
            <w:noWrap/>
            <w:vAlign w:val="center"/>
          </w:tcPr>
          <w:p w14:paraId="2E58651F">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376353AF">
            <w:pPr>
              <w:widowControl/>
              <w:jc w:val="center"/>
              <w:rPr>
                <w:rFonts w:ascii="宋体" w:hAnsi="宋体" w:cs="宋体"/>
                <w:kern w:val="0"/>
                <w:sz w:val="18"/>
                <w:szCs w:val="18"/>
              </w:rPr>
            </w:pPr>
          </w:p>
        </w:tc>
      </w:tr>
      <w:tr w14:paraId="5CE0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D0A05F0">
            <w:pPr>
              <w:widowControl/>
              <w:jc w:val="center"/>
              <w:rPr>
                <w:rFonts w:ascii="宋体" w:hAnsi="宋体" w:cs="宋体"/>
                <w:kern w:val="0"/>
                <w:sz w:val="18"/>
                <w:szCs w:val="18"/>
              </w:rPr>
            </w:pPr>
          </w:p>
        </w:tc>
        <w:tc>
          <w:tcPr>
            <w:tcW w:w="3659" w:type="dxa"/>
            <w:shd w:val="clear" w:color="auto" w:fill="auto"/>
            <w:vAlign w:val="center"/>
          </w:tcPr>
          <w:p w14:paraId="315A2F92">
            <w:pPr>
              <w:widowControl/>
              <w:jc w:val="center"/>
              <w:rPr>
                <w:rFonts w:ascii="宋体" w:hAnsi="宋体" w:cs="宋体"/>
                <w:kern w:val="0"/>
                <w:sz w:val="18"/>
                <w:szCs w:val="18"/>
              </w:rPr>
            </w:pPr>
            <w:r>
              <w:rPr>
                <w:rFonts w:hint="eastAsia" w:ascii="宋体" w:hAnsi="宋体" w:cs="宋体"/>
                <w:kern w:val="0"/>
                <w:sz w:val="18"/>
                <w:szCs w:val="18"/>
              </w:rPr>
              <w:t>汤丹镇杉木村万家村组宜居农房建设搬迁集中安置点</w:t>
            </w:r>
          </w:p>
        </w:tc>
        <w:tc>
          <w:tcPr>
            <w:tcW w:w="796" w:type="dxa"/>
            <w:shd w:val="clear" w:color="auto" w:fill="auto"/>
            <w:noWrap/>
            <w:vAlign w:val="center"/>
          </w:tcPr>
          <w:p w14:paraId="4BE47ACB">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6CCE791A">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71521A62">
            <w:pPr>
              <w:widowControl/>
              <w:jc w:val="center"/>
              <w:rPr>
                <w:rFonts w:ascii="宋体" w:hAnsi="宋体" w:cs="宋体"/>
                <w:kern w:val="0"/>
                <w:sz w:val="18"/>
                <w:szCs w:val="18"/>
              </w:rPr>
            </w:pPr>
            <w:r>
              <w:rPr>
                <w:rFonts w:hint="eastAsia" w:ascii="宋体" w:hAnsi="宋体" w:cs="宋体"/>
                <w:kern w:val="0"/>
                <w:sz w:val="18"/>
                <w:szCs w:val="18"/>
              </w:rPr>
              <w:t>0.88</w:t>
            </w:r>
          </w:p>
        </w:tc>
        <w:tc>
          <w:tcPr>
            <w:tcW w:w="946" w:type="dxa"/>
            <w:shd w:val="clear" w:color="auto" w:fill="auto"/>
            <w:noWrap/>
            <w:vAlign w:val="center"/>
          </w:tcPr>
          <w:p w14:paraId="6C2A5792">
            <w:pPr>
              <w:widowControl/>
              <w:jc w:val="center"/>
              <w:rPr>
                <w:rFonts w:ascii="宋体" w:hAnsi="宋体" w:cs="宋体"/>
                <w:kern w:val="0"/>
                <w:sz w:val="18"/>
                <w:szCs w:val="18"/>
              </w:rPr>
            </w:pPr>
            <w:r>
              <w:rPr>
                <w:rFonts w:hint="eastAsia" w:ascii="宋体" w:hAnsi="宋体" w:cs="宋体"/>
                <w:kern w:val="0"/>
                <w:sz w:val="18"/>
                <w:szCs w:val="18"/>
              </w:rPr>
              <w:t>0.52</w:t>
            </w:r>
          </w:p>
        </w:tc>
        <w:tc>
          <w:tcPr>
            <w:tcW w:w="854" w:type="dxa"/>
            <w:shd w:val="clear" w:color="auto" w:fill="auto"/>
            <w:noWrap/>
            <w:vAlign w:val="center"/>
          </w:tcPr>
          <w:p w14:paraId="69E58603">
            <w:pPr>
              <w:widowControl/>
              <w:jc w:val="center"/>
              <w:rPr>
                <w:rFonts w:ascii="宋体" w:hAnsi="宋体" w:cs="宋体"/>
                <w:kern w:val="0"/>
                <w:sz w:val="18"/>
                <w:szCs w:val="18"/>
              </w:rPr>
            </w:pPr>
            <w:r>
              <w:rPr>
                <w:rFonts w:hint="eastAsia" w:ascii="宋体" w:hAnsi="宋体" w:cs="宋体"/>
                <w:kern w:val="0"/>
                <w:sz w:val="18"/>
                <w:szCs w:val="18"/>
              </w:rPr>
              <w:t>0.52</w:t>
            </w:r>
          </w:p>
        </w:tc>
        <w:tc>
          <w:tcPr>
            <w:tcW w:w="1489" w:type="dxa"/>
            <w:shd w:val="clear" w:color="auto" w:fill="auto"/>
            <w:noWrap/>
            <w:vAlign w:val="center"/>
          </w:tcPr>
          <w:p w14:paraId="7F3D9AAF">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63597001">
            <w:pPr>
              <w:widowControl/>
              <w:jc w:val="center"/>
              <w:rPr>
                <w:rFonts w:ascii="宋体" w:hAnsi="宋体" w:cs="宋体"/>
                <w:kern w:val="0"/>
                <w:sz w:val="18"/>
                <w:szCs w:val="18"/>
              </w:rPr>
            </w:pPr>
          </w:p>
        </w:tc>
      </w:tr>
      <w:tr w14:paraId="7E4C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EAFFB30">
            <w:pPr>
              <w:widowControl/>
              <w:jc w:val="center"/>
              <w:rPr>
                <w:rFonts w:ascii="宋体" w:hAnsi="宋体" w:cs="宋体"/>
                <w:kern w:val="0"/>
                <w:sz w:val="18"/>
                <w:szCs w:val="18"/>
              </w:rPr>
            </w:pPr>
          </w:p>
        </w:tc>
        <w:tc>
          <w:tcPr>
            <w:tcW w:w="3659" w:type="dxa"/>
            <w:shd w:val="clear" w:color="auto" w:fill="auto"/>
            <w:vAlign w:val="center"/>
          </w:tcPr>
          <w:p w14:paraId="69161573">
            <w:pPr>
              <w:widowControl/>
              <w:jc w:val="center"/>
              <w:rPr>
                <w:rFonts w:ascii="宋体" w:hAnsi="宋体" w:cs="宋体"/>
                <w:kern w:val="0"/>
                <w:sz w:val="18"/>
                <w:szCs w:val="18"/>
              </w:rPr>
            </w:pPr>
            <w:r>
              <w:rPr>
                <w:rFonts w:hint="eastAsia" w:ascii="宋体" w:hAnsi="宋体" w:cs="宋体"/>
                <w:kern w:val="0"/>
                <w:sz w:val="18"/>
                <w:szCs w:val="18"/>
              </w:rPr>
              <w:t>汤丹镇杉木村丫口组宜居农房建设搬迁集中安置点</w:t>
            </w:r>
          </w:p>
        </w:tc>
        <w:tc>
          <w:tcPr>
            <w:tcW w:w="796" w:type="dxa"/>
            <w:shd w:val="clear" w:color="auto" w:fill="auto"/>
            <w:noWrap/>
            <w:vAlign w:val="center"/>
          </w:tcPr>
          <w:p w14:paraId="23739572">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0D882B13">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24FE8E39">
            <w:pPr>
              <w:widowControl/>
              <w:jc w:val="center"/>
              <w:rPr>
                <w:rFonts w:ascii="宋体" w:hAnsi="宋体" w:cs="宋体"/>
                <w:kern w:val="0"/>
                <w:sz w:val="18"/>
                <w:szCs w:val="18"/>
              </w:rPr>
            </w:pPr>
            <w:r>
              <w:rPr>
                <w:rFonts w:hint="eastAsia" w:ascii="宋体" w:hAnsi="宋体" w:cs="宋体"/>
                <w:kern w:val="0"/>
                <w:sz w:val="18"/>
                <w:szCs w:val="18"/>
              </w:rPr>
              <w:t>1.03</w:t>
            </w:r>
          </w:p>
        </w:tc>
        <w:tc>
          <w:tcPr>
            <w:tcW w:w="946" w:type="dxa"/>
            <w:shd w:val="clear" w:color="auto" w:fill="auto"/>
            <w:noWrap/>
            <w:vAlign w:val="center"/>
          </w:tcPr>
          <w:p w14:paraId="081537A2">
            <w:pPr>
              <w:widowControl/>
              <w:jc w:val="center"/>
              <w:rPr>
                <w:rFonts w:ascii="宋体" w:hAnsi="宋体" w:cs="宋体"/>
                <w:kern w:val="0"/>
                <w:sz w:val="18"/>
                <w:szCs w:val="18"/>
              </w:rPr>
            </w:pPr>
            <w:r>
              <w:rPr>
                <w:rFonts w:hint="eastAsia" w:ascii="宋体" w:hAnsi="宋体" w:cs="宋体"/>
                <w:kern w:val="0"/>
                <w:sz w:val="18"/>
                <w:szCs w:val="18"/>
              </w:rPr>
              <w:t>1.03</w:t>
            </w:r>
          </w:p>
        </w:tc>
        <w:tc>
          <w:tcPr>
            <w:tcW w:w="854" w:type="dxa"/>
            <w:shd w:val="clear" w:color="auto" w:fill="auto"/>
            <w:noWrap/>
            <w:vAlign w:val="center"/>
          </w:tcPr>
          <w:p w14:paraId="21067E68">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vAlign w:val="center"/>
          </w:tcPr>
          <w:p w14:paraId="0C915339">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62059744">
            <w:pPr>
              <w:widowControl/>
              <w:jc w:val="center"/>
              <w:rPr>
                <w:rFonts w:ascii="宋体" w:hAnsi="宋体" w:cs="宋体"/>
                <w:kern w:val="0"/>
                <w:sz w:val="18"/>
                <w:szCs w:val="18"/>
              </w:rPr>
            </w:pPr>
          </w:p>
        </w:tc>
      </w:tr>
      <w:tr w14:paraId="4510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B5DE3CA">
            <w:pPr>
              <w:widowControl/>
              <w:jc w:val="center"/>
              <w:rPr>
                <w:rFonts w:ascii="宋体" w:hAnsi="宋体" w:cs="宋体"/>
                <w:kern w:val="0"/>
                <w:sz w:val="18"/>
                <w:szCs w:val="18"/>
              </w:rPr>
            </w:pPr>
          </w:p>
        </w:tc>
        <w:tc>
          <w:tcPr>
            <w:tcW w:w="3659" w:type="dxa"/>
            <w:shd w:val="clear" w:color="auto" w:fill="auto"/>
            <w:vAlign w:val="center"/>
          </w:tcPr>
          <w:p w14:paraId="243E8542">
            <w:pPr>
              <w:widowControl/>
              <w:jc w:val="center"/>
              <w:rPr>
                <w:rFonts w:ascii="宋体" w:hAnsi="宋体" w:cs="宋体"/>
                <w:kern w:val="0"/>
                <w:sz w:val="18"/>
                <w:szCs w:val="18"/>
              </w:rPr>
            </w:pPr>
            <w:r>
              <w:rPr>
                <w:rFonts w:hint="eastAsia" w:ascii="宋体" w:hAnsi="宋体" w:cs="宋体"/>
                <w:kern w:val="0"/>
                <w:sz w:val="18"/>
                <w:szCs w:val="18"/>
              </w:rPr>
              <w:t>汤丹镇新寨村易地扶贫集中安置点项目</w:t>
            </w:r>
          </w:p>
        </w:tc>
        <w:tc>
          <w:tcPr>
            <w:tcW w:w="796" w:type="dxa"/>
            <w:shd w:val="clear" w:color="auto" w:fill="auto"/>
            <w:noWrap/>
            <w:vAlign w:val="center"/>
          </w:tcPr>
          <w:p w14:paraId="170FC9DB">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68133F05">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491BCB90">
            <w:pPr>
              <w:widowControl/>
              <w:jc w:val="center"/>
              <w:rPr>
                <w:rFonts w:ascii="宋体" w:hAnsi="宋体" w:cs="宋体"/>
                <w:kern w:val="0"/>
                <w:sz w:val="18"/>
                <w:szCs w:val="18"/>
              </w:rPr>
            </w:pPr>
            <w:r>
              <w:rPr>
                <w:rFonts w:hint="eastAsia" w:ascii="宋体" w:hAnsi="宋体" w:cs="宋体"/>
                <w:kern w:val="0"/>
                <w:sz w:val="18"/>
                <w:szCs w:val="18"/>
              </w:rPr>
              <w:t>1.15</w:t>
            </w:r>
          </w:p>
        </w:tc>
        <w:tc>
          <w:tcPr>
            <w:tcW w:w="946" w:type="dxa"/>
            <w:shd w:val="clear" w:color="auto" w:fill="auto"/>
            <w:noWrap/>
            <w:vAlign w:val="center"/>
          </w:tcPr>
          <w:p w14:paraId="7A02DA02">
            <w:pPr>
              <w:widowControl/>
              <w:jc w:val="center"/>
              <w:rPr>
                <w:rFonts w:ascii="宋体" w:hAnsi="宋体" w:cs="宋体"/>
                <w:kern w:val="0"/>
                <w:sz w:val="18"/>
                <w:szCs w:val="18"/>
              </w:rPr>
            </w:pPr>
            <w:r>
              <w:rPr>
                <w:rFonts w:hint="eastAsia" w:ascii="宋体" w:hAnsi="宋体" w:cs="宋体"/>
                <w:kern w:val="0"/>
                <w:sz w:val="18"/>
                <w:szCs w:val="18"/>
              </w:rPr>
              <w:t>1.04</w:t>
            </w:r>
          </w:p>
        </w:tc>
        <w:tc>
          <w:tcPr>
            <w:tcW w:w="854" w:type="dxa"/>
            <w:shd w:val="clear" w:color="auto" w:fill="auto"/>
            <w:noWrap/>
            <w:vAlign w:val="center"/>
          </w:tcPr>
          <w:p w14:paraId="15EC2A5C">
            <w:pPr>
              <w:widowControl/>
              <w:jc w:val="center"/>
              <w:rPr>
                <w:rFonts w:ascii="宋体" w:hAnsi="宋体" w:cs="宋体"/>
                <w:kern w:val="0"/>
                <w:sz w:val="18"/>
                <w:szCs w:val="18"/>
              </w:rPr>
            </w:pPr>
            <w:r>
              <w:rPr>
                <w:rFonts w:hint="eastAsia" w:ascii="宋体" w:hAnsi="宋体" w:cs="宋体"/>
                <w:kern w:val="0"/>
                <w:sz w:val="18"/>
                <w:szCs w:val="18"/>
              </w:rPr>
              <w:t>1.04</w:t>
            </w:r>
          </w:p>
        </w:tc>
        <w:tc>
          <w:tcPr>
            <w:tcW w:w="1489" w:type="dxa"/>
            <w:shd w:val="clear" w:color="auto" w:fill="auto"/>
            <w:vAlign w:val="center"/>
          </w:tcPr>
          <w:p w14:paraId="3534BA00">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1CE1D3D7">
            <w:pPr>
              <w:widowControl/>
              <w:jc w:val="center"/>
              <w:rPr>
                <w:rFonts w:ascii="宋体" w:hAnsi="宋体" w:cs="宋体"/>
                <w:kern w:val="0"/>
                <w:sz w:val="18"/>
                <w:szCs w:val="18"/>
              </w:rPr>
            </w:pPr>
          </w:p>
        </w:tc>
      </w:tr>
      <w:tr w14:paraId="27C2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39867DC">
            <w:pPr>
              <w:widowControl/>
              <w:jc w:val="center"/>
              <w:rPr>
                <w:rFonts w:ascii="宋体" w:hAnsi="宋体" w:cs="宋体"/>
                <w:kern w:val="0"/>
                <w:sz w:val="18"/>
                <w:szCs w:val="18"/>
              </w:rPr>
            </w:pPr>
          </w:p>
        </w:tc>
        <w:tc>
          <w:tcPr>
            <w:tcW w:w="3659" w:type="dxa"/>
            <w:shd w:val="clear" w:color="auto" w:fill="auto"/>
            <w:vAlign w:val="center"/>
          </w:tcPr>
          <w:p w14:paraId="28CDCAAC">
            <w:pPr>
              <w:widowControl/>
              <w:jc w:val="center"/>
              <w:rPr>
                <w:rFonts w:ascii="宋体" w:hAnsi="宋体" w:cs="宋体"/>
                <w:kern w:val="0"/>
                <w:sz w:val="18"/>
                <w:szCs w:val="18"/>
              </w:rPr>
            </w:pPr>
            <w:r>
              <w:rPr>
                <w:rFonts w:hint="eastAsia" w:ascii="宋体" w:hAnsi="宋体" w:cs="宋体"/>
                <w:kern w:val="0"/>
                <w:sz w:val="18"/>
                <w:szCs w:val="18"/>
              </w:rPr>
              <w:t>汤丹镇中河村三股水组宜居农房建设搬迁集中安置点项目</w:t>
            </w:r>
          </w:p>
        </w:tc>
        <w:tc>
          <w:tcPr>
            <w:tcW w:w="796" w:type="dxa"/>
            <w:shd w:val="clear" w:color="auto" w:fill="auto"/>
            <w:noWrap/>
            <w:vAlign w:val="center"/>
          </w:tcPr>
          <w:p w14:paraId="6EAEB2A2">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70588454">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2D75DEA1">
            <w:pPr>
              <w:widowControl/>
              <w:jc w:val="center"/>
              <w:rPr>
                <w:rFonts w:ascii="宋体" w:hAnsi="宋体" w:cs="宋体"/>
                <w:kern w:val="0"/>
                <w:sz w:val="18"/>
                <w:szCs w:val="18"/>
              </w:rPr>
            </w:pPr>
            <w:r>
              <w:rPr>
                <w:rFonts w:hint="eastAsia" w:ascii="宋体" w:hAnsi="宋体" w:cs="宋体"/>
                <w:kern w:val="0"/>
                <w:sz w:val="18"/>
                <w:szCs w:val="18"/>
              </w:rPr>
              <w:t>1.27</w:t>
            </w:r>
          </w:p>
        </w:tc>
        <w:tc>
          <w:tcPr>
            <w:tcW w:w="946" w:type="dxa"/>
            <w:shd w:val="clear" w:color="auto" w:fill="auto"/>
            <w:noWrap/>
            <w:vAlign w:val="center"/>
          </w:tcPr>
          <w:p w14:paraId="75685DE1">
            <w:pPr>
              <w:widowControl/>
              <w:jc w:val="center"/>
              <w:rPr>
                <w:rFonts w:ascii="宋体" w:hAnsi="宋体" w:cs="宋体"/>
                <w:kern w:val="0"/>
                <w:sz w:val="18"/>
                <w:szCs w:val="18"/>
              </w:rPr>
            </w:pPr>
            <w:r>
              <w:rPr>
                <w:rFonts w:hint="eastAsia" w:ascii="宋体" w:hAnsi="宋体" w:cs="宋体"/>
                <w:kern w:val="0"/>
                <w:sz w:val="18"/>
                <w:szCs w:val="18"/>
              </w:rPr>
              <w:t>1.27</w:t>
            </w:r>
          </w:p>
        </w:tc>
        <w:tc>
          <w:tcPr>
            <w:tcW w:w="854" w:type="dxa"/>
            <w:shd w:val="clear" w:color="auto" w:fill="auto"/>
            <w:noWrap/>
            <w:vAlign w:val="center"/>
          </w:tcPr>
          <w:p w14:paraId="447B6416">
            <w:pPr>
              <w:widowControl/>
              <w:jc w:val="center"/>
              <w:rPr>
                <w:rFonts w:ascii="宋体" w:hAnsi="宋体" w:cs="宋体"/>
                <w:kern w:val="0"/>
                <w:sz w:val="18"/>
                <w:szCs w:val="18"/>
              </w:rPr>
            </w:pPr>
            <w:r>
              <w:rPr>
                <w:rFonts w:hint="eastAsia" w:ascii="宋体" w:hAnsi="宋体" w:cs="宋体"/>
                <w:kern w:val="0"/>
                <w:sz w:val="18"/>
                <w:szCs w:val="18"/>
              </w:rPr>
              <w:t>1.27</w:t>
            </w:r>
          </w:p>
        </w:tc>
        <w:tc>
          <w:tcPr>
            <w:tcW w:w="1489" w:type="dxa"/>
            <w:shd w:val="clear" w:color="auto" w:fill="auto"/>
            <w:vAlign w:val="center"/>
          </w:tcPr>
          <w:p w14:paraId="10472723">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21A0BC6A">
            <w:pPr>
              <w:widowControl/>
              <w:jc w:val="center"/>
              <w:rPr>
                <w:rFonts w:ascii="宋体" w:hAnsi="宋体" w:cs="宋体"/>
                <w:kern w:val="0"/>
                <w:sz w:val="18"/>
                <w:szCs w:val="18"/>
              </w:rPr>
            </w:pPr>
          </w:p>
        </w:tc>
      </w:tr>
      <w:tr w14:paraId="2608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D2E6D13">
            <w:pPr>
              <w:widowControl/>
              <w:jc w:val="center"/>
              <w:rPr>
                <w:rFonts w:ascii="宋体" w:hAnsi="宋体" w:cs="宋体"/>
                <w:kern w:val="0"/>
                <w:sz w:val="18"/>
                <w:szCs w:val="18"/>
              </w:rPr>
            </w:pPr>
          </w:p>
        </w:tc>
        <w:tc>
          <w:tcPr>
            <w:tcW w:w="3659" w:type="dxa"/>
            <w:shd w:val="clear" w:color="auto" w:fill="auto"/>
            <w:vAlign w:val="center"/>
          </w:tcPr>
          <w:p w14:paraId="222B0C9A">
            <w:pPr>
              <w:widowControl/>
              <w:jc w:val="center"/>
              <w:rPr>
                <w:rFonts w:ascii="宋体" w:hAnsi="宋体" w:cs="宋体"/>
                <w:kern w:val="0"/>
                <w:sz w:val="18"/>
                <w:szCs w:val="18"/>
              </w:rPr>
            </w:pPr>
            <w:r>
              <w:rPr>
                <w:rFonts w:hint="eastAsia" w:ascii="宋体" w:hAnsi="宋体" w:cs="宋体"/>
                <w:kern w:val="0"/>
                <w:sz w:val="18"/>
                <w:szCs w:val="18"/>
              </w:rPr>
              <w:t>汤丹镇中河村纸厂组宜居农房建设搬迁集中安置点项目</w:t>
            </w:r>
          </w:p>
        </w:tc>
        <w:tc>
          <w:tcPr>
            <w:tcW w:w="796" w:type="dxa"/>
            <w:shd w:val="clear" w:color="auto" w:fill="auto"/>
            <w:noWrap/>
            <w:vAlign w:val="center"/>
          </w:tcPr>
          <w:p w14:paraId="15940CDB">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4EB8526B">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5073A89D">
            <w:pPr>
              <w:widowControl/>
              <w:jc w:val="center"/>
              <w:rPr>
                <w:rFonts w:ascii="宋体" w:hAnsi="宋体" w:cs="宋体"/>
                <w:kern w:val="0"/>
                <w:sz w:val="18"/>
                <w:szCs w:val="18"/>
              </w:rPr>
            </w:pPr>
            <w:r>
              <w:rPr>
                <w:rFonts w:hint="eastAsia" w:ascii="宋体" w:hAnsi="宋体" w:cs="宋体"/>
                <w:kern w:val="0"/>
                <w:sz w:val="18"/>
                <w:szCs w:val="18"/>
              </w:rPr>
              <w:t>2.70</w:t>
            </w:r>
          </w:p>
        </w:tc>
        <w:tc>
          <w:tcPr>
            <w:tcW w:w="946" w:type="dxa"/>
            <w:shd w:val="clear" w:color="auto" w:fill="auto"/>
            <w:noWrap/>
            <w:vAlign w:val="center"/>
          </w:tcPr>
          <w:p w14:paraId="74CBC74C">
            <w:pPr>
              <w:widowControl/>
              <w:jc w:val="center"/>
              <w:rPr>
                <w:rFonts w:ascii="宋体" w:hAnsi="宋体" w:cs="宋体"/>
                <w:kern w:val="0"/>
                <w:sz w:val="18"/>
                <w:szCs w:val="18"/>
              </w:rPr>
            </w:pPr>
            <w:r>
              <w:rPr>
                <w:rFonts w:hint="eastAsia" w:ascii="宋体" w:hAnsi="宋体" w:cs="宋体"/>
                <w:kern w:val="0"/>
                <w:sz w:val="18"/>
                <w:szCs w:val="18"/>
              </w:rPr>
              <w:t>2.7</w:t>
            </w:r>
          </w:p>
        </w:tc>
        <w:tc>
          <w:tcPr>
            <w:tcW w:w="854" w:type="dxa"/>
            <w:shd w:val="clear" w:color="auto" w:fill="auto"/>
            <w:noWrap/>
            <w:vAlign w:val="center"/>
          </w:tcPr>
          <w:p w14:paraId="5AFEEB50">
            <w:pPr>
              <w:widowControl/>
              <w:jc w:val="center"/>
              <w:rPr>
                <w:rFonts w:ascii="宋体" w:hAnsi="宋体" w:cs="宋体"/>
                <w:kern w:val="0"/>
                <w:sz w:val="18"/>
                <w:szCs w:val="18"/>
              </w:rPr>
            </w:pPr>
            <w:r>
              <w:rPr>
                <w:rFonts w:hint="eastAsia" w:ascii="宋体" w:hAnsi="宋体" w:cs="宋体"/>
                <w:kern w:val="0"/>
                <w:sz w:val="18"/>
                <w:szCs w:val="18"/>
              </w:rPr>
              <w:t>1.64</w:t>
            </w:r>
          </w:p>
        </w:tc>
        <w:tc>
          <w:tcPr>
            <w:tcW w:w="1489" w:type="dxa"/>
            <w:shd w:val="clear" w:color="auto" w:fill="auto"/>
            <w:vAlign w:val="center"/>
          </w:tcPr>
          <w:p w14:paraId="0266AA4C">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0CE72868">
            <w:pPr>
              <w:widowControl/>
              <w:jc w:val="center"/>
              <w:rPr>
                <w:rFonts w:ascii="宋体" w:hAnsi="宋体" w:cs="宋体"/>
                <w:kern w:val="0"/>
                <w:sz w:val="18"/>
                <w:szCs w:val="18"/>
              </w:rPr>
            </w:pPr>
          </w:p>
        </w:tc>
      </w:tr>
      <w:tr w14:paraId="10FE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07E2387">
            <w:pPr>
              <w:widowControl/>
              <w:jc w:val="center"/>
              <w:rPr>
                <w:rFonts w:ascii="宋体" w:hAnsi="宋体" w:cs="宋体"/>
                <w:kern w:val="0"/>
                <w:sz w:val="18"/>
                <w:szCs w:val="18"/>
              </w:rPr>
            </w:pPr>
          </w:p>
        </w:tc>
        <w:tc>
          <w:tcPr>
            <w:tcW w:w="3659" w:type="dxa"/>
            <w:shd w:val="clear" w:color="auto" w:fill="auto"/>
            <w:vAlign w:val="center"/>
          </w:tcPr>
          <w:p w14:paraId="3D9128C2">
            <w:pPr>
              <w:widowControl/>
              <w:jc w:val="center"/>
              <w:rPr>
                <w:rFonts w:ascii="宋体" w:hAnsi="宋体" w:cs="宋体"/>
                <w:kern w:val="0"/>
                <w:sz w:val="18"/>
                <w:szCs w:val="18"/>
              </w:rPr>
            </w:pPr>
            <w:r>
              <w:rPr>
                <w:rFonts w:hint="eastAsia" w:ascii="宋体" w:hAnsi="宋体" w:cs="宋体"/>
                <w:kern w:val="0"/>
                <w:sz w:val="18"/>
                <w:szCs w:val="18"/>
              </w:rPr>
              <w:t>汤丹镇中山村大坪子小组宜居农房建设搬迁集中安置点项目</w:t>
            </w:r>
          </w:p>
        </w:tc>
        <w:tc>
          <w:tcPr>
            <w:tcW w:w="796" w:type="dxa"/>
            <w:shd w:val="clear" w:color="auto" w:fill="auto"/>
            <w:noWrap/>
            <w:vAlign w:val="center"/>
          </w:tcPr>
          <w:p w14:paraId="390A4CF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31155E5E">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1BADED0B">
            <w:pPr>
              <w:widowControl/>
              <w:jc w:val="center"/>
              <w:rPr>
                <w:rFonts w:ascii="宋体" w:hAnsi="宋体" w:cs="宋体"/>
                <w:kern w:val="0"/>
                <w:sz w:val="18"/>
                <w:szCs w:val="18"/>
              </w:rPr>
            </w:pPr>
            <w:r>
              <w:rPr>
                <w:rFonts w:hint="eastAsia" w:ascii="宋体" w:hAnsi="宋体" w:cs="宋体"/>
                <w:kern w:val="0"/>
                <w:sz w:val="18"/>
                <w:szCs w:val="18"/>
              </w:rPr>
              <w:t>2.19</w:t>
            </w:r>
          </w:p>
        </w:tc>
        <w:tc>
          <w:tcPr>
            <w:tcW w:w="946" w:type="dxa"/>
            <w:shd w:val="clear" w:color="auto" w:fill="auto"/>
            <w:noWrap/>
            <w:vAlign w:val="center"/>
          </w:tcPr>
          <w:p w14:paraId="2BFB1D98">
            <w:pPr>
              <w:widowControl/>
              <w:jc w:val="center"/>
              <w:rPr>
                <w:rFonts w:ascii="宋体" w:hAnsi="宋体" w:cs="宋体"/>
                <w:kern w:val="0"/>
                <w:sz w:val="18"/>
                <w:szCs w:val="18"/>
              </w:rPr>
            </w:pPr>
            <w:r>
              <w:rPr>
                <w:rFonts w:hint="eastAsia" w:ascii="宋体" w:hAnsi="宋体" w:cs="宋体"/>
                <w:kern w:val="0"/>
                <w:sz w:val="18"/>
                <w:szCs w:val="18"/>
              </w:rPr>
              <w:t>2.19</w:t>
            </w:r>
          </w:p>
        </w:tc>
        <w:tc>
          <w:tcPr>
            <w:tcW w:w="854" w:type="dxa"/>
            <w:shd w:val="clear" w:color="auto" w:fill="auto"/>
            <w:noWrap/>
            <w:vAlign w:val="center"/>
          </w:tcPr>
          <w:p w14:paraId="39DC9FD8">
            <w:pPr>
              <w:widowControl/>
              <w:jc w:val="center"/>
              <w:rPr>
                <w:rFonts w:ascii="宋体" w:hAnsi="宋体" w:cs="宋体"/>
                <w:kern w:val="0"/>
                <w:sz w:val="18"/>
                <w:szCs w:val="18"/>
              </w:rPr>
            </w:pPr>
            <w:r>
              <w:rPr>
                <w:rFonts w:hint="eastAsia" w:ascii="宋体" w:hAnsi="宋体" w:cs="宋体"/>
                <w:kern w:val="0"/>
                <w:sz w:val="18"/>
                <w:szCs w:val="18"/>
              </w:rPr>
              <w:t>2.08</w:t>
            </w:r>
          </w:p>
        </w:tc>
        <w:tc>
          <w:tcPr>
            <w:tcW w:w="1489" w:type="dxa"/>
            <w:shd w:val="clear" w:color="auto" w:fill="auto"/>
            <w:noWrap/>
            <w:vAlign w:val="center"/>
          </w:tcPr>
          <w:p w14:paraId="34ED9E93">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730B1ED2">
            <w:pPr>
              <w:widowControl/>
              <w:jc w:val="center"/>
              <w:rPr>
                <w:rFonts w:ascii="宋体" w:hAnsi="宋体" w:cs="宋体"/>
                <w:kern w:val="0"/>
                <w:sz w:val="18"/>
                <w:szCs w:val="18"/>
              </w:rPr>
            </w:pPr>
          </w:p>
        </w:tc>
      </w:tr>
      <w:tr w14:paraId="5A58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BFD5081">
            <w:pPr>
              <w:widowControl/>
              <w:jc w:val="center"/>
              <w:rPr>
                <w:rFonts w:ascii="宋体" w:hAnsi="宋体" w:cs="宋体"/>
                <w:kern w:val="0"/>
                <w:sz w:val="18"/>
                <w:szCs w:val="18"/>
              </w:rPr>
            </w:pPr>
          </w:p>
        </w:tc>
        <w:tc>
          <w:tcPr>
            <w:tcW w:w="3659" w:type="dxa"/>
            <w:shd w:val="clear" w:color="auto" w:fill="auto"/>
            <w:vAlign w:val="center"/>
          </w:tcPr>
          <w:p w14:paraId="634AC680">
            <w:pPr>
              <w:widowControl/>
              <w:jc w:val="center"/>
              <w:rPr>
                <w:rFonts w:ascii="宋体" w:hAnsi="宋体" w:cs="宋体"/>
                <w:kern w:val="0"/>
                <w:sz w:val="18"/>
                <w:szCs w:val="18"/>
              </w:rPr>
            </w:pPr>
            <w:r>
              <w:rPr>
                <w:rFonts w:hint="eastAsia" w:ascii="宋体" w:hAnsi="宋体" w:cs="宋体"/>
                <w:kern w:val="0"/>
                <w:sz w:val="18"/>
                <w:szCs w:val="18"/>
              </w:rPr>
              <w:t>汤丹镇中山村王家村组宜居农房建设搬迁集中安置点</w:t>
            </w:r>
          </w:p>
        </w:tc>
        <w:tc>
          <w:tcPr>
            <w:tcW w:w="796" w:type="dxa"/>
            <w:shd w:val="clear" w:color="auto" w:fill="auto"/>
            <w:noWrap/>
            <w:vAlign w:val="center"/>
          </w:tcPr>
          <w:p w14:paraId="7C06753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32FA0AB3">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2B491DF4">
            <w:pPr>
              <w:widowControl/>
              <w:jc w:val="center"/>
              <w:rPr>
                <w:rFonts w:ascii="宋体" w:hAnsi="宋体" w:cs="宋体"/>
                <w:kern w:val="0"/>
                <w:sz w:val="18"/>
                <w:szCs w:val="18"/>
              </w:rPr>
            </w:pPr>
            <w:r>
              <w:rPr>
                <w:rFonts w:hint="eastAsia" w:ascii="宋体" w:hAnsi="宋体" w:cs="宋体"/>
                <w:kern w:val="0"/>
                <w:sz w:val="18"/>
                <w:szCs w:val="18"/>
              </w:rPr>
              <w:t>6.22</w:t>
            </w:r>
          </w:p>
        </w:tc>
        <w:tc>
          <w:tcPr>
            <w:tcW w:w="946" w:type="dxa"/>
            <w:shd w:val="clear" w:color="auto" w:fill="auto"/>
            <w:noWrap/>
            <w:vAlign w:val="center"/>
          </w:tcPr>
          <w:p w14:paraId="27703C1E">
            <w:pPr>
              <w:widowControl/>
              <w:jc w:val="center"/>
              <w:rPr>
                <w:rFonts w:ascii="宋体" w:hAnsi="宋体" w:cs="宋体"/>
                <w:kern w:val="0"/>
                <w:sz w:val="18"/>
                <w:szCs w:val="18"/>
              </w:rPr>
            </w:pPr>
            <w:r>
              <w:rPr>
                <w:rFonts w:hint="eastAsia" w:ascii="宋体" w:hAnsi="宋体" w:cs="宋体"/>
                <w:kern w:val="0"/>
                <w:sz w:val="18"/>
                <w:szCs w:val="18"/>
              </w:rPr>
              <w:t>6.01</w:t>
            </w:r>
          </w:p>
        </w:tc>
        <w:tc>
          <w:tcPr>
            <w:tcW w:w="854" w:type="dxa"/>
            <w:shd w:val="clear" w:color="auto" w:fill="auto"/>
            <w:noWrap/>
            <w:vAlign w:val="center"/>
          </w:tcPr>
          <w:p w14:paraId="2BEC229C">
            <w:pPr>
              <w:widowControl/>
              <w:jc w:val="center"/>
              <w:rPr>
                <w:rFonts w:ascii="宋体" w:hAnsi="宋体" w:cs="宋体"/>
                <w:kern w:val="0"/>
                <w:sz w:val="18"/>
                <w:szCs w:val="18"/>
              </w:rPr>
            </w:pPr>
            <w:r>
              <w:rPr>
                <w:rFonts w:hint="eastAsia" w:ascii="宋体" w:hAnsi="宋体" w:cs="宋体"/>
                <w:kern w:val="0"/>
                <w:sz w:val="18"/>
                <w:szCs w:val="18"/>
              </w:rPr>
              <w:t>0.19</w:t>
            </w:r>
          </w:p>
        </w:tc>
        <w:tc>
          <w:tcPr>
            <w:tcW w:w="1489" w:type="dxa"/>
            <w:shd w:val="clear" w:color="auto" w:fill="auto"/>
            <w:noWrap/>
            <w:vAlign w:val="center"/>
          </w:tcPr>
          <w:p w14:paraId="70B17BEF">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28123D53">
            <w:pPr>
              <w:widowControl/>
              <w:jc w:val="center"/>
              <w:rPr>
                <w:rFonts w:ascii="宋体" w:hAnsi="宋体" w:cs="宋体"/>
                <w:kern w:val="0"/>
                <w:sz w:val="18"/>
                <w:szCs w:val="18"/>
              </w:rPr>
            </w:pPr>
          </w:p>
        </w:tc>
      </w:tr>
      <w:tr w14:paraId="47C2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FA439DA">
            <w:pPr>
              <w:widowControl/>
              <w:jc w:val="center"/>
              <w:rPr>
                <w:rFonts w:ascii="宋体" w:hAnsi="宋体" w:cs="宋体"/>
                <w:kern w:val="0"/>
                <w:sz w:val="18"/>
                <w:szCs w:val="18"/>
              </w:rPr>
            </w:pPr>
          </w:p>
        </w:tc>
        <w:tc>
          <w:tcPr>
            <w:tcW w:w="3659" w:type="dxa"/>
            <w:shd w:val="clear" w:color="auto" w:fill="auto"/>
            <w:vAlign w:val="center"/>
          </w:tcPr>
          <w:p w14:paraId="5F5C3D0E">
            <w:pPr>
              <w:widowControl/>
              <w:jc w:val="center"/>
              <w:rPr>
                <w:rFonts w:ascii="宋体" w:hAnsi="宋体" w:cs="宋体"/>
                <w:kern w:val="0"/>
                <w:sz w:val="18"/>
                <w:szCs w:val="18"/>
              </w:rPr>
            </w:pPr>
            <w:r>
              <w:rPr>
                <w:rFonts w:hint="eastAsia" w:ascii="宋体" w:hAnsi="宋体" w:cs="宋体"/>
                <w:kern w:val="0"/>
                <w:sz w:val="18"/>
                <w:szCs w:val="18"/>
              </w:rPr>
              <w:t>汤丹镇中山村徐家村小组宜居农房建设搬迁集中安置点项目</w:t>
            </w:r>
          </w:p>
        </w:tc>
        <w:tc>
          <w:tcPr>
            <w:tcW w:w="796" w:type="dxa"/>
            <w:shd w:val="clear" w:color="auto" w:fill="auto"/>
            <w:noWrap/>
            <w:vAlign w:val="center"/>
          </w:tcPr>
          <w:p w14:paraId="1B931C6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5AEE4445">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64025EE6">
            <w:pPr>
              <w:widowControl/>
              <w:jc w:val="center"/>
              <w:rPr>
                <w:rFonts w:ascii="宋体" w:hAnsi="宋体" w:cs="宋体"/>
                <w:kern w:val="0"/>
                <w:sz w:val="18"/>
                <w:szCs w:val="18"/>
              </w:rPr>
            </w:pPr>
            <w:r>
              <w:rPr>
                <w:rFonts w:hint="eastAsia" w:ascii="宋体" w:hAnsi="宋体" w:cs="宋体"/>
                <w:kern w:val="0"/>
                <w:sz w:val="18"/>
                <w:szCs w:val="18"/>
              </w:rPr>
              <w:t>0.76</w:t>
            </w:r>
          </w:p>
        </w:tc>
        <w:tc>
          <w:tcPr>
            <w:tcW w:w="946" w:type="dxa"/>
            <w:shd w:val="clear" w:color="auto" w:fill="auto"/>
            <w:noWrap/>
            <w:vAlign w:val="center"/>
          </w:tcPr>
          <w:p w14:paraId="528FA566">
            <w:pPr>
              <w:widowControl/>
              <w:jc w:val="center"/>
              <w:rPr>
                <w:rFonts w:ascii="宋体" w:hAnsi="宋体" w:cs="宋体"/>
                <w:kern w:val="0"/>
                <w:sz w:val="18"/>
                <w:szCs w:val="18"/>
              </w:rPr>
            </w:pPr>
            <w:r>
              <w:rPr>
                <w:rFonts w:hint="eastAsia" w:ascii="宋体" w:hAnsi="宋体" w:cs="宋体"/>
                <w:kern w:val="0"/>
                <w:sz w:val="18"/>
                <w:szCs w:val="18"/>
              </w:rPr>
              <w:t>0.76</w:t>
            </w:r>
          </w:p>
        </w:tc>
        <w:tc>
          <w:tcPr>
            <w:tcW w:w="854" w:type="dxa"/>
            <w:shd w:val="clear" w:color="auto" w:fill="auto"/>
            <w:noWrap/>
            <w:vAlign w:val="center"/>
          </w:tcPr>
          <w:p w14:paraId="2FDD1882">
            <w:pPr>
              <w:widowControl/>
              <w:jc w:val="center"/>
              <w:rPr>
                <w:rFonts w:ascii="宋体" w:hAnsi="宋体" w:cs="宋体"/>
                <w:kern w:val="0"/>
                <w:sz w:val="18"/>
                <w:szCs w:val="18"/>
              </w:rPr>
            </w:pPr>
            <w:r>
              <w:rPr>
                <w:rFonts w:hint="eastAsia" w:ascii="宋体" w:hAnsi="宋体" w:cs="宋体"/>
                <w:kern w:val="0"/>
                <w:sz w:val="18"/>
                <w:szCs w:val="18"/>
              </w:rPr>
              <w:t>0.5</w:t>
            </w:r>
          </w:p>
        </w:tc>
        <w:tc>
          <w:tcPr>
            <w:tcW w:w="1489" w:type="dxa"/>
            <w:shd w:val="clear" w:color="auto" w:fill="auto"/>
            <w:noWrap/>
            <w:vAlign w:val="center"/>
          </w:tcPr>
          <w:p w14:paraId="4082C78F">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7E53FBE9">
            <w:pPr>
              <w:widowControl/>
              <w:jc w:val="center"/>
              <w:rPr>
                <w:rFonts w:ascii="宋体" w:hAnsi="宋体" w:cs="宋体"/>
                <w:kern w:val="0"/>
                <w:sz w:val="18"/>
                <w:szCs w:val="18"/>
              </w:rPr>
            </w:pPr>
          </w:p>
        </w:tc>
      </w:tr>
      <w:tr w14:paraId="1D24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EE9F6A1">
            <w:pPr>
              <w:widowControl/>
              <w:jc w:val="center"/>
              <w:rPr>
                <w:rFonts w:ascii="宋体" w:hAnsi="宋体" w:cs="宋体"/>
                <w:kern w:val="0"/>
                <w:sz w:val="18"/>
                <w:szCs w:val="18"/>
              </w:rPr>
            </w:pPr>
          </w:p>
        </w:tc>
        <w:tc>
          <w:tcPr>
            <w:tcW w:w="3659" w:type="dxa"/>
            <w:shd w:val="clear" w:color="auto" w:fill="auto"/>
            <w:vAlign w:val="center"/>
          </w:tcPr>
          <w:p w14:paraId="4F7A9085">
            <w:pPr>
              <w:widowControl/>
              <w:jc w:val="center"/>
              <w:rPr>
                <w:rFonts w:ascii="宋体" w:hAnsi="宋体" w:cs="宋体"/>
                <w:kern w:val="0"/>
                <w:sz w:val="18"/>
                <w:szCs w:val="18"/>
              </w:rPr>
            </w:pPr>
            <w:r>
              <w:rPr>
                <w:rFonts w:hint="eastAsia" w:ascii="宋体" w:hAnsi="宋体" w:cs="宋体"/>
                <w:kern w:val="0"/>
                <w:sz w:val="18"/>
                <w:szCs w:val="18"/>
              </w:rPr>
              <w:t>汤丹镇中山村中山组宜居农房建设搬迁集中安置点项目</w:t>
            </w:r>
          </w:p>
        </w:tc>
        <w:tc>
          <w:tcPr>
            <w:tcW w:w="796" w:type="dxa"/>
            <w:shd w:val="clear" w:color="auto" w:fill="auto"/>
            <w:noWrap/>
            <w:vAlign w:val="center"/>
          </w:tcPr>
          <w:p w14:paraId="6EFFB726">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vAlign w:val="center"/>
          </w:tcPr>
          <w:p w14:paraId="5A7DFB4B">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5388F62E">
            <w:pPr>
              <w:widowControl/>
              <w:jc w:val="center"/>
              <w:rPr>
                <w:rFonts w:ascii="宋体" w:hAnsi="宋体" w:cs="宋体"/>
                <w:kern w:val="0"/>
                <w:sz w:val="18"/>
                <w:szCs w:val="18"/>
              </w:rPr>
            </w:pPr>
            <w:r>
              <w:rPr>
                <w:rFonts w:hint="eastAsia" w:ascii="宋体" w:hAnsi="宋体" w:cs="宋体"/>
                <w:kern w:val="0"/>
                <w:sz w:val="18"/>
                <w:szCs w:val="18"/>
              </w:rPr>
              <w:t>0.76</w:t>
            </w:r>
          </w:p>
        </w:tc>
        <w:tc>
          <w:tcPr>
            <w:tcW w:w="946" w:type="dxa"/>
            <w:shd w:val="clear" w:color="auto" w:fill="auto"/>
            <w:noWrap/>
            <w:vAlign w:val="center"/>
          </w:tcPr>
          <w:p w14:paraId="1563FDA7">
            <w:pPr>
              <w:widowControl/>
              <w:jc w:val="center"/>
              <w:rPr>
                <w:rFonts w:ascii="宋体" w:hAnsi="宋体" w:cs="宋体"/>
                <w:kern w:val="0"/>
                <w:sz w:val="18"/>
                <w:szCs w:val="18"/>
              </w:rPr>
            </w:pPr>
            <w:r>
              <w:rPr>
                <w:rFonts w:hint="eastAsia" w:ascii="宋体" w:hAnsi="宋体" w:cs="宋体"/>
                <w:kern w:val="0"/>
                <w:sz w:val="18"/>
                <w:szCs w:val="18"/>
              </w:rPr>
              <w:t>0.76</w:t>
            </w:r>
          </w:p>
        </w:tc>
        <w:tc>
          <w:tcPr>
            <w:tcW w:w="854" w:type="dxa"/>
            <w:shd w:val="clear" w:color="auto" w:fill="auto"/>
            <w:noWrap/>
            <w:vAlign w:val="center"/>
          </w:tcPr>
          <w:p w14:paraId="5E4A3C93">
            <w:pPr>
              <w:widowControl/>
              <w:jc w:val="center"/>
              <w:rPr>
                <w:rFonts w:ascii="宋体" w:hAnsi="宋体" w:cs="宋体"/>
                <w:kern w:val="0"/>
                <w:sz w:val="18"/>
                <w:szCs w:val="18"/>
              </w:rPr>
            </w:pPr>
            <w:r>
              <w:rPr>
                <w:rFonts w:hint="eastAsia" w:ascii="宋体" w:hAnsi="宋体" w:cs="宋体"/>
                <w:kern w:val="0"/>
                <w:sz w:val="18"/>
                <w:szCs w:val="18"/>
              </w:rPr>
              <w:t>0.57</w:t>
            </w:r>
          </w:p>
        </w:tc>
        <w:tc>
          <w:tcPr>
            <w:tcW w:w="1489" w:type="dxa"/>
            <w:shd w:val="clear" w:color="auto" w:fill="auto"/>
            <w:vAlign w:val="center"/>
          </w:tcPr>
          <w:p w14:paraId="048C7CC3">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350E8EB5">
            <w:pPr>
              <w:widowControl/>
              <w:jc w:val="center"/>
              <w:rPr>
                <w:rFonts w:ascii="宋体" w:hAnsi="宋体" w:cs="宋体"/>
                <w:kern w:val="0"/>
                <w:sz w:val="18"/>
                <w:szCs w:val="18"/>
              </w:rPr>
            </w:pPr>
          </w:p>
        </w:tc>
      </w:tr>
      <w:tr w14:paraId="7DBB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12F7D50">
            <w:pPr>
              <w:widowControl/>
              <w:jc w:val="center"/>
              <w:rPr>
                <w:rFonts w:ascii="宋体" w:hAnsi="宋体" w:cs="宋体"/>
                <w:kern w:val="0"/>
                <w:sz w:val="18"/>
                <w:szCs w:val="18"/>
              </w:rPr>
            </w:pPr>
          </w:p>
        </w:tc>
        <w:tc>
          <w:tcPr>
            <w:tcW w:w="3659" w:type="dxa"/>
            <w:shd w:val="clear" w:color="auto" w:fill="auto"/>
            <w:vAlign w:val="center"/>
          </w:tcPr>
          <w:p w14:paraId="5A7DF372">
            <w:pPr>
              <w:widowControl/>
              <w:jc w:val="center"/>
              <w:rPr>
                <w:rFonts w:ascii="宋体" w:hAnsi="宋体" w:cs="宋体"/>
                <w:kern w:val="0"/>
                <w:sz w:val="18"/>
                <w:szCs w:val="18"/>
              </w:rPr>
            </w:pPr>
            <w:r>
              <w:rPr>
                <w:rFonts w:hint="eastAsia" w:ascii="宋体" w:hAnsi="宋体" w:cs="宋体"/>
                <w:kern w:val="0"/>
                <w:sz w:val="18"/>
                <w:szCs w:val="18"/>
              </w:rPr>
              <w:t>汤丹镇田坝老村组宜居农房建设搬迁集中安置点项目</w:t>
            </w:r>
          </w:p>
        </w:tc>
        <w:tc>
          <w:tcPr>
            <w:tcW w:w="796" w:type="dxa"/>
            <w:shd w:val="clear" w:color="auto" w:fill="auto"/>
            <w:noWrap/>
            <w:vAlign w:val="center"/>
          </w:tcPr>
          <w:p w14:paraId="59073F1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13ABB06">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0BC6BD5B">
            <w:pPr>
              <w:widowControl/>
              <w:jc w:val="center"/>
              <w:rPr>
                <w:rFonts w:ascii="宋体" w:hAnsi="宋体" w:cs="宋体"/>
                <w:kern w:val="0"/>
                <w:sz w:val="18"/>
                <w:szCs w:val="18"/>
              </w:rPr>
            </w:pPr>
            <w:r>
              <w:rPr>
                <w:rFonts w:hint="eastAsia" w:ascii="宋体" w:hAnsi="宋体" w:cs="宋体"/>
                <w:kern w:val="0"/>
                <w:sz w:val="18"/>
                <w:szCs w:val="18"/>
              </w:rPr>
              <w:t>0.75</w:t>
            </w:r>
          </w:p>
        </w:tc>
        <w:tc>
          <w:tcPr>
            <w:tcW w:w="946" w:type="dxa"/>
            <w:shd w:val="clear" w:color="auto" w:fill="auto"/>
            <w:noWrap/>
            <w:vAlign w:val="center"/>
          </w:tcPr>
          <w:p w14:paraId="1B174C4A">
            <w:pPr>
              <w:widowControl/>
              <w:jc w:val="center"/>
              <w:rPr>
                <w:rFonts w:ascii="宋体" w:hAnsi="宋体" w:cs="宋体"/>
                <w:kern w:val="0"/>
                <w:sz w:val="18"/>
                <w:szCs w:val="18"/>
              </w:rPr>
            </w:pPr>
            <w:r>
              <w:rPr>
                <w:rFonts w:hint="eastAsia" w:ascii="宋体" w:hAnsi="宋体" w:cs="宋体"/>
                <w:kern w:val="0"/>
                <w:sz w:val="18"/>
                <w:szCs w:val="18"/>
              </w:rPr>
              <w:t>0.48</w:t>
            </w:r>
          </w:p>
        </w:tc>
        <w:tc>
          <w:tcPr>
            <w:tcW w:w="854" w:type="dxa"/>
            <w:shd w:val="clear" w:color="auto" w:fill="auto"/>
            <w:noWrap/>
            <w:vAlign w:val="center"/>
          </w:tcPr>
          <w:p w14:paraId="53646A2E">
            <w:pPr>
              <w:widowControl/>
              <w:jc w:val="center"/>
              <w:rPr>
                <w:rFonts w:ascii="宋体" w:hAnsi="宋体" w:cs="宋体"/>
                <w:kern w:val="0"/>
                <w:sz w:val="18"/>
                <w:szCs w:val="18"/>
              </w:rPr>
            </w:pPr>
            <w:r>
              <w:rPr>
                <w:rFonts w:hint="eastAsia" w:ascii="宋体" w:hAnsi="宋体" w:cs="宋体"/>
                <w:kern w:val="0"/>
                <w:sz w:val="18"/>
                <w:szCs w:val="18"/>
              </w:rPr>
              <w:t>0.48</w:t>
            </w:r>
          </w:p>
        </w:tc>
        <w:tc>
          <w:tcPr>
            <w:tcW w:w="1489" w:type="dxa"/>
            <w:shd w:val="clear" w:color="auto" w:fill="auto"/>
            <w:noWrap/>
            <w:vAlign w:val="center"/>
          </w:tcPr>
          <w:p w14:paraId="2136E529">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5ACB6425">
            <w:pPr>
              <w:widowControl/>
              <w:jc w:val="center"/>
              <w:rPr>
                <w:rFonts w:ascii="宋体" w:hAnsi="宋体" w:cs="宋体"/>
                <w:kern w:val="0"/>
                <w:sz w:val="18"/>
                <w:szCs w:val="18"/>
              </w:rPr>
            </w:pPr>
          </w:p>
        </w:tc>
      </w:tr>
      <w:tr w14:paraId="0A6F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1C20215">
            <w:pPr>
              <w:widowControl/>
              <w:jc w:val="center"/>
              <w:rPr>
                <w:rFonts w:ascii="宋体" w:hAnsi="宋体" w:cs="宋体"/>
                <w:kern w:val="0"/>
                <w:sz w:val="18"/>
                <w:szCs w:val="18"/>
              </w:rPr>
            </w:pPr>
          </w:p>
        </w:tc>
        <w:tc>
          <w:tcPr>
            <w:tcW w:w="3659" w:type="dxa"/>
            <w:shd w:val="clear" w:color="auto" w:fill="auto"/>
            <w:vAlign w:val="center"/>
          </w:tcPr>
          <w:p w14:paraId="1F074E7A">
            <w:pPr>
              <w:widowControl/>
              <w:jc w:val="center"/>
              <w:rPr>
                <w:rFonts w:ascii="宋体" w:hAnsi="宋体" w:cs="宋体"/>
                <w:kern w:val="0"/>
                <w:sz w:val="18"/>
                <w:szCs w:val="18"/>
              </w:rPr>
            </w:pPr>
            <w:r>
              <w:rPr>
                <w:rFonts w:hint="eastAsia" w:ascii="宋体" w:hAnsi="宋体" w:cs="宋体"/>
                <w:kern w:val="0"/>
                <w:sz w:val="18"/>
                <w:szCs w:val="18"/>
              </w:rPr>
              <w:t>汤丹镇田坝木刻、梭山组宜居农房建设搬迁集中安置点项目</w:t>
            </w:r>
          </w:p>
        </w:tc>
        <w:tc>
          <w:tcPr>
            <w:tcW w:w="796" w:type="dxa"/>
            <w:shd w:val="clear" w:color="auto" w:fill="auto"/>
            <w:noWrap/>
            <w:vAlign w:val="center"/>
          </w:tcPr>
          <w:p w14:paraId="6054BE3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E70D5E3">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38ECDF8B">
            <w:pPr>
              <w:widowControl/>
              <w:jc w:val="center"/>
              <w:rPr>
                <w:rFonts w:ascii="宋体" w:hAnsi="宋体" w:cs="宋体"/>
                <w:kern w:val="0"/>
                <w:sz w:val="18"/>
                <w:szCs w:val="18"/>
              </w:rPr>
            </w:pPr>
            <w:r>
              <w:rPr>
                <w:rFonts w:hint="eastAsia" w:ascii="宋体" w:hAnsi="宋体" w:cs="宋体"/>
                <w:kern w:val="0"/>
                <w:sz w:val="18"/>
                <w:szCs w:val="18"/>
              </w:rPr>
              <w:t>0.57</w:t>
            </w:r>
          </w:p>
        </w:tc>
        <w:tc>
          <w:tcPr>
            <w:tcW w:w="946" w:type="dxa"/>
            <w:shd w:val="clear" w:color="auto" w:fill="auto"/>
            <w:noWrap/>
            <w:vAlign w:val="center"/>
          </w:tcPr>
          <w:p w14:paraId="3E93264F">
            <w:pPr>
              <w:widowControl/>
              <w:jc w:val="center"/>
              <w:rPr>
                <w:rFonts w:ascii="宋体" w:hAnsi="宋体" w:cs="宋体"/>
                <w:kern w:val="0"/>
                <w:sz w:val="18"/>
                <w:szCs w:val="18"/>
              </w:rPr>
            </w:pPr>
            <w:r>
              <w:rPr>
                <w:rFonts w:hint="eastAsia" w:ascii="宋体" w:hAnsi="宋体" w:cs="宋体"/>
                <w:kern w:val="0"/>
                <w:sz w:val="18"/>
                <w:szCs w:val="18"/>
              </w:rPr>
              <w:t>0.55</w:t>
            </w:r>
          </w:p>
        </w:tc>
        <w:tc>
          <w:tcPr>
            <w:tcW w:w="854" w:type="dxa"/>
            <w:shd w:val="clear" w:color="auto" w:fill="auto"/>
            <w:noWrap/>
            <w:vAlign w:val="center"/>
          </w:tcPr>
          <w:p w14:paraId="196732A2">
            <w:pPr>
              <w:widowControl/>
              <w:jc w:val="center"/>
              <w:rPr>
                <w:rFonts w:ascii="宋体" w:hAnsi="宋体" w:cs="宋体"/>
                <w:kern w:val="0"/>
                <w:sz w:val="18"/>
                <w:szCs w:val="18"/>
              </w:rPr>
            </w:pPr>
            <w:r>
              <w:rPr>
                <w:rFonts w:hint="eastAsia" w:ascii="宋体" w:hAnsi="宋体" w:cs="宋体"/>
                <w:kern w:val="0"/>
                <w:sz w:val="18"/>
                <w:szCs w:val="18"/>
              </w:rPr>
              <w:t>0.55</w:t>
            </w:r>
          </w:p>
        </w:tc>
        <w:tc>
          <w:tcPr>
            <w:tcW w:w="1489" w:type="dxa"/>
            <w:shd w:val="clear" w:color="auto" w:fill="auto"/>
            <w:noWrap/>
            <w:vAlign w:val="center"/>
          </w:tcPr>
          <w:p w14:paraId="4607A537">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4CB96260">
            <w:pPr>
              <w:widowControl/>
              <w:jc w:val="center"/>
              <w:rPr>
                <w:rFonts w:ascii="宋体" w:hAnsi="宋体" w:cs="宋体"/>
                <w:kern w:val="0"/>
                <w:sz w:val="18"/>
                <w:szCs w:val="18"/>
              </w:rPr>
            </w:pPr>
          </w:p>
        </w:tc>
      </w:tr>
      <w:tr w14:paraId="0A1E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4B37F4D">
            <w:pPr>
              <w:widowControl/>
              <w:jc w:val="center"/>
              <w:rPr>
                <w:rFonts w:ascii="宋体" w:hAnsi="宋体" w:cs="宋体"/>
                <w:kern w:val="0"/>
                <w:sz w:val="18"/>
                <w:szCs w:val="18"/>
              </w:rPr>
            </w:pPr>
          </w:p>
        </w:tc>
        <w:tc>
          <w:tcPr>
            <w:tcW w:w="3659" w:type="dxa"/>
            <w:shd w:val="clear" w:color="auto" w:fill="auto"/>
            <w:vAlign w:val="center"/>
          </w:tcPr>
          <w:p w14:paraId="29699BF8">
            <w:pPr>
              <w:widowControl/>
              <w:jc w:val="center"/>
              <w:rPr>
                <w:rFonts w:ascii="宋体" w:hAnsi="宋体" w:cs="宋体"/>
                <w:kern w:val="0"/>
                <w:sz w:val="18"/>
                <w:szCs w:val="18"/>
              </w:rPr>
            </w:pPr>
            <w:r>
              <w:rPr>
                <w:rFonts w:hint="eastAsia" w:ascii="宋体" w:hAnsi="宋体" w:cs="宋体"/>
                <w:kern w:val="0"/>
                <w:sz w:val="18"/>
                <w:szCs w:val="18"/>
              </w:rPr>
              <w:t>汤丹镇望厂村易地扶贫搬迁集中安置点</w:t>
            </w:r>
          </w:p>
        </w:tc>
        <w:tc>
          <w:tcPr>
            <w:tcW w:w="796" w:type="dxa"/>
            <w:shd w:val="clear" w:color="auto" w:fill="auto"/>
            <w:noWrap/>
            <w:vAlign w:val="center"/>
          </w:tcPr>
          <w:p w14:paraId="79618E14">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8ED4058">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56A56EA3">
            <w:pPr>
              <w:widowControl/>
              <w:jc w:val="center"/>
              <w:rPr>
                <w:rFonts w:ascii="宋体" w:hAnsi="宋体" w:cs="宋体"/>
                <w:kern w:val="0"/>
                <w:sz w:val="18"/>
                <w:szCs w:val="18"/>
              </w:rPr>
            </w:pPr>
            <w:r>
              <w:rPr>
                <w:rFonts w:hint="eastAsia" w:ascii="宋体" w:hAnsi="宋体" w:cs="宋体"/>
                <w:kern w:val="0"/>
                <w:sz w:val="18"/>
                <w:szCs w:val="18"/>
              </w:rPr>
              <w:t>0.40</w:t>
            </w:r>
          </w:p>
        </w:tc>
        <w:tc>
          <w:tcPr>
            <w:tcW w:w="946" w:type="dxa"/>
            <w:shd w:val="clear" w:color="auto" w:fill="auto"/>
            <w:noWrap/>
            <w:vAlign w:val="center"/>
          </w:tcPr>
          <w:p w14:paraId="2A773ED6">
            <w:pPr>
              <w:widowControl/>
              <w:jc w:val="center"/>
              <w:rPr>
                <w:rFonts w:ascii="宋体" w:hAnsi="宋体" w:cs="宋体"/>
                <w:kern w:val="0"/>
                <w:sz w:val="18"/>
                <w:szCs w:val="18"/>
              </w:rPr>
            </w:pPr>
            <w:r>
              <w:rPr>
                <w:rFonts w:hint="eastAsia" w:ascii="宋体" w:hAnsi="宋体" w:cs="宋体"/>
                <w:kern w:val="0"/>
                <w:sz w:val="18"/>
                <w:szCs w:val="18"/>
              </w:rPr>
              <w:t>0.4</w:t>
            </w:r>
          </w:p>
        </w:tc>
        <w:tc>
          <w:tcPr>
            <w:tcW w:w="854" w:type="dxa"/>
            <w:shd w:val="clear" w:color="auto" w:fill="auto"/>
            <w:noWrap/>
            <w:vAlign w:val="center"/>
          </w:tcPr>
          <w:p w14:paraId="680E0251">
            <w:pPr>
              <w:widowControl/>
              <w:jc w:val="center"/>
              <w:rPr>
                <w:rFonts w:ascii="宋体" w:hAnsi="宋体" w:cs="宋体"/>
                <w:kern w:val="0"/>
                <w:sz w:val="18"/>
                <w:szCs w:val="18"/>
              </w:rPr>
            </w:pPr>
            <w:r>
              <w:rPr>
                <w:rFonts w:hint="eastAsia" w:ascii="宋体" w:hAnsi="宋体" w:cs="宋体"/>
                <w:kern w:val="0"/>
                <w:sz w:val="18"/>
                <w:szCs w:val="18"/>
              </w:rPr>
              <w:t>0.4</w:t>
            </w:r>
          </w:p>
        </w:tc>
        <w:tc>
          <w:tcPr>
            <w:tcW w:w="1489" w:type="dxa"/>
            <w:shd w:val="clear" w:color="auto" w:fill="auto"/>
            <w:vAlign w:val="center"/>
          </w:tcPr>
          <w:p w14:paraId="7571B595">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5C5C4FD5">
            <w:pPr>
              <w:widowControl/>
              <w:jc w:val="center"/>
              <w:rPr>
                <w:rFonts w:ascii="宋体" w:hAnsi="宋体" w:cs="宋体"/>
                <w:kern w:val="0"/>
                <w:sz w:val="18"/>
                <w:szCs w:val="18"/>
              </w:rPr>
            </w:pPr>
          </w:p>
        </w:tc>
      </w:tr>
      <w:tr w14:paraId="0841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EE3D309">
            <w:pPr>
              <w:widowControl/>
              <w:jc w:val="center"/>
              <w:rPr>
                <w:rFonts w:ascii="宋体" w:hAnsi="宋体" w:cs="宋体"/>
                <w:kern w:val="0"/>
                <w:sz w:val="18"/>
                <w:szCs w:val="18"/>
              </w:rPr>
            </w:pPr>
          </w:p>
        </w:tc>
        <w:tc>
          <w:tcPr>
            <w:tcW w:w="3659" w:type="dxa"/>
            <w:shd w:val="clear" w:color="auto" w:fill="auto"/>
            <w:vAlign w:val="center"/>
          </w:tcPr>
          <w:p w14:paraId="2D91B3A4">
            <w:pPr>
              <w:widowControl/>
              <w:jc w:val="center"/>
              <w:rPr>
                <w:rFonts w:ascii="宋体" w:hAnsi="宋体" w:cs="宋体"/>
                <w:kern w:val="0"/>
                <w:sz w:val="18"/>
                <w:szCs w:val="18"/>
              </w:rPr>
            </w:pPr>
            <w:r>
              <w:rPr>
                <w:rFonts w:hint="eastAsia" w:ascii="宋体" w:hAnsi="宋体" w:cs="宋体"/>
                <w:kern w:val="0"/>
                <w:sz w:val="18"/>
                <w:szCs w:val="18"/>
              </w:rPr>
              <w:t>铜都街道易地扶贫搬迁洗尾嘎安置点</w:t>
            </w:r>
          </w:p>
        </w:tc>
        <w:tc>
          <w:tcPr>
            <w:tcW w:w="796" w:type="dxa"/>
            <w:shd w:val="clear" w:color="auto" w:fill="auto"/>
            <w:noWrap/>
            <w:vAlign w:val="center"/>
          </w:tcPr>
          <w:p w14:paraId="36334F8B">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FD674C7">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0D96E37D">
            <w:pPr>
              <w:widowControl/>
              <w:jc w:val="center"/>
              <w:rPr>
                <w:rFonts w:ascii="宋体" w:hAnsi="宋体" w:cs="宋体"/>
                <w:kern w:val="0"/>
                <w:sz w:val="18"/>
                <w:szCs w:val="18"/>
              </w:rPr>
            </w:pPr>
            <w:r>
              <w:rPr>
                <w:rFonts w:hint="eastAsia" w:ascii="宋体" w:hAnsi="宋体" w:cs="宋体"/>
                <w:kern w:val="0"/>
                <w:sz w:val="18"/>
                <w:szCs w:val="18"/>
              </w:rPr>
              <w:t>1.63</w:t>
            </w:r>
          </w:p>
        </w:tc>
        <w:tc>
          <w:tcPr>
            <w:tcW w:w="946" w:type="dxa"/>
            <w:shd w:val="clear" w:color="auto" w:fill="auto"/>
            <w:noWrap/>
            <w:vAlign w:val="center"/>
          </w:tcPr>
          <w:p w14:paraId="7BB92F42">
            <w:pPr>
              <w:widowControl/>
              <w:jc w:val="center"/>
              <w:rPr>
                <w:rFonts w:ascii="宋体" w:hAnsi="宋体" w:cs="宋体"/>
                <w:kern w:val="0"/>
                <w:sz w:val="18"/>
                <w:szCs w:val="18"/>
              </w:rPr>
            </w:pPr>
            <w:r>
              <w:rPr>
                <w:rFonts w:hint="eastAsia" w:ascii="宋体" w:hAnsi="宋体" w:cs="宋体"/>
                <w:kern w:val="0"/>
                <w:sz w:val="18"/>
                <w:szCs w:val="18"/>
              </w:rPr>
              <w:t>1.63</w:t>
            </w:r>
          </w:p>
        </w:tc>
        <w:tc>
          <w:tcPr>
            <w:tcW w:w="854" w:type="dxa"/>
            <w:shd w:val="clear" w:color="auto" w:fill="auto"/>
            <w:noWrap/>
            <w:vAlign w:val="center"/>
          </w:tcPr>
          <w:p w14:paraId="014D6CCB">
            <w:pPr>
              <w:widowControl/>
              <w:jc w:val="center"/>
              <w:rPr>
                <w:rFonts w:ascii="宋体" w:hAnsi="宋体" w:cs="宋体"/>
                <w:kern w:val="0"/>
                <w:sz w:val="18"/>
                <w:szCs w:val="18"/>
              </w:rPr>
            </w:pPr>
            <w:r>
              <w:rPr>
                <w:rFonts w:hint="eastAsia" w:ascii="宋体" w:hAnsi="宋体" w:cs="宋体"/>
                <w:kern w:val="0"/>
                <w:sz w:val="18"/>
                <w:szCs w:val="18"/>
              </w:rPr>
              <w:t>1.23</w:t>
            </w:r>
          </w:p>
        </w:tc>
        <w:tc>
          <w:tcPr>
            <w:tcW w:w="1489" w:type="dxa"/>
            <w:shd w:val="clear" w:color="auto" w:fill="auto"/>
            <w:vAlign w:val="center"/>
          </w:tcPr>
          <w:p w14:paraId="27C49EEB">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310B1213">
            <w:pPr>
              <w:widowControl/>
              <w:jc w:val="center"/>
              <w:rPr>
                <w:rFonts w:ascii="宋体" w:hAnsi="宋体" w:cs="宋体"/>
                <w:kern w:val="0"/>
                <w:sz w:val="18"/>
                <w:szCs w:val="18"/>
              </w:rPr>
            </w:pPr>
          </w:p>
        </w:tc>
      </w:tr>
      <w:tr w14:paraId="112B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2FA5EEA">
            <w:pPr>
              <w:widowControl/>
              <w:jc w:val="center"/>
              <w:rPr>
                <w:rFonts w:ascii="宋体" w:hAnsi="宋体" w:cs="宋体"/>
                <w:kern w:val="0"/>
                <w:sz w:val="18"/>
                <w:szCs w:val="18"/>
              </w:rPr>
            </w:pPr>
          </w:p>
        </w:tc>
        <w:tc>
          <w:tcPr>
            <w:tcW w:w="3659" w:type="dxa"/>
            <w:shd w:val="clear" w:color="auto" w:fill="auto"/>
            <w:vAlign w:val="center"/>
          </w:tcPr>
          <w:p w14:paraId="35F40246">
            <w:pPr>
              <w:widowControl/>
              <w:jc w:val="center"/>
              <w:rPr>
                <w:rFonts w:ascii="宋体" w:hAnsi="宋体" w:cs="宋体"/>
                <w:kern w:val="0"/>
                <w:sz w:val="18"/>
                <w:szCs w:val="18"/>
              </w:rPr>
            </w:pPr>
            <w:r>
              <w:rPr>
                <w:rFonts w:hint="eastAsia" w:ascii="宋体" w:hAnsi="宋体" w:cs="宋体"/>
                <w:kern w:val="0"/>
                <w:sz w:val="18"/>
                <w:szCs w:val="18"/>
              </w:rPr>
              <w:t>铜都街道李子沟宜居农房建设搬迁集中安置点项目</w:t>
            </w:r>
          </w:p>
        </w:tc>
        <w:tc>
          <w:tcPr>
            <w:tcW w:w="796" w:type="dxa"/>
            <w:shd w:val="clear" w:color="auto" w:fill="auto"/>
            <w:noWrap/>
            <w:vAlign w:val="center"/>
          </w:tcPr>
          <w:p w14:paraId="4FB5B39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07EC11A8">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1D67050A">
            <w:pPr>
              <w:widowControl/>
              <w:jc w:val="center"/>
              <w:rPr>
                <w:rFonts w:ascii="宋体" w:hAnsi="宋体" w:cs="宋体"/>
                <w:kern w:val="0"/>
                <w:sz w:val="18"/>
                <w:szCs w:val="18"/>
              </w:rPr>
            </w:pPr>
            <w:r>
              <w:rPr>
                <w:rFonts w:hint="eastAsia" w:ascii="宋体" w:hAnsi="宋体" w:cs="宋体"/>
                <w:kern w:val="0"/>
                <w:sz w:val="18"/>
                <w:szCs w:val="18"/>
              </w:rPr>
              <w:t>1.60</w:t>
            </w:r>
          </w:p>
        </w:tc>
        <w:tc>
          <w:tcPr>
            <w:tcW w:w="946" w:type="dxa"/>
            <w:shd w:val="clear" w:color="auto" w:fill="auto"/>
            <w:noWrap/>
            <w:vAlign w:val="center"/>
          </w:tcPr>
          <w:p w14:paraId="4BA7F19F">
            <w:pPr>
              <w:widowControl/>
              <w:jc w:val="center"/>
              <w:rPr>
                <w:rFonts w:ascii="宋体" w:hAnsi="宋体" w:cs="宋体"/>
                <w:kern w:val="0"/>
                <w:sz w:val="18"/>
                <w:szCs w:val="18"/>
              </w:rPr>
            </w:pPr>
            <w:r>
              <w:rPr>
                <w:rFonts w:hint="eastAsia" w:ascii="宋体" w:hAnsi="宋体" w:cs="宋体"/>
                <w:kern w:val="0"/>
                <w:sz w:val="18"/>
                <w:szCs w:val="18"/>
              </w:rPr>
              <w:t>1.6</w:t>
            </w:r>
          </w:p>
        </w:tc>
        <w:tc>
          <w:tcPr>
            <w:tcW w:w="854" w:type="dxa"/>
            <w:shd w:val="clear" w:color="auto" w:fill="auto"/>
            <w:noWrap/>
            <w:vAlign w:val="center"/>
          </w:tcPr>
          <w:p w14:paraId="38013C6D">
            <w:pPr>
              <w:widowControl/>
              <w:jc w:val="center"/>
              <w:rPr>
                <w:rFonts w:ascii="宋体" w:hAnsi="宋体" w:cs="宋体"/>
                <w:kern w:val="0"/>
                <w:sz w:val="18"/>
                <w:szCs w:val="18"/>
              </w:rPr>
            </w:pPr>
            <w:r>
              <w:rPr>
                <w:rFonts w:hint="eastAsia" w:ascii="宋体" w:hAnsi="宋体" w:cs="宋体"/>
                <w:kern w:val="0"/>
                <w:sz w:val="18"/>
                <w:szCs w:val="18"/>
              </w:rPr>
              <w:t>1.2</w:t>
            </w:r>
          </w:p>
        </w:tc>
        <w:tc>
          <w:tcPr>
            <w:tcW w:w="1489" w:type="dxa"/>
            <w:shd w:val="clear" w:color="auto" w:fill="auto"/>
            <w:noWrap/>
            <w:vAlign w:val="center"/>
          </w:tcPr>
          <w:p w14:paraId="0E6A49D0">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0E9505EF">
            <w:pPr>
              <w:widowControl/>
              <w:jc w:val="center"/>
              <w:rPr>
                <w:rFonts w:ascii="宋体" w:hAnsi="宋体" w:cs="宋体"/>
                <w:kern w:val="0"/>
                <w:sz w:val="18"/>
                <w:szCs w:val="18"/>
              </w:rPr>
            </w:pPr>
          </w:p>
        </w:tc>
      </w:tr>
      <w:tr w14:paraId="1D92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25447EA">
            <w:pPr>
              <w:widowControl/>
              <w:jc w:val="center"/>
              <w:rPr>
                <w:rFonts w:ascii="宋体" w:hAnsi="宋体" w:cs="宋体"/>
                <w:kern w:val="0"/>
                <w:sz w:val="18"/>
                <w:szCs w:val="18"/>
              </w:rPr>
            </w:pPr>
          </w:p>
        </w:tc>
        <w:tc>
          <w:tcPr>
            <w:tcW w:w="3659" w:type="dxa"/>
            <w:shd w:val="clear" w:color="auto" w:fill="auto"/>
            <w:vAlign w:val="center"/>
          </w:tcPr>
          <w:p w14:paraId="3E145ABD">
            <w:pPr>
              <w:widowControl/>
              <w:jc w:val="center"/>
              <w:rPr>
                <w:rFonts w:ascii="宋体" w:hAnsi="宋体" w:cs="宋体"/>
                <w:kern w:val="0"/>
                <w:sz w:val="18"/>
                <w:szCs w:val="18"/>
              </w:rPr>
            </w:pPr>
            <w:r>
              <w:rPr>
                <w:rFonts w:hint="eastAsia" w:ascii="宋体" w:hAnsi="宋体" w:cs="宋体"/>
                <w:kern w:val="0"/>
                <w:sz w:val="18"/>
                <w:szCs w:val="18"/>
              </w:rPr>
              <w:t>铜都街道尼拉姑宜居农房建设搬迁集中安置点项目</w:t>
            </w:r>
          </w:p>
        </w:tc>
        <w:tc>
          <w:tcPr>
            <w:tcW w:w="796" w:type="dxa"/>
            <w:shd w:val="clear" w:color="auto" w:fill="auto"/>
            <w:noWrap/>
            <w:vAlign w:val="center"/>
          </w:tcPr>
          <w:p w14:paraId="13C060D1">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451236E">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642F406A">
            <w:pPr>
              <w:widowControl/>
              <w:jc w:val="center"/>
              <w:rPr>
                <w:rFonts w:ascii="宋体" w:hAnsi="宋体" w:cs="宋体"/>
                <w:kern w:val="0"/>
                <w:sz w:val="18"/>
                <w:szCs w:val="18"/>
              </w:rPr>
            </w:pPr>
            <w:r>
              <w:rPr>
                <w:rFonts w:hint="eastAsia" w:ascii="宋体" w:hAnsi="宋体" w:cs="宋体"/>
                <w:kern w:val="0"/>
                <w:sz w:val="18"/>
                <w:szCs w:val="18"/>
              </w:rPr>
              <w:t>1.46</w:t>
            </w:r>
          </w:p>
        </w:tc>
        <w:tc>
          <w:tcPr>
            <w:tcW w:w="946" w:type="dxa"/>
            <w:shd w:val="clear" w:color="auto" w:fill="auto"/>
            <w:noWrap/>
            <w:vAlign w:val="center"/>
          </w:tcPr>
          <w:p w14:paraId="140FAE94">
            <w:pPr>
              <w:widowControl/>
              <w:jc w:val="center"/>
              <w:rPr>
                <w:rFonts w:ascii="宋体" w:hAnsi="宋体" w:cs="宋体"/>
                <w:kern w:val="0"/>
                <w:sz w:val="18"/>
                <w:szCs w:val="18"/>
              </w:rPr>
            </w:pPr>
            <w:r>
              <w:rPr>
                <w:rFonts w:hint="eastAsia" w:ascii="宋体" w:hAnsi="宋体" w:cs="宋体"/>
                <w:kern w:val="0"/>
                <w:sz w:val="18"/>
                <w:szCs w:val="18"/>
              </w:rPr>
              <w:t>1.46</w:t>
            </w:r>
          </w:p>
        </w:tc>
        <w:tc>
          <w:tcPr>
            <w:tcW w:w="854" w:type="dxa"/>
            <w:shd w:val="clear" w:color="auto" w:fill="auto"/>
            <w:noWrap/>
            <w:vAlign w:val="center"/>
          </w:tcPr>
          <w:p w14:paraId="69BF65CD">
            <w:pPr>
              <w:widowControl/>
              <w:jc w:val="center"/>
              <w:rPr>
                <w:rFonts w:ascii="宋体" w:hAnsi="宋体" w:cs="宋体"/>
                <w:kern w:val="0"/>
                <w:sz w:val="18"/>
                <w:szCs w:val="18"/>
              </w:rPr>
            </w:pPr>
            <w:r>
              <w:rPr>
                <w:rFonts w:hint="eastAsia" w:ascii="宋体" w:hAnsi="宋体" w:cs="宋体"/>
                <w:kern w:val="0"/>
                <w:sz w:val="18"/>
                <w:szCs w:val="18"/>
              </w:rPr>
              <w:t>1.46</w:t>
            </w:r>
          </w:p>
        </w:tc>
        <w:tc>
          <w:tcPr>
            <w:tcW w:w="1489" w:type="dxa"/>
            <w:shd w:val="clear" w:color="auto" w:fill="auto"/>
            <w:noWrap/>
            <w:vAlign w:val="center"/>
          </w:tcPr>
          <w:p w14:paraId="1A4D32C5">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46C6C1DA">
            <w:pPr>
              <w:widowControl/>
              <w:jc w:val="center"/>
              <w:rPr>
                <w:rFonts w:ascii="宋体" w:hAnsi="宋体" w:cs="宋体"/>
                <w:kern w:val="0"/>
                <w:sz w:val="18"/>
                <w:szCs w:val="18"/>
              </w:rPr>
            </w:pPr>
          </w:p>
        </w:tc>
      </w:tr>
      <w:tr w14:paraId="4316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DEBE3FD">
            <w:pPr>
              <w:widowControl/>
              <w:jc w:val="center"/>
              <w:rPr>
                <w:rFonts w:ascii="宋体" w:hAnsi="宋体" w:cs="宋体"/>
                <w:kern w:val="0"/>
                <w:sz w:val="18"/>
                <w:szCs w:val="18"/>
              </w:rPr>
            </w:pPr>
          </w:p>
        </w:tc>
        <w:tc>
          <w:tcPr>
            <w:tcW w:w="3659" w:type="dxa"/>
            <w:shd w:val="clear" w:color="auto" w:fill="auto"/>
            <w:vAlign w:val="center"/>
          </w:tcPr>
          <w:p w14:paraId="5D9FB213">
            <w:pPr>
              <w:widowControl/>
              <w:jc w:val="center"/>
              <w:rPr>
                <w:rFonts w:ascii="宋体" w:hAnsi="宋体" w:cs="宋体"/>
                <w:kern w:val="0"/>
                <w:sz w:val="18"/>
                <w:szCs w:val="18"/>
              </w:rPr>
            </w:pPr>
            <w:r>
              <w:rPr>
                <w:rFonts w:hint="eastAsia" w:ascii="宋体" w:hAnsi="宋体" w:cs="宋体"/>
                <w:kern w:val="0"/>
                <w:sz w:val="18"/>
                <w:szCs w:val="18"/>
              </w:rPr>
              <w:t>铜都街道紫牛村宜居农房建设搬迁集中安置点项目地块一</w:t>
            </w:r>
          </w:p>
        </w:tc>
        <w:tc>
          <w:tcPr>
            <w:tcW w:w="796" w:type="dxa"/>
            <w:shd w:val="clear" w:color="auto" w:fill="auto"/>
            <w:noWrap/>
            <w:vAlign w:val="center"/>
          </w:tcPr>
          <w:p w14:paraId="3D21A95B">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2E32DCCC">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451D33AF">
            <w:pPr>
              <w:widowControl/>
              <w:jc w:val="center"/>
              <w:rPr>
                <w:rFonts w:ascii="宋体" w:hAnsi="宋体" w:cs="宋体"/>
                <w:kern w:val="0"/>
                <w:sz w:val="18"/>
                <w:szCs w:val="18"/>
              </w:rPr>
            </w:pPr>
            <w:r>
              <w:rPr>
                <w:rFonts w:hint="eastAsia" w:ascii="宋体" w:hAnsi="宋体" w:cs="宋体"/>
                <w:kern w:val="0"/>
                <w:sz w:val="18"/>
                <w:szCs w:val="18"/>
              </w:rPr>
              <w:t>2.26</w:t>
            </w:r>
          </w:p>
        </w:tc>
        <w:tc>
          <w:tcPr>
            <w:tcW w:w="946" w:type="dxa"/>
            <w:shd w:val="clear" w:color="auto" w:fill="auto"/>
            <w:noWrap/>
            <w:vAlign w:val="center"/>
          </w:tcPr>
          <w:p w14:paraId="6AED477C">
            <w:pPr>
              <w:widowControl/>
              <w:jc w:val="center"/>
              <w:rPr>
                <w:rFonts w:ascii="宋体" w:hAnsi="宋体" w:cs="宋体"/>
                <w:kern w:val="0"/>
                <w:sz w:val="18"/>
                <w:szCs w:val="18"/>
              </w:rPr>
            </w:pPr>
            <w:r>
              <w:rPr>
                <w:rFonts w:hint="eastAsia" w:ascii="宋体" w:hAnsi="宋体" w:cs="宋体"/>
                <w:kern w:val="0"/>
                <w:sz w:val="18"/>
                <w:szCs w:val="18"/>
              </w:rPr>
              <w:t>2.26</w:t>
            </w:r>
          </w:p>
        </w:tc>
        <w:tc>
          <w:tcPr>
            <w:tcW w:w="854" w:type="dxa"/>
            <w:shd w:val="clear" w:color="auto" w:fill="auto"/>
            <w:noWrap/>
            <w:vAlign w:val="center"/>
          </w:tcPr>
          <w:p w14:paraId="710E78FF">
            <w:pPr>
              <w:widowControl/>
              <w:jc w:val="center"/>
              <w:rPr>
                <w:rFonts w:ascii="宋体" w:hAnsi="宋体" w:cs="宋体"/>
                <w:kern w:val="0"/>
                <w:sz w:val="18"/>
                <w:szCs w:val="18"/>
              </w:rPr>
            </w:pPr>
            <w:r>
              <w:rPr>
                <w:rFonts w:hint="eastAsia" w:ascii="宋体" w:hAnsi="宋体" w:cs="宋体"/>
                <w:kern w:val="0"/>
                <w:sz w:val="18"/>
                <w:szCs w:val="18"/>
              </w:rPr>
              <w:t>2.26</w:t>
            </w:r>
          </w:p>
        </w:tc>
        <w:tc>
          <w:tcPr>
            <w:tcW w:w="1489" w:type="dxa"/>
            <w:shd w:val="clear" w:color="auto" w:fill="auto"/>
            <w:noWrap/>
            <w:vAlign w:val="center"/>
          </w:tcPr>
          <w:p w14:paraId="246DFBA1">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68C371C6">
            <w:pPr>
              <w:widowControl/>
              <w:jc w:val="center"/>
              <w:rPr>
                <w:rFonts w:ascii="宋体" w:hAnsi="宋体" w:cs="宋体"/>
                <w:kern w:val="0"/>
                <w:sz w:val="18"/>
                <w:szCs w:val="18"/>
              </w:rPr>
            </w:pPr>
          </w:p>
        </w:tc>
      </w:tr>
      <w:tr w14:paraId="4A05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45C0531">
            <w:pPr>
              <w:widowControl/>
              <w:jc w:val="center"/>
              <w:rPr>
                <w:rFonts w:ascii="宋体" w:hAnsi="宋体" w:cs="宋体"/>
                <w:kern w:val="0"/>
                <w:sz w:val="18"/>
                <w:szCs w:val="18"/>
              </w:rPr>
            </w:pPr>
          </w:p>
        </w:tc>
        <w:tc>
          <w:tcPr>
            <w:tcW w:w="3659" w:type="dxa"/>
            <w:shd w:val="clear" w:color="auto" w:fill="auto"/>
            <w:vAlign w:val="center"/>
          </w:tcPr>
          <w:p w14:paraId="00732417">
            <w:pPr>
              <w:widowControl/>
              <w:jc w:val="center"/>
              <w:rPr>
                <w:rFonts w:ascii="宋体" w:hAnsi="宋体" w:cs="宋体"/>
                <w:kern w:val="0"/>
                <w:sz w:val="18"/>
                <w:szCs w:val="18"/>
              </w:rPr>
            </w:pPr>
            <w:r>
              <w:rPr>
                <w:rFonts w:hint="eastAsia" w:ascii="宋体" w:hAnsi="宋体" w:cs="宋体"/>
                <w:kern w:val="0"/>
                <w:sz w:val="18"/>
                <w:szCs w:val="18"/>
              </w:rPr>
              <w:t>铜都街道紫牛村宜居农房建设搬迁集中安置点项目地块二</w:t>
            </w:r>
          </w:p>
        </w:tc>
        <w:tc>
          <w:tcPr>
            <w:tcW w:w="796" w:type="dxa"/>
            <w:shd w:val="clear" w:color="auto" w:fill="auto"/>
            <w:noWrap/>
            <w:vAlign w:val="center"/>
          </w:tcPr>
          <w:p w14:paraId="4407FDA5">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CD79342">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7998ED10">
            <w:pPr>
              <w:widowControl/>
              <w:jc w:val="center"/>
              <w:rPr>
                <w:rFonts w:ascii="宋体" w:hAnsi="宋体" w:cs="宋体"/>
                <w:kern w:val="0"/>
                <w:sz w:val="18"/>
                <w:szCs w:val="18"/>
              </w:rPr>
            </w:pPr>
            <w:r>
              <w:rPr>
                <w:rFonts w:hint="eastAsia" w:ascii="宋体" w:hAnsi="宋体" w:cs="宋体"/>
                <w:kern w:val="0"/>
                <w:sz w:val="18"/>
                <w:szCs w:val="18"/>
              </w:rPr>
              <w:t>11.56</w:t>
            </w:r>
          </w:p>
        </w:tc>
        <w:tc>
          <w:tcPr>
            <w:tcW w:w="946" w:type="dxa"/>
            <w:shd w:val="clear" w:color="auto" w:fill="auto"/>
            <w:noWrap/>
            <w:vAlign w:val="center"/>
          </w:tcPr>
          <w:p w14:paraId="6C30B29B">
            <w:pPr>
              <w:widowControl/>
              <w:jc w:val="center"/>
              <w:rPr>
                <w:rFonts w:ascii="宋体" w:hAnsi="宋体" w:cs="宋体"/>
                <w:kern w:val="0"/>
                <w:sz w:val="18"/>
                <w:szCs w:val="18"/>
              </w:rPr>
            </w:pPr>
            <w:r>
              <w:rPr>
                <w:rFonts w:hint="eastAsia" w:ascii="宋体" w:hAnsi="宋体" w:cs="宋体"/>
                <w:kern w:val="0"/>
                <w:sz w:val="18"/>
                <w:szCs w:val="18"/>
              </w:rPr>
              <w:t>11.06</w:t>
            </w:r>
          </w:p>
        </w:tc>
        <w:tc>
          <w:tcPr>
            <w:tcW w:w="854" w:type="dxa"/>
            <w:shd w:val="clear" w:color="auto" w:fill="auto"/>
            <w:noWrap/>
            <w:vAlign w:val="center"/>
          </w:tcPr>
          <w:p w14:paraId="7C00EA95">
            <w:pPr>
              <w:widowControl/>
              <w:jc w:val="center"/>
              <w:rPr>
                <w:rFonts w:ascii="宋体" w:hAnsi="宋体" w:cs="宋体"/>
                <w:kern w:val="0"/>
                <w:sz w:val="18"/>
                <w:szCs w:val="18"/>
              </w:rPr>
            </w:pPr>
            <w:r>
              <w:rPr>
                <w:rFonts w:hint="eastAsia" w:ascii="宋体" w:hAnsi="宋体" w:cs="宋体"/>
                <w:kern w:val="0"/>
                <w:sz w:val="18"/>
                <w:szCs w:val="18"/>
              </w:rPr>
              <w:t>5.05</w:t>
            </w:r>
          </w:p>
        </w:tc>
        <w:tc>
          <w:tcPr>
            <w:tcW w:w="1489" w:type="dxa"/>
            <w:shd w:val="clear" w:color="auto" w:fill="auto"/>
            <w:noWrap/>
            <w:vAlign w:val="center"/>
          </w:tcPr>
          <w:p w14:paraId="4C94E515">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739A1DEE">
            <w:pPr>
              <w:widowControl/>
              <w:jc w:val="center"/>
              <w:rPr>
                <w:rFonts w:ascii="宋体" w:hAnsi="宋体" w:cs="宋体"/>
                <w:kern w:val="0"/>
                <w:sz w:val="18"/>
                <w:szCs w:val="18"/>
              </w:rPr>
            </w:pPr>
          </w:p>
        </w:tc>
      </w:tr>
      <w:tr w14:paraId="00D7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565F2B6">
            <w:pPr>
              <w:widowControl/>
              <w:jc w:val="center"/>
              <w:rPr>
                <w:rFonts w:ascii="宋体" w:hAnsi="宋体" w:cs="宋体"/>
                <w:kern w:val="0"/>
                <w:sz w:val="18"/>
                <w:szCs w:val="18"/>
              </w:rPr>
            </w:pPr>
          </w:p>
        </w:tc>
        <w:tc>
          <w:tcPr>
            <w:tcW w:w="3659" w:type="dxa"/>
            <w:shd w:val="clear" w:color="auto" w:fill="auto"/>
            <w:vAlign w:val="center"/>
          </w:tcPr>
          <w:p w14:paraId="20CEF4AB">
            <w:pPr>
              <w:widowControl/>
              <w:jc w:val="center"/>
              <w:rPr>
                <w:rFonts w:ascii="宋体" w:hAnsi="宋体" w:cs="宋体"/>
                <w:kern w:val="0"/>
                <w:sz w:val="18"/>
                <w:szCs w:val="18"/>
              </w:rPr>
            </w:pPr>
            <w:r>
              <w:rPr>
                <w:rFonts w:hint="eastAsia" w:ascii="宋体" w:hAnsi="宋体" w:cs="宋体"/>
                <w:kern w:val="0"/>
                <w:sz w:val="18"/>
                <w:szCs w:val="18"/>
              </w:rPr>
              <w:t>铜都街道箐口村宜居农房建设搬迁集中安置点项目</w:t>
            </w:r>
          </w:p>
        </w:tc>
        <w:tc>
          <w:tcPr>
            <w:tcW w:w="796" w:type="dxa"/>
            <w:shd w:val="clear" w:color="auto" w:fill="auto"/>
            <w:noWrap/>
            <w:vAlign w:val="center"/>
          </w:tcPr>
          <w:p w14:paraId="026B49F0">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96E84D7">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44468838">
            <w:pPr>
              <w:widowControl/>
              <w:jc w:val="center"/>
              <w:rPr>
                <w:rFonts w:ascii="宋体" w:hAnsi="宋体" w:cs="宋体"/>
                <w:kern w:val="0"/>
                <w:sz w:val="18"/>
                <w:szCs w:val="18"/>
              </w:rPr>
            </w:pPr>
            <w:r>
              <w:rPr>
                <w:rFonts w:hint="eastAsia" w:ascii="宋体" w:hAnsi="宋体" w:cs="宋体"/>
                <w:kern w:val="0"/>
                <w:sz w:val="18"/>
                <w:szCs w:val="18"/>
              </w:rPr>
              <w:t>0.49</w:t>
            </w:r>
          </w:p>
        </w:tc>
        <w:tc>
          <w:tcPr>
            <w:tcW w:w="946" w:type="dxa"/>
            <w:shd w:val="clear" w:color="auto" w:fill="auto"/>
            <w:noWrap/>
            <w:vAlign w:val="center"/>
          </w:tcPr>
          <w:p w14:paraId="24B1F92D">
            <w:pPr>
              <w:widowControl/>
              <w:jc w:val="center"/>
              <w:rPr>
                <w:rFonts w:ascii="宋体" w:hAnsi="宋体" w:cs="宋体"/>
                <w:kern w:val="0"/>
                <w:sz w:val="18"/>
                <w:szCs w:val="18"/>
              </w:rPr>
            </w:pPr>
            <w:r>
              <w:rPr>
                <w:rFonts w:hint="eastAsia" w:ascii="宋体" w:hAnsi="宋体" w:cs="宋体"/>
                <w:kern w:val="0"/>
                <w:sz w:val="18"/>
                <w:szCs w:val="18"/>
              </w:rPr>
              <w:t>0.49</w:t>
            </w:r>
          </w:p>
        </w:tc>
        <w:tc>
          <w:tcPr>
            <w:tcW w:w="854" w:type="dxa"/>
            <w:shd w:val="clear" w:color="auto" w:fill="auto"/>
            <w:noWrap/>
            <w:vAlign w:val="center"/>
          </w:tcPr>
          <w:p w14:paraId="58F55C43">
            <w:pPr>
              <w:widowControl/>
              <w:jc w:val="center"/>
              <w:rPr>
                <w:rFonts w:ascii="宋体" w:hAnsi="宋体" w:cs="宋体"/>
                <w:kern w:val="0"/>
                <w:sz w:val="18"/>
                <w:szCs w:val="18"/>
              </w:rPr>
            </w:pPr>
            <w:r>
              <w:rPr>
                <w:rFonts w:hint="eastAsia" w:ascii="宋体" w:hAnsi="宋体" w:cs="宋体"/>
                <w:kern w:val="0"/>
                <w:sz w:val="18"/>
                <w:szCs w:val="18"/>
              </w:rPr>
              <w:t>0.49</w:t>
            </w:r>
          </w:p>
        </w:tc>
        <w:tc>
          <w:tcPr>
            <w:tcW w:w="1489" w:type="dxa"/>
            <w:shd w:val="clear" w:color="auto" w:fill="auto"/>
            <w:noWrap/>
            <w:vAlign w:val="center"/>
          </w:tcPr>
          <w:p w14:paraId="79DCE3A6">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57155ECE">
            <w:pPr>
              <w:widowControl/>
              <w:jc w:val="center"/>
              <w:rPr>
                <w:rFonts w:ascii="宋体" w:hAnsi="宋体" w:cs="宋体"/>
                <w:kern w:val="0"/>
                <w:sz w:val="18"/>
                <w:szCs w:val="18"/>
              </w:rPr>
            </w:pPr>
          </w:p>
        </w:tc>
      </w:tr>
      <w:tr w14:paraId="0F3F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FBFD806">
            <w:pPr>
              <w:widowControl/>
              <w:jc w:val="center"/>
              <w:rPr>
                <w:rFonts w:ascii="宋体" w:hAnsi="宋体" w:cs="宋体"/>
                <w:kern w:val="0"/>
                <w:sz w:val="18"/>
                <w:szCs w:val="18"/>
              </w:rPr>
            </w:pPr>
          </w:p>
        </w:tc>
        <w:tc>
          <w:tcPr>
            <w:tcW w:w="3659" w:type="dxa"/>
            <w:shd w:val="clear" w:color="auto" w:fill="auto"/>
            <w:vAlign w:val="center"/>
          </w:tcPr>
          <w:p w14:paraId="78EEFBB4">
            <w:pPr>
              <w:widowControl/>
              <w:jc w:val="center"/>
              <w:rPr>
                <w:rFonts w:ascii="宋体" w:hAnsi="宋体" w:cs="宋体"/>
                <w:kern w:val="0"/>
                <w:sz w:val="18"/>
                <w:szCs w:val="18"/>
              </w:rPr>
            </w:pPr>
            <w:r>
              <w:rPr>
                <w:rFonts w:hint="eastAsia" w:ascii="宋体" w:hAnsi="宋体" w:cs="宋体"/>
                <w:kern w:val="0"/>
                <w:sz w:val="18"/>
                <w:szCs w:val="18"/>
              </w:rPr>
              <w:t>铜都街道岩脚村宜居农房建设搬迁集中安置点项目</w:t>
            </w:r>
          </w:p>
        </w:tc>
        <w:tc>
          <w:tcPr>
            <w:tcW w:w="796" w:type="dxa"/>
            <w:shd w:val="clear" w:color="auto" w:fill="auto"/>
            <w:noWrap/>
            <w:vAlign w:val="center"/>
          </w:tcPr>
          <w:p w14:paraId="512CAA4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FECBA50">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65BD2451">
            <w:pPr>
              <w:widowControl/>
              <w:jc w:val="center"/>
              <w:rPr>
                <w:rFonts w:ascii="宋体" w:hAnsi="宋体" w:cs="宋体"/>
                <w:kern w:val="0"/>
                <w:sz w:val="18"/>
                <w:szCs w:val="18"/>
              </w:rPr>
            </w:pPr>
            <w:r>
              <w:rPr>
                <w:rFonts w:hint="eastAsia" w:ascii="宋体" w:hAnsi="宋体" w:cs="宋体"/>
                <w:kern w:val="0"/>
                <w:sz w:val="18"/>
                <w:szCs w:val="18"/>
              </w:rPr>
              <w:t>4.95</w:t>
            </w:r>
          </w:p>
        </w:tc>
        <w:tc>
          <w:tcPr>
            <w:tcW w:w="946" w:type="dxa"/>
            <w:shd w:val="clear" w:color="auto" w:fill="auto"/>
            <w:noWrap/>
            <w:vAlign w:val="center"/>
          </w:tcPr>
          <w:p w14:paraId="0213C755">
            <w:pPr>
              <w:widowControl/>
              <w:jc w:val="center"/>
              <w:rPr>
                <w:rFonts w:ascii="宋体" w:hAnsi="宋体" w:cs="宋体"/>
                <w:kern w:val="0"/>
                <w:sz w:val="18"/>
                <w:szCs w:val="18"/>
              </w:rPr>
            </w:pPr>
            <w:r>
              <w:rPr>
                <w:rFonts w:hint="eastAsia" w:ascii="宋体" w:hAnsi="宋体" w:cs="宋体"/>
                <w:kern w:val="0"/>
                <w:sz w:val="18"/>
                <w:szCs w:val="18"/>
              </w:rPr>
              <w:t>4.95</w:t>
            </w:r>
          </w:p>
        </w:tc>
        <w:tc>
          <w:tcPr>
            <w:tcW w:w="854" w:type="dxa"/>
            <w:shd w:val="clear" w:color="auto" w:fill="auto"/>
            <w:noWrap/>
            <w:vAlign w:val="center"/>
          </w:tcPr>
          <w:p w14:paraId="16B8C3CE">
            <w:pPr>
              <w:widowControl/>
              <w:jc w:val="center"/>
              <w:rPr>
                <w:rFonts w:ascii="宋体" w:hAnsi="宋体" w:cs="宋体"/>
                <w:kern w:val="0"/>
                <w:sz w:val="18"/>
                <w:szCs w:val="18"/>
              </w:rPr>
            </w:pPr>
            <w:r>
              <w:rPr>
                <w:rFonts w:hint="eastAsia" w:ascii="宋体" w:hAnsi="宋体" w:cs="宋体"/>
                <w:kern w:val="0"/>
                <w:sz w:val="18"/>
                <w:szCs w:val="18"/>
              </w:rPr>
              <w:t>4.11</w:t>
            </w:r>
          </w:p>
        </w:tc>
        <w:tc>
          <w:tcPr>
            <w:tcW w:w="1489" w:type="dxa"/>
            <w:shd w:val="clear" w:color="auto" w:fill="auto"/>
            <w:noWrap/>
            <w:vAlign w:val="center"/>
          </w:tcPr>
          <w:p w14:paraId="44D4614D">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13D8B5BF">
            <w:pPr>
              <w:widowControl/>
              <w:jc w:val="center"/>
              <w:rPr>
                <w:rFonts w:ascii="宋体" w:hAnsi="宋体" w:cs="宋体"/>
                <w:kern w:val="0"/>
                <w:sz w:val="18"/>
                <w:szCs w:val="18"/>
              </w:rPr>
            </w:pPr>
          </w:p>
        </w:tc>
      </w:tr>
      <w:tr w14:paraId="6E62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E8D710D">
            <w:pPr>
              <w:widowControl/>
              <w:jc w:val="center"/>
              <w:rPr>
                <w:rFonts w:ascii="宋体" w:hAnsi="宋体" w:cs="宋体"/>
                <w:kern w:val="0"/>
                <w:sz w:val="18"/>
                <w:szCs w:val="18"/>
              </w:rPr>
            </w:pPr>
          </w:p>
        </w:tc>
        <w:tc>
          <w:tcPr>
            <w:tcW w:w="3659" w:type="dxa"/>
            <w:shd w:val="clear" w:color="auto" w:fill="auto"/>
            <w:vAlign w:val="center"/>
          </w:tcPr>
          <w:p w14:paraId="2BDC1023">
            <w:pPr>
              <w:widowControl/>
              <w:jc w:val="center"/>
              <w:rPr>
                <w:rFonts w:ascii="宋体" w:hAnsi="宋体" w:cs="宋体"/>
                <w:kern w:val="0"/>
                <w:sz w:val="18"/>
                <w:szCs w:val="18"/>
              </w:rPr>
            </w:pPr>
            <w:r>
              <w:rPr>
                <w:rFonts w:hint="eastAsia" w:ascii="宋体" w:hAnsi="宋体" w:cs="宋体"/>
                <w:kern w:val="0"/>
                <w:sz w:val="18"/>
                <w:szCs w:val="18"/>
              </w:rPr>
              <w:t>拖布卡镇李家梁子小组宜居农房建设搬迁集中安置点项目</w:t>
            </w:r>
          </w:p>
        </w:tc>
        <w:tc>
          <w:tcPr>
            <w:tcW w:w="796" w:type="dxa"/>
            <w:shd w:val="clear" w:color="auto" w:fill="auto"/>
            <w:noWrap/>
            <w:vAlign w:val="center"/>
          </w:tcPr>
          <w:p w14:paraId="18FFAFEC">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5802CA9">
            <w:pPr>
              <w:widowControl/>
              <w:jc w:val="center"/>
              <w:rPr>
                <w:rFonts w:ascii="宋体" w:hAnsi="宋体" w:cs="宋体"/>
                <w:kern w:val="0"/>
                <w:sz w:val="18"/>
                <w:szCs w:val="18"/>
              </w:rPr>
            </w:pPr>
            <w:r>
              <w:rPr>
                <w:rFonts w:hint="eastAsia" w:ascii="宋体" w:hAnsi="宋体" w:cs="宋体"/>
                <w:kern w:val="0"/>
                <w:sz w:val="18"/>
                <w:szCs w:val="18"/>
              </w:rPr>
              <w:t>2010-2020</w:t>
            </w:r>
          </w:p>
        </w:tc>
        <w:tc>
          <w:tcPr>
            <w:tcW w:w="1026" w:type="dxa"/>
            <w:shd w:val="clear" w:color="auto" w:fill="auto"/>
            <w:noWrap/>
            <w:vAlign w:val="center"/>
          </w:tcPr>
          <w:p w14:paraId="046DD007">
            <w:pPr>
              <w:widowControl/>
              <w:jc w:val="center"/>
              <w:rPr>
                <w:rFonts w:ascii="宋体" w:hAnsi="宋体" w:cs="宋体"/>
                <w:kern w:val="0"/>
                <w:sz w:val="18"/>
                <w:szCs w:val="18"/>
              </w:rPr>
            </w:pPr>
            <w:r>
              <w:rPr>
                <w:rFonts w:hint="eastAsia" w:ascii="宋体" w:hAnsi="宋体" w:cs="宋体"/>
                <w:kern w:val="0"/>
                <w:sz w:val="18"/>
                <w:szCs w:val="18"/>
              </w:rPr>
              <w:t>3.37</w:t>
            </w:r>
          </w:p>
        </w:tc>
        <w:tc>
          <w:tcPr>
            <w:tcW w:w="946" w:type="dxa"/>
            <w:shd w:val="clear" w:color="auto" w:fill="auto"/>
            <w:noWrap/>
            <w:vAlign w:val="center"/>
          </w:tcPr>
          <w:p w14:paraId="1923647A">
            <w:pPr>
              <w:widowControl/>
              <w:jc w:val="center"/>
              <w:rPr>
                <w:rFonts w:ascii="宋体" w:hAnsi="宋体" w:cs="宋体"/>
                <w:kern w:val="0"/>
                <w:sz w:val="18"/>
                <w:szCs w:val="18"/>
              </w:rPr>
            </w:pPr>
            <w:r>
              <w:rPr>
                <w:rFonts w:hint="eastAsia" w:ascii="宋体" w:hAnsi="宋体" w:cs="宋体"/>
                <w:kern w:val="0"/>
                <w:sz w:val="18"/>
                <w:szCs w:val="18"/>
              </w:rPr>
              <w:t>3.17</w:t>
            </w:r>
          </w:p>
        </w:tc>
        <w:tc>
          <w:tcPr>
            <w:tcW w:w="854" w:type="dxa"/>
            <w:shd w:val="clear" w:color="auto" w:fill="auto"/>
            <w:noWrap/>
            <w:vAlign w:val="center"/>
          </w:tcPr>
          <w:p w14:paraId="0F38FAAC">
            <w:pPr>
              <w:widowControl/>
              <w:jc w:val="center"/>
              <w:rPr>
                <w:rFonts w:ascii="宋体" w:hAnsi="宋体" w:cs="宋体"/>
                <w:kern w:val="0"/>
                <w:sz w:val="18"/>
                <w:szCs w:val="18"/>
              </w:rPr>
            </w:pPr>
            <w:r>
              <w:rPr>
                <w:rFonts w:hint="eastAsia" w:ascii="宋体" w:hAnsi="宋体" w:cs="宋体"/>
                <w:kern w:val="0"/>
                <w:sz w:val="18"/>
                <w:szCs w:val="18"/>
              </w:rPr>
              <w:t>2.46</w:t>
            </w:r>
          </w:p>
        </w:tc>
        <w:tc>
          <w:tcPr>
            <w:tcW w:w="1489" w:type="dxa"/>
            <w:shd w:val="clear" w:color="auto" w:fill="auto"/>
            <w:noWrap/>
            <w:vAlign w:val="center"/>
          </w:tcPr>
          <w:p w14:paraId="1D5EABA0">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6F92337E">
            <w:pPr>
              <w:widowControl/>
              <w:jc w:val="center"/>
              <w:rPr>
                <w:rFonts w:ascii="宋体" w:hAnsi="宋体" w:cs="宋体"/>
                <w:kern w:val="0"/>
                <w:sz w:val="18"/>
                <w:szCs w:val="18"/>
              </w:rPr>
            </w:pPr>
          </w:p>
        </w:tc>
      </w:tr>
      <w:tr w14:paraId="2638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5BD83B9">
            <w:pPr>
              <w:widowControl/>
              <w:jc w:val="center"/>
              <w:rPr>
                <w:rFonts w:ascii="宋体" w:hAnsi="宋体" w:cs="宋体"/>
                <w:kern w:val="0"/>
                <w:sz w:val="18"/>
                <w:szCs w:val="18"/>
              </w:rPr>
            </w:pPr>
          </w:p>
        </w:tc>
        <w:tc>
          <w:tcPr>
            <w:tcW w:w="3659" w:type="dxa"/>
            <w:shd w:val="clear" w:color="auto" w:fill="auto"/>
            <w:vAlign w:val="center"/>
          </w:tcPr>
          <w:p w14:paraId="23B82434">
            <w:pPr>
              <w:widowControl/>
              <w:jc w:val="center"/>
              <w:rPr>
                <w:rFonts w:ascii="宋体" w:hAnsi="宋体" w:cs="宋体"/>
                <w:kern w:val="0"/>
                <w:sz w:val="18"/>
                <w:szCs w:val="18"/>
              </w:rPr>
            </w:pPr>
            <w:r>
              <w:rPr>
                <w:rFonts w:hint="eastAsia" w:ascii="宋体" w:hAnsi="宋体" w:cs="宋体"/>
                <w:kern w:val="0"/>
                <w:sz w:val="18"/>
                <w:szCs w:val="18"/>
              </w:rPr>
              <w:t>拖布卡镇宜居农房建设搬迁集中安置点项目地块一</w:t>
            </w:r>
          </w:p>
        </w:tc>
        <w:tc>
          <w:tcPr>
            <w:tcW w:w="796" w:type="dxa"/>
            <w:shd w:val="clear" w:color="auto" w:fill="auto"/>
            <w:noWrap/>
            <w:vAlign w:val="center"/>
          </w:tcPr>
          <w:p w14:paraId="089D9BB6">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2B87D7F1">
            <w:pPr>
              <w:widowControl/>
              <w:jc w:val="center"/>
              <w:rPr>
                <w:rFonts w:ascii="宋体" w:hAnsi="宋体" w:cs="宋体"/>
                <w:kern w:val="0"/>
                <w:sz w:val="18"/>
                <w:szCs w:val="18"/>
              </w:rPr>
            </w:pPr>
            <w:r>
              <w:rPr>
                <w:rFonts w:hint="eastAsia" w:ascii="宋体" w:hAnsi="宋体" w:cs="宋体"/>
                <w:kern w:val="0"/>
                <w:sz w:val="18"/>
                <w:szCs w:val="18"/>
              </w:rPr>
              <w:t>2017-2018</w:t>
            </w:r>
          </w:p>
        </w:tc>
        <w:tc>
          <w:tcPr>
            <w:tcW w:w="1026" w:type="dxa"/>
            <w:shd w:val="clear" w:color="auto" w:fill="auto"/>
            <w:noWrap/>
            <w:vAlign w:val="center"/>
          </w:tcPr>
          <w:p w14:paraId="7397ABAC">
            <w:pPr>
              <w:widowControl/>
              <w:jc w:val="center"/>
              <w:rPr>
                <w:rFonts w:ascii="宋体" w:hAnsi="宋体" w:cs="宋体"/>
                <w:kern w:val="0"/>
                <w:sz w:val="18"/>
                <w:szCs w:val="18"/>
              </w:rPr>
            </w:pPr>
            <w:r>
              <w:rPr>
                <w:rFonts w:hint="eastAsia" w:ascii="宋体" w:hAnsi="宋体" w:cs="宋体"/>
                <w:kern w:val="0"/>
                <w:sz w:val="18"/>
                <w:szCs w:val="18"/>
              </w:rPr>
              <w:t>6.04</w:t>
            </w:r>
          </w:p>
        </w:tc>
        <w:tc>
          <w:tcPr>
            <w:tcW w:w="946" w:type="dxa"/>
            <w:shd w:val="clear" w:color="auto" w:fill="auto"/>
            <w:noWrap/>
            <w:vAlign w:val="center"/>
          </w:tcPr>
          <w:p w14:paraId="7781EAF8">
            <w:pPr>
              <w:widowControl/>
              <w:jc w:val="center"/>
              <w:rPr>
                <w:rFonts w:ascii="宋体" w:hAnsi="宋体" w:cs="宋体"/>
                <w:kern w:val="0"/>
                <w:sz w:val="18"/>
                <w:szCs w:val="18"/>
              </w:rPr>
            </w:pPr>
            <w:r>
              <w:rPr>
                <w:rFonts w:hint="eastAsia" w:ascii="宋体" w:hAnsi="宋体" w:cs="宋体"/>
                <w:kern w:val="0"/>
                <w:sz w:val="18"/>
                <w:szCs w:val="18"/>
              </w:rPr>
              <w:t>5.98</w:t>
            </w:r>
          </w:p>
        </w:tc>
        <w:tc>
          <w:tcPr>
            <w:tcW w:w="854" w:type="dxa"/>
            <w:shd w:val="clear" w:color="auto" w:fill="auto"/>
            <w:noWrap/>
            <w:vAlign w:val="center"/>
          </w:tcPr>
          <w:p w14:paraId="25B82F51">
            <w:pPr>
              <w:widowControl/>
              <w:jc w:val="center"/>
              <w:rPr>
                <w:rFonts w:ascii="宋体" w:hAnsi="宋体" w:cs="宋体"/>
                <w:kern w:val="0"/>
                <w:sz w:val="18"/>
                <w:szCs w:val="18"/>
              </w:rPr>
            </w:pPr>
            <w:r>
              <w:rPr>
                <w:rFonts w:hint="eastAsia" w:ascii="宋体" w:hAnsi="宋体" w:cs="宋体"/>
                <w:kern w:val="0"/>
                <w:sz w:val="18"/>
                <w:szCs w:val="18"/>
              </w:rPr>
              <w:t>5.53</w:t>
            </w:r>
          </w:p>
        </w:tc>
        <w:tc>
          <w:tcPr>
            <w:tcW w:w="1489" w:type="dxa"/>
            <w:shd w:val="clear" w:color="auto" w:fill="auto"/>
            <w:noWrap/>
            <w:vAlign w:val="center"/>
          </w:tcPr>
          <w:p w14:paraId="0E0C3933">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3B96EA0C">
            <w:pPr>
              <w:widowControl/>
              <w:jc w:val="center"/>
              <w:rPr>
                <w:rFonts w:ascii="宋体" w:hAnsi="宋体" w:cs="宋体"/>
                <w:kern w:val="0"/>
                <w:sz w:val="18"/>
                <w:szCs w:val="18"/>
              </w:rPr>
            </w:pPr>
          </w:p>
        </w:tc>
      </w:tr>
      <w:tr w14:paraId="076D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1421587">
            <w:pPr>
              <w:widowControl/>
              <w:jc w:val="center"/>
              <w:rPr>
                <w:rFonts w:ascii="宋体" w:hAnsi="宋体" w:cs="宋体"/>
                <w:kern w:val="0"/>
                <w:sz w:val="18"/>
                <w:szCs w:val="18"/>
              </w:rPr>
            </w:pPr>
          </w:p>
        </w:tc>
        <w:tc>
          <w:tcPr>
            <w:tcW w:w="3659" w:type="dxa"/>
            <w:shd w:val="clear" w:color="auto" w:fill="auto"/>
            <w:vAlign w:val="center"/>
          </w:tcPr>
          <w:p w14:paraId="1CAE08F8">
            <w:pPr>
              <w:widowControl/>
              <w:jc w:val="center"/>
              <w:rPr>
                <w:rFonts w:ascii="宋体" w:hAnsi="宋体" w:cs="宋体"/>
                <w:kern w:val="0"/>
                <w:sz w:val="18"/>
                <w:szCs w:val="18"/>
              </w:rPr>
            </w:pPr>
            <w:r>
              <w:rPr>
                <w:rFonts w:hint="eastAsia" w:ascii="宋体" w:hAnsi="宋体" w:cs="宋体"/>
                <w:kern w:val="0"/>
                <w:sz w:val="18"/>
                <w:szCs w:val="18"/>
              </w:rPr>
              <w:t>拖布卡镇宜居农房建设搬迁集中安置点项目地块二</w:t>
            </w:r>
          </w:p>
        </w:tc>
        <w:tc>
          <w:tcPr>
            <w:tcW w:w="796" w:type="dxa"/>
            <w:shd w:val="clear" w:color="auto" w:fill="auto"/>
            <w:noWrap/>
            <w:vAlign w:val="center"/>
          </w:tcPr>
          <w:p w14:paraId="0DCBCF40">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077A887A">
            <w:pPr>
              <w:widowControl/>
              <w:jc w:val="center"/>
              <w:rPr>
                <w:rFonts w:ascii="宋体" w:hAnsi="宋体" w:cs="宋体"/>
                <w:kern w:val="0"/>
                <w:sz w:val="18"/>
                <w:szCs w:val="18"/>
              </w:rPr>
            </w:pPr>
            <w:r>
              <w:rPr>
                <w:rFonts w:hint="eastAsia" w:ascii="宋体" w:hAnsi="宋体" w:cs="宋体"/>
                <w:kern w:val="0"/>
                <w:sz w:val="18"/>
                <w:szCs w:val="18"/>
              </w:rPr>
              <w:t>2017-2018</w:t>
            </w:r>
          </w:p>
        </w:tc>
        <w:tc>
          <w:tcPr>
            <w:tcW w:w="1026" w:type="dxa"/>
            <w:shd w:val="clear" w:color="auto" w:fill="auto"/>
            <w:noWrap/>
            <w:vAlign w:val="center"/>
          </w:tcPr>
          <w:p w14:paraId="6A59B334">
            <w:pPr>
              <w:widowControl/>
              <w:jc w:val="center"/>
              <w:rPr>
                <w:rFonts w:ascii="宋体" w:hAnsi="宋体" w:cs="宋体"/>
                <w:kern w:val="0"/>
                <w:sz w:val="18"/>
                <w:szCs w:val="18"/>
              </w:rPr>
            </w:pPr>
            <w:r>
              <w:rPr>
                <w:rFonts w:hint="eastAsia" w:ascii="宋体" w:hAnsi="宋体" w:cs="宋体"/>
                <w:kern w:val="0"/>
                <w:sz w:val="18"/>
                <w:szCs w:val="18"/>
              </w:rPr>
              <w:t>1.56</w:t>
            </w:r>
          </w:p>
        </w:tc>
        <w:tc>
          <w:tcPr>
            <w:tcW w:w="946" w:type="dxa"/>
            <w:shd w:val="clear" w:color="auto" w:fill="auto"/>
            <w:noWrap/>
            <w:vAlign w:val="center"/>
          </w:tcPr>
          <w:p w14:paraId="4B0D3324">
            <w:pPr>
              <w:widowControl/>
              <w:jc w:val="center"/>
              <w:rPr>
                <w:rFonts w:ascii="宋体" w:hAnsi="宋体" w:cs="宋体"/>
                <w:kern w:val="0"/>
                <w:sz w:val="18"/>
                <w:szCs w:val="18"/>
              </w:rPr>
            </w:pPr>
            <w:r>
              <w:rPr>
                <w:rFonts w:hint="eastAsia" w:ascii="宋体" w:hAnsi="宋体" w:cs="宋体"/>
                <w:kern w:val="0"/>
                <w:sz w:val="18"/>
                <w:szCs w:val="18"/>
              </w:rPr>
              <w:t>1.56</w:t>
            </w:r>
          </w:p>
        </w:tc>
        <w:tc>
          <w:tcPr>
            <w:tcW w:w="854" w:type="dxa"/>
            <w:shd w:val="clear" w:color="auto" w:fill="auto"/>
            <w:noWrap/>
            <w:vAlign w:val="center"/>
          </w:tcPr>
          <w:p w14:paraId="71A664D2">
            <w:pPr>
              <w:widowControl/>
              <w:jc w:val="center"/>
              <w:rPr>
                <w:rFonts w:ascii="宋体" w:hAnsi="宋体" w:cs="宋体"/>
                <w:kern w:val="0"/>
                <w:sz w:val="18"/>
                <w:szCs w:val="18"/>
              </w:rPr>
            </w:pPr>
            <w:r>
              <w:rPr>
                <w:rFonts w:hint="eastAsia" w:ascii="宋体" w:hAnsi="宋体" w:cs="宋体"/>
                <w:kern w:val="0"/>
                <w:sz w:val="18"/>
                <w:szCs w:val="18"/>
              </w:rPr>
              <w:t>1.56</w:t>
            </w:r>
          </w:p>
        </w:tc>
        <w:tc>
          <w:tcPr>
            <w:tcW w:w="1489" w:type="dxa"/>
            <w:shd w:val="clear" w:color="auto" w:fill="auto"/>
            <w:noWrap/>
            <w:vAlign w:val="center"/>
          </w:tcPr>
          <w:p w14:paraId="753972D4">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1CE097E4">
            <w:pPr>
              <w:widowControl/>
              <w:jc w:val="center"/>
              <w:rPr>
                <w:rFonts w:ascii="宋体" w:hAnsi="宋体" w:cs="宋体"/>
                <w:kern w:val="0"/>
                <w:sz w:val="18"/>
                <w:szCs w:val="18"/>
              </w:rPr>
            </w:pPr>
          </w:p>
        </w:tc>
      </w:tr>
      <w:tr w14:paraId="7CF0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D73B778">
            <w:pPr>
              <w:widowControl/>
              <w:jc w:val="center"/>
              <w:rPr>
                <w:rFonts w:ascii="宋体" w:hAnsi="宋体" w:cs="宋体"/>
                <w:kern w:val="0"/>
                <w:sz w:val="18"/>
                <w:szCs w:val="18"/>
              </w:rPr>
            </w:pPr>
          </w:p>
        </w:tc>
        <w:tc>
          <w:tcPr>
            <w:tcW w:w="3659" w:type="dxa"/>
            <w:shd w:val="clear" w:color="auto" w:fill="auto"/>
            <w:vAlign w:val="center"/>
          </w:tcPr>
          <w:p w14:paraId="6350D492">
            <w:pPr>
              <w:widowControl/>
              <w:jc w:val="center"/>
              <w:rPr>
                <w:rFonts w:ascii="宋体" w:hAnsi="宋体" w:cs="宋体"/>
                <w:kern w:val="0"/>
                <w:sz w:val="18"/>
                <w:szCs w:val="18"/>
              </w:rPr>
            </w:pPr>
            <w:r>
              <w:rPr>
                <w:rFonts w:hint="eastAsia" w:ascii="宋体" w:hAnsi="宋体" w:cs="宋体"/>
                <w:kern w:val="0"/>
                <w:sz w:val="18"/>
                <w:szCs w:val="18"/>
              </w:rPr>
              <w:t>乌龙镇半坡村小新山宜居农房建设搬迁集中安置点项目</w:t>
            </w:r>
          </w:p>
        </w:tc>
        <w:tc>
          <w:tcPr>
            <w:tcW w:w="796" w:type="dxa"/>
            <w:shd w:val="clear" w:color="auto" w:fill="auto"/>
            <w:noWrap/>
            <w:vAlign w:val="center"/>
          </w:tcPr>
          <w:p w14:paraId="0776E54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BB83EF8">
            <w:pPr>
              <w:widowControl/>
              <w:jc w:val="center"/>
              <w:rPr>
                <w:rFonts w:ascii="宋体" w:hAnsi="宋体" w:cs="宋体"/>
                <w:kern w:val="0"/>
                <w:sz w:val="18"/>
                <w:szCs w:val="18"/>
              </w:rPr>
            </w:pPr>
            <w:r>
              <w:rPr>
                <w:rFonts w:hint="eastAsia" w:ascii="宋体" w:hAnsi="宋体" w:cs="宋体"/>
                <w:kern w:val="0"/>
                <w:sz w:val="18"/>
                <w:szCs w:val="18"/>
              </w:rPr>
              <w:t>2010-2014</w:t>
            </w:r>
          </w:p>
        </w:tc>
        <w:tc>
          <w:tcPr>
            <w:tcW w:w="1026" w:type="dxa"/>
            <w:shd w:val="clear" w:color="auto" w:fill="auto"/>
            <w:noWrap/>
            <w:vAlign w:val="center"/>
          </w:tcPr>
          <w:p w14:paraId="3288ED59">
            <w:pPr>
              <w:widowControl/>
              <w:jc w:val="center"/>
              <w:rPr>
                <w:rFonts w:ascii="宋体" w:hAnsi="宋体" w:cs="宋体"/>
                <w:kern w:val="0"/>
                <w:sz w:val="18"/>
                <w:szCs w:val="18"/>
              </w:rPr>
            </w:pPr>
            <w:r>
              <w:rPr>
                <w:rFonts w:hint="eastAsia" w:ascii="宋体" w:hAnsi="宋体" w:cs="宋体"/>
                <w:kern w:val="0"/>
                <w:sz w:val="18"/>
                <w:szCs w:val="18"/>
              </w:rPr>
              <w:t>3.33</w:t>
            </w:r>
          </w:p>
        </w:tc>
        <w:tc>
          <w:tcPr>
            <w:tcW w:w="946" w:type="dxa"/>
            <w:shd w:val="clear" w:color="auto" w:fill="auto"/>
            <w:noWrap/>
            <w:vAlign w:val="center"/>
          </w:tcPr>
          <w:p w14:paraId="339799F7">
            <w:pPr>
              <w:widowControl/>
              <w:jc w:val="center"/>
              <w:rPr>
                <w:rFonts w:ascii="宋体" w:hAnsi="宋体" w:cs="宋体"/>
                <w:kern w:val="0"/>
                <w:sz w:val="18"/>
                <w:szCs w:val="18"/>
              </w:rPr>
            </w:pPr>
            <w:r>
              <w:rPr>
                <w:rFonts w:hint="eastAsia" w:ascii="宋体" w:hAnsi="宋体" w:cs="宋体"/>
                <w:kern w:val="0"/>
                <w:sz w:val="18"/>
                <w:szCs w:val="18"/>
              </w:rPr>
              <w:t>3.33</w:t>
            </w:r>
          </w:p>
        </w:tc>
        <w:tc>
          <w:tcPr>
            <w:tcW w:w="854" w:type="dxa"/>
            <w:shd w:val="clear" w:color="auto" w:fill="auto"/>
            <w:noWrap/>
            <w:vAlign w:val="center"/>
          </w:tcPr>
          <w:p w14:paraId="139D607A">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09CEABA9">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59A409BD">
            <w:pPr>
              <w:widowControl/>
              <w:jc w:val="center"/>
              <w:rPr>
                <w:rFonts w:ascii="宋体" w:hAnsi="宋体" w:cs="宋体"/>
                <w:kern w:val="0"/>
                <w:sz w:val="18"/>
                <w:szCs w:val="18"/>
              </w:rPr>
            </w:pPr>
          </w:p>
        </w:tc>
      </w:tr>
      <w:tr w14:paraId="6E45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CEFE4BE">
            <w:pPr>
              <w:widowControl/>
              <w:jc w:val="center"/>
              <w:rPr>
                <w:rFonts w:ascii="宋体" w:hAnsi="宋体" w:cs="宋体"/>
                <w:kern w:val="0"/>
                <w:sz w:val="18"/>
                <w:szCs w:val="18"/>
              </w:rPr>
            </w:pPr>
          </w:p>
        </w:tc>
        <w:tc>
          <w:tcPr>
            <w:tcW w:w="3659" w:type="dxa"/>
            <w:shd w:val="clear" w:color="auto" w:fill="auto"/>
            <w:vAlign w:val="center"/>
          </w:tcPr>
          <w:p w14:paraId="693018AB">
            <w:pPr>
              <w:widowControl/>
              <w:jc w:val="center"/>
              <w:rPr>
                <w:rFonts w:ascii="宋体" w:hAnsi="宋体" w:cs="宋体"/>
                <w:kern w:val="0"/>
                <w:sz w:val="18"/>
                <w:szCs w:val="18"/>
              </w:rPr>
            </w:pPr>
            <w:r>
              <w:rPr>
                <w:rFonts w:hint="eastAsia" w:ascii="宋体" w:hAnsi="宋体" w:cs="宋体"/>
                <w:kern w:val="0"/>
                <w:sz w:val="18"/>
                <w:szCs w:val="18"/>
              </w:rPr>
              <w:t>乌龙镇大碑棋宜居农房建设搬迁集中安置点</w:t>
            </w:r>
          </w:p>
        </w:tc>
        <w:tc>
          <w:tcPr>
            <w:tcW w:w="796" w:type="dxa"/>
            <w:shd w:val="clear" w:color="auto" w:fill="auto"/>
            <w:noWrap/>
            <w:vAlign w:val="center"/>
          </w:tcPr>
          <w:p w14:paraId="183886FC">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55827158">
            <w:pPr>
              <w:widowControl/>
              <w:jc w:val="center"/>
              <w:rPr>
                <w:rFonts w:ascii="宋体" w:hAnsi="宋体" w:cs="宋体"/>
                <w:kern w:val="0"/>
                <w:sz w:val="18"/>
                <w:szCs w:val="18"/>
              </w:rPr>
            </w:pPr>
            <w:r>
              <w:rPr>
                <w:rFonts w:hint="eastAsia" w:ascii="宋体" w:hAnsi="宋体" w:cs="宋体"/>
                <w:kern w:val="0"/>
                <w:sz w:val="18"/>
                <w:szCs w:val="18"/>
              </w:rPr>
              <w:t>2016</w:t>
            </w:r>
          </w:p>
        </w:tc>
        <w:tc>
          <w:tcPr>
            <w:tcW w:w="1026" w:type="dxa"/>
            <w:shd w:val="clear" w:color="auto" w:fill="auto"/>
            <w:noWrap/>
            <w:vAlign w:val="center"/>
          </w:tcPr>
          <w:p w14:paraId="310383DB">
            <w:pPr>
              <w:widowControl/>
              <w:jc w:val="center"/>
              <w:rPr>
                <w:rFonts w:ascii="宋体" w:hAnsi="宋体" w:cs="宋体"/>
                <w:kern w:val="0"/>
                <w:sz w:val="18"/>
                <w:szCs w:val="18"/>
              </w:rPr>
            </w:pPr>
            <w:r>
              <w:rPr>
                <w:rFonts w:hint="eastAsia" w:ascii="宋体" w:hAnsi="宋体" w:cs="宋体"/>
                <w:kern w:val="0"/>
                <w:sz w:val="18"/>
                <w:szCs w:val="18"/>
              </w:rPr>
              <w:t>1.03</w:t>
            </w:r>
          </w:p>
        </w:tc>
        <w:tc>
          <w:tcPr>
            <w:tcW w:w="946" w:type="dxa"/>
            <w:shd w:val="clear" w:color="auto" w:fill="auto"/>
            <w:noWrap/>
            <w:vAlign w:val="center"/>
          </w:tcPr>
          <w:p w14:paraId="45F2BFD0">
            <w:pPr>
              <w:widowControl/>
              <w:jc w:val="center"/>
              <w:rPr>
                <w:rFonts w:ascii="宋体" w:hAnsi="宋体" w:cs="宋体"/>
                <w:kern w:val="0"/>
                <w:sz w:val="18"/>
                <w:szCs w:val="18"/>
              </w:rPr>
            </w:pPr>
            <w:r>
              <w:rPr>
                <w:rFonts w:hint="eastAsia" w:ascii="宋体" w:hAnsi="宋体" w:cs="宋体"/>
                <w:kern w:val="0"/>
                <w:sz w:val="18"/>
                <w:szCs w:val="18"/>
              </w:rPr>
              <w:t>1.03</w:t>
            </w:r>
          </w:p>
        </w:tc>
        <w:tc>
          <w:tcPr>
            <w:tcW w:w="854" w:type="dxa"/>
            <w:shd w:val="clear" w:color="auto" w:fill="auto"/>
            <w:noWrap/>
            <w:vAlign w:val="center"/>
          </w:tcPr>
          <w:p w14:paraId="66714455">
            <w:pPr>
              <w:widowControl/>
              <w:jc w:val="center"/>
              <w:rPr>
                <w:rFonts w:ascii="宋体" w:hAnsi="宋体" w:cs="宋体"/>
                <w:kern w:val="0"/>
                <w:sz w:val="18"/>
                <w:szCs w:val="18"/>
              </w:rPr>
            </w:pPr>
            <w:r>
              <w:rPr>
                <w:rFonts w:hint="eastAsia" w:ascii="宋体" w:hAnsi="宋体" w:cs="宋体"/>
                <w:kern w:val="0"/>
                <w:sz w:val="18"/>
                <w:szCs w:val="18"/>
              </w:rPr>
              <w:t>1.03</w:t>
            </w:r>
          </w:p>
        </w:tc>
        <w:tc>
          <w:tcPr>
            <w:tcW w:w="1489" w:type="dxa"/>
            <w:shd w:val="clear" w:color="auto" w:fill="auto"/>
            <w:noWrap/>
            <w:vAlign w:val="center"/>
          </w:tcPr>
          <w:p w14:paraId="62D3D828">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4AC259B0">
            <w:pPr>
              <w:widowControl/>
              <w:jc w:val="center"/>
              <w:rPr>
                <w:rFonts w:ascii="宋体" w:hAnsi="宋体" w:cs="宋体"/>
                <w:kern w:val="0"/>
                <w:sz w:val="18"/>
                <w:szCs w:val="18"/>
              </w:rPr>
            </w:pPr>
          </w:p>
        </w:tc>
      </w:tr>
      <w:tr w14:paraId="4E17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390BC97">
            <w:pPr>
              <w:widowControl/>
              <w:jc w:val="center"/>
              <w:rPr>
                <w:rFonts w:ascii="宋体" w:hAnsi="宋体" w:cs="宋体"/>
                <w:kern w:val="0"/>
                <w:sz w:val="18"/>
                <w:szCs w:val="18"/>
              </w:rPr>
            </w:pPr>
          </w:p>
        </w:tc>
        <w:tc>
          <w:tcPr>
            <w:tcW w:w="3659" w:type="dxa"/>
            <w:shd w:val="clear" w:color="auto" w:fill="auto"/>
            <w:vAlign w:val="center"/>
          </w:tcPr>
          <w:p w14:paraId="06117837">
            <w:pPr>
              <w:widowControl/>
              <w:jc w:val="center"/>
              <w:rPr>
                <w:rFonts w:ascii="宋体" w:hAnsi="宋体" w:cs="宋体"/>
                <w:kern w:val="0"/>
                <w:sz w:val="18"/>
                <w:szCs w:val="18"/>
              </w:rPr>
            </w:pPr>
            <w:r>
              <w:rPr>
                <w:rFonts w:hint="eastAsia" w:ascii="宋体" w:hAnsi="宋体" w:cs="宋体"/>
                <w:kern w:val="0"/>
                <w:sz w:val="18"/>
                <w:szCs w:val="18"/>
              </w:rPr>
              <w:t>乌龙镇大村子宜居农房建设搬迁集中安置点</w:t>
            </w:r>
          </w:p>
        </w:tc>
        <w:tc>
          <w:tcPr>
            <w:tcW w:w="796" w:type="dxa"/>
            <w:shd w:val="clear" w:color="auto" w:fill="auto"/>
            <w:noWrap/>
            <w:vAlign w:val="center"/>
          </w:tcPr>
          <w:p w14:paraId="47DA3127">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FC6B952">
            <w:pPr>
              <w:widowControl/>
              <w:jc w:val="center"/>
              <w:rPr>
                <w:rFonts w:ascii="宋体" w:hAnsi="宋体" w:cs="宋体"/>
                <w:kern w:val="0"/>
                <w:sz w:val="18"/>
                <w:szCs w:val="18"/>
              </w:rPr>
            </w:pPr>
            <w:r>
              <w:rPr>
                <w:rFonts w:hint="eastAsia" w:ascii="宋体" w:hAnsi="宋体" w:cs="宋体"/>
                <w:kern w:val="0"/>
                <w:sz w:val="18"/>
                <w:szCs w:val="18"/>
              </w:rPr>
              <w:t>2016</w:t>
            </w:r>
          </w:p>
        </w:tc>
        <w:tc>
          <w:tcPr>
            <w:tcW w:w="1026" w:type="dxa"/>
            <w:shd w:val="clear" w:color="auto" w:fill="auto"/>
            <w:noWrap/>
            <w:vAlign w:val="center"/>
          </w:tcPr>
          <w:p w14:paraId="4E2A0392">
            <w:pPr>
              <w:widowControl/>
              <w:jc w:val="center"/>
              <w:rPr>
                <w:rFonts w:ascii="宋体" w:hAnsi="宋体" w:cs="宋体"/>
                <w:kern w:val="0"/>
                <w:sz w:val="18"/>
                <w:szCs w:val="18"/>
              </w:rPr>
            </w:pPr>
            <w:r>
              <w:rPr>
                <w:rFonts w:hint="eastAsia" w:ascii="宋体" w:hAnsi="宋体" w:cs="宋体"/>
                <w:kern w:val="0"/>
                <w:sz w:val="18"/>
                <w:szCs w:val="18"/>
              </w:rPr>
              <w:t>4.10</w:t>
            </w:r>
          </w:p>
        </w:tc>
        <w:tc>
          <w:tcPr>
            <w:tcW w:w="946" w:type="dxa"/>
            <w:shd w:val="clear" w:color="auto" w:fill="auto"/>
            <w:noWrap/>
            <w:vAlign w:val="center"/>
          </w:tcPr>
          <w:p w14:paraId="43A25560">
            <w:pPr>
              <w:widowControl/>
              <w:jc w:val="center"/>
              <w:rPr>
                <w:rFonts w:ascii="宋体" w:hAnsi="宋体" w:cs="宋体"/>
                <w:kern w:val="0"/>
                <w:sz w:val="18"/>
                <w:szCs w:val="18"/>
              </w:rPr>
            </w:pPr>
            <w:r>
              <w:rPr>
                <w:rFonts w:hint="eastAsia" w:ascii="宋体" w:hAnsi="宋体" w:cs="宋体"/>
                <w:kern w:val="0"/>
                <w:sz w:val="18"/>
                <w:szCs w:val="18"/>
              </w:rPr>
              <w:t>3.62</w:t>
            </w:r>
          </w:p>
        </w:tc>
        <w:tc>
          <w:tcPr>
            <w:tcW w:w="854" w:type="dxa"/>
            <w:shd w:val="clear" w:color="auto" w:fill="auto"/>
            <w:noWrap/>
            <w:vAlign w:val="center"/>
          </w:tcPr>
          <w:p w14:paraId="30EBE4E9">
            <w:pPr>
              <w:widowControl/>
              <w:jc w:val="center"/>
              <w:rPr>
                <w:rFonts w:ascii="宋体" w:hAnsi="宋体" w:cs="宋体"/>
                <w:kern w:val="0"/>
                <w:sz w:val="18"/>
                <w:szCs w:val="18"/>
              </w:rPr>
            </w:pPr>
            <w:r>
              <w:rPr>
                <w:rFonts w:hint="eastAsia" w:ascii="宋体" w:hAnsi="宋体" w:cs="宋体"/>
                <w:kern w:val="0"/>
                <w:sz w:val="18"/>
                <w:szCs w:val="18"/>
              </w:rPr>
              <w:t>3.62</w:t>
            </w:r>
          </w:p>
        </w:tc>
        <w:tc>
          <w:tcPr>
            <w:tcW w:w="1489" w:type="dxa"/>
            <w:shd w:val="clear" w:color="auto" w:fill="auto"/>
            <w:noWrap/>
            <w:vAlign w:val="center"/>
          </w:tcPr>
          <w:p w14:paraId="1F3A9F45">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236B9057">
            <w:pPr>
              <w:widowControl/>
              <w:jc w:val="center"/>
              <w:rPr>
                <w:rFonts w:ascii="宋体" w:hAnsi="宋体" w:cs="宋体"/>
                <w:kern w:val="0"/>
                <w:sz w:val="18"/>
                <w:szCs w:val="18"/>
              </w:rPr>
            </w:pPr>
          </w:p>
        </w:tc>
      </w:tr>
      <w:tr w14:paraId="4149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D4CCBFA">
            <w:pPr>
              <w:widowControl/>
              <w:jc w:val="center"/>
              <w:rPr>
                <w:rFonts w:ascii="宋体" w:hAnsi="宋体" w:cs="宋体"/>
                <w:kern w:val="0"/>
                <w:sz w:val="18"/>
                <w:szCs w:val="18"/>
              </w:rPr>
            </w:pPr>
          </w:p>
        </w:tc>
        <w:tc>
          <w:tcPr>
            <w:tcW w:w="3659" w:type="dxa"/>
            <w:shd w:val="clear" w:color="auto" w:fill="auto"/>
            <w:vAlign w:val="center"/>
          </w:tcPr>
          <w:p w14:paraId="23DB76F4">
            <w:pPr>
              <w:widowControl/>
              <w:jc w:val="center"/>
              <w:rPr>
                <w:rFonts w:ascii="宋体" w:hAnsi="宋体" w:cs="宋体"/>
                <w:kern w:val="0"/>
                <w:sz w:val="18"/>
                <w:szCs w:val="18"/>
              </w:rPr>
            </w:pPr>
            <w:r>
              <w:rPr>
                <w:rFonts w:hint="eastAsia" w:ascii="宋体" w:hAnsi="宋体" w:cs="宋体"/>
                <w:kern w:val="0"/>
                <w:sz w:val="18"/>
                <w:szCs w:val="18"/>
              </w:rPr>
              <w:t>乌龙镇大水井宜居农房建设搬迁集中安置点</w:t>
            </w:r>
          </w:p>
        </w:tc>
        <w:tc>
          <w:tcPr>
            <w:tcW w:w="796" w:type="dxa"/>
            <w:shd w:val="clear" w:color="auto" w:fill="auto"/>
            <w:noWrap/>
            <w:vAlign w:val="center"/>
          </w:tcPr>
          <w:p w14:paraId="23D0AC6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8FD1E75">
            <w:pPr>
              <w:widowControl/>
              <w:jc w:val="center"/>
              <w:rPr>
                <w:rFonts w:ascii="宋体" w:hAnsi="宋体" w:cs="宋体"/>
                <w:kern w:val="0"/>
                <w:sz w:val="18"/>
                <w:szCs w:val="18"/>
              </w:rPr>
            </w:pPr>
            <w:r>
              <w:rPr>
                <w:rFonts w:hint="eastAsia" w:ascii="宋体" w:hAnsi="宋体" w:cs="宋体"/>
                <w:kern w:val="0"/>
                <w:sz w:val="18"/>
                <w:szCs w:val="18"/>
              </w:rPr>
              <w:t>2017-2020</w:t>
            </w:r>
          </w:p>
        </w:tc>
        <w:tc>
          <w:tcPr>
            <w:tcW w:w="1026" w:type="dxa"/>
            <w:shd w:val="clear" w:color="auto" w:fill="auto"/>
            <w:noWrap/>
            <w:vAlign w:val="center"/>
          </w:tcPr>
          <w:p w14:paraId="5FEF3404">
            <w:pPr>
              <w:widowControl/>
              <w:jc w:val="center"/>
              <w:rPr>
                <w:rFonts w:ascii="宋体" w:hAnsi="宋体" w:cs="宋体"/>
                <w:kern w:val="0"/>
                <w:sz w:val="18"/>
                <w:szCs w:val="18"/>
              </w:rPr>
            </w:pPr>
            <w:r>
              <w:rPr>
                <w:rFonts w:hint="eastAsia" w:ascii="宋体" w:hAnsi="宋体" w:cs="宋体"/>
                <w:kern w:val="0"/>
                <w:sz w:val="18"/>
                <w:szCs w:val="18"/>
              </w:rPr>
              <w:t>1.62</w:t>
            </w:r>
          </w:p>
        </w:tc>
        <w:tc>
          <w:tcPr>
            <w:tcW w:w="946" w:type="dxa"/>
            <w:shd w:val="clear" w:color="auto" w:fill="auto"/>
            <w:noWrap/>
            <w:vAlign w:val="center"/>
          </w:tcPr>
          <w:p w14:paraId="2C3AC46A">
            <w:pPr>
              <w:widowControl/>
              <w:jc w:val="center"/>
              <w:rPr>
                <w:rFonts w:ascii="宋体" w:hAnsi="宋体" w:cs="宋体"/>
                <w:kern w:val="0"/>
                <w:sz w:val="18"/>
                <w:szCs w:val="18"/>
              </w:rPr>
            </w:pPr>
            <w:r>
              <w:rPr>
                <w:rFonts w:hint="eastAsia" w:ascii="宋体" w:hAnsi="宋体" w:cs="宋体"/>
                <w:kern w:val="0"/>
                <w:sz w:val="18"/>
                <w:szCs w:val="18"/>
              </w:rPr>
              <w:t>1.62</w:t>
            </w:r>
          </w:p>
        </w:tc>
        <w:tc>
          <w:tcPr>
            <w:tcW w:w="854" w:type="dxa"/>
            <w:shd w:val="clear" w:color="auto" w:fill="auto"/>
            <w:noWrap/>
            <w:vAlign w:val="center"/>
          </w:tcPr>
          <w:p w14:paraId="739ED385">
            <w:pPr>
              <w:widowControl/>
              <w:jc w:val="center"/>
              <w:rPr>
                <w:rFonts w:ascii="宋体" w:hAnsi="宋体" w:cs="宋体"/>
                <w:kern w:val="0"/>
                <w:sz w:val="18"/>
                <w:szCs w:val="18"/>
              </w:rPr>
            </w:pPr>
            <w:r>
              <w:rPr>
                <w:rFonts w:hint="eastAsia" w:ascii="宋体" w:hAnsi="宋体" w:cs="宋体"/>
                <w:kern w:val="0"/>
                <w:sz w:val="18"/>
                <w:szCs w:val="18"/>
              </w:rPr>
              <w:t>1.61</w:t>
            </w:r>
          </w:p>
        </w:tc>
        <w:tc>
          <w:tcPr>
            <w:tcW w:w="1489" w:type="dxa"/>
            <w:shd w:val="clear" w:color="auto" w:fill="auto"/>
            <w:noWrap/>
            <w:vAlign w:val="center"/>
          </w:tcPr>
          <w:p w14:paraId="67A516DA">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177FE659">
            <w:pPr>
              <w:widowControl/>
              <w:jc w:val="center"/>
              <w:rPr>
                <w:kern w:val="0"/>
                <w:sz w:val="18"/>
                <w:szCs w:val="18"/>
              </w:rPr>
            </w:pPr>
          </w:p>
        </w:tc>
      </w:tr>
      <w:tr w14:paraId="2C11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56FABE5">
            <w:pPr>
              <w:widowControl/>
              <w:jc w:val="center"/>
              <w:rPr>
                <w:rFonts w:ascii="宋体" w:hAnsi="宋体" w:cs="宋体"/>
                <w:kern w:val="0"/>
                <w:sz w:val="18"/>
                <w:szCs w:val="18"/>
              </w:rPr>
            </w:pPr>
          </w:p>
        </w:tc>
        <w:tc>
          <w:tcPr>
            <w:tcW w:w="3659" w:type="dxa"/>
            <w:shd w:val="clear" w:color="auto" w:fill="auto"/>
            <w:vAlign w:val="center"/>
          </w:tcPr>
          <w:p w14:paraId="3D2D12A6">
            <w:pPr>
              <w:widowControl/>
              <w:jc w:val="center"/>
              <w:rPr>
                <w:rFonts w:ascii="宋体" w:hAnsi="宋体" w:cs="宋体"/>
                <w:kern w:val="0"/>
                <w:sz w:val="18"/>
                <w:szCs w:val="18"/>
              </w:rPr>
            </w:pPr>
            <w:r>
              <w:rPr>
                <w:rFonts w:hint="eastAsia" w:ascii="宋体" w:hAnsi="宋体" w:cs="宋体"/>
                <w:kern w:val="0"/>
                <w:sz w:val="18"/>
                <w:szCs w:val="18"/>
              </w:rPr>
              <w:t>乌龙镇锅底塘扶贫宜居农房建设搬迁集中安置点</w:t>
            </w:r>
          </w:p>
        </w:tc>
        <w:tc>
          <w:tcPr>
            <w:tcW w:w="796" w:type="dxa"/>
            <w:shd w:val="clear" w:color="auto" w:fill="auto"/>
            <w:noWrap/>
            <w:vAlign w:val="center"/>
          </w:tcPr>
          <w:p w14:paraId="58C658BC">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80B77A5">
            <w:pPr>
              <w:widowControl/>
              <w:jc w:val="center"/>
              <w:rPr>
                <w:rFonts w:ascii="宋体" w:hAnsi="宋体" w:cs="宋体"/>
                <w:kern w:val="0"/>
                <w:sz w:val="18"/>
                <w:szCs w:val="18"/>
              </w:rPr>
            </w:pPr>
            <w:r>
              <w:rPr>
                <w:rFonts w:hint="eastAsia" w:ascii="宋体" w:hAnsi="宋体" w:cs="宋体"/>
                <w:kern w:val="0"/>
                <w:sz w:val="18"/>
                <w:szCs w:val="18"/>
              </w:rPr>
              <w:t>2017-2020</w:t>
            </w:r>
          </w:p>
        </w:tc>
        <w:tc>
          <w:tcPr>
            <w:tcW w:w="1026" w:type="dxa"/>
            <w:shd w:val="clear" w:color="auto" w:fill="auto"/>
            <w:noWrap/>
            <w:vAlign w:val="center"/>
          </w:tcPr>
          <w:p w14:paraId="2F8C5A53">
            <w:pPr>
              <w:widowControl/>
              <w:jc w:val="center"/>
              <w:rPr>
                <w:rFonts w:ascii="宋体" w:hAnsi="宋体" w:cs="宋体"/>
                <w:kern w:val="0"/>
                <w:sz w:val="18"/>
                <w:szCs w:val="18"/>
              </w:rPr>
            </w:pPr>
            <w:r>
              <w:rPr>
                <w:rFonts w:hint="eastAsia" w:ascii="宋体" w:hAnsi="宋体" w:cs="宋体"/>
                <w:kern w:val="0"/>
                <w:sz w:val="18"/>
                <w:szCs w:val="18"/>
              </w:rPr>
              <w:t>1.03</w:t>
            </w:r>
          </w:p>
        </w:tc>
        <w:tc>
          <w:tcPr>
            <w:tcW w:w="946" w:type="dxa"/>
            <w:shd w:val="clear" w:color="auto" w:fill="auto"/>
            <w:noWrap/>
            <w:vAlign w:val="center"/>
          </w:tcPr>
          <w:p w14:paraId="0AE15F55">
            <w:pPr>
              <w:widowControl/>
              <w:jc w:val="center"/>
              <w:rPr>
                <w:rFonts w:ascii="宋体" w:hAnsi="宋体" w:cs="宋体"/>
                <w:kern w:val="0"/>
                <w:sz w:val="18"/>
                <w:szCs w:val="18"/>
              </w:rPr>
            </w:pPr>
            <w:r>
              <w:rPr>
                <w:rFonts w:hint="eastAsia" w:ascii="宋体" w:hAnsi="宋体" w:cs="宋体"/>
                <w:kern w:val="0"/>
                <w:sz w:val="18"/>
                <w:szCs w:val="18"/>
              </w:rPr>
              <w:t>1.03</w:t>
            </w:r>
          </w:p>
        </w:tc>
        <w:tc>
          <w:tcPr>
            <w:tcW w:w="854" w:type="dxa"/>
            <w:shd w:val="clear" w:color="auto" w:fill="auto"/>
            <w:noWrap/>
            <w:vAlign w:val="center"/>
          </w:tcPr>
          <w:p w14:paraId="5E58295C">
            <w:pPr>
              <w:widowControl/>
              <w:jc w:val="center"/>
              <w:rPr>
                <w:rFonts w:ascii="宋体" w:hAnsi="宋体" w:cs="宋体"/>
                <w:kern w:val="0"/>
                <w:sz w:val="18"/>
                <w:szCs w:val="18"/>
              </w:rPr>
            </w:pPr>
            <w:r>
              <w:rPr>
                <w:rFonts w:hint="eastAsia" w:ascii="宋体" w:hAnsi="宋体" w:cs="宋体"/>
                <w:kern w:val="0"/>
                <w:sz w:val="18"/>
                <w:szCs w:val="18"/>
              </w:rPr>
              <w:t>1.03</w:t>
            </w:r>
          </w:p>
        </w:tc>
        <w:tc>
          <w:tcPr>
            <w:tcW w:w="1489" w:type="dxa"/>
            <w:shd w:val="clear" w:color="auto" w:fill="auto"/>
            <w:noWrap/>
            <w:vAlign w:val="center"/>
          </w:tcPr>
          <w:p w14:paraId="271C6C1C">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3574D5F6">
            <w:pPr>
              <w:widowControl/>
              <w:jc w:val="center"/>
              <w:rPr>
                <w:kern w:val="0"/>
                <w:sz w:val="18"/>
                <w:szCs w:val="18"/>
              </w:rPr>
            </w:pPr>
          </w:p>
        </w:tc>
      </w:tr>
      <w:tr w14:paraId="4AF1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95E9106">
            <w:pPr>
              <w:widowControl/>
              <w:jc w:val="center"/>
              <w:rPr>
                <w:rFonts w:ascii="宋体" w:hAnsi="宋体" w:cs="宋体"/>
                <w:kern w:val="0"/>
                <w:sz w:val="18"/>
                <w:szCs w:val="18"/>
              </w:rPr>
            </w:pPr>
          </w:p>
        </w:tc>
        <w:tc>
          <w:tcPr>
            <w:tcW w:w="3659" w:type="dxa"/>
            <w:shd w:val="clear" w:color="auto" w:fill="auto"/>
            <w:vAlign w:val="center"/>
          </w:tcPr>
          <w:p w14:paraId="4A13A5F4">
            <w:pPr>
              <w:widowControl/>
              <w:jc w:val="center"/>
              <w:rPr>
                <w:rFonts w:ascii="宋体" w:hAnsi="宋体" w:cs="宋体"/>
                <w:kern w:val="0"/>
                <w:sz w:val="18"/>
                <w:szCs w:val="18"/>
              </w:rPr>
            </w:pPr>
            <w:r>
              <w:rPr>
                <w:rFonts w:hint="eastAsia" w:ascii="宋体" w:hAnsi="宋体" w:cs="宋体"/>
                <w:kern w:val="0"/>
                <w:sz w:val="18"/>
                <w:szCs w:val="18"/>
              </w:rPr>
              <w:t>乌龙镇回子村宜居农房建设搬迁集中安置点点</w:t>
            </w:r>
          </w:p>
        </w:tc>
        <w:tc>
          <w:tcPr>
            <w:tcW w:w="796" w:type="dxa"/>
            <w:shd w:val="clear" w:color="auto" w:fill="auto"/>
            <w:noWrap/>
            <w:vAlign w:val="center"/>
          </w:tcPr>
          <w:p w14:paraId="52964746">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E3ABD74">
            <w:pPr>
              <w:widowControl/>
              <w:jc w:val="center"/>
              <w:rPr>
                <w:rFonts w:ascii="宋体" w:hAnsi="宋体" w:cs="宋体"/>
                <w:kern w:val="0"/>
                <w:sz w:val="18"/>
                <w:szCs w:val="18"/>
              </w:rPr>
            </w:pPr>
            <w:r>
              <w:rPr>
                <w:rFonts w:hint="eastAsia" w:ascii="宋体" w:hAnsi="宋体" w:cs="宋体"/>
                <w:kern w:val="0"/>
                <w:sz w:val="18"/>
                <w:szCs w:val="18"/>
              </w:rPr>
              <w:t>2014</w:t>
            </w:r>
          </w:p>
        </w:tc>
        <w:tc>
          <w:tcPr>
            <w:tcW w:w="1026" w:type="dxa"/>
            <w:shd w:val="clear" w:color="auto" w:fill="auto"/>
            <w:noWrap/>
            <w:vAlign w:val="center"/>
          </w:tcPr>
          <w:p w14:paraId="53AD6BB1">
            <w:pPr>
              <w:widowControl/>
              <w:jc w:val="center"/>
              <w:rPr>
                <w:rFonts w:ascii="宋体" w:hAnsi="宋体" w:cs="宋体"/>
                <w:kern w:val="0"/>
                <w:sz w:val="18"/>
                <w:szCs w:val="18"/>
              </w:rPr>
            </w:pPr>
            <w:r>
              <w:rPr>
                <w:rFonts w:hint="eastAsia" w:ascii="宋体" w:hAnsi="宋体" w:cs="宋体"/>
                <w:kern w:val="0"/>
                <w:sz w:val="18"/>
                <w:szCs w:val="18"/>
              </w:rPr>
              <w:t>1.75</w:t>
            </w:r>
          </w:p>
        </w:tc>
        <w:tc>
          <w:tcPr>
            <w:tcW w:w="946" w:type="dxa"/>
            <w:shd w:val="clear" w:color="auto" w:fill="auto"/>
            <w:noWrap/>
            <w:vAlign w:val="center"/>
          </w:tcPr>
          <w:p w14:paraId="4EFCC00C">
            <w:pPr>
              <w:widowControl/>
              <w:jc w:val="center"/>
              <w:rPr>
                <w:rFonts w:ascii="宋体" w:hAnsi="宋体" w:cs="宋体"/>
                <w:kern w:val="0"/>
                <w:sz w:val="18"/>
                <w:szCs w:val="18"/>
              </w:rPr>
            </w:pPr>
            <w:r>
              <w:rPr>
                <w:rFonts w:hint="eastAsia" w:ascii="宋体" w:hAnsi="宋体" w:cs="宋体"/>
                <w:kern w:val="0"/>
                <w:sz w:val="18"/>
                <w:szCs w:val="18"/>
              </w:rPr>
              <w:t>1.61</w:t>
            </w:r>
          </w:p>
        </w:tc>
        <w:tc>
          <w:tcPr>
            <w:tcW w:w="854" w:type="dxa"/>
            <w:shd w:val="clear" w:color="auto" w:fill="auto"/>
            <w:noWrap/>
            <w:vAlign w:val="center"/>
          </w:tcPr>
          <w:p w14:paraId="133A392D">
            <w:pPr>
              <w:widowControl/>
              <w:jc w:val="center"/>
              <w:rPr>
                <w:rFonts w:ascii="宋体" w:hAnsi="宋体" w:cs="宋体"/>
                <w:kern w:val="0"/>
                <w:sz w:val="18"/>
                <w:szCs w:val="18"/>
              </w:rPr>
            </w:pPr>
            <w:r>
              <w:rPr>
                <w:rFonts w:hint="eastAsia" w:ascii="宋体" w:hAnsi="宋体" w:cs="宋体"/>
                <w:kern w:val="0"/>
                <w:sz w:val="18"/>
                <w:szCs w:val="18"/>
              </w:rPr>
              <w:t>1</w:t>
            </w:r>
          </w:p>
        </w:tc>
        <w:tc>
          <w:tcPr>
            <w:tcW w:w="1489" w:type="dxa"/>
            <w:shd w:val="clear" w:color="auto" w:fill="auto"/>
            <w:noWrap/>
            <w:vAlign w:val="center"/>
          </w:tcPr>
          <w:p w14:paraId="5CFF9CB3">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7DD2F329">
            <w:pPr>
              <w:widowControl/>
              <w:jc w:val="center"/>
              <w:rPr>
                <w:kern w:val="0"/>
                <w:sz w:val="18"/>
                <w:szCs w:val="18"/>
              </w:rPr>
            </w:pPr>
          </w:p>
        </w:tc>
      </w:tr>
      <w:tr w14:paraId="3AAB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1573461">
            <w:pPr>
              <w:widowControl/>
              <w:jc w:val="center"/>
              <w:rPr>
                <w:rFonts w:ascii="宋体" w:hAnsi="宋体" w:cs="宋体"/>
                <w:kern w:val="0"/>
                <w:sz w:val="18"/>
                <w:szCs w:val="18"/>
              </w:rPr>
            </w:pPr>
          </w:p>
        </w:tc>
        <w:tc>
          <w:tcPr>
            <w:tcW w:w="3659" w:type="dxa"/>
            <w:shd w:val="clear" w:color="auto" w:fill="auto"/>
            <w:vAlign w:val="center"/>
          </w:tcPr>
          <w:p w14:paraId="7311E8E9">
            <w:pPr>
              <w:widowControl/>
              <w:jc w:val="center"/>
              <w:rPr>
                <w:rFonts w:ascii="宋体" w:hAnsi="宋体" w:cs="宋体"/>
                <w:kern w:val="0"/>
                <w:sz w:val="18"/>
                <w:szCs w:val="18"/>
              </w:rPr>
            </w:pPr>
            <w:r>
              <w:rPr>
                <w:rFonts w:hint="eastAsia" w:ascii="宋体" w:hAnsi="宋体" w:cs="宋体"/>
                <w:kern w:val="0"/>
                <w:sz w:val="18"/>
                <w:szCs w:val="18"/>
              </w:rPr>
              <w:t>乌龙镇老座处宜居农房建设搬迁集中安置点</w:t>
            </w:r>
          </w:p>
        </w:tc>
        <w:tc>
          <w:tcPr>
            <w:tcW w:w="796" w:type="dxa"/>
            <w:shd w:val="clear" w:color="auto" w:fill="auto"/>
            <w:noWrap/>
            <w:vAlign w:val="center"/>
          </w:tcPr>
          <w:p w14:paraId="524000C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6035D05">
            <w:pPr>
              <w:widowControl/>
              <w:jc w:val="center"/>
              <w:rPr>
                <w:rFonts w:ascii="宋体" w:hAnsi="宋体" w:cs="宋体"/>
                <w:kern w:val="0"/>
                <w:sz w:val="18"/>
                <w:szCs w:val="18"/>
              </w:rPr>
            </w:pPr>
            <w:r>
              <w:rPr>
                <w:rFonts w:hint="eastAsia" w:ascii="宋体" w:hAnsi="宋体" w:cs="宋体"/>
                <w:kern w:val="0"/>
                <w:sz w:val="18"/>
                <w:szCs w:val="18"/>
              </w:rPr>
              <w:t>2014-2020</w:t>
            </w:r>
          </w:p>
        </w:tc>
        <w:tc>
          <w:tcPr>
            <w:tcW w:w="1026" w:type="dxa"/>
            <w:shd w:val="clear" w:color="auto" w:fill="auto"/>
            <w:noWrap/>
            <w:vAlign w:val="center"/>
          </w:tcPr>
          <w:p w14:paraId="0F946ED4">
            <w:pPr>
              <w:widowControl/>
              <w:jc w:val="center"/>
              <w:rPr>
                <w:rFonts w:ascii="宋体" w:hAnsi="宋体" w:cs="宋体"/>
                <w:kern w:val="0"/>
                <w:sz w:val="18"/>
                <w:szCs w:val="18"/>
              </w:rPr>
            </w:pPr>
            <w:r>
              <w:rPr>
                <w:rFonts w:hint="eastAsia" w:ascii="宋体" w:hAnsi="宋体" w:cs="宋体"/>
                <w:kern w:val="0"/>
                <w:sz w:val="18"/>
                <w:szCs w:val="18"/>
              </w:rPr>
              <w:t>1.57</w:t>
            </w:r>
          </w:p>
        </w:tc>
        <w:tc>
          <w:tcPr>
            <w:tcW w:w="946" w:type="dxa"/>
            <w:shd w:val="clear" w:color="auto" w:fill="auto"/>
            <w:noWrap/>
            <w:vAlign w:val="center"/>
          </w:tcPr>
          <w:p w14:paraId="28998B9C">
            <w:pPr>
              <w:widowControl/>
              <w:jc w:val="center"/>
              <w:rPr>
                <w:rFonts w:ascii="宋体" w:hAnsi="宋体" w:cs="宋体"/>
                <w:kern w:val="0"/>
                <w:sz w:val="18"/>
                <w:szCs w:val="18"/>
              </w:rPr>
            </w:pPr>
            <w:r>
              <w:rPr>
                <w:rFonts w:hint="eastAsia" w:ascii="宋体" w:hAnsi="宋体" w:cs="宋体"/>
                <w:kern w:val="0"/>
                <w:sz w:val="18"/>
                <w:szCs w:val="18"/>
              </w:rPr>
              <w:t>1.57</w:t>
            </w:r>
          </w:p>
        </w:tc>
        <w:tc>
          <w:tcPr>
            <w:tcW w:w="854" w:type="dxa"/>
            <w:shd w:val="clear" w:color="auto" w:fill="auto"/>
            <w:noWrap/>
            <w:vAlign w:val="center"/>
          </w:tcPr>
          <w:p w14:paraId="5FA85605">
            <w:pPr>
              <w:widowControl/>
              <w:jc w:val="center"/>
              <w:rPr>
                <w:rFonts w:ascii="宋体" w:hAnsi="宋体" w:cs="宋体"/>
                <w:kern w:val="0"/>
                <w:sz w:val="18"/>
                <w:szCs w:val="18"/>
              </w:rPr>
            </w:pPr>
            <w:r>
              <w:rPr>
                <w:rFonts w:hint="eastAsia" w:ascii="宋体" w:hAnsi="宋体" w:cs="宋体"/>
                <w:kern w:val="0"/>
                <w:sz w:val="18"/>
                <w:szCs w:val="18"/>
              </w:rPr>
              <w:t>1.43</w:t>
            </w:r>
          </w:p>
        </w:tc>
        <w:tc>
          <w:tcPr>
            <w:tcW w:w="1489" w:type="dxa"/>
            <w:shd w:val="clear" w:color="auto" w:fill="auto"/>
            <w:noWrap/>
            <w:vAlign w:val="center"/>
          </w:tcPr>
          <w:p w14:paraId="1B586340">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65F6C770">
            <w:pPr>
              <w:widowControl/>
              <w:jc w:val="center"/>
              <w:rPr>
                <w:kern w:val="0"/>
                <w:sz w:val="18"/>
                <w:szCs w:val="18"/>
              </w:rPr>
            </w:pPr>
          </w:p>
        </w:tc>
      </w:tr>
      <w:tr w14:paraId="4F81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DE985A3">
            <w:pPr>
              <w:widowControl/>
              <w:jc w:val="center"/>
              <w:rPr>
                <w:rFonts w:ascii="宋体" w:hAnsi="宋体" w:cs="宋体"/>
                <w:kern w:val="0"/>
                <w:sz w:val="18"/>
                <w:szCs w:val="18"/>
              </w:rPr>
            </w:pPr>
          </w:p>
        </w:tc>
        <w:tc>
          <w:tcPr>
            <w:tcW w:w="3659" w:type="dxa"/>
            <w:shd w:val="clear" w:color="auto" w:fill="auto"/>
            <w:vAlign w:val="center"/>
          </w:tcPr>
          <w:p w14:paraId="49B2ADB2">
            <w:pPr>
              <w:widowControl/>
              <w:jc w:val="center"/>
              <w:rPr>
                <w:rFonts w:ascii="宋体" w:hAnsi="宋体" w:cs="宋体"/>
                <w:kern w:val="0"/>
                <w:sz w:val="18"/>
                <w:szCs w:val="18"/>
              </w:rPr>
            </w:pPr>
            <w:r>
              <w:rPr>
                <w:rFonts w:hint="eastAsia" w:ascii="宋体" w:hAnsi="宋体" w:cs="宋体"/>
                <w:kern w:val="0"/>
                <w:sz w:val="18"/>
                <w:szCs w:val="18"/>
              </w:rPr>
              <w:t>乌龙镇跑马宜居农房建设搬迁集中安置点</w:t>
            </w:r>
          </w:p>
        </w:tc>
        <w:tc>
          <w:tcPr>
            <w:tcW w:w="796" w:type="dxa"/>
            <w:shd w:val="clear" w:color="auto" w:fill="auto"/>
            <w:noWrap/>
            <w:vAlign w:val="center"/>
          </w:tcPr>
          <w:p w14:paraId="69171402">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604831F">
            <w:pPr>
              <w:widowControl/>
              <w:jc w:val="center"/>
              <w:rPr>
                <w:rFonts w:ascii="宋体" w:hAnsi="宋体" w:cs="宋体"/>
                <w:kern w:val="0"/>
                <w:sz w:val="18"/>
                <w:szCs w:val="18"/>
              </w:rPr>
            </w:pPr>
            <w:r>
              <w:rPr>
                <w:rFonts w:hint="eastAsia" w:ascii="宋体" w:hAnsi="宋体" w:cs="宋体"/>
                <w:kern w:val="0"/>
                <w:sz w:val="18"/>
                <w:szCs w:val="18"/>
              </w:rPr>
              <w:t>2017-2020</w:t>
            </w:r>
          </w:p>
        </w:tc>
        <w:tc>
          <w:tcPr>
            <w:tcW w:w="1026" w:type="dxa"/>
            <w:shd w:val="clear" w:color="auto" w:fill="auto"/>
            <w:noWrap/>
            <w:vAlign w:val="center"/>
          </w:tcPr>
          <w:p w14:paraId="4108ABB2">
            <w:pPr>
              <w:widowControl/>
              <w:jc w:val="center"/>
              <w:rPr>
                <w:rFonts w:ascii="宋体" w:hAnsi="宋体" w:cs="宋体"/>
                <w:kern w:val="0"/>
                <w:sz w:val="18"/>
                <w:szCs w:val="18"/>
              </w:rPr>
            </w:pPr>
            <w:r>
              <w:rPr>
                <w:rFonts w:hint="eastAsia" w:ascii="宋体" w:hAnsi="宋体" w:cs="宋体"/>
                <w:kern w:val="0"/>
                <w:sz w:val="18"/>
                <w:szCs w:val="18"/>
              </w:rPr>
              <w:t>0.58</w:t>
            </w:r>
          </w:p>
        </w:tc>
        <w:tc>
          <w:tcPr>
            <w:tcW w:w="946" w:type="dxa"/>
            <w:shd w:val="clear" w:color="auto" w:fill="auto"/>
            <w:noWrap/>
            <w:vAlign w:val="center"/>
          </w:tcPr>
          <w:p w14:paraId="30E75B4A">
            <w:pPr>
              <w:widowControl/>
              <w:jc w:val="center"/>
              <w:rPr>
                <w:rFonts w:ascii="宋体" w:hAnsi="宋体" w:cs="宋体"/>
                <w:kern w:val="0"/>
                <w:sz w:val="18"/>
                <w:szCs w:val="18"/>
              </w:rPr>
            </w:pPr>
            <w:r>
              <w:rPr>
                <w:rFonts w:hint="eastAsia" w:ascii="宋体" w:hAnsi="宋体" w:cs="宋体"/>
                <w:kern w:val="0"/>
                <w:sz w:val="18"/>
                <w:szCs w:val="18"/>
              </w:rPr>
              <w:t>0.58</w:t>
            </w:r>
          </w:p>
        </w:tc>
        <w:tc>
          <w:tcPr>
            <w:tcW w:w="854" w:type="dxa"/>
            <w:shd w:val="clear" w:color="auto" w:fill="auto"/>
            <w:noWrap/>
            <w:vAlign w:val="center"/>
          </w:tcPr>
          <w:p w14:paraId="33CD03DF">
            <w:pPr>
              <w:widowControl/>
              <w:jc w:val="center"/>
              <w:rPr>
                <w:rFonts w:ascii="宋体" w:hAnsi="宋体" w:cs="宋体"/>
                <w:kern w:val="0"/>
                <w:sz w:val="18"/>
                <w:szCs w:val="18"/>
              </w:rPr>
            </w:pPr>
            <w:r>
              <w:rPr>
                <w:rFonts w:hint="eastAsia" w:ascii="宋体" w:hAnsi="宋体" w:cs="宋体"/>
                <w:kern w:val="0"/>
                <w:sz w:val="18"/>
                <w:szCs w:val="18"/>
              </w:rPr>
              <w:t>0.58</w:t>
            </w:r>
          </w:p>
        </w:tc>
        <w:tc>
          <w:tcPr>
            <w:tcW w:w="1489" w:type="dxa"/>
            <w:shd w:val="clear" w:color="auto" w:fill="auto"/>
            <w:noWrap/>
            <w:vAlign w:val="center"/>
          </w:tcPr>
          <w:p w14:paraId="2D5FC02F">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6447FC7A">
            <w:pPr>
              <w:widowControl/>
              <w:jc w:val="center"/>
              <w:rPr>
                <w:rFonts w:ascii="宋体" w:hAnsi="宋体" w:cs="宋体"/>
                <w:kern w:val="0"/>
                <w:sz w:val="18"/>
                <w:szCs w:val="18"/>
              </w:rPr>
            </w:pPr>
          </w:p>
        </w:tc>
      </w:tr>
      <w:tr w14:paraId="2F72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88D15C8">
            <w:pPr>
              <w:widowControl/>
              <w:jc w:val="center"/>
              <w:rPr>
                <w:rFonts w:ascii="宋体" w:hAnsi="宋体" w:cs="宋体"/>
                <w:kern w:val="0"/>
                <w:sz w:val="18"/>
                <w:szCs w:val="18"/>
              </w:rPr>
            </w:pPr>
          </w:p>
        </w:tc>
        <w:tc>
          <w:tcPr>
            <w:tcW w:w="3659" w:type="dxa"/>
            <w:shd w:val="clear" w:color="auto" w:fill="auto"/>
            <w:vAlign w:val="center"/>
          </w:tcPr>
          <w:p w14:paraId="08AAF082">
            <w:pPr>
              <w:widowControl/>
              <w:jc w:val="center"/>
              <w:rPr>
                <w:rFonts w:ascii="宋体" w:hAnsi="宋体" w:cs="宋体"/>
                <w:kern w:val="0"/>
                <w:sz w:val="18"/>
                <w:szCs w:val="18"/>
              </w:rPr>
            </w:pPr>
            <w:r>
              <w:rPr>
                <w:rFonts w:hint="eastAsia" w:ascii="宋体" w:hAnsi="宋体" w:cs="宋体"/>
                <w:kern w:val="0"/>
                <w:sz w:val="18"/>
                <w:szCs w:val="18"/>
              </w:rPr>
              <w:t>乌龙镇园子宜居农房建设搬迁集中安置点项目</w:t>
            </w:r>
          </w:p>
        </w:tc>
        <w:tc>
          <w:tcPr>
            <w:tcW w:w="796" w:type="dxa"/>
            <w:shd w:val="clear" w:color="auto" w:fill="auto"/>
            <w:noWrap/>
            <w:vAlign w:val="center"/>
          </w:tcPr>
          <w:p w14:paraId="7CBE627B">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0E8EFA3C">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7952A942">
            <w:pPr>
              <w:widowControl/>
              <w:jc w:val="center"/>
              <w:rPr>
                <w:rFonts w:ascii="宋体" w:hAnsi="宋体" w:cs="宋体"/>
                <w:kern w:val="0"/>
                <w:sz w:val="18"/>
                <w:szCs w:val="18"/>
              </w:rPr>
            </w:pPr>
            <w:r>
              <w:rPr>
                <w:rFonts w:hint="eastAsia" w:ascii="宋体" w:hAnsi="宋体" w:cs="宋体"/>
                <w:kern w:val="0"/>
                <w:sz w:val="18"/>
                <w:szCs w:val="18"/>
              </w:rPr>
              <w:t>0.63</w:t>
            </w:r>
          </w:p>
        </w:tc>
        <w:tc>
          <w:tcPr>
            <w:tcW w:w="946" w:type="dxa"/>
            <w:shd w:val="clear" w:color="auto" w:fill="auto"/>
            <w:noWrap/>
            <w:vAlign w:val="center"/>
          </w:tcPr>
          <w:p w14:paraId="7E5D5B55">
            <w:pPr>
              <w:widowControl/>
              <w:jc w:val="center"/>
              <w:rPr>
                <w:rFonts w:ascii="宋体" w:hAnsi="宋体" w:cs="宋体"/>
                <w:kern w:val="0"/>
                <w:sz w:val="18"/>
                <w:szCs w:val="18"/>
              </w:rPr>
            </w:pPr>
            <w:r>
              <w:rPr>
                <w:rFonts w:hint="eastAsia" w:ascii="宋体" w:hAnsi="宋体" w:cs="宋体"/>
                <w:kern w:val="0"/>
                <w:sz w:val="18"/>
                <w:szCs w:val="18"/>
              </w:rPr>
              <w:t>0.63</w:t>
            </w:r>
          </w:p>
        </w:tc>
        <w:tc>
          <w:tcPr>
            <w:tcW w:w="854" w:type="dxa"/>
            <w:shd w:val="clear" w:color="auto" w:fill="auto"/>
            <w:noWrap/>
            <w:vAlign w:val="center"/>
          </w:tcPr>
          <w:p w14:paraId="1F743881">
            <w:pPr>
              <w:widowControl/>
              <w:jc w:val="center"/>
              <w:rPr>
                <w:rFonts w:ascii="宋体" w:hAnsi="宋体" w:cs="宋体"/>
                <w:kern w:val="0"/>
                <w:sz w:val="18"/>
                <w:szCs w:val="18"/>
              </w:rPr>
            </w:pPr>
            <w:r>
              <w:rPr>
                <w:rFonts w:hint="eastAsia" w:ascii="宋体" w:hAnsi="宋体" w:cs="宋体"/>
                <w:kern w:val="0"/>
                <w:sz w:val="18"/>
                <w:szCs w:val="18"/>
              </w:rPr>
              <w:t>0.61</w:t>
            </w:r>
          </w:p>
        </w:tc>
        <w:tc>
          <w:tcPr>
            <w:tcW w:w="1489" w:type="dxa"/>
            <w:shd w:val="clear" w:color="auto" w:fill="auto"/>
            <w:noWrap/>
            <w:vAlign w:val="center"/>
          </w:tcPr>
          <w:p w14:paraId="1A059371">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12FB15A3">
            <w:pPr>
              <w:widowControl/>
              <w:jc w:val="center"/>
              <w:rPr>
                <w:rFonts w:ascii="宋体" w:hAnsi="宋体" w:cs="宋体"/>
                <w:kern w:val="0"/>
                <w:sz w:val="18"/>
                <w:szCs w:val="18"/>
              </w:rPr>
            </w:pPr>
          </w:p>
        </w:tc>
      </w:tr>
      <w:tr w14:paraId="1442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F030410">
            <w:pPr>
              <w:widowControl/>
              <w:jc w:val="center"/>
              <w:rPr>
                <w:rFonts w:ascii="宋体" w:hAnsi="宋体" w:cs="宋体"/>
                <w:kern w:val="0"/>
                <w:sz w:val="18"/>
                <w:szCs w:val="18"/>
              </w:rPr>
            </w:pPr>
          </w:p>
        </w:tc>
        <w:tc>
          <w:tcPr>
            <w:tcW w:w="3659" w:type="dxa"/>
            <w:shd w:val="clear" w:color="auto" w:fill="auto"/>
            <w:vAlign w:val="center"/>
          </w:tcPr>
          <w:p w14:paraId="04E4F704">
            <w:pPr>
              <w:widowControl/>
              <w:jc w:val="center"/>
              <w:rPr>
                <w:rFonts w:ascii="宋体" w:hAnsi="宋体" w:cs="宋体"/>
                <w:kern w:val="0"/>
                <w:sz w:val="18"/>
                <w:szCs w:val="18"/>
              </w:rPr>
            </w:pPr>
            <w:r>
              <w:rPr>
                <w:rFonts w:hint="eastAsia" w:ascii="宋体" w:hAnsi="宋体" w:cs="宋体"/>
                <w:kern w:val="0"/>
                <w:sz w:val="18"/>
                <w:szCs w:val="18"/>
              </w:rPr>
              <w:t>因民镇联盟宜居农房安居乐业建设搬迁集中安置点项目</w:t>
            </w:r>
          </w:p>
        </w:tc>
        <w:tc>
          <w:tcPr>
            <w:tcW w:w="796" w:type="dxa"/>
            <w:shd w:val="clear" w:color="auto" w:fill="auto"/>
            <w:noWrap/>
            <w:vAlign w:val="center"/>
          </w:tcPr>
          <w:p w14:paraId="78184F68">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63DACDB">
            <w:pPr>
              <w:widowControl/>
              <w:jc w:val="center"/>
              <w:rPr>
                <w:rFonts w:ascii="宋体" w:hAnsi="宋体" w:cs="宋体"/>
                <w:kern w:val="0"/>
                <w:sz w:val="18"/>
                <w:szCs w:val="18"/>
              </w:rPr>
            </w:pPr>
            <w:r>
              <w:rPr>
                <w:rFonts w:hint="eastAsia" w:ascii="宋体" w:hAnsi="宋体" w:cs="宋体"/>
                <w:kern w:val="0"/>
                <w:sz w:val="18"/>
                <w:szCs w:val="18"/>
              </w:rPr>
              <w:t>2014-2020</w:t>
            </w:r>
          </w:p>
        </w:tc>
        <w:tc>
          <w:tcPr>
            <w:tcW w:w="1026" w:type="dxa"/>
            <w:shd w:val="clear" w:color="auto" w:fill="auto"/>
            <w:noWrap/>
            <w:vAlign w:val="center"/>
          </w:tcPr>
          <w:p w14:paraId="5DF21BDE">
            <w:pPr>
              <w:widowControl/>
              <w:jc w:val="center"/>
              <w:rPr>
                <w:rFonts w:ascii="宋体" w:hAnsi="宋体" w:cs="宋体"/>
                <w:kern w:val="0"/>
                <w:sz w:val="18"/>
                <w:szCs w:val="18"/>
              </w:rPr>
            </w:pPr>
            <w:r>
              <w:rPr>
                <w:rFonts w:hint="eastAsia" w:ascii="宋体" w:hAnsi="宋体" w:cs="宋体"/>
                <w:kern w:val="0"/>
                <w:sz w:val="18"/>
                <w:szCs w:val="18"/>
              </w:rPr>
              <w:t>1.43</w:t>
            </w:r>
          </w:p>
        </w:tc>
        <w:tc>
          <w:tcPr>
            <w:tcW w:w="946" w:type="dxa"/>
            <w:shd w:val="clear" w:color="auto" w:fill="auto"/>
            <w:noWrap/>
            <w:vAlign w:val="center"/>
          </w:tcPr>
          <w:p w14:paraId="2F5C5C0F">
            <w:pPr>
              <w:widowControl/>
              <w:jc w:val="center"/>
              <w:rPr>
                <w:rFonts w:ascii="宋体" w:hAnsi="宋体" w:cs="宋体"/>
                <w:kern w:val="0"/>
                <w:sz w:val="18"/>
                <w:szCs w:val="18"/>
              </w:rPr>
            </w:pPr>
            <w:r>
              <w:rPr>
                <w:rFonts w:hint="eastAsia" w:ascii="宋体" w:hAnsi="宋体" w:cs="宋体"/>
                <w:kern w:val="0"/>
                <w:sz w:val="18"/>
                <w:szCs w:val="18"/>
              </w:rPr>
              <w:t>1.43</w:t>
            </w:r>
          </w:p>
        </w:tc>
        <w:tc>
          <w:tcPr>
            <w:tcW w:w="854" w:type="dxa"/>
            <w:shd w:val="clear" w:color="auto" w:fill="auto"/>
            <w:noWrap/>
            <w:vAlign w:val="center"/>
          </w:tcPr>
          <w:p w14:paraId="279FA6DF">
            <w:pPr>
              <w:widowControl/>
              <w:jc w:val="center"/>
              <w:rPr>
                <w:rFonts w:ascii="宋体" w:hAnsi="宋体" w:cs="宋体"/>
                <w:kern w:val="0"/>
                <w:sz w:val="18"/>
                <w:szCs w:val="18"/>
              </w:rPr>
            </w:pPr>
            <w:r>
              <w:rPr>
                <w:rFonts w:hint="eastAsia" w:ascii="宋体" w:hAnsi="宋体" w:cs="宋体"/>
                <w:kern w:val="0"/>
                <w:sz w:val="18"/>
                <w:szCs w:val="18"/>
              </w:rPr>
              <w:t>1.4</w:t>
            </w:r>
          </w:p>
        </w:tc>
        <w:tc>
          <w:tcPr>
            <w:tcW w:w="1489" w:type="dxa"/>
            <w:shd w:val="clear" w:color="auto" w:fill="auto"/>
            <w:noWrap/>
            <w:vAlign w:val="center"/>
          </w:tcPr>
          <w:p w14:paraId="4214D486">
            <w:pPr>
              <w:widowControl/>
              <w:jc w:val="center"/>
              <w:rPr>
                <w:rFonts w:ascii="宋体" w:hAnsi="宋体" w:cs="宋体"/>
                <w:kern w:val="0"/>
                <w:sz w:val="15"/>
                <w:szCs w:val="15"/>
              </w:rPr>
            </w:pPr>
            <w:r>
              <w:rPr>
                <w:rFonts w:hint="eastAsia" w:ascii="宋体" w:hAnsi="宋体" w:cs="宋体"/>
                <w:kern w:val="0"/>
                <w:sz w:val="15"/>
                <w:szCs w:val="15"/>
              </w:rPr>
              <w:t>因民镇</w:t>
            </w:r>
          </w:p>
        </w:tc>
        <w:tc>
          <w:tcPr>
            <w:tcW w:w="577" w:type="dxa"/>
            <w:shd w:val="clear" w:color="auto" w:fill="auto"/>
            <w:noWrap/>
            <w:vAlign w:val="center"/>
          </w:tcPr>
          <w:p w14:paraId="7942C5E8">
            <w:pPr>
              <w:widowControl/>
              <w:jc w:val="center"/>
              <w:rPr>
                <w:rFonts w:ascii="宋体" w:hAnsi="宋体" w:cs="宋体"/>
                <w:kern w:val="0"/>
                <w:sz w:val="18"/>
                <w:szCs w:val="18"/>
              </w:rPr>
            </w:pPr>
          </w:p>
        </w:tc>
      </w:tr>
      <w:tr w14:paraId="11D3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613916B">
            <w:pPr>
              <w:widowControl/>
              <w:jc w:val="center"/>
              <w:rPr>
                <w:rFonts w:ascii="宋体" w:hAnsi="宋体" w:cs="宋体"/>
                <w:kern w:val="0"/>
                <w:sz w:val="18"/>
                <w:szCs w:val="18"/>
              </w:rPr>
            </w:pPr>
          </w:p>
        </w:tc>
        <w:tc>
          <w:tcPr>
            <w:tcW w:w="3659" w:type="dxa"/>
            <w:shd w:val="clear" w:color="auto" w:fill="auto"/>
            <w:vAlign w:val="center"/>
          </w:tcPr>
          <w:p w14:paraId="4C3D8858">
            <w:pPr>
              <w:widowControl/>
              <w:jc w:val="center"/>
              <w:rPr>
                <w:rFonts w:ascii="宋体" w:hAnsi="宋体" w:cs="宋体"/>
                <w:kern w:val="0"/>
                <w:sz w:val="18"/>
                <w:szCs w:val="18"/>
              </w:rPr>
            </w:pPr>
            <w:r>
              <w:rPr>
                <w:rFonts w:hint="eastAsia" w:ascii="宋体" w:hAnsi="宋体" w:cs="宋体"/>
                <w:kern w:val="0"/>
                <w:sz w:val="18"/>
                <w:szCs w:val="18"/>
              </w:rPr>
              <w:t>因民镇牛厂坪社区平田组宜居农房建设搬迁集中安置点项目</w:t>
            </w:r>
          </w:p>
        </w:tc>
        <w:tc>
          <w:tcPr>
            <w:tcW w:w="796" w:type="dxa"/>
            <w:shd w:val="clear" w:color="auto" w:fill="auto"/>
            <w:noWrap/>
            <w:vAlign w:val="center"/>
          </w:tcPr>
          <w:p w14:paraId="38194F9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24DCE5B4">
            <w:pPr>
              <w:widowControl/>
              <w:jc w:val="center"/>
              <w:rPr>
                <w:rFonts w:ascii="宋体" w:hAnsi="宋体" w:cs="宋体"/>
                <w:kern w:val="0"/>
                <w:sz w:val="18"/>
                <w:szCs w:val="18"/>
              </w:rPr>
            </w:pPr>
            <w:r>
              <w:rPr>
                <w:rFonts w:hint="eastAsia" w:ascii="宋体" w:hAnsi="宋体" w:cs="宋体"/>
                <w:kern w:val="0"/>
                <w:sz w:val="18"/>
                <w:szCs w:val="18"/>
              </w:rPr>
              <w:t>2017</w:t>
            </w:r>
          </w:p>
        </w:tc>
        <w:tc>
          <w:tcPr>
            <w:tcW w:w="1026" w:type="dxa"/>
            <w:shd w:val="clear" w:color="auto" w:fill="auto"/>
            <w:noWrap/>
            <w:vAlign w:val="center"/>
          </w:tcPr>
          <w:p w14:paraId="70CB1BAF">
            <w:pPr>
              <w:widowControl/>
              <w:jc w:val="center"/>
              <w:rPr>
                <w:rFonts w:ascii="宋体" w:hAnsi="宋体" w:cs="宋体"/>
                <w:kern w:val="0"/>
                <w:sz w:val="18"/>
                <w:szCs w:val="18"/>
              </w:rPr>
            </w:pPr>
            <w:r>
              <w:rPr>
                <w:rFonts w:hint="eastAsia" w:ascii="宋体" w:hAnsi="宋体" w:cs="宋体"/>
                <w:kern w:val="0"/>
                <w:sz w:val="18"/>
                <w:szCs w:val="18"/>
              </w:rPr>
              <w:t>1.46</w:t>
            </w:r>
          </w:p>
        </w:tc>
        <w:tc>
          <w:tcPr>
            <w:tcW w:w="946" w:type="dxa"/>
            <w:shd w:val="clear" w:color="auto" w:fill="auto"/>
            <w:noWrap/>
            <w:vAlign w:val="center"/>
          </w:tcPr>
          <w:p w14:paraId="568CCC72">
            <w:pPr>
              <w:widowControl/>
              <w:jc w:val="center"/>
              <w:rPr>
                <w:rFonts w:ascii="宋体" w:hAnsi="宋体" w:cs="宋体"/>
                <w:kern w:val="0"/>
                <w:sz w:val="18"/>
                <w:szCs w:val="18"/>
              </w:rPr>
            </w:pPr>
            <w:r>
              <w:rPr>
                <w:rFonts w:hint="eastAsia" w:ascii="宋体" w:hAnsi="宋体" w:cs="宋体"/>
                <w:kern w:val="0"/>
                <w:sz w:val="18"/>
                <w:szCs w:val="18"/>
              </w:rPr>
              <w:t>1.46</w:t>
            </w:r>
          </w:p>
        </w:tc>
        <w:tc>
          <w:tcPr>
            <w:tcW w:w="854" w:type="dxa"/>
            <w:shd w:val="clear" w:color="auto" w:fill="auto"/>
            <w:noWrap/>
            <w:vAlign w:val="center"/>
          </w:tcPr>
          <w:p w14:paraId="4AFF2EE9">
            <w:pPr>
              <w:widowControl/>
              <w:jc w:val="center"/>
              <w:rPr>
                <w:rFonts w:ascii="宋体" w:hAnsi="宋体" w:cs="宋体"/>
                <w:kern w:val="0"/>
                <w:sz w:val="18"/>
                <w:szCs w:val="18"/>
              </w:rPr>
            </w:pPr>
            <w:r>
              <w:rPr>
                <w:rFonts w:hint="eastAsia" w:ascii="宋体" w:hAnsi="宋体" w:cs="宋体"/>
                <w:kern w:val="0"/>
                <w:sz w:val="18"/>
                <w:szCs w:val="18"/>
              </w:rPr>
              <w:t>1.45</w:t>
            </w:r>
          </w:p>
        </w:tc>
        <w:tc>
          <w:tcPr>
            <w:tcW w:w="1489" w:type="dxa"/>
            <w:shd w:val="clear" w:color="auto" w:fill="auto"/>
            <w:noWrap/>
            <w:vAlign w:val="center"/>
          </w:tcPr>
          <w:p w14:paraId="308C27BE">
            <w:pPr>
              <w:widowControl/>
              <w:jc w:val="center"/>
              <w:rPr>
                <w:rFonts w:ascii="宋体" w:hAnsi="宋体" w:cs="宋体"/>
                <w:kern w:val="0"/>
                <w:sz w:val="15"/>
                <w:szCs w:val="15"/>
              </w:rPr>
            </w:pPr>
            <w:r>
              <w:rPr>
                <w:rFonts w:hint="eastAsia" w:ascii="宋体" w:hAnsi="宋体" w:cs="宋体"/>
                <w:kern w:val="0"/>
                <w:sz w:val="15"/>
                <w:szCs w:val="15"/>
              </w:rPr>
              <w:t>因民镇</w:t>
            </w:r>
          </w:p>
        </w:tc>
        <w:tc>
          <w:tcPr>
            <w:tcW w:w="577" w:type="dxa"/>
            <w:shd w:val="clear" w:color="auto" w:fill="auto"/>
            <w:noWrap/>
            <w:vAlign w:val="center"/>
          </w:tcPr>
          <w:p w14:paraId="13BF6A4A">
            <w:pPr>
              <w:widowControl/>
              <w:jc w:val="center"/>
              <w:rPr>
                <w:rFonts w:ascii="宋体" w:hAnsi="宋体" w:cs="宋体"/>
                <w:kern w:val="0"/>
                <w:sz w:val="18"/>
                <w:szCs w:val="18"/>
              </w:rPr>
            </w:pPr>
          </w:p>
        </w:tc>
      </w:tr>
      <w:tr w14:paraId="7107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DE9B7D6">
            <w:pPr>
              <w:widowControl/>
              <w:jc w:val="center"/>
              <w:rPr>
                <w:rFonts w:ascii="宋体" w:hAnsi="宋体" w:cs="宋体"/>
                <w:kern w:val="0"/>
                <w:sz w:val="18"/>
                <w:szCs w:val="18"/>
              </w:rPr>
            </w:pPr>
          </w:p>
        </w:tc>
        <w:tc>
          <w:tcPr>
            <w:tcW w:w="3659" w:type="dxa"/>
            <w:shd w:val="clear" w:color="auto" w:fill="auto"/>
            <w:vAlign w:val="center"/>
          </w:tcPr>
          <w:p w14:paraId="21A73108">
            <w:pPr>
              <w:widowControl/>
              <w:jc w:val="center"/>
              <w:rPr>
                <w:rFonts w:ascii="宋体" w:hAnsi="宋体" w:cs="宋体"/>
                <w:kern w:val="0"/>
                <w:sz w:val="18"/>
                <w:szCs w:val="18"/>
              </w:rPr>
            </w:pPr>
            <w:r>
              <w:rPr>
                <w:rFonts w:hint="eastAsia" w:ascii="宋体" w:hAnsi="宋体" w:cs="宋体"/>
                <w:kern w:val="0"/>
                <w:sz w:val="18"/>
                <w:szCs w:val="18"/>
              </w:rPr>
              <w:t>红土地集中安置点1</w:t>
            </w:r>
          </w:p>
        </w:tc>
        <w:tc>
          <w:tcPr>
            <w:tcW w:w="796" w:type="dxa"/>
            <w:shd w:val="clear" w:color="auto" w:fill="auto"/>
            <w:noWrap/>
            <w:vAlign w:val="center"/>
          </w:tcPr>
          <w:p w14:paraId="2427DFCD">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42D295C2">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4C387385">
            <w:pPr>
              <w:widowControl/>
              <w:jc w:val="center"/>
              <w:rPr>
                <w:rFonts w:ascii="宋体" w:hAnsi="宋体" w:cs="宋体"/>
                <w:kern w:val="0"/>
                <w:sz w:val="18"/>
                <w:szCs w:val="18"/>
              </w:rPr>
            </w:pPr>
            <w:r>
              <w:rPr>
                <w:rFonts w:hint="eastAsia" w:ascii="宋体" w:hAnsi="宋体" w:cs="宋体"/>
                <w:kern w:val="0"/>
                <w:sz w:val="18"/>
                <w:szCs w:val="18"/>
              </w:rPr>
              <w:t xml:space="preserve">20.00 </w:t>
            </w:r>
          </w:p>
        </w:tc>
        <w:tc>
          <w:tcPr>
            <w:tcW w:w="946" w:type="dxa"/>
            <w:shd w:val="clear" w:color="auto" w:fill="auto"/>
            <w:noWrap/>
            <w:vAlign w:val="center"/>
          </w:tcPr>
          <w:p w14:paraId="02BD886A">
            <w:pPr>
              <w:widowControl/>
              <w:jc w:val="center"/>
              <w:rPr>
                <w:rFonts w:ascii="宋体" w:hAnsi="宋体" w:cs="宋体"/>
                <w:kern w:val="0"/>
                <w:sz w:val="18"/>
                <w:szCs w:val="18"/>
              </w:rPr>
            </w:pPr>
            <w:r>
              <w:rPr>
                <w:rFonts w:hint="eastAsia" w:ascii="宋体" w:hAnsi="宋体" w:cs="宋体"/>
                <w:kern w:val="0"/>
                <w:sz w:val="18"/>
                <w:szCs w:val="18"/>
              </w:rPr>
              <w:t xml:space="preserve">20.00 </w:t>
            </w:r>
          </w:p>
        </w:tc>
        <w:tc>
          <w:tcPr>
            <w:tcW w:w="854" w:type="dxa"/>
            <w:shd w:val="clear" w:color="auto" w:fill="auto"/>
            <w:noWrap/>
            <w:vAlign w:val="center"/>
          </w:tcPr>
          <w:p w14:paraId="49ACA356">
            <w:pPr>
              <w:widowControl/>
              <w:jc w:val="center"/>
              <w:rPr>
                <w:rFonts w:ascii="宋体" w:hAnsi="宋体" w:cs="宋体"/>
                <w:kern w:val="0"/>
                <w:sz w:val="18"/>
                <w:szCs w:val="18"/>
              </w:rPr>
            </w:pPr>
            <w:r>
              <w:rPr>
                <w:rFonts w:hint="eastAsia" w:ascii="宋体" w:hAnsi="宋体" w:cs="宋体"/>
                <w:kern w:val="0"/>
                <w:sz w:val="18"/>
                <w:szCs w:val="18"/>
              </w:rPr>
              <w:t xml:space="preserve">16.00 </w:t>
            </w:r>
          </w:p>
        </w:tc>
        <w:tc>
          <w:tcPr>
            <w:tcW w:w="1489" w:type="dxa"/>
            <w:shd w:val="clear" w:color="auto" w:fill="auto"/>
            <w:noWrap/>
            <w:vAlign w:val="center"/>
          </w:tcPr>
          <w:p w14:paraId="28EA0CF0">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11CBC5AA">
            <w:pPr>
              <w:widowControl/>
              <w:jc w:val="center"/>
              <w:rPr>
                <w:rFonts w:ascii="宋体" w:hAnsi="宋体" w:cs="宋体"/>
                <w:kern w:val="0"/>
                <w:sz w:val="18"/>
                <w:szCs w:val="18"/>
              </w:rPr>
            </w:pPr>
          </w:p>
        </w:tc>
      </w:tr>
      <w:tr w14:paraId="66B3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B8D4ECD">
            <w:pPr>
              <w:widowControl/>
              <w:jc w:val="center"/>
              <w:rPr>
                <w:rFonts w:ascii="宋体" w:hAnsi="宋体" w:cs="宋体"/>
                <w:kern w:val="0"/>
                <w:sz w:val="18"/>
                <w:szCs w:val="18"/>
              </w:rPr>
            </w:pPr>
          </w:p>
        </w:tc>
        <w:tc>
          <w:tcPr>
            <w:tcW w:w="3659" w:type="dxa"/>
            <w:shd w:val="clear" w:color="auto" w:fill="auto"/>
            <w:vAlign w:val="center"/>
          </w:tcPr>
          <w:p w14:paraId="0AE6D03A">
            <w:pPr>
              <w:widowControl/>
              <w:jc w:val="center"/>
              <w:rPr>
                <w:rFonts w:ascii="宋体" w:hAnsi="宋体" w:cs="宋体"/>
                <w:kern w:val="0"/>
                <w:sz w:val="18"/>
                <w:szCs w:val="18"/>
              </w:rPr>
            </w:pPr>
            <w:r>
              <w:rPr>
                <w:rFonts w:hint="eastAsia" w:ascii="宋体" w:hAnsi="宋体" w:cs="宋体"/>
                <w:kern w:val="0"/>
                <w:sz w:val="18"/>
                <w:szCs w:val="18"/>
              </w:rPr>
              <w:t>红土地集中安置点2</w:t>
            </w:r>
          </w:p>
        </w:tc>
        <w:tc>
          <w:tcPr>
            <w:tcW w:w="796" w:type="dxa"/>
            <w:shd w:val="clear" w:color="auto" w:fill="auto"/>
            <w:noWrap/>
            <w:vAlign w:val="center"/>
          </w:tcPr>
          <w:p w14:paraId="5A69D451">
            <w:pPr>
              <w:widowControl/>
              <w:rPr>
                <w:rFonts w:ascii="宋体" w:hAnsi="宋体" w:cs="宋体"/>
                <w:kern w:val="0"/>
                <w:sz w:val="18"/>
                <w:szCs w:val="18"/>
              </w:rPr>
            </w:pPr>
          </w:p>
        </w:tc>
        <w:tc>
          <w:tcPr>
            <w:tcW w:w="1206" w:type="dxa"/>
            <w:shd w:val="clear" w:color="auto" w:fill="auto"/>
            <w:noWrap/>
            <w:vAlign w:val="center"/>
          </w:tcPr>
          <w:p w14:paraId="588152DD">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5733F4A1">
            <w:pPr>
              <w:widowControl/>
              <w:jc w:val="center"/>
              <w:rPr>
                <w:rFonts w:ascii="宋体" w:hAnsi="宋体" w:cs="宋体"/>
                <w:kern w:val="0"/>
                <w:sz w:val="18"/>
                <w:szCs w:val="18"/>
              </w:rPr>
            </w:pPr>
            <w:r>
              <w:rPr>
                <w:rFonts w:hint="eastAsia" w:ascii="宋体" w:hAnsi="宋体" w:cs="宋体"/>
                <w:kern w:val="0"/>
                <w:sz w:val="18"/>
                <w:szCs w:val="18"/>
              </w:rPr>
              <w:t xml:space="preserve">20.00 </w:t>
            </w:r>
          </w:p>
        </w:tc>
        <w:tc>
          <w:tcPr>
            <w:tcW w:w="946" w:type="dxa"/>
            <w:shd w:val="clear" w:color="auto" w:fill="auto"/>
            <w:noWrap/>
            <w:vAlign w:val="center"/>
          </w:tcPr>
          <w:p w14:paraId="344DD192">
            <w:pPr>
              <w:widowControl/>
              <w:jc w:val="center"/>
              <w:rPr>
                <w:rFonts w:ascii="宋体" w:hAnsi="宋体" w:cs="宋体"/>
                <w:kern w:val="0"/>
                <w:sz w:val="18"/>
                <w:szCs w:val="18"/>
              </w:rPr>
            </w:pPr>
            <w:r>
              <w:rPr>
                <w:rFonts w:hint="eastAsia" w:ascii="宋体" w:hAnsi="宋体" w:cs="宋体"/>
                <w:kern w:val="0"/>
                <w:sz w:val="18"/>
                <w:szCs w:val="18"/>
              </w:rPr>
              <w:t xml:space="preserve">20.00 </w:t>
            </w:r>
          </w:p>
        </w:tc>
        <w:tc>
          <w:tcPr>
            <w:tcW w:w="854" w:type="dxa"/>
            <w:shd w:val="clear" w:color="auto" w:fill="auto"/>
            <w:noWrap/>
            <w:vAlign w:val="center"/>
          </w:tcPr>
          <w:p w14:paraId="06C9FE5B">
            <w:pPr>
              <w:widowControl/>
              <w:jc w:val="center"/>
              <w:rPr>
                <w:rFonts w:ascii="宋体" w:hAnsi="宋体" w:cs="宋体"/>
                <w:kern w:val="0"/>
                <w:sz w:val="18"/>
                <w:szCs w:val="18"/>
              </w:rPr>
            </w:pPr>
            <w:r>
              <w:rPr>
                <w:rFonts w:hint="eastAsia" w:ascii="宋体" w:hAnsi="宋体" w:cs="宋体"/>
                <w:kern w:val="0"/>
                <w:sz w:val="18"/>
                <w:szCs w:val="18"/>
              </w:rPr>
              <w:t xml:space="preserve">16.00 </w:t>
            </w:r>
          </w:p>
        </w:tc>
        <w:tc>
          <w:tcPr>
            <w:tcW w:w="1489" w:type="dxa"/>
            <w:shd w:val="clear" w:color="auto" w:fill="auto"/>
            <w:noWrap/>
            <w:vAlign w:val="center"/>
          </w:tcPr>
          <w:p w14:paraId="729F4E49">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0648F5AF">
            <w:pPr>
              <w:widowControl/>
              <w:jc w:val="center"/>
              <w:rPr>
                <w:rFonts w:ascii="宋体" w:hAnsi="宋体" w:cs="宋体"/>
                <w:kern w:val="0"/>
                <w:sz w:val="18"/>
                <w:szCs w:val="18"/>
              </w:rPr>
            </w:pPr>
          </w:p>
        </w:tc>
      </w:tr>
      <w:tr w14:paraId="230E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20862B9">
            <w:pPr>
              <w:widowControl/>
              <w:jc w:val="center"/>
              <w:rPr>
                <w:rFonts w:ascii="宋体" w:hAnsi="宋体" w:cs="宋体"/>
                <w:kern w:val="0"/>
                <w:sz w:val="18"/>
                <w:szCs w:val="18"/>
              </w:rPr>
            </w:pPr>
          </w:p>
        </w:tc>
        <w:tc>
          <w:tcPr>
            <w:tcW w:w="3659" w:type="dxa"/>
            <w:shd w:val="clear" w:color="auto" w:fill="auto"/>
            <w:vAlign w:val="center"/>
          </w:tcPr>
          <w:p w14:paraId="64025189">
            <w:pPr>
              <w:widowControl/>
              <w:jc w:val="center"/>
              <w:rPr>
                <w:rFonts w:ascii="宋体" w:hAnsi="宋体" w:cs="宋体"/>
                <w:kern w:val="0"/>
                <w:sz w:val="18"/>
                <w:szCs w:val="18"/>
              </w:rPr>
            </w:pPr>
            <w:r>
              <w:rPr>
                <w:rFonts w:hint="eastAsia" w:ascii="宋体" w:hAnsi="宋体" w:cs="宋体"/>
                <w:kern w:val="0"/>
                <w:sz w:val="18"/>
                <w:szCs w:val="18"/>
              </w:rPr>
              <w:t>红土地集中安置点3</w:t>
            </w:r>
          </w:p>
        </w:tc>
        <w:tc>
          <w:tcPr>
            <w:tcW w:w="796" w:type="dxa"/>
            <w:shd w:val="clear" w:color="auto" w:fill="auto"/>
            <w:noWrap/>
            <w:vAlign w:val="center"/>
          </w:tcPr>
          <w:p w14:paraId="279D0DA3">
            <w:pPr>
              <w:widowControl/>
              <w:rPr>
                <w:rFonts w:ascii="宋体" w:hAnsi="宋体" w:cs="宋体"/>
                <w:kern w:val="0"/>
                <w:sz w:val="18"/>
                <w:szCs w:val="18"/>
              </w:rPr>
            </w:pPr>
          </w:p>
        </w:tc>
        <w:tc>
          <w:tcPr>
            <w:tcW w:w="1206" w:type="dxa"/>
            <w:shd w:val="clear" w:color="auto" w:fill="auto"/>
            <w:noWrap/>
            <w:vAlign w:val="center"/>
          </w:tcPr>
          <w:p w14:paraId="7E99C714">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35D168AB">
            <w:pPr>
              <w:widowControl/>
              <w:jc w:val="center"/>
              <w:rPr>
                <w:rFonts w:ascii="宋体" w:hAnsi="宋体" w:cs="宋体"/>
                <w:kern w:val="0"/>
                <w:sz w:val="18"/>
                <w:szCs w:val="18"/>
              </w:rPr>
            </w:pPr>
            <w:r>
              <w:rPr>
                <w:rFonts w:hint="eastAsia" w:ascii="宋体" w:hAnsi="宋体" w:cs="宋体"/>
                <w:kern w:val="0"/>
                <w:sz w:val="18"/>
                <w:szCs w:val="18"/>
              </w:rPr>
              <w:t xml:space="preserve">13.33 </w:t>
            </w:r>
          </w:p>
        </w:tc>
        <w:tc>
          <w:tcPr>
            <w:tcW w:w="946" w:type="dxa"/>
            <w:shd w:val="clear" w:color="auto" w:fill="auto"/>
            <w:noWrap/>
            <w:vAlign w:val="center"/>
          </w:tcPr>
          <w:p w14:paraId="59F667A4">
            <w:pPr>
              <w:widowControl/>
              <w:jc w:val="center"/>
              <w:rPr>
                <w:rFonts w:ascii="宋体" w:hAnsi="宋体" w:cs="宋体"/>
                <w:kern w:val="0"/>
                <w:sz w:val="18"/>
                <w:szCs w:val="18"/>
              </w:rPr>
            </w:pPr>
            <w:r>
              <w:rPr>
                <w:rFonts w:hint="eastAsia" w:ascii="宋体" w:hAnsi="宋体" w:cs="宋体"/>
                <w:kern w:val="0"/>
                <w:sz w:val="18"/>
                <w:szCs w:val="18"/>
              </w:rPr>
              <w:t xml:space="preserve">13.33 </w:t>
            </w:r>
          </w:p>
        </w:tc>
        <w:tc>
          <w:tcPr>
            <w:tcW w:w="854" w:type="dxa"/>
            <w:shd w:val="clear" w:color="auto" w:fill="auto"/>
            <w:noWrap/>
            <w:vAlign w:val="center"/>
          </w:tcPr>
          <w:p w14:paraId="2B8D1B2F">
            <w:pPr>
              <w:widowControl/>
              <w:jc w:val="center"/>
              <w:rPr>
                <w:rFonts w:ascii="宋体" w:hAnsi="宋体" w:cs="宋体"/>
                <w:kern w:val="0"/>
                <w:sz w:val="18"/>
                <w:szCs w:val="18"/>
              </w:rPr>
            </w:pPr>
            <w:r>
              <w:rPr>
                <w:rFonts w:hint="eastAsia" w:ascii="宋体" w:hAnsi="宋体" w:cs="宋体"/>
                <w:kern w:val="0"/>
                <w:sz w:val="18"/>
                <w:szCs w:val="18"/>
              </w:rPr>
              <w:t xml:space="preserve">10.67 </w:t>
            </w:r>
          </w:p>
        </w:tc>
        <w:tc>
          <w:tcPr>
            <w:tcW w:w="1489" w:type="dxa"/>
            <w:shd w:val="clear" w:color="auto" w:fill="auto"/>
            <w:noWrap/>
            <w:vAlign w:val="center"/>
          </w:tcPr>
          <w:p w14:paraId="4CC86DF4">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03474120">
            <w:pPr>
              <w:widowControl/>
              <w:jc w:val="center"/>
              <w:rPr>
                <w:rFonts w:ascii="宋体" w:hAnsi="宋体" w:cs="宋体"/>
                <w:kern w:val="0"/>
                <w:sz w:val="18"/>
                <w:szCs w:val="18"/>
              </w:rPr>
            </w:pPr>
          </w:p>
        </w:tc>
      </w:tr>
      <w:tr w14:paraId="6BDC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A934403">
            <w:pPr>
              <w:widowControl/>
              <w:jc w:val="center"/>
              <w:rPr>
                <w:rFonts w:ascii="宋体" w:hAnsi="宋体" w:cs="宋体"/>
                <w:kern w:val="0"/>
                <w:sz w:val="18"/>
                <w:szCs w:val="18"/>
              </w:rPr>
            </w:pPr>
          </w:p>
        </w:tc>
        <w:tc>
          <w:tcPr>
            <w:tcW w:w="3659" w:type="dxa"/>
            <w:shd w:val="clear" w:color="auto" w:fill="auto"/>
            <w:vAlign w:val="center"/>
          </w:tcPr>
          <w:p w14:paraId="46F758AC">
            <w:pPr>
              <w:widowControl/>
              <w:jc w:val="center"/>
              <w:rPr>
                <w:rFonts w:ascii="宋体" w:hAnsi="宋体" w:cs="宋体"/>
                <w:kern w:val="0"/>
                <w:sz w:val="18"/>
                <w:szCs w:val="18"/>
              </w:rPr>
            </w:pPr>
            <w:r>
              <w:rPr>
                <w:rFonts w:hint="eastAsia" w:ascii="宋体" w:hAnsi="宋体" w:cs="宋体"/>
                <w:kern w:val="0"/>
                <w:sz w:val="18"/>
                <w:szCs w:val="18"/>
              </w:rPr>
              <w:t>舍块搬迁安置点1</w:t>
            </w:r>
          </w:p>
        </w:tc>
        <w:tc>
          <w:tcPr>
            <w:tcW w:w="796" w:type="dxa"/>
            <w:shd w:val="clear" w:color="auto" w:fill="auto"/>
            <w:noWrap/>
            <w:vAlign w:val="center"/>
          </w:tcPr>
          <w:p w14:paraId="4E6952B8">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11EE4039">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64EBB8E9">
            <w:pPr>
              <w:widowControl/>
              <w:jc w:val="center"/>
              <w:rPr>
                <w:rFonts w:ascii="宋体" w:hAnsi="宋体" w:cs="宋体"/>
                <w:kern w:val="0"/>
                <w:sz w:val="18"/>
                <w:szCs w:val="18"/>
              </w:rPr>
            </w:pPr>
            <w:r>
              <w:rPr>
                <w:rFonts w:hint="eastAsia" w:ascii="宋体" w:hAnsi="宋体" w:cs="宋体"/>
                <w:kern w:val="0"/>
                <w:sz w:val="18"/>
                <w:szCs w:val="18"/>
              </w:rPr>
              <w:t xml:space="preserve">5.00 </w:t>
            </w:r>
          </w:p>
        </w:tc>
        <w:tc>
          <w:tcPr>
            <w:tcW w:w="946" w:type="dxa"/>
            <w:shd w:val="clear" w:color="auto" w:fill="auto"/>
            <w:noWrap/>
            <w:vAlign w:val="center"/>
          </w:tcPr>
          <w:p w14:paraId="604EAB9E">
            <w:pPr>
              <w:widowControl/>
              <w:jc w:val="center"/>
              <w:rPr>
                <w:rFonts w:ascii="宋体" w:hAnsi="宋体" w:cs="宋体"/>
                <w:kern w:val="0"/>
                <w:sz w:val="18"/>
                <w:szCs w:val="18"/>
              </w:rPr>
            </w:pPr>
            <w:r>
              <w:rPr>
                <w:rFonts w:hint="eastAsia" w:ascii="宋体" w:hAnsi="宋体" w:cs="宋体"/>
                <w:kern w:val="0"/>
                <w:sz w:val="18"/>
                <w:szCs w:val="18"/>
              </w:rPr>
              <w:t xml:space="preserve">5.00 </w:t>
            </w:r>
          </w:p>
        </w:tc>
        <w:tc>
          <w:tcPr>
            <w:tcW w:w="854" w:type="dxa"/>
            <w:shd w:val="clear" w:color="auto" w:fill="auto"/>
            <w:noWrap/>
            <w:vAlign w:val="center"/>
          </w:tcPr>
          <w:p w14:paraId="5666525F">
            <w:pPr>
              <w:widowControl/>
              <w:jc w:val="center"/>
              <w:rPr>
                <w:rFonts w:ascii="宋体" w:hAnsi="宋体" w:cs="宋体"/>
                <w:kern w:val="0"/>
                <w:sz w:val="18"/>
                <w:szCs w:val="18"/>
              </w:rPr>
            </w:pPr>
            <w:r>
              <w:rPr>
                <w:rFonts w:hint="eastAsia" w:ascii="宋体" w:hAnsi="宋体" w:cs="宋体"/>
                <w:kern w:val="0"/>
                <w:sz w:val="18"/>
                <w:szCs w:val="18"/>
              </w:rPr>
              <w:t xml:space="preserve">4.00 </w:t>
            </w:r>
          </w:p>
        </w:tc>
        <w:tc>
          <w:tcPr>
            <w:tcW w:w="1489" w:type="dxa"/>
            <w:shd w:val="clear" w:color="auto" w:fill="auto"/>
            <w:noWrap/>
            <w:vAlign w:val="center"/>
          </w:tcPr>
          <w:p w14:paraId="5F4F9663">
            <w:pPr>
              <w:widowControl/>
              <w:jc w:val="center"/>
              <w:rPr>
                <w:rFonts w:ascii="宋体" w:hAnsi="宋体" w:cs="宋体"/>
                <w:kern w:val="0"/>
                <w:sz w:val="18"/>
                <w:szCs w:val="18"/>
              </w:rPr>
            </w:pPr>
            <w:r>
              <w:rPr>
                <w:rFonts w:hint="eastAsia" w:ascii="宋体" w:hAnsi="宋体" w:cs="宋体"/>
                <w:kern w:val="0"/>
                <w:sz w:val="18"/>
                <w:szCs w:val="18"/>
              </w:rPr>
              <w:t>舍块乡</w:t>
            </w:r>
          </w:p>
        </w:tc>
        <w:tc>
          <w:tcPr>
            <w:tcW w:w="577" w:type="dxa"/>
            <w:shd w:val="clear" w:color="auto" w:fill="auto"/>
            <w:noWrap/>
            <w:vAlign w:val="center"/>
          </w:tcPr>
          <w:p w14:paraId="57E85467">
            <w:pPr>
              <w:widowControl/>
              <w:jc w:val="center"/>
              <w:rPr>
                <w:rFonts w:ascii="宋体" w:hAnsi="宋体" w:cs="宋体"/>
                <w:kern w:val="0"/>
                <w:sz w:val="18"/>
                <w:szCs w:val="18"/>
              </w:rPr>
            </w:pPr>
          </w:p>
        </w:tc>
      </w:tr>
      <w:tr w14:paraId="100A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5F5A84B">
            <w:pPr>
              <w:widowControl/>
              <w:jc w:val="center"/>
              <w:rPr>
                <w:rFonts w:ascii="宋体" w:hAnsi="宋体" w:cs="宋体"/>
                <w:kern w:val="0"/>
                <w:sz w:val="18"/>
                <w:szCs w:val="18"/>
              </w:rPr>
            </w:pPr>
          </w:p>
        </w:tc>
        <w:tc>
          <w:tcPr>
            <w:tcW w:w="3659" w:type="dxa"/>
            <w:shd w:val="clear" w:color="auto" w:fill="auto"/>
            <w:vAlign w:val="center"/>
          </w:tcPr>
          <w:p w14:paraId="3127DB6A">
            <w:pPr>
              <w:widowControl/>
              <w:jc w:val="center"/>
              <w:rPr>
                <w:rFonts w:ascii="宋体" w:hAnsi="宋体" w:cs="宋体"/>
                <w:kern w:val="0"/>
                <w:sz w:val="18"/>
                <w:szCs w:val="18"/>
              </w:rPr>
            </w:pPr>
            <w:r>
              <w:rPr>
                <w:rFonts w:hint="eastAsia" w:ascii="宋体" w:hAnsi="宋体" w:cs="宋体"/>
                <w:kern w:val="0"/>
                <w:sz w:val="18"/>
                <w:szCs w:val="18"/>
              </w:rPr>
              <w:t>舍块搬迁安置点2</w:t>
            </w:r>
          </w:p>
        </w:tc>
        <w:tc>
          <w:tcPr>
            <w:tcW w:w="796" w:type="dxa"/>
            <w:shd w:val="clear" w:color="auto" w:fill="auto"/>
            <w:noWrap/>
            <w:vAlign w:val="center"/>
          </w:tcPr>
          <w:p w14:paraId="4DD0D36B">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0A9A0417">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5944EE08">
            <w:pPr>
              <w:widowControl/>
              <w:jc w:val="center"/>
              <w:rPr>
                <w:rFonts w:ascii="宋体" w:hAnsi="宋体" w:cs="宋体"/>
                <w:kern w:val="0"/>
                <w:sz w:val="18"/>
                <w:szCs w:val="18"/>
              </w:rPr>
            </w:pPr>
            <w:r>
              <w:rPr>
                <w:rFonts w:hint="eastAsia" w:ascii="宋体" w:hAnsi="宋体" w:cs="宋体"/>
                <w:kern w:val="0"/>
                <w:sz w:val="18"/>
                <w:szCs w:val="18"/>
              </w:rPr>
              <w:t xml:space="preserve">4.00 </w:t>
            </w:r>
          </w:p>
        </w:tc>
        <w:tc>
          <w:tcPr>
            <w:tcW w:w="946" w:type="dxa"/>
            <w:shd w:val="clear" w:color="auto" w:fill="auto"/>
            <w:noWrap/>
            <w:vAlign w:val="center"/>
          </w:tcPr>
          <w:p w14:paraId="1C9BE8F4">
            <w:pPr>
              <w:widowControl/>
              <w:jc w:val="center"/>
              <w:rPr>
                <w:rFonts w:ascii="宋体" w:hAnsi="宋体" w:cs="宋体"/>
                <w:kern w:val="0"/>
                <w:sz w:val="18"/>
                <w:szCs w:val="18"/>
              </w:rPr>
            </w:pPr>
            <w:r>
              <w:rPr>
                <w:rFonts w:hint="eastAsia" w:ascii="宋体" w:hAnsi="宋体" w:cs="宋体"/>
                <w:kern w:val="0"/>
                <w:sz w:val="18"/>
                <w:szCs w:val="18"/>
              </w:rPr>
              <w:t xml:space="preserve">4.00 </w:t>
            </w:r>
          </w:p>
        </w:tc>
        <w:tc>
          <w:tcPr>
            <w:tcW w:w="854" w:type="dxa"/>
            <w:shd w:val="clear" w:color="auto" w:fill="auto"/>
            <w:noWrap/>
            <w:vAlign w:val="center"/>
          </w:tcPr>
          <w:p w14:paraId="22E3999F">
            <w:pPr>
              <w:widowControl/>
              <w:jc w:val="center"/>
              <w:rPr>
                <w:rFonts w:ascii="宋体" w:hAnsi="宋体" w:cs="宋体"/>
                <w:kern w:val="0"/>
                <w:sz w:val="18"/>
                <w:szCs w:val="18"/>
              </w:rPr>
            </w:pPr>
            <w:r>
              <w:rPr>
                <w:rFonts w:hint="eastAsia" w:ascii="宋体" w:hAnsi="宋体" w:cs="宋体"/>
                <w:kern w:val="0"/>
                <w:sz w:val="18"/>
                <w:szCs w:val="18"/>
              </w:rPr>
              <w:t xml:space="preserve">3.20 </w:t>
            </w:r>
          </w:p>
        </w:tc>
        <w:tc>
          <w:tcPr>
            <w:tcW w:w="1489" w:type="dxa"/>
            <w:shd w:val="clear" w:color="auto" w:fill="auto"/>
            <w:noWrap/>
            <w:vAlign w:val="center"/>
          </w:tcPr>
          <w:p w14:paraId="1F2DCEB3">
            <w:pPr>
              <w:widowControl/>
              <w:jc w:val="center"/>
              <w:rPr>
                <w:rFonts w:ascii="宋体" w:hAnsi="宋体" w:cs="宋体"/>
                <w:kern w:val="0"/>
                <w:sz w:val="18"/>
                <w:szCs w:val="18"/>
              </w:rPr>
            </w:pPr>
            <w:r>
              <w:rPr>
                <w:rFonts w:hint="eastAsia" w:ascii="宋体" w:hAnsi="宋体" w:cs="宋体"/>
                <w:kern w:val="0"/>
                <w:sz w:val="18"/>
                <w:szCs w:val="18"/>
              </w:rPr>
              <w:t>舍块乡</w:t>
            </w:r>
          </w:p>
        </w:tc>
        <w:tc>
          <w:tcPr>
            <w:tcW w:w="577" w:type="dxa"/>
            <w:shd w:val="clear" w:color="auto" w:fill="auto"/>
            <w:noWrap/>
            <w:vAlign w:val="center"/>
          </w:tcPr>
          <w:p w14:paraId="6EAE8F6B">
            <w:pPr>
              <w:widowControl/>
              <w:jc w:val="center"/>
              <w:rPr>
                <w:rFonts w:ascii="宋体" w:hAnsi="宋体" w:cs="宋体"/>
                <w:kern w:val="0"/>
                <w:sz w:val="18"/>
                <w:szCs w:val="18"/>
              </w:rPr>
            </w:pPr>
          </w:p>
        </w:tc>
      </w:tr>
      <w:tr w14:paraId="2F68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AD69495">
            <w:pPr>
              <w:widowControl/>
              <w:jc w:val="center"/>
              <w:rPr>
                <w:rFonts w:ascii="宋体" w:hAnsi="宋体" w:cs="宋体"/>
                <w:kern w:val="0"/>
                <w:sz w:val="18"/>
                <w:szCs w:val="18"/>
              </w:rPr>
            </w:pPr>
          </w:p>
        </w:tc>
        <w:tc>
          <w:tcPr>
            <w:tcW w:w="3659" w:type="dxa"/>
            <w:shd w:val="clear" w:color="auto" w:fill="auto"/>
            <w:vAlign w:val="center"/>
          </w:tcPr>
          <w:p w14:paraId="445794D1">
            <w:pPr>
              <w:widowControl/>
              <w:jc w:val="center"/>
              <w:rPr>
                <w:rFonts w:ascii="宋体" w:hAnsi="宋体" w:cs="宋体"/>
                <w:kern w:val="0"/>
                <w:sz w:val="18"/>
                <w:szCs w:val="18"/>
              </w:rPr>
            </w:pPr>
            <w:r>
              <w:rPr>
                <w:rFonts w:hint="eastAsia" w:ascii="宋体" w:hAnsi="宋体" w:cs="宋体"/>
                <w:kern w:val="0"/>
                <w:sz w:val="18"/>
                <w:szCs w:val="18"/>
              </w:rPr>
              <w:t>红土地镇地质灾害搬迁点</w:t>
            </w:r>
          </w:p>
        </w:tc>
        <w:tc>
          <w:tcPr>
            <w:tcW w:w="796" w:type="dxa"/>
            <w:shd w:val="clear" w:color="auto" w:fill="auto"/>
            <w:noWrap/>
            <w:vAlign w:val="center"/>
          </w:tcPr>
          <w:p w14:paraId="04D8E440">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0375BFB9">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1D857CE0">
            <w:pPr>
              <w:widowControl/>
              <w:jc w:val="center"/>
              <w:rPr>
                <w:rFonts w:ascii="宋体" w:hAnsi="宋体" w:cs="宋体"/>
                <w:kern w:val="0"/>
                <w:sz w:val="18"/>
                <w:szCs w:val="18"/>
              </w:rPr>
            </w:pPr>
            <w:r>
              <w:rPr>
                <w:rFonts w:hint="eastAsia" w:ascii="宋体" w:hAnsi="宋体" w:cs="宋体"/>
                <w:kern w:val="0"/>
                <w:sz w:val="18"/>
                <w:szCs w:val="18"/>
              </w:rPr>
              <w:t xml:space="preserve">6.67 </w:t>
            </w:r>
          </w:p>
        </w:tc>
        <w:tc>
          <w:tcPr>
            <w:tcW w:w="946" w:type="dxa"/>
            <w:shd w:val="clear" w:color="auto" w:fill="auto"/>
            <w:noWrap/>
            <w:vAlign w:val="center"/>
          </w:tcPr>
          <w:p w14:paraId="3BD6C57D">
            <w:pPr>
              <w:widowControl/>
              <w:jc w:val="center"/>
              <w:rPr>
                <w:rFonts w:ascii="宋体" w:hAnsi="宋体" w:cs="宋体"/>
                <w:kern w:val="0"/>
                <w:sz w:val="18"/>
                <w:szCs w:val="18"/>
              </w:rPr>
            </w:pPr>
            <w:r>
              <w:rPr>
                <w:rFonts w:hint="eastAsia" w:ascii="宋体" w:hAnsi="宋体" w:cs="宋体"/>
                <w:kern w:val="0"/>
                <w:sz w:val="18"/>
                <w:szCs w:val="18"/>
              </w:rPr>
              <w:t xml:space="preserve">6.67 </w:t>
            </w:r>
          </w:p>
        </w:tc>
        <w:tc>
          <w:tcPr>
            <w:tcW w:w="854" w:type="dxa"/>
            <w:shd w:val="clear" w:color="auto" w:fill="auto"/>
            <w:noWrap/>
            <w:vAlign w:val="center"/>
          </w:tcPr>
          <w:p w14:paraId="3B555EB7">
            <w:pPr>
              <w:widowControl/>
              <w:jc w:val="center"/>
              <w:rPr>
                <w:rFonts w:ascii="宋体" w:hAnsi="宋体" w:cs="宋体"/>
                <w:kern w:val="0"/>
                <w:sz w:val="18"/>
                <w:szCs w:val="18"/>
              </w:rPr>
            </w:pPr>
            <w:r>
              <w:rPr>
                <w:rFonts w:hint="eastAsia" w:ascii="宋体" w:hAnsi="宋体" w:cs="宋体"/>
                <w:kern w:val="0"/>
                <w:sz w:val="18"/>
                <w:szCs w:val="18"/>
              </w:rPr>
              <w:t xml:space="preserve">5.33 </w:t>
            </w:r>
          </w:p>
        </w:tc>
        <w:tc>
          <w:tcPr>
            <w:tcW w:w="1489" w:type="dxa"/>
            <w:shd w:val="clear" w:color="auto" w:fill="auto"/>
            <w:noWrap/>
            <w:vAlign w:val="center"/>
          </w:tcPr>
          <w:p w14:paraId="2D85BB38">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41F85089">
            <w:pPr>
              <w:widowControl/>
              <w:jc w:val="center"/>
              <w:rPr>
                <w:rFonts w:ascii="宋体" w:hAnsi="宋体" w:cs="宋体"/>
                <w:kern w:val="0"/>
                <w:sz w:val="18"/>
                <w:szCs w:val="18"/>
              </w:rPr>
            </w:pPr>
          </w:p>
        </w:tc>
      </w:tr>
      <w:tr w14:paraId="37AC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9521E62">
            <w:pPr>
              <w:widowControl/>
              <w:jc w:val="center"/>
              <w:rPr>
                <w:rFonts w:ascii="宋体" w:hAnsi="宋体" w:cs="宋体"/>
                <w:kern w:val="0"/>
                <w:sz w:val="18"/>
                <w:szCs w:val="18"/>
              </w:rPr>
            </w:pPr>
          </w:p>
        </w:tc>
        <w:tc>
          <w:tcPr>
            <w:tcW w:w="3659" w:type="dxa"/>
            <w:shd w:val="clear" w:color="auto" w:fill="auto"/>
            <w:noWrap/>
            <w:vAlign w:val="center"/>
          </w:tcPr>
          <w:p w14:paraId="02FD76E8">
            <w:pPr>
              <w:widowControl/>
              <w:jc w:val="center"/>
              <w:rPr>
                <w:rFonts w:ascii="宋体" w:hAnsi="宋体" w:cs="宋体"/>
                <w:kern w:val="0"/>
                <w:sz w:val="18"/>
                <w:szCs w:val="18"/>
              </w:rPr>
            </w:pPr>
            <w:r>
              <w:rPr>
                <w:rFonts w:hint="eastAsia" w:ascii="宋体" w:hAnsi="宋体" w:cs="宋体"/>
                <w:kern w:val="0"/>
                <w:sz w:val="18"/>
                <w:szCs w:val="18"/>
              </w:rPr>
              <w:t>小计</w:t>
            </w:r>
          </w:p>
        </w:tc>
        <w:tc>
          <w:tcPr>
            <w:tcW w:w="796" w:type="dxa"/>
            <w:shd w:val="clear" w:color="auto" w:fill="auto"/>
            <w:noWrap/>
            <w:vAlign w:val="center"/>
          </w:tcPr>
          <w:p w14:paraId="74316181">
            <w:pPr>
              <w:widowControl/>
              <w:jc w:val="center"/>
              <w:rPr>
                <w:rFonts w:ascii="宋体" w:hAnsi="宋体" w:cs="宋体"/>
                <w:kern w:val="0"/>
                <w:sz w:val="18"/>
                <w:szCs w:val="18"/>
              </w:rPr>
            </w:pPr>
            <w:r>
              <w:rPr>
                <w:rFonts w:hint="eastAsia" w:ascii="宋体" w:hAnsi="宋体" w:cs="宋体"/>
                <w:kern w:val="0"/>
                <w:sz w:val="18"/>
                <w:szCs w:val="18"/>
              </w:rPr>
              <w:t>——</w:t>
            </w:r>
          </w:p>
        </w:tc>
        <w:tc>
          <w:tcPr>
            <w:tcW w:w="1206" w:type="dxa"/>
            <w:shd w:val="clear" w:color="auto" w:fill="auto"/>
            <w:noWrap/>
            <w:vAlign w:val="center"/>
          </w:tcPr>
          <w:p w14:paraId="7D582360">
            <w:pPr>
              <w:jc w:val="center"/>
              <w:rPr>
                <w:rFonts w:ascii="宋体" w:hAnsi="宋体" w:cs="宋体"/>
                <w:kern w:val="0"/>
                <w:sz w:val="18"/>
                <w:szCs w:val="18"/>
              </w:rPr>
            </w:pPr>
            <w:r>
              <w:rPr>
                <w:rFonts w:hint="eastAsia" w:ascii="宋体" w:hAnsi="宋体" w:cs="宋体"/>
                <w:kern w:val="0"/>
                <w:sz w:val="18"/>
                <w:szCs w:val="18"/>
              </w:rPr>
              <w:t>——</w:t>
            </w:r>
          </w:p>
        </w:tc>
        <w:tc>
          <w:tcPr>
            <w:tcW w:w="1026" w:type="dxa"/>
            <w:shd w:val="clear" w:color="auto" w:fill="auto"/>
            <w:noWrap/>
            <w:vAlign w:val="center"/>
          </w:tcPr>
          <w:p w14:paraId="70FB2036">
            <w:pPr>
              <w:jc w:val="center"/>
              <w:rPr>
                <w:rFonts w:ascii="宋体" w:hAnsi="宋体" w:cs="宋体"/>
                <w:kern w:val="0"/>
                <w:sz w:val="18"/>
                <w:szCs w:val="18"/>
              </w:rPr>
            </w:pPr>
            <w:r>
              <w:rPr>
                <w:rFonts w:hint="eastAsia" w:ascii="宋体" w:hAnsi="宋体" w:cs="宋体"/>
                <w:kern w:val="0"/>
                <w:sz w:val="18"/>
                <w:szCs w:val="18"/>
              </w:rPr>
              <w:t>175.41</w:t>
            </w:r>
          </w:p>
        </w:tc>
        <w:tc>
          <w:tcPr>
            <w:tcW w:w="946" w:type="dxa"/>
            <w:shd w:val="clear" w:color="auto" w:fill="auto"/>
            <w:noWrap/>
            <w:vAlign w:val="center"/>
          </w:tcPr>
          <w:p w14:paraId="28B82D6C">
            <w:pPr>
              <w:jc w:val="center"/>
              <w:rPr>
                <w:rFonts w:ascii="宋体" w:hAnsi="宋体" w:cs="宋体"/>
                <w:kern w:val="0"/>
                <w:sz w:val="18"/>
                <w:szCs w:val="18"/>
              </w:rPr>
            </w:pPr>
            <w:r>
              <w:rPr>
                <w:rFonts w:hint="eastAsia" w:ascii="宋体" w:hAnsi="宋体" w:cs="宋体"/>
                <w:kern w:val="0"/>
                <w:sz w:val="18"/>
                <w:szCs w:val="18"/>
              </w:rPr>
              <w:t>172.27</w:t>
            </w:r>
          </w:p>
        </w:tc>
        <w:tc>
          <w:tcPr>
            <w:tcW w:w="854" w:type="dxa"/>
            <w:shd w:val="clear" w:color="auto" w:fill="auto"/>
            <w:noWrap/>
            <w:vAlign w:val="center"/>
          </w:tcPr>
          <w:p w14:paraId="78F70A35">
            <w:pPr>
              <w:jc w:val="center"/>
              <w:rPr>
                <w:rFonts w:ascii="宋体" w:hAnsi="宋体" w:cs="宋体"/>
                <w:kern w:val="0"/>
                <w:sz w:val="18"/>
                <w:szCs w:val="18"/>
              </w:rPr>
            </w:pPr>
            <w:r>
              <w:rPr>
                <w:rFonts w:hint="eastAsia" w:ascii="宋体" w:hAnsi="宋体" w:cs="宋体"/>
                <w:kern w:val="0"/>
                <w:sz w:val="18"/>
                <w:szCs w:val="18"/>
              </w:rPr>
              <w:t>132.8</w:t>
            </w:r>
          </w:p>
        </w:tc>
        <w:tc>
          <w:tcPr>
            <w:tcW w:w="1489" w:type="dxa"/>
            <w:shd w:val="clear" w:color="auto" w:fill="auto"/>
            <w:noWrap/>
            <w:vAlign w:val="center"/>
          </w:tcPr>
          <w:p w14:paraId="18603731">
            <w:pPr>
              <w:widowControl/>
              <w:jc w:val="center"/>
              <w:rPr>
                <w:rFonts w:ascii="宋体" w:hAnsi="宋体" w:cs="宋体"/>
                <w:kern w:val="0"/>
                <w:sz w:val="15"/>
                <w:szCs w:val="15"/>
              </w:rPr>
            </w:pPr>
            <w:r>
              <w:rPr>
                <w:rFonts w:hint="eastAsia" w:ascii="宋体" w:hAnsi="宋体" w:cs="宋体"/>
                <w:kern w:val="0"/>
                <w:sz w:val="15"/>
                <w:szCs w:val="15"/>
              </w:rPr>
              <w:t>——</w:t>
            </w:r>
          </w:p>
        </w:tc>
        <w:tc>
          <w:tcPr>
            <w:tcW w:w="577" w:type="dxa"/>
            <w:shd w:val="clear" w:color="auto" w:fill="auto"/>
            <w:noWrap/>
            <w:vAlign w:val="center"/>
          </w:tcPr>
          <w:p w14:paraId="0EE29FE8">
            <w:pPr>
              <w:widowControl/>
              <w:jc w:val="center"/>
              <w:rPr>
                <w:rFonts w:ascii="宋体" w:hAnsi="宋体" w:cs="宋体"/>
                <w:kern w:val="0"/>
                <w:sz w:val="18"/>
                <w:szCs w:val="18"/>
              </w:rPr>
            </w:pPr>
          </w:p>
        </w:tc>
      </w:tr>
      <w:tr w14:paraId="5833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restart"/>
            <w:shd w:val="clear" w:color="auto" w:fill="auto"/>
            <w:noWrap/>
            <w:vAlign w:val="center"/>
          </w:tcPr>
          <w:p w14:paraId="6714A938">
            <w:pPr>
              <w:widowControl/>
              <w:jc w:val="center"/>
              <w:rPr>
                <w:rFonts w:ascii="宋体" w:hAnsi="宋体" w:cs="宋体"/>
                <w:kern w:val="0"/>
                <w:sz w:val="18"/>
                <w:szCs w:val="18"/>
              </w:rPr>
            </w:pPr>
            <w:r>
              <w:rPr>
                <w:rFonts w:hint="eastAsia" w:ascii="宋体" w:hAnsi="宋体" w:cs="宋体"/>
                <w:kern w:val="0"/>
                <w:sz w:val="18"/>
                <w:szCs w:val="18"/>
              </w:rPr>
              <w:t>6.科教</w:t>
            </w:r>
          </w:p>
        </w:tc>
        <w:tc>
          <w:tcPr>
            <w:tcW w:w="3659" w:type="dxa"/>
            <w:shd w:val="clear" w:color="auto" w:fill="auto"/>
            <w:noWrap/>
            <w:vAlign w:val="center"/>
          </w:tcPr>
          <w:p w14:paraId="615822D1">
            <w:pPr>
              <w:widowControl/>
              <w:jc w:val="center"/>
              <w:rPr>
                <w:rFonts w:ascii="宋体" w:hAnsi="宋体" w:cs="宋体"/>
                <w:kern w:val="0"/>
                <w:sz w:val="18"/>
                <w:szCs w:val="18"/>
              </w:rPr>
            </w:pPr>
            <w:r>
              <w:rPr>
                <w:rFonts w:hint="eastAsia" w:ascii="宋体" w:hAnsi="宋体" w:cs="宋体"/>
                <w:kern w:val="0"/>
                <w:sz w:val="18"/>
                <w:szCs w:val="18"/>
              </w:rPr>
              <w:t>铜都小学</w:t>
            </w:r>
          </w:p>
        </w:tc>
        <w:tc>
          <w:tcPr>
            <w:tcW w:w="796" w:type="dxa"/>
            <w:shd w:val="clear" w:color="auto" w:fill="auto"/>
            <w:noWrap/>
            <w:vAlign w:val="center"/>
          </w:tcPr>
          <w:p w14:paraId="2ADE1E60">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03D4CF8">
            <w:pPr>
              <w:jc w:val="center"/>
              <w:rPr>
                <w:rFonts w:ascii="宋体" w:hAnsi="宋体" w:cs="宋体"/>
                <w:kern w:val="0"/>
                <w:sz w:val="18"/>
                <w:szCs w:val="18"/>
              </w:rPr>
            </w:pPr>
            <w:r>
              <w:rPr>
                <w:rFonts w:hint="eastAsia" w:ascii="宋体" w:hAnsi="宋体" w:cs="宋体"/>
                <w:kern w:val="0"/>
                <w:sz w:val="18"/>
                <w:szCs w:val="18"/>
              </w:rPr>
              <w:t>2019</w:t>
            </w:r>
          </w:p>
        </w:tc>
        <w:tc>
          <w:tcPr>
            <w:tcW w:w="1026" w:type="dxa"/>
            <w:shd w:val="clear" w:color="auto" w:fill="auto"/>
            <w:noWrap/>
            <w:vAlign w:val="center"/>
          </w:tcPr>
          <w:p w14:paraId="485E7343">
            <w:pPr>
              <w:jc w:val="center"/>
              <w:rPr>
                <w:rFonts w:ascii="宋体" w:hAnsi="宋体" w:cs="宋体"/>
                <w:kern w:val="0"/>
                <w:sz w:val="18"/>
                <w:szCs w:val="18"/>
              </w:rPr>
            </w:pPr>
            <w:r>
              <w:rPr>
                <w:rFonts w:hint="eastAsia" w:ascii="宋体" w:hAnsi="宋体" w:cs="宋体"/>
                <w:kern w:val="0"/>
                <w:sz w:val="18"/>
                <w:szCs w:val="18"/>
              </w:rPr>
              <w:t>0.68</w:t>
            </w:r>
          </w:p>
        </w:tc>
        <w:tc>
          <w:tcPr>
            <w:tcW w:w="946" w:type="dxa"/>
            <w:shd w:val="clear" w:color="auto" w:fill="auto"/>
            <w:noWrap/>
            <w:vAlign w:val="center"/>
          </w:tcPr>
          <w:p w14:paraId="3964DEB3">
            <w:pPr>
              <w:jc w:val="center"/>
              <w:rPr>
                <w:rFonts w:ascii="宋体" w:hAnsi="宋体" w:cs="宋体"/>
                <w:kern w:val="0"/>
                <w:sz w:val="18"/>
                <w:szCs w:val="18"/>
              </w:rPr>
            </w:pPr>
            <w:r>
              <w:rPr>
                <w:rFonts w:hint="eastAsia" w:ascii="宋体" w:hAnsi="宋体" w:cs="宋体"/>
                <w:kern w:val="0"/>
                <w:sz w:val="18"/>
                <w:szCs w:val="18"/>
              </w:rPr>
              <w:t>0.68</w:t>
            </w:r>
          </w:p>
        </w:tc>
        <w:tc>
          <w:tcPr>
            <w:tcW w:w="854" w:type="dxa"/>
            <w:shd w:val="clear" w:color="auto" w:fill="auto"/>
            <w:noWrap/>
            <w:vAlign w:val="center"/>
          </w:tcPr>
          <w:p w14:paraId="727A21A7">
            <w:pPr>
              <w:widowControl/>
              <w:jc w:val="center"/>
              <w:rPr>
                <w:rFonts w:ascii="宋体" w:hAnsi="宋体" w:cs="宋体"/>
                <w:kern w:val="0"/>
                <w:sz w:val="18"/>
                <w:szCs w:val="18"/>
              </w:rPr>
            </w:pPr>
            <w:r>
              <w:rPr>
                <w:rFonts w:hint="eastAsia" w:ascii="宋体" w:hAnsi="宋体" w:cs="宋体"/>
                <w:kern w:val="0"/>
                <w:sz w:val="18"/>
                <w:szCs w:val="18"/>
              </w:rPr>
              <w:t>0.01</w:t>
            </w:r>
          </w:p>
        </w:tc>
        <w:tc>
          <w:tcPr>
            <w:tcW w:w="1489" w:type="dxa"/>
            <w:shd w:val="clear" w:color="auto" w:fill="auto"/>
            <w:noWrap/>
            <w:vAlign w:val="center"/>
          </w:tcPr>
          <w:p w14:paraId="08164910">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1F86643F">
            <w:pPr>
              <w:widowControl/>
              <w:jc w:val="center"/>
              <w:rPr>
                <w:rFonts w:ascii="宋体" w:hAnsi="宋体" w:cs="宋体"/>
                <w:kern w:val="0"/>
                <w:sz w:val="18"/>
                <w:szCs w:val="18"/>
              </w:rPr>
            </w:pPr>
          </w:p>
        </w:tc>
      </w:tr>
      <w:tr w14:paraId="3C89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AD4B3CA">
            <w:pPr>
              <w:widowControl/>
              <w:jc w:val="center"/>
              <w:rPr>
                <w:rFonts w:ascii="宋体" w:hAnsi="宋体" w:cs="宋体"/>
                <w:kern w:val="0"/>
                <w:sz w:val="18"/>
                <w:szCs w:val="18"/>
              </w:rPr>
            </w:pPr>
          </w:p>
        </w:tc>
        <w:tc>
          <w:tcPr>
            <w:tcW w:w="3659" w:type="dxa"/>
            <w:shd w:val="clear" w:color="auto" w:fill="auto"/>
            <w:vAlign w:val="center"/>
          </w:tcPr>
          <w:p w14:paraId="73077FED">
            <w:pPr>
              <w:widowControl/>
              <w:jc w:val="center"/>
              <w:rPr>
                <w:rFonts w:ascii="宋体" w:hAnsi="宋体" w:cs="宋体"/>
                <w:kern w:val="0"/>
                <w:sz w:val="18"/>
                <w:szCs w:val="18"/>
              </w:rPr>
            </w:pPr>
            <w:r>
              <w:rPr>
                <w:rFonts w:hint="eastAsia" w:ascii="宋体" w:hAnsi="宋体" w:cs="宋体"/>
                <w:kern w:val="0"/>
                <w:sz w:val="18"/>
                <w:szCs w:val="18"/>
              </w:rPr>
              <w:t>东川区阿旺镇中心小学</w:t>
            </w:r>
          </w:p>
        </w:tc>
        <w:tc>
          <w:tcPr>
            <w:tcW w:w="796" w:type="dxa"/>
            <w:shd w:val="clear" w:color="auto" w:fill="auto"/>
            <w:noWrap/>
            <w:vAlign w:val="center"/>
          </w:tcPr>
          <w:p w14:paraId="1716CA45">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193AC0F">
            <w:pPr>
              <w:jc w:val="center"/>
              <w:rPr>
                <w:rFonts w:ascii="宋体" w:hAnsi="宋体" w:cs="宋体"/>
                <w:kern w:val="0"/>
                <w:sz w:val="18"/>
                <w:szCs w:val="18"/>
              </w:rPr>
            </w:pPr>
            <w:r>
              <w:rPr>
                <w:rFonts w:hint="eastAsia" w:ascii="宋体" w:hAnsi="宋体" w:cs="宋体"/>
                <w:kern w:val="0"/>
                <w:sz w:val="18"/>
                <w:szCs w:val="18"/>
              </w:rPr>
              <w:t>2019</w:t>
            </w:r>
          </w:p>
        </w:tc>
        <w:tc>
          <w:tcPr>
            <w:tcW w:w="1026" w:type="dxa"/>
            <w:shd w:val="clear" w:color="auto" w:fill="auto"/>
            <w:noWrap/>
            <w:vAlign w:val="center"/>
          </w:tcPr>
          <w:p w14:paraId="6AA53EB9">
            <w:pPr>
              <w:jc w:val="center"/>
              <w:rPr>
                <w:rFonts w:ascii="宋体" w:hAnsi="宋体" w:cs="宋体"/>
                <w:kern w:val="0"/>
                <w:sz w:val="18"/>
                <w:szCs w:val="18"/>
              </w:rPr>
            </w:pPr>
            <w:r>
              <w:rPr>
                <w:rFonts w:hint="eastAsia" w:ascii="宋体" w:hAnsi="宋体" w:cs="宋体"/>
                <w:kern w:val="0"/>
                <w:sz w:val="18"/>
                <w:szCs w:val="18"/>
              </w:rPr>
              <w:t>0.18</w:t>
            </w:r>
          </w:p>
        </w:tc>
        <w:tc>
          <w:tcPr>
            <w:tcW w:w="946" w:type="dxa"/>
            <w:shd w:val="clear" w:color="auto" w:fill="auto"/>
            <w:noWrap/>
            <w:vAlign w:val="center"/>
          </w:tcPr>
          <w:p w14:paraId="7000A63C">
            <w:pPr>
              <w:jc w:val="center"/>
              <w:rPr>
                <w:rFonts w:ascii="宋体" w:hAnsi="宋体" w:cs="宋体"/>
                <w:kern w:val="0"/>
                <w:sz w:val="18"/>
                <w:szCs w:val="18"/>
              </w:rPr>
            </w:pPr>
            <w:r>
              <w:rPr>
                <w:rFonts w:hint="eastAsia" w:ascii="宋体" w:hAnsi="宋体" w:cs="宋体"/>
                <w:kern w:val="0"/>
                <w:sz w:val="18"/>
                <w:szCs w:val="18"/>
              </w:rPr>
              <w:t>0.18</w:t>
            </w:r>
          </w:p>
        </w:tc>
        <w:tc>
          <w:tcPr>
            <w:tcW w:w="854" w:type="dxa"/>
            <w:shd w:val="clear" w:color="auto" w:fill="auto"/>
            <w:noWrap/>
            <w:vAlign w:val="center"/>
          </w:tcPr>
          <w:p w14:paraId="38E13D06">
            <w:pPr>
              <w:widowControl/>
              <w:jc w:val="center"/>
              <w:rPr>
                <w:rFonts w:ascii="宋体" w:hAnsi="宋体" w:cs="宋体"/>
                <w:kern w:val="0"/>
                <w:sz w:val="18"/>
                <w:szCs w:val="18"/>
              </w:rPr>
            </w:pPr>
            <w:r>
              <w:rPr>
                <w:rFonts w:hint="eastAsia" w:ascii="宋体" w:hAnsi="宋体" w:cs="宋体"/>
                <w:kern w:val="0"/>
                <w:sz w:val="18"/>
                <w:szCs w:val="18"/>
              </w:rPr>
              <w:t>0.06</w:t>
            </w:r>
          </w:p>
        </w:tc>
        <w:tc>
          <w:tcPr>
            <w:tcW w:w="1489" w:type="dxa"/>
            <w:shd w:val="clear" w:color="auto" w:fill="auto"/>
            <w:noWrap/>
            <w:vAlign w:val="center"/>
          </w:tcPr>
          <w:p w14:paraId="1D40FC06">
            <w:pPr>
              <w:widowControl/>
              <w:jc w:val="center"/>
              <w:rPr>
                <w:rFonts w:ascii="宋体" w:hAnsi="宋体" w:cs="宋体"/>
                <w:kern w:val="0"/>
                <w:sz w:val="15"/>
                <w:szCs w:val="15"/>
              </w:rPr>
            </w:pPr>
            <w:r>
              <w:rPr>
                <w:rFonts w:hint="eastAsia" w:ascii="宋体" w:hAnsi="宋体" w:cs="宋体"/>
                <w:kern w:val="0"/>
                <w:sz w:val="15"/>
                <w:szCs w:val="15"/>
              </w:rPr>
              <w:t>阿旺镇</w:t>
            </w:r>
          </w:p>
        </w:tc>
        <w:tc>
          <w:tcPr>
            <w:tcW w:w="577" w:type="dxa"/>
            <w:shd w:val="clear" w:color="auto" w:fill="auto"/>
            <w:noWrap/>
            <w:vAlign w:val="center"/>
          </w:tcPr>
          <w:p w14:paraId="5127EBD1">
            <w:pPr>
              <w:widowControl/>
              <w:jc w:val="center"/>
              <w:rPr>
                <w:rFonts w:ascii="宋体" w:hAnsi="宋体" w:cs="宋体"/>
                <w:kern w:val="0"/>
                <w:sz w:val="18"/>
                <w:szCs w:val="18"/>
              </w:rPr>
            </w:pPr>
          </w:p>
        </w:tc>
      </w:tr>
      <w:tr w14:paraId="4944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5D289DD">
            <w:pPr>
              <w:widowControl/>
              <w:jc w:val="center"/>
              <w:rPr>
                <w:rFonts w:ascii="宋体" w:hAnsi="宋体" w:cs="宋体"/>
                <w:kern w:val="0"/>
                <w:sz w:val="18"/>
                <w:szCs w:val="18"/>
              </w:rPr>
            </w:pPr>
          </w:p>
        </w:tc>
        <w:tc>
          <w:tcPr>
            <w:tcW w:w="3659" w:type="dxa"/>
            <w:shd w:val="clear" w:color="auto" w:fill="auto"/>
            <w:noWrap/>
            <w:vAlign w:val="center"/>
          </w:tcPr>
          <w:p w14:paraId="15DF6AA3">
            <w:pPr>
              <w:widowControl/>
              <w:jc w:val="center"/>
              <w:rPr>
                <w:rFonts w:ascii="宋体" w:hAnsi="宋体" w:cs="宋体"/>
                <w:kern w:val="0"/>
                <w:sz w:val="18"/>
                <w:szCs w:val="18"/>
              </w:rPr>
            </w:pPr>
            <w:r>
              <w:rPr>
                <w:rFonts w:hint="eastAsia" w:ascii="宋体" w:hAnsi="宋体" w:cs="宋体"/>
                <w:kern w:val="0"/>
                <w:sz w:val="18"/>
                <w:szCs w:val="18"/>
              </w:rPr>
              <w:t>汤丹中心小学</w:t>
            </w:r>
          </w:p>
        </w:tc>
        <w:tc>
          <w:tcPr>
            <w:tcW w:w="796" w:type="dxa"/>
            <w:shd w:val="clear" w:color="auto" w:fill="auto"/>
            <w:noWrap/>
            <w:vAlign w:val="center"/>
          </w:tcPr>
          <w:p w14:paraId="1FA66E9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B6C28AE">
            <w:pPr>
              <w:widowControl/>
              <w:jc w:val="center"/>
              <w:rPr>
                <w:rFonts w:ascii="宋体" w:hAnsi="宋体" w:cs="宋体"/>
                <w:kern w:val="0"/>
                <w:sz w:val="18"/>
                <w:szCs w:val="18"/>
              </w:rPr>
            </w:pPr>
            <w:r>
              <w:rPr>
                <w:rFonts w:hint="eastAsia" w:ascii="宋体" w:hAnsi="宋体" w:cs="宋体"/>
                <w:kern w:val="0"/>
                <w:sz w:val="18"/>
                <w:szCs w:val="18"/>
              </w:rPr>
              <w:t>2019</w:t>
            </w:r>
          </w:p>
        </w:tc>
        <w:tc>
          <w:tcPr>
            <w:tcW w:w="1026" w:type="dxa"/>
            <w:shd w:val="clear" w:color="auto" w:fill="auto"/>
            <w:noWrap/>
            <w:vAlign w:val="center"/>
          </w:tcPr>
          <w:p w14:paraId="2DF2815C">
            <w:pPr>
              <w:widowControl/>
              <w:jc w:val="center"/>
              <w:rPr>
                <w:rFonts w:ascii="宋体" w:hAnsi="宋体" w:cs="宋体"/>
                <w:kern w:val="0"/>
                <w:sz w:val="18"/>
                <w:szCs w:val="18"/>
              </w:rPr>
            </w:pPr>
            <w:r>
              <w:rPr>
                <w:rFonts w:hint="eastAsia" w:ascii="宋体" w:hAnsi="宋体" w:cs="宋体"/>
                <w:kern w:val="0"/>
                <w:sz w:val="18"/>
                <w:szCs w:val="18"/>
              </w:rPr>
              <w:t>0.12</w:t>
            </w:r>
          </w:p>
        </w:tc>
        <w:tc>
          <w:tcPr>
            <w:tcW w:w="946" w:type="dxa"/>
            <w:shd w:val="clear" w:color="auto" w:fill="auto"/>
            <w:noWrap/>
            <w:vAlign w:val="center"/>
          </w:tcPr>
          <w:p w14:paraId="6B8E73B1">
            <w:pPr>
              <w:widowControl/>
              <w:jc w:val="center"/>
              <w:rPr>
                <w:rFonts w:ascii="宋体" w:hAnsi="宋体" w:cs="宋体"/>
                <w:kern w:val="0"/>
                <w:sz w:val="18"/>
                <w:szCs w:val="18"/>
              </w:rPr>
            </w:pPr>
            <w:r>
              <w:rPr>
                <w:rFonts w:hint="eastAsia" w:ascii="宋体" w:hAnsi="宋体" w:cs="宋体"/>
                <w:kern w:val="0"/>
                <w:sz w:val="18"/>
                <w:szCs w:val="18"/>
              </w:rPr>
              <w:t>0.12</w:t>
            </w:r>
          </w:p>
        </w:tc>
        <w:tc>
          <w:tcPr>
            <w:tcW w:w="854" w:type="dxa"/>
            <w:shd w:val="clear" w:color="auto" w:fill="auto"/>
            <w:noWrap/>
            <w:vAlign w:val="center"/>
          </w:tcPr>
          <w:p w14:paraId="3DF321BA">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02B965F5">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288D228A">
            <w:pPr>
              <w:widowControl/>
              <w:jc w:val="center"/>
              <w:rPr>
                <w:rFonts w:ascii="宋体" w:hAnsi="宋体" w:cs="宋体"/>
                <w:kern w:val="0"/>
                <w:sz w:val="18"/>
                <w:szCs w:val="18"/>
              </w:rPr>
            </w:pPr>
          </w:p>
        </w:tc>
      </w:tr>
      <w:tr w14:paraId="0B06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569AA93">
            <w:pPr>
              <w:widowControl/>
              <w:jc w:val="center"/>
              <w:rPr>
                <w:rFonts w:ascii="宋体" w:hAnsi="宋体" w:cs="宋体"/>
                <w:kern w:val="0"/>
                <w:sz w:val="18"/>
                <w:szCs w:val="18"/>
              </w:rPr>
            </w:pPr>
          </w:p>
        </w:tc>
        <w:tc>
          <w:tcPr>
            <w:tcW w:w="3659" w:type="dxa"/>
            <w:shd w:val="clear" w:color="auto" w:fill="auto"/>
            <w:noWrap/>
            <w:vAlign w:val="center"/>
          </w:tcPr>
          <w:p w14:paraId="37FB2A96">
            <w:pPr>
              <w:widowControl/>
              <w:jc w:val="center"/>
              <w:rPr>
                <w:rFonts w:ascii="宋体" w:hAnsi="宋体" w:cs="宋体"/>
                <w:kern w:val="0"/>
                <w:sz w:val="18"/>
                <w:szCs w:val="18"/>
              </w:rPr>
            </w:pPr>
            <w:r>
              <w:rPr>
                <w:rFonts w:hint="eastAsia" w:ascii="宋体" w:hAnsi="宋体" w:cs="宋体"/>
                <w:kern w:val="0"/>
                <w:sz w:val="18"/>
                <w:szCs w:val="18"/>
              </w:rPr>
              <w:t>东川五小及第一幼儿园</w:t>
            </w:r>
          </w:p>
        </w:tc>
        <w:tc>
          <w:tcPr>
            <w:tcW w:w="796" w:type="dxa"/>
            <w:shd w:val="clear" w:color="auto" w:fill="auto"/>
            <w:noWrap/>
            <w:vAlign w:val="center"/>
          </w:tcPr>
          <w:p w14:paraId="2C74D3FE">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C23BEFE">
            <w:pPr>
              <w:widowControl/>
              <w:jc w:val="center"/>
              <w:rPr>
                <w:rFonts w:ascii="宋体" w:hAnsi="宋体" w:cs="宋体"/>
                <w:kern w:val="0"/>
                <w:sz w:val="18"/>
                <w:szCs w:val="18"/>
              </w:rPr>
            </w:pPr>
            <w:r>
              <w:rPr>
                <w:rFonts w:hint="eastAsia" w:ascii="宋体" w:hAnsi="宋体" w:cs="宋体"/>
                <w:kern w:val="0"/>
                <w:sz w:val="18"/>
                <w:szCs w:val="18"/>
              </w:rPr>
              <w:t>2019</w:t>
            </w:r>
          </w:p>
        </w:tc>
        <w:tc>
          <w:tcPr>
            <w:tcW w:w="1026" w:type="dxa"/>
            <w:shd w:val="clear" w:color="auto" w:fill="auto"/>
            <w:noWrap/>
            <w:vAlign w:val="center"/>
          </w:tcPr>
          <w:p w14:paraId="6695AA0F">
            <w:pPr>
              <w:widowControl/>
              <w:jc w:val="center"/>
              <w:rPr>
                <w:rFonts w:ascii="宋体" w:hAnsi="宋体" w:cs="宋体"/>
                <w:kern w:val="0"/>
                <w:sz w:val="18"/>
                <w:szCs w:val="18"/>
              </w:rPr>
            </w:pPr>
            <w:r>
              <w:rPr>
                <w:rFonts w:hint="eastAsia" w:ascii="宋体" w:hAnsi="宋体" w:cs="宋体"/>
                <w:kern w:val="0"/>
                <w:sz w:val="18"/>
                <w:szCs w:val="18"/>
              </w:rPr>
              <w:t>6.16</w:t>
            </w:r>
          </w:p>
        </w:tc>
        <w:tc>
          <w:tcPr>
            <w:tcW w:w="946" w:type="dxa"/>
            <w:shd w:val="clear" w:color="auto" w:fill="auto"/>
            <w:noWrap/>
            <w:vAlign w:val="center"/>
          </w:tcPr>
          <w:p w14:paraId="5BFEA389">
            <w:pPr>
              <w:widowControl/>
              <w:jc w:val="center"/>
              <w:rPr>
                <w:rFonts w:ascii="宋体" w:hAnsi="宋体" w:cs="宋体"/>
                <w:kern w:val="0"/>
                <w:sz w:val="18"/>
                <w:szCs w:val="18"/>
              </w:rPr>
            </w:pPr>
            <w:r>
              <w:rPr>
                <w:rFonts w:hint="eastAsia" w:ascii="宋体" w:hAnsi="宋体" w:cs="宋体"/>
                <w:kern w:val="0"/>
                <w:sz w:val="18"/>
                <w:szCs w:val="18"/>
              </w:rPr>
              <w:t>6.16</w:t>
            </w:r>
          </w:p>
        </w:tc>
        <w:tc>
          <w:tcPr>
            <w:tcW w:w="854" w:type="dxa"/>
            <w:shd w:val="clear" w:color="auto" w:fill="auto"/>
            <w:noWrap/>
            <w:vAlign w:val="center"/>
          </w:tcPr>
          <w:p w14:paraId="35F4AC84">
            <w:pPr>
              <w:widowControl/>
              <w:jc w:val="center"/>
              <w:rPr>
                <w:rFonts w:ascii="宋体" w:hAnsi="宋体" w:cs="宋体"/>
                <w:kern w:val="0"/>
                <w:sz w:val="18"/>
                <w:szCs w:val="18"/>
              </w:rPr>
            </w:pPr>
            <w:r>
              <w:rPr>
                <w:rFonts w:hint="eastAsia" w:ascii="宋体" w:hAnsi="宋体" w:cs="宋体"/>
                <w:kern w:val="0"/>
                <w:sz w:val="18"/>
                <w:szCs w:val="18"/>
              </w:rPr>
              <w:t>3.37</w:t>
            </w:r>
          </w:p>
        </w:tc>
        <w:tc>
          <w:tcPr>
            <w:tcW w:w="1489" w:type="dxa"/>
            <w:shd w:val="clear" w:color="auto" w:fill="auto"/>
            <w:vAlign w:val="center"/>
          </w:tcPr>
          <w:p w14:paraId="369758EC">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4EEF87E6">
            <w:pPr>
              <w:widowControl/>
              <w:jc w:val="center"/>
              <w:rPr>
                <w:rFonts w:ascii="宋体" w:hAnsi="宋体" w:cs="宋体"/>
                <w:kern w:val="0"/>
                <w:sz w:val="18"/>
                <w:szCs w:val="18"/>
              </w:rPr>
            </w:pPr>
          </w:p>
        </w:tc>
      </w:tr>
      <w:tr w14:paraId="4070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DFA25F2">
            <w:pPr>
              <w:widowControl/>
              <w:jc w:val="center"/>
              <w:rPr>
                <w:rFonts w:ascii="宋体" w:hAnsi="宋体" w:cs="宋体"/>
                <w:kern w:val="0"/>
                <w:sz w:val="18"/>
                <w:szCs w:val="18"/>
              </w:rPr>
            </w:pPr>
          </w:p>
        </w:tc>
        <w:tc>
          <w:tcPr>
            <w:tcW w:w="3659" w:type="dxa"/>
            <w:shd w:val="clear" w:color="auto" w:fill="auto"/>
            <w:noWrap/>
            <w:vAlign w:val="center"/>
          </w:tcPr>
          <w:p w14:paraId="3161E0E2">
            <w:pPr>
              <w:widowControl/>
              <w:jc w:val="center"/>
              <w:rPr>
                <w:rFonts w:ascii="宋体" w:hAnsi="宋体" w:cs="宋体"/>
                <w:kern w:val="0"/>
                <w:sz w:val="18"/>
                <w:szCs w:val="18"/>
              </w:rPr>
            </w:pPr>
            <w:r>
              <w:rPr>
                <w:rFonts w:hint="eastAsia" w:ascii="宋体" w:hAnsi="宋体" w:cs="宋体"/>
                <w:kern w:val="0"/>
                <w:sz w:val="18"/>
                <w:szCs w:val="18"/>
              </w:rPr>
              <w:t>拖布卡镇格勒小学搬迁</w:t>
            </w:r>
          </w:p>
        </w:tc>
        <w:tc>
          <w:tcPr>
            <w:tcW w:w="796" w:type="dxa"/>
            <w:shd w:val="clear" w:color="auto" w:fill="auto"/>
            <w:noWrap/>
            <w:vAlign w:val="center"/>
          </w:tcPr>
          <w:p w14:paraId="0573E435">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AF75E30">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7E4EACE2">
            <w:pPr>
              <w:widowControl/>
              <w:jc w:val="center"/>
              <w:rPr>
                <w:rFonts w:ascii="宋体" w:hAnsi="宋体" w:cs="宋体"/>
                <w:kern w:val="0"/>
                <w:sz w:val="18"/>
                <w:szCs w:val="18"/>
              </w:rPr>
            </w:pPr>
            <w:r>
              <w:rPr>
                <w:rFonts w:hint="eastAsia" w:ascii="宋体" w:hAnsi="宋体" w:cs="宋体"/>
                <w:kern w:val="0"/>
                <w:sz w:val="18"/>
                <w:szCs w:val="18"/>
              </w:rPr>
              <w:t>0.80</w:t>
            </w:r>
          </w:p>
        </w:tc>
        <w:tc>
          <w:tcPr>
            <w:tcW w:w="946" w:type="dxa"/>
            <w:shd w:val="clear" w:color="auto" w:fill="auto"/>
            <w:noWrap/>
            <w:vAlign w:val="center"/>
          </w:tcPr>
          <w:p w14:paraId="27406381">
            <w:pPr>
              <w:widowControl/>
              <w:jc w:val="center"/>
              <w:rPr>
                <w:rFonts w:ascii="宋体" w:hAnsi="宋体" w:cs="宋体"/>
                <w:kern w:val="0"/>
                <w:sz w:val="18"/>
                <w:szCs w:val="18"/>
              </w:rPr>
            </w:pPr>
            <w:r>
              <w:rPr>
                <w:rFonts w:hint="eastAsia" w:ascii="宋体" w:hAnsi="宋体" w:cs="宋体"/>
                <w:kern w:val="0"/>
                <w:sz w:val="18"/>
                <w:szCs w:val="18"/>
              </w:rPr>
              <w:t>0.80</w:t>
            </w:r>
          </w:p>
        </w:tc>
        <w:tc>
          <w:tcPr>
            <w:tcW w:w="854" w:type="dxa"/>
            <w:shd w:val="clear" w:color="auto" w:fill="auto"/>
            <w:noWrap/>
            <w:vAlign w:val="center"/>
          </w:tcPr>
          <w:p w14:paraId="610AEF3C">
            <w:pPr>
              <w:widowControl/>
              <w:jc w:val="center"/>
              <w:rPr>
                <w:rFonts w:ascii="宋体" w:hAnsi="宋体" w:cs="宋体"/>
                <w:kern w:val="0"/>
                <w:sz w:val="18"/>
                <w:szCs w:val="18"/>
              </w:rPr>
            </w:pPr>
            <w:r>
              <w:rPr>
                <w:rFonts w:hint="eastAsia" w:ascii="宋体" w:hAnsi="宋体" w:cs="宋体"/>
                <w:kern w:val="0"/>
                <w:sz w:val="18"/>
                <w:szCs w:val="18"/>
              </w:rPr>
              <w:t>0.20</w:t>
            </w:r>
          </w:p>
        </w:tc>
        <w:tc>
          <w:tcPr>
            <w:tcW w:w="1489" w:type="dxa"/>
            <w:shd w:val="clear" w:color="auto" w:fill="auto"/>
            <w:vAlign w:val="center"/>
          </w:tcPr>
          <w:p w14:paraId="36825C40">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541A0C23">
            <w:pPr>
              <w:widowControl/>
              <w:jc w:val="center"/>
              <w:rPr>
                <w:rFonts w:ascii="宋体" w:hAnsi="宋体" w:cs="宋体"/>
                <w:kern w:val="0"/>
                <w:sz w:val="18"/>
                <w:szCs w:val="18"/>
              </w:rPr>
            </w:pPr>
          </w:p>
        </w:tc>
      </w:tr>
      <w:tr w14:paraId="15F3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7E399BB">
            <w:pPr>
              <w:widowControl/>
              <w:jc w:val="center"/>
              <w:rPr>
                <w:rFonts w:ascii="宋体" w:hAnsi="宋体" w:cs="宋体"/>
                <w:kern w:val="0"/>
                <w:sz w:val="18"/>
                <w:szCs w:val="18"/>
              </w:rPr>
            </w:pPr>
          </w:p>
        </w:tc>
        <w:tc>
          <w:tcPr>
            <w:tcW w:w="3659" w:type="dxa"/>
            <w:shd w:val="clear" w:color="auto" w:fill="auto"/>
            <w:noWrap/>
            <w:vAlign w:val="center"/>
          </w:tcPr>
          <w:p w14:paraId="31AB07B7">
            <w:pPr>
              <w:widowControl/>
              <w:jc w:val="center"/>
              <w:rPr>
                <w:rFonts w:ascii="宋体" w:hAnsi="宋体" w:cs="宋体"/>
                <w:kern w:val="0"/>
                <w:sz w:val="18"/>
                <w:szCs w:val="18"/>
              </w:rPr>
            </w:pPr>
            <w:r>
              <w:rPr>
                <w:rFonts w:hint="eastAsia" w:ascii="宋体" w:hAnsi="宋体" w:cs="宋体"/>
                <w:kern w:val="0"/>
                <w:sz w:val="18"/>
                <w:szCs w:val="18"/>
              </w:rPr>
              <w:t>格勒幼儿园搬迁重建项目</w:t>
            </w:r>
          </w:p>
        </w:tc>
        <w:tc>
          <w:tcPr>
            <w:tcW w:w="796" w:type="dxa"/>
            <w:shd w:val="clear" w:color="auto" w:fill="auto"/>
            <w:noWrap/>
            <w:vAlign w:val="center"/>
          </w:tcPr>
          <w:p w14:paraId="41DA8FE8">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11199BB">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2AE21721">
            <w:pPr>
              <w:widowControl/>
              <w:jc w:val="center"/>
              <w:rPr>
                <w:rFonts w:ascii="宋体" w:hAnsi="宋体" w:cs="宋体"/>
                <w:kern w:val="0"/>
                <w:sz w:val="18"/>
                <w:szCs w:val="18"/>
              </w:rPr>
            </w:pPr>
            <w:r>
              <w:rPr>
                <w:rFonts w:hint="eastAsia" w:ascii="宋体" w:hAnsi="宋体" w:cs="宋体"/>
                <w:kern w:val="0"/>
                <w:sz w:val="18"/>
                <w:szCs w:val="18"/>
              </w:rPr>
              <w:t>0.67</w:t>
            </w:r>
          </w:p>
        </w:tc>
        <w:tc>
          <w:tcPr>
            <w:tcW w:w="946" w:type="dxa"/>
            <w:shd w:val="clear" w:color="auto" w:fill="auto"/>
            <w:noWrap/>
            <w:vAlign w:val="center"/>
          </w:tcPr>
          <w:p w14:paraId="252A7C2C">
            <w:pPr>
              <w:widowControl/>
              <w:jc w:val="center"/>
              <w:rPr>
                <w:rFonts w:ascii="宋体" w:hAnsi="宋体" w:cs="宋体"/>
                <w:kern w:val="0"/>
                <w:sz w:val="18"/>
                <w:szCs w:val="18"/>
              </w:rPr>
            </w:pPr>
            <w:r>
              <w:rPr>
                <w:rFonts w:hint="eastAsia" w:ascii="宋体" w:hAnsi="宋体" w:cs="宋体"/>
                <w:kern w:val="0"/>
                <w:sz w:val="18"/>
                <w:szCs w:val="18"/>
              </w:rPr>
              <w:t>0.08</w:t>
            </w:r>
          </w:p>
        </w:tc>
        <w:tc>
          <w:tcPr>
            <w:tcW w:w="854" w:type="dxa"/>
            <w:shd w:val="clear" w:color="auto" w:fill="auto"/>
            <w:noWrap/>
            <w:vAlign w:val="center"/>
          </w:tcPr>
          <w:p w14:paraId="5E1A426D">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vAlign w:val="center"/>
          </w:tcPr>
          <w:p w14:paraId="4EB4C00C">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47167AC6">
            <w:pPr>
              <w:widowControl/>
              <w:jc w:val="center"/>
              <w:rPr>
                <w:rFonts w:ascii="宋体" w:hAnsi="宋体" w:cs="宋体"/>
                <w:kern w:val="0"/>
                <w:sz w:val="18"/>
                <w:szCs w:val="18"/>
              </w:rPr>
            </w:pPr>
          </w:p>
        </w:tc>
      </w:tr>
      <w:tr w14:paraId="5B6A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FD0EDA1">
            <w:pPr>
              <w:widowControl/>
              <w:jc w:val="center"/>
              <w:rPr>
                <w:rFonts w:ascii="宋体" w:hAnsi="宋体" w:cs="宋体"/>
                <w:kern w:val="0"/>
                <w:sz w:val="18"/>
                <w:szCs w:val="18"/>
              </w:rPr>
            </w:pPr>
          </w:p>
        </w:tc>
        <w:tc>
          <w:tcPr>
            <w:tcW w:w="3659" w:type="dxa"/>
            <w:shd w:val="clear" w:color="auto" w:fill="auto"/>
            <w:noWrap/>
            <w:vAlign w:val="center"/>
          </w:tcPr>
          <w:p w14:paraId="70310F9C">
            <w:pPr>
              <w:widowControl/>
              <w:jc w:val="center"/>
              <w:rPr>
                <w:rFonts w:ascii="宋体" w:hAnsi="宋体" w:cs="宋体"/>
                <w:kern w:val="0"/>
                <w:sz w:val="18"/>
                <w:szCs w:val="18"/>
              </w:rPr>
            </w:pPr>
            <w:r>
              <w:rPr>
                <w:rFonts w:hint="eastAsia" w:ascii="宋体" w:hAnsi="宋体" w:cs="宋体"/>
                <w:kern w:val="0"/>
                <w:sz w:val="18"/>
                <w:szCs w:val="18"/>
              </w:rPr>
              <w:t>阿旺镇岩头小学</w:t>
            </w:r>
          </w:p>
        </w:tc>
        <w:tc>
          <w:tcPr>
            <w:tcW w:w="796" w:type="dxa"/>
            <w:shd w:val="clear" w:color="auto" w:fill="auto"/>
            <w:noWrap/>
            <w:vAlign w:val="center"/>
          </w:tcPr>
          <w:p w14:paraId="10E1F52F">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723A9FC1">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40B911AB">
            <w:pPr>
              <w:widowControl/>
              <w:jc w:val="center"/>
              <w:rPr>
                <w:rFonts w:ascii="宋体" w:hAnsi="宋体" w:cs="宋体"/>
                <w:kern w:val="0"/>
                <w:sz w:val="18"/>
                <w:szCs w:val="18"/>
              </w:rPr>
            </w:pPr>
            <w:r>
              <w:rPr>
                <w:rFonts w:hint="eastAsia" w:ascii="宋体" w:hAnsi="宋体" w:cs="宋体"/>
                <w:kern w:val="0"/>
                <w:sz w:val="18"/>
                <w:szCs w:val="18"/>
              </w:rPr>
              <w:t>0.80</w:t>
            </w:r>
          </w:p>
        </w:tc>
        <w:tc>
          <w:tcPr>
            <w:tcW w:w="946" w:type="dxa"/>
            <w:shd w:val="clear" w:color="auto" w:fill="auto"/>
            <w:noWrap/>
            <w:vAlign w:val="center"/>
          </w:tcPr>
          <w:p w14:paraId="0B37C139">
            <w:pPr>
              <w:widowControl/>
              <w:jc w:val="center"/>
              <w:rPr>
                <w:rFonts w:ascii="宋体" w:hAnsi="宋体" w:cs="宋体"/>
                <w:kern w:val="0"/>
                <w:sz w:val="18"/>
                <w:szCs w:val="18"/>
              </w:rPr>
            </w:pPr>
            <w:r>
              <w:rPr>
                <w:rFonts w:hint="eastAsia" w:ascii="宋体" w:hAnsi="宋体" w:cs="宋体"/>
                <w:kern w:val="0"/>
                <w:sz w:val="18"/>
                <w:szCs w:val="18"/>
              </w:rPr>
              <w:t>0.80</w:t>
            </w:r>
          </w:p>
        </w:tc>
        <w:tc>
          <w:tcPr>
            <w:tcW w:w="854" w:type="dxa"/>
            <w:shd w:val="clear" w:color="auto" w:fill="auto"/>
            <w:noWrap/>
            <w:vAlign w:val="center"/>
          </w:tcPr>
          <w:p w14:paraId="45B5A7FC">
            <w:pPr>
              <w:widowControl/>
              <w:jc w:val="center"/>
              <w:rPr>
                <w:rFonts w:ascii="宋体" w:hAnsi="宋体" w:cs="宋体"/>
                <w:kern w:val="0"/>
                <w:sz w:val="18"/>
                <w:szCs w:val="18"/>
              </w:rPr>
            </w:pPr>
            <w:r>
              <w:rPr>
                <w:rFonts w:hint="eastAsia" w:ascii="宋体" w:hAnsi="宋体" w:cs="宋体"/>
                <w:kern w:val="0"/>
                <w:sz w:val="18"/>
                <w:szCs w:val="18"/>
              </w:rPr>
              <w:t>0.20</w:t>
            </w:r>
          </w:p>
        </w:tc>
        <w:tc>
          <w:tcPr>
            <w:tcW w:w="1489" w:type="dxa"/>
            <w:shd w:val="clear" w:color="auto" w:fill="auto"/>
            <w:vAlign w:val="center"/>
          </w:tcPr>
          <w:p w14:paraId="282566F9">
            <w:pPr>
              <w:widowControl/>
              <w:jc w:val="center"/>
              <w:rPr>
                <w:rFonts w:ascii="宋体" w:hAnsi="宋体" w:cs="宋体"/>
                <w:kern w:val="0"/>
                <w:sz w:val="15"/>
                <w:szCs w:val="15"/>
              </w:rPr>
            </w:pPr>
            <w:r>
              <w:rPr>
                <w:rFonts w:hint="eastAsia" w:ascii="宋体" w:hAnsi="宋体" w:cs="宋体"/>
                <w:kern w:val="0"/>
                <w:sz w:val="18"/>
                <w:szCs w:val="18"/>
              </w:rPr>
              <w:t>阿旺镇</w:t>
            </w:r>
          </w:p>
        </w:tc>
        <w:tc>
          <w:tcPr>
            <w:tcW w:w="577" w:type="dxa"/>
            <w:shd w:val="clear" w:color="auto" w:fill="auto"/>
            <w:noWrap/>
            <w:vAlign w:val="center"/>
          </w:tcPr>
          <w:p w14:paraId="77DD8FEC">
            <w:pPr>
              <w:widowControl/>
              <w:jc w:val="center"/>
              <w:rPr>
                <w:rFonts w:ascii="宋体" w:hAnsi="宋体" w:cs="宋体"/>
                <w:kern w:val="0"/>
                <w:sz w:val="18"/>
                <w:szCs w:val="18"/>
              </w:rPr>
            </w:pPr>
          </w:p>
        </w:tc>
      </w:tr>
      <w:tr w14:paraId="380F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650E60D">
            <w:pPr>
              <w:widowControl/>
              <w:jc w:val="center"/>
              <w:rPr>
                <w:rFonts w:ascii="宋体" w:hAnsi="宋体" w:cs="宋体"/>
                <w:kern w:val="0"/>
                <w:sz w:val="18"/>
                <w:szCs w:val="18"/>
              </w:rPr>
            </w:pPr>
          </w:p>
        </w:tc>
        <w:tc>
          <w:tcPr>
            <w:tcW w:w="3659" w:type="dxa"/>
            <w:shd w:val="clear" w:color="auto" w:fill="auto"/>
            <w:noWrap/>
            <w:vAlign w:val="center"/>
          </w:tcPr>
          <w:p w14:paraId="6F172577">
            <w:pPr>
              <w:widowControl/>
              <w:jc w:val="center"/>
              <w:rPr>
                <w:rFonts w:ascii="宋体" w:hAnsi="宋体" w:cs="宋体"/>
                <w:kern w:val="0"/>
                <w:sz w:val="18"/>
                <w:szCs w:val="18"/>
              </w:rPr>
            </w:pPr>
            <w:r>
              <w:rPr>
                <w:rFonts w:hint="eastAsia" w:ascii="宋体" w:hAnsi="宋体" w:cs="宋体"/>
                <w:kern w:val="0"/>
                <w:sz w:val="18"/>
                <w:szCs w:val="18"/>
              </w:rPr>
              <w:t>阿旺镇芋头塘小学</w:t>
            </w:r>
          </w:p>
        </w:tc>
        <w:tc>
          <w:tcPr>
            <w:tcW w:w="796" w:type="dxa"/>
            <w:shd w:val="clear" w:color="auto" w:fill="auto"/>
            <w:noWrap/>
            <w:vAlign w:val="center"/>
          </w:tcPr>
          <w:p w14:paraId="43A6B23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3188E8D9">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6F630031">
            <w:pPr>
              <w:widowControl/>
              <w:jc w:val="center"/>
              <w:rPr>
                <w:rFonts w:ascii="宋体" w:hAnsi="宋体" w:cs="宋体"/>
                <w:kern w:val="0"/>
                <w:sz w:val="18"/>
                <w:szCs w:val="18"/>
              </w:rPr>
            </w:pPr>
            <w:r>
              <w:rPr>
                <w:rFonts w:hint="eastAsia" w:ascii="宋体" w:hAnsi="宋体" w:cs="宋体"/>
                <w:kern w:val="0"/>
                <w:sz w:val="18"/>
                <w:szCs w:val="18"/>
              </w:rPr>
              <w:t>0.80</w:t>
            </w:r>
          </w:p>
        </w:tc>
        <w:tc>
          <w:tcPr>
            <w:tcW w:w="946" w:type="dxa"/>
            <w:shd w:val="clear" w:color="auto" w:fill="auto"/>
            <w:noWrap/>
            <w:vAlign w:val="center"/>
          </w:tcPr>
          <w:p w14:paraId="5C963E7E">
            <w:pPr>
              <w:widowControl/>
              <w:jc w:val="center"/>
              <w:rPr>
                <w:rFonts w:ascii="宋体" w:hAnsi="宋体" w:cs="宋体"/>
                <w:kern w:val="0"/>
                <w:sz w:val="18"/>
                <w:szCs w:val="18"/>
              </w:rPr>
            </w:pPr>
            <w:r>
              <w:rPr>
                <w:rFonts w:hint="eastAsia" w:ascii="宋体" w:hAnsi="宋体" w:cs="宋体"/>
                <w:kern w:val="0"/>
                <w:sz w:val="18"/>
                <w:szCs w:val="18"/>
              </w:rPr>
              <w:t>0.80</w:t>
            </w:r>
          </w:p>
        </w:tc>
        <w:tc>
          <w:tcPr>
            <w:tcW w:w="854" w:type="dxa"/>
            <w:shd w:val="clear" w:color="auto" w:fill="auto"/>
            <w:noWrap/>
            <w:vAlign w:val="center"/>
          </w:tcPr>
          <w:p w14:paraId="1EEB4F90">
            <w:pPr>
              <w:widowControl/>
              <w:jc w:val="center"/>
              <w:rPr>
                <w:rFonts w:ascii="宋体" w:hAnsi="宋体" w:cs="宋体"/>
                <w:kern w:val="0"/>
                <w:sz w:val="18"/>
                <w:szCs w:val="18"/>
              </w:rPr>
            </w:pPr>
            <w:r>
              <w:rPr>
                <w:rFonts w:hint="eastAsia" w:ascii="宋体" w:hAnsi="宋体" w:cs="宋体"/>
                <w:kern w:val="0"/>
                <w:sz w:val="18"/>
                <w:szCs w:val="18"/>
              </w:rPr>
              <w:t>0.20</w:t>
            </w:r>
          </w:p>
        </w:tc>
        <w:tc>
          <w:tcPr>
            <w:tcW w:w="1489" w:type="dxa"/>
            <w:shd w:val="clear" w:color="auto" w:fill="auto"/>
            <w:vAlign w:val="center"/>
          </w:tcPr>
          <w:p w14:paraId="1FAD23A5">
            <w:pPr>
              <w:widowControl/>
              <w:jc w:val="center"/>
              <w:rPr>
                <w:rFonts w:ascii="宋体" w:hAnsi="宋体" w:cs="宋体"/>
                <w:kern w:val="0"/>
                <w:sz w:val="15"/>
                <w:szCs w:val="15"/>
              </w:rPr>
            </w:pPr>
            <w:r>
              <w:rPr>
                <w:rFonts w:hint="eastAsia" w:ascii="宋体" w:hAnsi="宋体" w:cs="宋体"/>
                <w:kern w:val="0"/>
                <w:sz w:val="18"/>
                <w:szCs w:val="18"/>
              </w:rPr>
              <w:t>阿旺镇</w:t>
            </w:r>
          </w:p>
        </w:tc>
        <w:tc>
          <w:tcPr>
            <w:tcW w:w="577" w:type="dxa"/>
            <w:shd w:val="clear" w:color="auto" w:fill="auto"/>
            <w:noWrap/>
            <w:vAlign w:val="center"/>
          </w:tcPr>
          <w:p w14:paraId="36EB3FD4">
            <w:pPr>
              <w:widowControl/>
              <w:jc w:val="center"/>
              <w:rPr>
                <w:rFonts w:ascii="宋体" w:hAnsi="宋体" w:cs="宋体"/>
                <w:kern w:val="0"/>
                <w:sz w:val="18"/>
                <w:szCs w:val="18"/>
              </w:rPr>
            </w:pPr>
          </w:p>
        </w:tc>
      </w:tr>
      <w:tr w14:paraId="6B16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5E4FAD7">
            <w:pPr>
              <w:widowControl/>
              <w:jc w:val="center"/>
              <w:rPr>
                <w:rFonts w:ascii="宋体" w:hAnsi="宋体" w:cs="宋体"/>
                <w:kern w:val="0"/>
                <w:sz w:val="18"/>
                <w:szCs w:val="18"/>
              </w:rPr>
            </w:pPr>
          </w:p>
        </w:tc>
        <w:tc>
          <w:tcPr>
            <w:tcW w:w="3659" w:type="dxa"/>
            <w:shd w:val="clear" w:color="auto" w:fill="auto"/>
            <w:noWrap/>
            <w:vAlign w:val="center"/>
          </w:tcPr>
          <w:p w14:paraId="5EAE7386">
            <w:pPr>
              <w:widowControl/>
              <w:jc w:val="center"/>
              <w:rPr>
                <w:rFonts w:ascii="宋体" w:hAnsi="宋体" w:cs="宋体"/>
                <w:kern w:val="0"/>
                <w:sz w:val="18"/>
                <w:szCs w:val="18"/>
              </w:rPr>
            </w:pPr>
            <w:r>
              <w:rPr>
                <w:rFonts w:hint="eastAsia" w:ascii="宋体" w:hAnsi="宋体" w:cs="宋体"/>
                <w:kern w:val="0"/>
                <w:sz w:val="18"/>
                <w:szCs w:val="18"/>
              </w:rPr>
              <w:t>东川区阿旺镇中学</w:t>
            </w:r>
          </w:p>
        </w:tc>
        <w:tc>
          <w:tcPr>
            <w:tcW w:w="796" w:type="dxa"/>
            <w:shd w:val="clear" w:color="auto" w:fill="auto"/>
            <w:noWrap/>
            <w:vAlign w:val="center"/>
          </w:tcPr>
          <w:p w14:paraId="0CE18221">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69A4ACBB">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0ECD66BB">
            <w:pPr>
              <w:widowControl/>
              <w:jc w:val="center"/>
              <w:rPr>
                <w:rFonts w:ascii="宋体" w:hAnsi="宋体" w:cs="宋体"/>
                <w:kern w:val="0"/>
                <w:sz w:val="18"/>
                <w:szCs w:val="18"/>
              </w:rPr>
            </w:pPr>
            <w:r>
              <w:rPr>
                <w:rFonts w:hint="eastAsia" w:ascii="宋体" w:hAnsi="宋体" w:cs="宋体"/>
                <w:kern w:val="0"/>
                <w:sz w:val="18"/>
                <w:szCs w:val="18"/>
              </w:rPr>
              <w:t>1.35</w:t>
            </w:r>
          </w:p>
        </w:tc>
        <w:tc>
          <w:tcPr>
            <w:tcW w:w="946" w:type="dxa"/>
            <w:shd w:val="clear" w:color="auto" w:fill="auto"/>
            <w:noWrap/>
            <w:vAlign w:val="center"/>
          </w:tcPr>
          <w:p w14:paraId="15D9DC55">
            <w:pPr>
              <w:widowControl/>
              <w:jc w:val="center"/>
              <w:rPr>
                <w:rFonts w:ascii="宋体" w:hAnsi="宋体" w:cs="宋体"/>
                <w:kern w:val="0"/>
                <w:sz w:val="18"/>
                <w:szCs w:val="18"/>
              </w:rPr>
            </w:pPr>
            <w:r>
              <w:rPr>
                <w:rFonts w:hint="eastAsia" w:ascii="宋体" w:hAnsi="宋体" w:cs="宋体"/>
                <w:kern w:val="0"/>
                <w:sz w:val="18"/>
                <w:szCs w:val="18"/>
              </w:rPr>
              <w:t>0.96</w:t>
            </w:r>
          </w:p>
        </w:tc>
        <w:tc>
          <w:tcPr>
            <w:tcW w:w="854" w:type="dxa"/>
            <w:shd w:val="clear" w:color="auto" w:fill="auto"/>
            <w:noWrap/>
            <w:vAlign w:val="center"/>
          </w:tcPr>
          <w:p w14:paraId="23BA6002">
            <w:pPr>
              <w:widowControl/>
              <w:jc w:val="center"/>
              <w:rPr>
                <w:rFonts w:ascii="宋体" w:hAnsi="宋体" w:cs="宋体"/>
                <w:kern w:val="0"/>
                <w:sz w:val="18"/>
                <w:szCs w:val="18"/>
              </w:rPr>
            </w:pPr>
            <w:r>
              <w:rPr>
                <w:rFonts w:hint="eastAsia" w:ascii="宋体" w:hAnsi="宋体" w:cs="宋体"/>
                <w:kern w:val="0"/>
                <w:sz w:val="18"/>
                <w:szCs w:val="18"/>
              </w:rPr>
              <w:t>0.49</w:t>
            </w:r>
          </w:p>
        </w:tc>
        <w:tc>
          <w:tcPr>
            <w:tcW w:w="1489" w:type="dxa"/>
            <w:shd w:val="clear" w:color="auto" w:fill="auto"/>
            <w:vAlign w:val="center"/>
          </w:tcPr>
          <w:p w14:paraId="4DF3FE1D">
            <w:pPr>
              <w:widowControl/>
              <w:jc w:val="center"/>
              <w:rPr>
                <w:rFonts w:ascii="宋体" w:hAnsi="宋体" w:cs="宋体"/>
                <w:kern w:val="0"/>
                <w:sz w:val="15"/>
                <w:szCs w:val="15"/>
              </w:rPr>
            </w:pPr>
            <w:r>
              <w:rPr>
                <w:rFonts w:hint="eastAsia" w:ascii="宋体" w:hAnsi="宋体" w:cs="宋体"/>
                <w:kern w:val="0"/>
                <w:sz w:val="18"/>
                <w:szCs w:val="18"/>
              </w:rPr>
              <w:t>阿旺镇</w:t>
            </w:r>
          </w:p>
        </w:tc>
        <w:tc>
          <w:tcPr>
            <w:tcW w:w="577" w:type="dxa"/>
            <w:shd w:val="clear" w:color="auto" w:fill="auto"/>
            <w:noWrap/>
            <w:vAlign w:val="center"/>
          </w:tcPr>
          <w:p w14:paraId="50567A11">
            <w:pPr>
              <w:widowControl/>
              <w:jc w:val="center"/>
              <w:rPr>
                <w:rFonts w:ascii="宋体" w:hAnsi="宋体" w:cs="宋体"/>
                <w:kern w:val="0"/>
                <w:sz w:val="18"/>
                <w:szCs w:val="18"/>
              </w:rPr>
            </w:pPr>
          </w:p>
        </w:tc>
      </w:tr>
      <w:tr w14:paraId="7A22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4AEB236">
            <w:pPr>
              <w:widowControl/>
              <w:jc w:val="center"/>
              <w:rPr>
                <w:rFonts w:ascii="宋体" w:hAnsi="宋体" w:cs="宋体"/>
                <w:kern w:val="0"/>
                <w:sz w:val="18"/>
                <w:szCs w:val="18"/>
              </w:rPr>
            </w:pPr>
          </w:p>
        </w:tc>
        <w:tc>
          <w:tcPr>
            <w:tcW w:w="3659" w:type="dxa"/>
            <w:shd w:val="clear" w:color="auto" w:fill="auto"/>
            <w:noWrap/>
            <w:vAlign w:val="center"/>
          </w:tcPr>
          <w:p w14:paraId="3986E113">
            <w:pPr>
              <w:widowControl/>
              <w:jc w:val="center"/>
              <w:rPr>
                <w:rFonts w:ascii="宋体" w:hAnsi="宋体" w:cs="宋体"/>
                <w:kern w:val="0"/>
                <w:sz w:val="18"/>
                <w:szCs w:val="18"/>
              </w:rPr>
            </w:pPr>
            <w:r>
              <w:rPr>
                <w:rFonts w:hint="eastAsia" w:ascii="宋体" w:hAnsi="宋体" w:cs="宋体"/>
                <w:kern w:val="0"/>
                <w:sz w:val="18"/>
                <w:szCs w:val="18"/>
              </w:rPr>
              <w:t>东川区铜都街道集义小学</w:t>
            </w:r>
          </w:p>
        </w:tc>
        <w:tc>
          <w:tcPr>
            <w:tcW w:w="796" w:type="dxa"/>
            <w:shd w:val="clear" w:color="auto" w:fill="auto"/>
            <w:noWrap/>
            <w:vAlign w:val="center"/>
          </w:tcPr>
          <w:p w14:paraId="40B2425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074B5EEE">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3DEDA36A">
            <w:pPr>
              <w:widowControl/>
              <w:jc w:val="center"/>
              <w:rPr>
                <w:rFonts w:ascii="宋体" w:hAnsi="宋体" w:cs="宋体"/>
                <w:kern w:val="0"/>
                <w:sz w:val="18"/>
                <w:szCs w:val="18"/>
              </w:rPr>
            </w:pPr>
            <w:r>
              <w:rPr>
                <w:rFonts w:hint="eastAsia" w:ascii="宋体" w:hAnsi="宋体" w:cs="宋体"/>
                <w:kern w:val="0"/>
                <w:sz w:val="18"/>
                <w:szCs w:val="18"/>
              </w:rPr>
              <w:t>0.80</w:t>
            </w:r>
          </w:p>
        </w:tc>
        <w:tc>
          <w:tcPr>
            <w:tcW w:w="946" w:type="dxa"/>
            <w:shd w:val="clear" w:color="auto" w:fill="auto"/>
            <w:noWrap/>
            <w:vAlign w:val="center"/>
          </w:tcPr>
          <w:p w14:paraId="5567563B">
            <w:pPr>
              <w:widowControl/>
              <w:jc w:val="center"/>
              <w:rPr>
                <w:rFonts w:ascii="宋体" w:hAnsi="宋体" w:cs="宋体"/>
                <w:kern w:val="0"/>
                <w:sz w:val="18"/>
                <w:szCs w:val="18"/>
              </w:rPr>
            </w:pPr>
            <w:r>
              <w:rPr>
                <w:rFonts w:hint="eastAsia" w:ascii="宋体" w:hAnsi="宋体" w:cs="宋体"/>
                <w:kern w:val="0"/>
                <w:sz w:val="18"/>
                <w:szCs w:val="18"/>
              </w:rPr>
              <w:t>0.80</w:t>
            </w:r>
          </w:p>
        </w:tc>
        <w:tc>
          <w:tcPr>
            <w:tcW w:w="854" w:type="dxa"/>
            <w:shd w:val="clear" w:color="auto" w:fill="auto"/>
            <w:noWrap/>
            <w:vAlign w:val="center"/>
          </w:tcPr>
          <w:p w14:paraId="64A6131C">
            <w:pPr>
              <w:widowControl/>
              <w:jc w:val="center"/>
              <w:rPr>
                <w:rFonts w:ascii="宋体" w:hAnsi="宋体" w:cs="宋体"/>
                <w:kern w:val="0"/>
                <w:sz w:val="18"/>
                <w:szCs w:val="18"/>
              </w:rPr>
            </w:pPr>
            <w:r>
              <w:rPr>
                <w:rFonts w:hint="eastAsia" w:ascii="宋体" w:hAnsi="宋体" w:cs="宋体"/>
                <w:kern w:val="0"/>
                <w:sz w:val="18"/>
                <w:szCs w:val="18"/>
              </w:rPr>
              <w:t>0.20</w:t>
            </w:r>
          </w:p>
        </w:tc>
        <w:tc>
          <w:tcPr>
            <w:tcW w:w="1489" w:type="dxa"/>
            <w:shd w:val="clear" w:color="auto" w:fill="auto"/>
            <w:vAlign w:val="center"/>
          </w:tcPr>
          <w:p w14:paraId="6740C35C">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79D2CC87">
            <w:pPr>
              <w:widowControl/>
              <w:jc w:val="center"/>
              <w:rPr>
                <w:rFonts w:ascii="宋体" w:hAnsi="宋体" w:cs="宋体"/>
                <w:kern w:val="0"/>
                <w:sz w:val="18"/>
                <w:szCs w:val="18"/>
              </w:rPr>
            </w:pPr>
          </w:p>
        </w:tc>
      </w:tr>
      <w:tr w14:paraId="5C2A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C66BF39">
            <w:pPr>
              <w:widowControl/>
              <w:jc w:val="center"/>
              <w:rPr>
                <w:rFonts w:ascii="宋体" w:hAnsi="宋体" w:cs="宋体"/>
                <w:kern w:val="0"/>
                <w:sz w:val="18"/>
                <w:szCs w:val="18"/>
              </w:rPr>
            </w:pPr>
          </w:p>
        </w:tc>
        <w:tc>
          <w:tcPr>
            <w:tcW w:w="3659" w:type="dxa"/>
            <w:shd w:val="clear" w:color="auto" w:fill="auto"/>
            <w:noWrap/>
            <w:vAlign w:val="center"/>
          </w:tcPr>
          <w:p w14:paraId="247A3DC7">
            <w:pPr>
              <w:widowControl/>
              <w:jc w:val="center"/>
              <w:rPr>
                <w:rFonts w:ascii="宋体" w:hAnsi="宋体" w:cs="宋体"/>
                <w:kern w:val="0"/>
                <w:sz w:val="18"/>
                <w:szCs w:val="18"/>
              </w:rPr>
            </w:pPr>
            <w:r>
              <w:rPr>
                <w:rFonts w:hint="eastAsia" w:ascii="宋体" w:hAnsi="宋体" w:cs="宋体"/>
                <w:kern w:val="0"/>
                <w:sz w:val="18"/>
                <w:szCs w:val="18"/>
              </w:rPr>
              <w:t>姑海小学</w:t>
            </w:r>
          </w:p>
        </w:tc>
        <w:tc>
          <w:tcPr>
            <w:tcW w:w="796" w:type="dxa"/>
            <w:shd w:val="clear" w:color="auto" w:fill="auto"/>
            <w:noWrap/>
            <w:vAlign w:val="center"/>
          </w:tcPr>
          <w:p w14:paraId="4AC524F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5A9F1427">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10B96B9F">
            <w:pPr>
              <w:widowControl/>
              <w:jc w:val="center"/>
              <w:rPr>
                <w:rFonts w:ascii="宋体" w:hAnsi="宋体" w:cs="宋体"/>
                <w:kern w:val="0"/>
                <w:sz w:val="18"/>
                <w:szCs w:val="18"/>
              </w:rPr>
            </w:pPr>
            <w:r>
              <w:rPr>
                <w:rFonts w:hint="eastAsia" w:ascii="宋体" w:hAnsi="宋体" w:cs="宋体"/>
                <w:kern w:val="0"/>
                <w:sz w:val="18"/>
                <w:szCs w:val="18"/>
              </w:rPr>
              <w:t>0.80</w:t>
            </w:r>
          </w:p>
        </w:tc>
        <w:tc>
          <w:tcPr>
            <w:tcW w:w="946" w:type="dxa"/>
            <w:shd w:val="clear" w:color="auto" w:fill="auto"/>
            <w:noWrap/>
            <w:vAlign w:val="center"/>
          </w:tcPr>
          <w:p w14:paraId="1D55996A">
            <w:pPr>
              <w:widowControl/>
              <w:jc w:val="center"/>
              <w:rPr>
                <w:rFonts w:ascii="宋体" w:hAnsi="宋体" w:cs="宋体"/>
                <w:kern w:val="0"/>
                <w:sz w:val="18"/>
                <w:szCs w:val="18"/>
              </w:rPr>
            </w:pPr>
            <w:r>
              <w:rPr>
                <w:rFonts w:hint="eastAsia" w:ascii="宋体" w:hAnsi="宋体" w:cs="宋体"/>
                <w:kern w:val="0"/>
                <w:sz w:val="18"/>
                <w:szCs w:val="18"/>
              </w:rPr>
              <w:t>0.80</w:t>
            </w:r>
          </w:p>
        </w:tc>
        <w:tc>
          <w:tcPr>
            <w:tcW w:w="854" w:type="dxa"/>
            <w:shd w:val="clear" w:color="auto" w:fill="auto"/>
            <w:noWrap/>
            <w:vAlign w:val="center"/>
          </w:tcPr>
          <w:p w14:paraId="5CEC48EE">
            <w:pPr>
              <w:widowControl/>
              <w:jc w:val="center"/>
              <w:rPr>
                <w:rFonts w:ascii="宋体" w:hAnsi="宋体" w:cs="宋体"/>
                <w:kern w:val="0"/>
                <w:sz w:val="18"/>
                <w:szCs w:val="18"/>
              </w:rPr>
            </w:pPr>
            <w:r>
              <w:rPr>
                <w:rFonts w:hint="eastAsia" w:ascii="宋体" w:hAnsi="宋体" w:cs="宋体"/>
                <w:kern w:val="0"/>
                <w:sz w:val="18"/>
                <w:szCs w:val="18"/>
              </w:rPr>
              <w:t>0.20</w:t>
            </w:r>
          </w:p>
        </w:tc>
        <w:tc>
          <w:tcPr>
            <w:tcW w:w="1489" w:type="dxa"/>
            <w:shd w:val="clear" w:color="auto" w:fill="auto"/>
            <w:vAlign w:val="center"/>
          </w:tcPr>
          <w:p w14:paraId="78464C15">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1CC77F64">
            <w:pPr>
              <w:widowControl/>
              <w:jc w:val="center"/>
              <w:rPr>
                <w:rFonts w:ascii="宋体" w:hAnsi="宋体" w:cs="宋体"/>
                <w:kern w:val="0"/>
                <w:sz w:val="18"/>
                <w:szCs w:val="18"/>
              </w:rPr>
            </w:pPr>
          </w:p>
        </w:tc>
      </w:tr>
      <w:tr w14:paraId="35A7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A89482D">
            <w:pPr>
              <w:widowControl/>
              <w:jc w:val="center"/>
              <w:rPr>
                <w:rFonts w:ascii="宋体" w:hAnsi="宋体" w:cs="宋体"/>
                <w:kern w:val="0"/>
                <w:sz w:val="18"/>
                <w:szCs w:val="18"/>
              </w:rPr>
            </w:pPr>
          </w:p>
        </w:tc>
        <w:tc>
          <w:tcPr>
            <w:tcW w:w="3659" w:type="dxa"/>
            <w:shd w:val="clear" w:color="auto" w:fill="auto"/>
            <w:noWrap/>
            <w:vAlign w:val="center"/>
          </w:tcPr>
          <w:p w14:paraId="629C63D2">
            <w:pPr>
              <w:widowControl/>
              <w:jc w:val="center"/>
              <w:rPr>
                <w:rFonts w:ascii="宋体" w:hAnsi="宋体" w:cs="宋体"/>
                <w:kern w:val="0"/>
                <w:sz w:val="18"/>
                <w:szCs w:val="18"/>
              </w:rPr>
            </w:pPr>
            <w:r>
              <w:rPr>
                <w:rFonts w:hint="eastAsia" w:ascii="宋体" w:hAnsi="宋体" w:cs="宋体"/>
                <w:kern w:val="0"/>
                <w:sz w:val="18"/>
                <w:szCs w:val="18"/>
              </w:rPr>
              <w:t>汤丹镇江西小学</w:t>
            </w:r>
          </w:p>
        </w:tc>
        <w:tc>
          <w:tcPr>
            <w:tcW w:w="796" w:type="dxa"/>
            <w:shd w:val="clear" w:color="auto" w:fill="auto"/>
            <w:noWrap/>
            <w:vAlign w:val="center"/>
          </w:tcPr>
          <w:p w14:paraId="0DEBF4D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1F86A31D">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63A48BE9">
            <w:pPr>
              <w:widowControl/>
              <w:jc w:val="center"/>
              <w:rPr>
                <w:rFonts w:ascii="宋体" w:hAnsi="宋体" w:cs="宋体"/>
                <w:kern w:val="0"/>
                <w:sz w:val="18"/>
                <w:szCs w:val="18"/>
              </w:rPr>
            </w:pPr>
            <w:r>
              <w:rPr>
                <w:rFonts w:hint="eastAsia" w:ascii="宋体" w:hAnsi="宋体" w:cs="宋体"/>
                <w:kern w:val="0"/>
                <w:sz w:val="18"/>
                <w:szCs w:val="18"/>
              </w:rPr>
              <w:t>0.80</w:t>
            </w:r>
          </w:p>
        </w:tc>
        <w:tc>
          <w:tcPr>
            <w:tcW w:w="946" w:type="dxa"/>
            <w:shd w:val="clear" w:color="auto" w:fill="auto"/>
            <w:noWrap/>
            <w:vAlign w:val="center"/>
          </w:tcPr>
          <w:p w14:paraId="0113DE01">
            <w:pPr>
              <w:widowControl/>
              <w:jc w:val="center"/>
              <w:rPr>
                <w:rFonts w:ascii="宋体" w:hAnsi="宋体" w:cs="宋体"/>
                <w:kern w:val="0"/>
                <w:sz w:val="18"/>
                <w:szCs w:val="18"/>
              </w:rPr>
            </w:pPr>
            <w:r>
              <w:rPr>
                <w:rFonts w:hint="eastAsia" w:ascii="宋体" w:hAnsi="宋体" w:cs="宋体"/>
                <w:kern w:val="0"/>
                <w:sz w:val="18"/>
                <w:szCs w:val="18"/>
              </w:rPr>
              <w:t>0.80</w:t>
            </w:r>
          </w:p>
        </w:tc>
        <w:tc>
          <w:tcPr>
            <w:tcW w:w="854" w:type="dxa"/>
            <w:shd w:val="clear" w:color="auto" w:fill="auto"/>
            <w:noWrap/>
            <w:vAlign w:val="center"/>
          </w:tcPr>
          <w:p w14:paraId="3167EA7F">
            <w:pPr>
              <w:widowControl/>
              <w:jc w:val="center"/>
              <w:rPr>
                <w:rFonts w:ascii="宋体" w:hAnsi="宋体" w:cs="宋体"/>
                <w:kern w:val="0"/>
                <w:sz w:val="18"/>
                <w:szCs w:val="18"/>
              </w:rPr>
            </w:pPr>
            <w:r>
              <w:rPr>
                <w:rFonts w:hint="eastAsia" w:ascii="宋体" w:hAnsi="宋体" w:cs="宋体"/>
                <w:kern w:val="0"/>
                <w:sz w:val="18"/>
                <w:szCs w:val="18"/>
              </w:rPr>
              <w:t>0.20</w:t>
            </w:r>
          </w:p>
        </w:tc>
        <w:tc>
          <w:tcPr>
            <w:tcW w:w="1489" w:type="dxa"/>
            <w:shd w:val="clear" w:color="auto" w:fill="auto"/>
            <w:vAlign w:val="center"/>
          </w:tcPr>
          <w:p w14:paraId="3C30902D">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06E720DB">
            <w:pPr>
              <w:widowControl/>
              <w:jc w:val="center"/>
              <w:rPr>
                <w:rFonts w:ascii="宋体" w:hAnsi="宋体" w:cs="宋体"/>
                <w:kern w:val="0"/>
                <w:sz w:val="18"/>
                <w:szCs w:val="18"/>
              </w:rPr>
            </w:pPr>
          </w:p>
        </w:tc>
      </w:tr>
      <w:tr w14:paraId="36FD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92020C1">
            <w:pPr>
              <w:widowControl/>
              <w:jc w:val="center"/>
              <w:rPr>
                <w:rFonts w:ascii="宋体" w:hAnsi="宋体" w:cs="宋体"/>
                <w:kern w:val="0"/>
                <w:sz w:val="18"/>
                <w:szCs w:val="18"/>
              </w:rPr>
            </w:pPr>
          </w:p>
        </w:tc>
        <w:tc>
          <w:tcPr>
            <w:tcW w:w="3659" w:type="dxa"/>
            <w:shd w:val="clear" w:color="auto" w:fill="auto"/>
            <w:noWrap/>
            <w:vAlign w:val="center"/>
          </w:tcPr>
          <w:p w14:paraId="4397698A">
            <w:pPr>
              <w:widowControl/>
              <w:jc w:val="center"/>
              <w:rPr>
                <w:rFonts w:ascii="宋体" w:hAnsi="宋体" w:cs="宋体"/>
                <w:kern w:val="0"/>
                <w:sz w:val="18"/>
                <w:szCs w:val="18"/>
              </w:rPr>
            </w:pPr>
            <w:r>
              <w:rPr>
                <w:rFonts w:hint="eastAsia" w:ascii="宋体" w:hAnsi="宋体" w:cs="宋体"/>
                <w:kern w:val="0"/>
                <w:sz w:val="18"/>
                <w:szCs w:val="18"/>
              </w:rPr>
              <w:t>绿茂小学</w:t>
            </w:r>
          </w:p>
        </w:tc>
        <w:tc>
          <w:tcPr>
            <w:tcW w:w="796" w:type="dxa"/>
            <w:shd w:val="clear" w:color="auto" w:fill="auto"/>
            <w:noWrap/>
            <w:vAlign w:val="center"/>
          </w:tcPr>
          <w:p w14:paraId="0CC14376">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3290DF59">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7C133040">
            <w:pPr>
              <w:widowControl/>
              <w:jc w:val="center"/>
              <w:rPr>
                <w:rFonts w:ascii="宋体" w:hAnsi="宋体" w:cs="宋体"/>
                <w:kern w:val="0"/>
                <w:sz w:val="18"/>
                <w:szCs w:val="18"/>
              </w:rPr>
            </w:pPr>
            <w:r>
              <w:rPr>
                <w:rFonts w:hint="eastAsia" w:ascii="宋体" w:hAnsi="宋体" w:cs="宋体"/>
                <w:kern w:val="0"/>
                <w:sz w:val="18"/>
                <w:szCs w:val="18"/>
              </w:rPr>
              <w:t>0.80</w:t>
            </w:r>
          </w:p>
        </w:tc>
        <w:tc>
          <w:tcPr>
            <w:tcW w:w="946" w:type="dxa"/>
            <w:shd w:val="clear" w:color="auto" w:fill="auto"/>
            <w:noWrap/>
            <w:vAlign w:val="center"/>
          </w:tcPr>
          <w:p w14:paraId="5B251F17">
            <w:pPr>
              <w:widowControl/>
              <w:jc w:val="center"/>
              <w:rPr>
                <w:rFonts w:ascii="宋体" w:hAnsi="宋体" w:cs="宋体"/>
                <w:kern w:val="0"/>
                <w:sz w:val="18"/>
                <w:szCs w:val="18"/>
              </w:rPr>
            </w:pPr>
            <w:r>
              <w:rPr>
                <w:rFonts w:hint="eastAsia" w:ascii="宋体" w:hAnsi="宋体" w:cs="宋体"/>
                <w:kern w:val="0"/>
                <w:sz w:val="18"/>
                <w:szCs w:val="18"/>
              </w:rPr>
              <w:t>0.80</w:t>
            </w:r>
          </w:p>
        </w:tc>
        <w:tc>
          <w:tcPr>
            <w:tcW w:w="854" w:type="dxa"/>
            <w:shd w:val="clear" w:color="auto" w:fill="auto"/>
            <w:noWrap/>
            <w:vAlign w:val="center"/>
          </w:tcPr>
          <w:p w14:paraId="49207686">
            <w:pPr>
              <w:widowControl/>
              <w:jc w:val="center"/>
              <w:rPr>
                <w:rFonts w:ascii="宋体" w:hAnsi="宋体" w:cs="宋体"/>
                <w:kern w:val="0"/>
                <w:sz w:val="18"/>
                <w:szCs w:val="18"/>
              </w:rPr>
            </w:pPr>
            <w:r>
              <w:rPr>
                <w:rFonts w:hint="eastAsia" w:ascii="宋体" w:hAnsi="宋体" w:cs="宋体"/>
                <w:kern w:val="0"/>
                <w:sz w:val="18"/>
                <w:szCs w:val="18"/>
              </w:rPr>
              <w:t>0.20</w:t>
            </w:r>
          </w:p>
        </w:tc>
        <w:tc>
          <w:tcPr>
            <w:tcW w:w="1489" w:type="dxa"/>
            <w:shd w:val="clear" w:color="auto" w:fill="auto"/>
            <w:vAlign w:val="center"/>
          </w:tcPr>
          <w:p w14:paraId="426DFD53">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67D57077">
            <w:pPr>
              <w:widowControl/>
              <w:jc w:val="center"/>
              <w:rPr>
                <w:rFonts w:ascii="宋体" w:hAnsi="宋体" w:cs="宋体"/>
                <w:kern w:val="0"/>
                <w:sz w:val="18"/>
                <w:szCs w:val="18"/>
              </w:rPr>
            </w:pPr>
          </w:p>
        </w:tc>
      </w:tr>
      <w:tr w14:paraId="7F93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6940B3C">
            <w:pPr>
              <w:widowControl/>
              <w:jc w:val="center"/>
              <w:rPr>
                <w:rFonts w:ascii="宋体" w:hAnsi="宋体" w:cs="宋体"/>
                <w:kern w:val="0"/>
                <w:sz w:val="18"/>
                <w:szCs w:val="18"/>
              </w:rPr>
            </w:pPr>
          </w:p>
        </w:tc>
        <w:tc>
          <w:tcPr>
            <w:tcW w:w="3659" w:type="dxa"/>
            <w:shd w:val="clear" w:color="auto" w:fill="auto"/>
            <w:noWrap/>
            <w:vAlign w:val="center"/>
          </w:tcPr>
          <w:p w14:paraId="7395AD8F">
            <w:pPr>
              <w:widowControl/>
              <w:jc w:val="center"/>
              <w:rPr>
                <w:rFonts w:ascii="宋体" w:hAnsi="宋体" w:cs="宋体"/>
                <w:kern w:val="0"/>
                <w:sz w:val="18"/>
                <w:szCs w:val="18"/>
              </w:rPr>
            </w:pPr>
            <w:r>
              <w:rPr>
                <w:rFonts w:hint="eastAsia" w:ascii="宋体" w:hAnsi="宋体" w:cs="宋体"/>
                <w:kern w:val="0"/>
                <w:sz w:val="18"/>
                <w:szCs w:val="18"/>
              </w:rPr>
              <w:t>绿茂中学</w:t>
            </w:r>
          </w:p>
        </w:tc>
        <w:tc>
          <w:tcPr>
            <w:tcW w:w="796" w:type="dxa"/>
            <w:shd w:val="clear" w:color="auto" w:fill="auto"/>
            <w:noWrap/>
            <w:vAlign w:val="center"/>
          </w:tcPr>
          <w:p w14:paraId="3BFE7591">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6883E218">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1F91CD48">
            <w:pPr>
              <w:widowControl/>
              <w:jc w:val="center"/>
              <w:rPr>
                <w:rFonts w:ascii="宋体" w:hAnsi="宋体" w:cs="宋体"/>
                <w:kern w:val="0"/>
                <w:sz w:val="18"/>
                <w:szCs w:val="18"/>
              </w:rPr>
            </w:pPr>
            <w:r>
              <w:rPr>
                <w:rFonts w:hint="eastAsia" w:ascii="宋体" w:hAnsi="宋体" w:cs="宋体"/>
                <w:kern w:val="0"/>
                <w:sz w:val="18"/>
                <w:szCs w:val="18"/>
              </w:rPr>
              <w:t>1.35</w:t>
            </w:r>
          </w:p>
        </w:tc>
        <w:tc>
          <w:tcPr>
            <w:tcW w:w="946" w:type="dxa"/>
            <w:shd w:val="clear" w:color="auto" w:fill="auto"/>
            <w:noWrap/>
            <w:vAlign w:val="center"/>
          </w:tcPr>
          <w:p w14:paraId="1AD59014">
            <w:pPr>
              <w:widowControl/>
              <w:jc w:val="center"/>
              <w:rPr>
                <w:rFonts w:ascii="宋体" w:hAnsi="宋体" w:cs="宋体"/>
                <w:kern w:val="0"/>
                <w:sz w:val="18"/>
                <w:szCs w:val="18"/>
              </w:rPr>
            </w:pPr>
            <w:r>
              <w:rPr>
                <w:rFonts w:hint="eastAsia" w:ascii="宋体" w:hAnsi="宋体" w:cs="宋体"/>
                <w:kern w:val="0"/>
                <w:sz w:val="18"/>
                <w:szCs w:val="18"/>
              </w:rPr>
              <w:t>0.96</w:t>
            </w:r>
          </w:p>
        </w:tc>
        <w:tc>
          <w:tcPr>
            <w:tcW w:w="854" w:type="dxa"/>
            <w:shd w:val="clear" w:color="auto" w:fill="auto"/>
            <w:noWrap/>
            <w:vAlign w:val="center"/>
          </w:tcPr>
          <w:p w14:paraId="3A700CA7">
            <w:pPr>
              <w:widowControl/>
              <w:jc w:val="center"/>
              <w:rPr>
                <w:rFonts w:ascii="宋体" w:hAnsi="宋体" w:cs="宋体"/>
                <w:kern w:val="0"/>
                <w:sz w:val="18"/>
                <w:szCs w:val="18"/>
              </w:rPr>
            </w:pPr>
            <w:r>
              <w:rPr>
                <w:rFonts w:hint="eastAsia" w:ascii="宋体" w:hAnsi="宋体" w:cs="宋体"/>
                <w:kern w:val="0"/>
                <w:sz w:val="18"/>
                <w:szCs w:val="18"/>
              </w:rPr>
              <w:t>0.49</w:t>
            </w:r>
          </w:p>
        </w:tc>
        <w:tc>
          <w:tcPr>
            <w:tcW w:w="1489" w:type="dxa"/>
            <w:shd w:val="clear" w:color="auto" w:fill="auto"/>
            <w:vAlign w:val="center"/>
          </w:tcPr>
          <w:p w14:paraId="67536881">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766315CC">
            <w:pPr>
              <w:widowControl/>
              <w:jc w:val="center"/>
              <w:rPr>
                <w:rFonts w:ascii="宋体" w:hAnsi="宋体" w:cs="宋体"/>
                <w:kern w:val="0"/>
                <w:sz w:val="18"/>
                <w:szCs w:val="18"/>
              </w:rPr>
            </w:pPr>
          </w:p>
        </w:tc>
      </w:tr>
      <w:tr w14:paraId="5CCD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BB184B6">
            <w:pPr>
              <w:widowControl/>
              <w:jc w:val="center"/>
              <w:rPr>
                <w:rFonts w:ascii="宋体" w:hAnsi="宋体" w:cs="宋体"/>
                <w:kern w:val="0"/>
                <w:sz w:val="18"/>
                <w:szCs w:val="18"/>
              </w:rPr>
            </w:pPr>
          </w:p>
        </w:tc>
        <w:tc>
          <w:tcPr>
            <w:tcW w:w="3659" w:type="dxa"/>
            <w:shd w:val="clear" w:color="auto" w:fill="auto"/>
            <w:noWrap/>
            <w:vAlign w:val="center"/>
          </w:tcPr>
          <w:p w14:paraId="4D44148D">
            <w:pPr>
              <w:widowControl/>
              <w:jc w:val="center"/>
              <w:rPr>
                <w:rFonts w:ascii="宋体" w:hAnsi="宋体" w:cs="宋体"/>
                <w:kern w:val="0"/>
                <w:sz w:val="18"/>
                <w:szCs w:val="18"/>
              </w:rPr>
            </w:pPr>
            <w:r>
              <w:rPr>
                <w:rFonts w:hint="eastAsia" w:ascii="宋体" w:hAnsi="宋体" w:cs="宋体"/>
                <w:kern w:val="0"/>
                <w:sz w:val="18"/>
                <w:szCs w:val="18"/>
              </w:rPr>
              <w:t>东川区第一中学</w:t>
            </w:r>
          </w:p>
        </w:tc>
        <w:tc>
          <w:tcPr>
            <w:tcW w:w="796" w:type="dxa"/>
            <w:shd w:val="clear" w:color="auto" w:fill="auto"/>
            <w:noWrap/>
            <w:vAlign w:val="center"/>
          </w:tcPr>
          <w:p w14:paraId="15D49B1C">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37EF75E5">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02CA1955">
            <w:pPr>
              <w:widowControl/>
              <w:jc w:val="center"/>
              <w:rPr>
                <w:rFonts w:ascii="宋体" w:hAnsi="宋体" w:cs="宋体"/>
                <w:kern w:val="0"/>
                <w:sz w:val="18"/>
                <w:szCs w:val="18"/>
              </w:rPr>
            </w:pPr>
            <w:r>
              <w:rPr>
                <w:rFonts w:hint="eastAsia" w:ascii="宋体" w:hAnsi="宋体" w:cs="宋体"/>
                <w:kern w:val="0"/>
                <w:sz w:val="18"/>
                <w:szCs w:val="18"/>
              </w:rPr>
              <w:t>1.35</w:t>
            </w:r>
          </w:p>
        </w:tc>
        <w:tc>
          <w:tcPr>
            <w:tcW w:w="946" w:type="dxa"/>
            <w:shd w:val="clear" w:color="auto" w:fill="auto"/>
            <w:noWrap/>
            <w:vAlign w:val="center"/>
          </w:tcPr>
          <w:p w14:paraId="559EDF5D">
            <w:pPr>
              <w:widowControl/>
              <w:jc w:val="center"/>
              <w:rPr>
                <w:rFonts w:ascii="宋体" w:hAnsi="宋体" w:cs="宋体"/>
                <w:kern w:val="0"/>
                <w:sz w:val="18"/>
                <w:szCs w:val="18"/>
              </w:rPr>
            </w:pPr>
            <w:r>
              <w:rPr>
                <w:rFonts w:hint="eastAsia" w:ascii="宋体" w:hAnsi="宋体" w:cs="宋体"/>
                <w:kern w:val="0"/>
                <w:sz w:val="18"/>
                <w:szCs w:val="18"/>
              </w:rPr>
              <w:t>0.96</w:t>
            </w:r>
          </w:p>
        </w:tc>
        <w:tc>
          <w:tcPr>
            <w:tcW w:w="854" w:type="dxa"/>
            <w:shd w:val="clear" w:color="auto" w:fill="auto"/>
            <w:noWrap/>
            <w:vAlign w:val="center"/>
          </w:tcPr>
          <w:p w14:paraId="18B291C4">
            <w:pPr>
              <w:widowControl/>
              <w:jc w:val="center"/>
              <w:rPr>
                <w:rFonts w:ascii="宋体" w:hAnsi="宋体" w:cs="宋体"/>
                <w:kern w:val="0"/>
                <w:sz w:val="18"/>
                <w:szCs w:val="18"/>
              </w:rPr>
            </w:pPr>
            <w:r>
              <w:rPr>
                <w:rFonts w:hint="eastAsia" w:ascii="宋体" w:hAnsi="宋体" w:cs="宋体"/>
                <w:kern w:val="0"/>
                <w:sz w:val="18"/>
                <w:szCs w:val="18"/>
              </w:rPr>
              <w:t>0.49</w:t>
            </w:r>
          </w:p>
        </w:tc>
        <w:tc>
          <w:tcPr>
            <w:tcW w:w="1489" w:type="dxa"/>
            <w:shd w:val="clear" w:color="auto" w:fill="auto"/>
            <w:vAlign w:val="center"/>
          </w:tcPr>
          <w:p w14:paraId="5C0EF675">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71A92650">
            <w:pPr>
              <w:widowControl/>
              <w:jc w:val="center"/>
              <w:rPr>
                <w:rFonts w:ascii="宋体" w:hAnsi="宋体" w:cs="宋体"/>
                <w:kern w:val="0"/>
                <w:sz w:val="18"/>
                <w:szCs w:val="18"/>
              </w:rPr>
            </w:pPr>
          </w:p>
        </w:tc>
      </w:tr>
      <w:tr w14:paraId="6835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DC21777">
            <w:pPr>
              <w:widowControl/>
              <w:jc w:val="center"/>
              <w:rPr>
                <w:rFonts w:ascii="宋体" w:hAnsi="宋体" w:cs="宋体"/>
                <w:kern w:val="0"/>
                <w:sz w:val="18"/>
                <w:szCs w:val="18"/>
              </w:rPr>
            </w:pPr>
          </w:p>
        </w:tc>
        <w:tc>
          <w:tcPr>
            <w:tcW w:w="3659" w:type="dxa"/>
            <w:shd w:val="clear" w:color="auto" w:fill="auto"/>
            <w:noWrap/>
            <w:vAlign w:val="center"/>
          </w:tcPr>
          <w:p w14:paraId="50ADD6EF">
            <w:pPr>
              <w:widowControl/>
              <w:jc w:val="center"/>
              <w:rPr>
                <w:rFonts w:ascii="宋体" w:hAnsi="宋体" w:cs="宋体"/>
                <w:kern w:val="0"/>
                <w:sz w:val="18"/>
                <w:szCs w:val="18"/>
              </w:rPr>
            </w:pPr>
            <w:r>
              <w:rPr>
                <w:rFonts w:hint="eastAsia" w:ascii="宋体" w:hAnsi="宋体" w:cs="宋体"/>
                <w:kern w:val="0"/>
                <w:sz w:val="18"/>
                <w:szCs w:val="18"/>
              </w:rPr>
              <w:t>汤丹中学</w:t>
            </w:r>
          </w:p>
        </w:tc>
        <w:tc>
          <w:tcPr>
            <w:tcW w:w="796" w:type="dxa"/>
            <w:shd w:val="clear" w:color="auto" w:fill="auto"/>
            <w:noWrap/>
            <w:vAlign w:val="center"/>
          </w:tcPr>
          <w:p w14:paraId="399CD9DE">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598FF208">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670F8030">
            <w:pPr>
              <w:widowControl/>
              <w:jc w:val="center"/>
              <w:rPr>
                <w:rFonts w:ascii="宋体" w:hAnsi="宋体" w:cs="宋体"/>
                <w:kern w:val="0"/>
                <w:sz w:val="18"/>
                <w:szCs w:val="18"/>
              </w:rPr>
            </w:pPr>
            <w:r>
              <w:rPr>
                <w:rFonts w:hint="eastAsia" w:ascii="宋体" w:hAnsi="宋体" w:cs="宋体"/>
                <w:kern w:val="0"/>
                <w:sz w:val="18"/>
                <w:szCs w:val="18"/>
              </w:rPr>
              <w:t>1.35</w:t>
            </w:r>
          </w:p>
        </w:tc>
        <w:tc>
          <w:tcPr>
            <w:tcW w:w="946" w:type="dxa"/>
            <w:shd w:val="clear" w:color="auto" w:fill="auto"/>
            <w:noWrap/>
            <w:vAlign w:val="center"/>
          </w:tcPr>
          <w:p w14:paraId="0333C300">
            <w:pPr>
              <w:widowControl/>
              <w:jc w:val="center"/>
              <w:rPr>
                <w:rFonts w:ascii="宋体" w:hAnsi="宋体" w:cs="宋体"/>
                <w:kern w:val="0"/>
                <w:sz w:val="18"/>
                <w:szCs w:val="18"/>
              </w:rPr>
            </w:pPr>
            <w:r>
              <w:rPr>
                <w:rFonts w:hint="eastAsia" w:ascii="宋体" w:hAnsi="宋体" w:cs="宋体"/>
                <w:kern w:val="0"/>
                <w:sz w:val="18"/>
                <w:szCs w:val="18"/>
              </w:rPr>
              <w:t>0.96</w:t>
            </w:r>
          </w:p>
        </w:tc>
        <w:tc>
          <w:tcPr>
            <w:tcW w:w="854" w:type="dxa"/>
            <w:shd w:val="clear" w:color="auto" w:fill="auto"/>
            <w:noWrap/>
            <w:vAlign w:val="center"/>
          </w:tcPr>
          <w:p w14:paraId="1CCA20FE">
            <w:pPr>
              <w:widowControl/>
              <w:jc w:val="center"/>
              <w:rPr>
                <w:rFonts w:ascii="宋体" w:hAnsi="宋体" w:cs="宋体"/>
                <w:kern w:val="0"/>
                <w:sz w:val="18"/>
                <w:szCs w:val="18"/>
              </w:rPr>
            </w:pPr>
            <w:r>
              <w:rPr>
                <w:rFonts w:hint="eastAsia" w:ascii="宋体" w:hAnsi="宋体" w:cs="宋体"/>
                <w:kern w:val="0"/>
                <w:sz w:val="18"/>
                <w:szCs w:val="18"/>
              </w:rPr>
              <w:t>0.49</w:t>
            </w:r>
          </w:p>
        </w:tc>
        <w:tc>
          <w:tcPr>
            <w:tcW w:w="1489" w:type="dxa"/>
            <w:shd w:val="clear" w:color="auto" w:fill="auto"/>
            <w:vAlign w:val="center"/>
          </w:tcPr>
          <w:p w14:paraId="2CEC6C8C">
            <w:pPr>
              <w:widowControl/>
              <w:jc w:val="center"/>
              <w:rPr>
                <w:rFonts w:ascii="宋体" w:hAnsi="宋体" w:cs="宋体"/>
                <w:kern w:val="0"/>
                <w:sz w:val="15"/>
                <w:szCs w:val="15"/>
              </w:rPr>
            </w:pPr>
            <w:r>
              <w:rPr>
                <w:rFonts w:hint="eastAsia" w:ascii="宋体" w:hAnsi="宋体" w:cs="宋体"/>
                <w:kern w:val="0"/>
                <w:sz w:val="18"/>
                <w:szCs w:val="18"/>
              </w:rPr>
              <w:t>汤丹镇</w:t>
            </w:r>
          </w:p>
        </w:tc>
        <w:tc>
          <w:tcPr>
            <w:tcW w:w="577" w:type="dxa"/>
            <w:shd w:val="clear" w:color="auto" w:fill="auto"/>
            <w:noWrap/>
            <w:vAlign w:val="center"/>
          </w:tcPr>
          <w:p w14:paraId="6AB05039">
            <w:pPr>
              <w:widowControl/>
              <w:jc w:val="center"/>
              <w:rPr>
                <w:rFonts w:ascii="宋体" w:hAnsi="宋体" w:cs="宋体"/>
                <w:kern w:val="0"/>
                <w:sz w:val="18"/>
                <w:szCs w:val="18"/>
              </w:rPr>
            </w:pPr>
          </w:p>
        </w:tc>
      </w:tr>
      <w:tr w14:paraId="59BA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9E93181">
            <w:pPr>
              <w:widowControl/>
              <w:jc w:val="center"/>
              <w:rPr>
                <w:rFonts w:ascii="宋体" w:hAnsi="宋体" w:cs="宋体"/>
                <w:kern w:val="0"/>
                <w:sz w:val="18"/>
                <w:szCs w:val="18"/>
              </w:rPr>
            </w:pPr>
          </w:p>
        </w:tc>
        <w:tc>
          <w:tcPr>
            <w:tcW w:w="3659" w:type="dxa"/>
            <w:shd w:val="clear" w:color="auto" w:fill="auto"/>
            <w:noWrap/>
            <w:vAlign w:val="center"/>
          </w:tcPr>
          <w:p w14:paraId="16F735A7">
            <w:pPr>
              <w:widowControl/>
              <w:jc w:val="center"/>
              <w:rPr>
                <w:rFonts w:ascii="宋体" w:hAnsi="宋体" w:cs="宋体"/>
                <w:kern w:val="0"/>
                <w:sz w:val="18"/>
                <w:szCs w:val="18"/>
              </w:rPr>
            </w:pPr>
            <w:r>
              <w:rPr>
                <w:rFonts w:hint="eastAsia" w:ascii="宋体" w:hAnsi="宋体" w:cs="宋体"/>
                <w:kern w:val="0"/>
                <w:sz w:val="18"/>
                <w:szCs w:val="18"/>
              </w:rPr>
              <w:t>铜都街道办事处梨坪小学</w:t>
            </w:r>
          </w:p>
        </w:tc>
        <w:tc>
          <w:tcPr>
            <w:tcW w:w="796" w:type="dxa"/>
            <w:shd w:val="clear" w:color="auto" w:fill="auto"/>
            <w:noWrap/>
            <w:vAlign w:val="center"/>
          </w:tcPr>
          <w:p w14:paraId="5CC23C20">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1036E2C8">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3EE017CE">
            <w:pPr>
              <w:widowControl/>
              <w:jc w:val="center"/>
              <w:rPr>
                <w:rFonts w:ascii="宋体" w:hAnsi="宋体" w:cs="宋体"/>
                <w:kern w:val="0"/>
                <w:sz w:val="18"/>
                <w:szCs w:val="18"/>
              </w:rPr>
            </w:pPr>
            <w:r>
              <w:rPr>
                <w:rFonts w:hint="eastAsia" w:ascii="宋体" w:hAnsi="宋体" w:cs="宋体"/>
                <w:kern w:val="0"/>
                <w:sz w:val="18"/>
                <w:szCs w:val="18"/>
              </w:rPr>
              <w:t>0.80</w:t>
            </w:r>
          </w:p>
        </w:tc>
        <w:tc>
          <w:tcPr>
            <w:tcW w:w="946" w:type="dxa"/>
            <w:shd w:val="clear" w:color="auto" w:fill="auto"/>
            <w:noWrap/>
            <w:vAlign w:val="center"/>
          </w:tcPr>
          <w:p w14:paraId="00A4D2CE">
            <w:pPr>
              <w:widowControl/>
              <w:jc w:val="center"/>
              <w:rPr>
                <w:rFonts w:ascii="宋体" w:hAnsi="宋体" w:cs="宋体"/>
                <w:kern w:val="0"/>
                <w:sz w:val="18"/>
                <w:szCs w:val="18"/>
              </w:rPr>
            </w:pPr>
            <w:r>
              <w:rPr>
                <w:rFonts w:hint="eastAsia" w:ascii="宋体" w:hAnsi="宋体" w:cs="宋体"/>
                <w:kern w:val="0"/>
                <w:sz w:val="18"/>
                <w:szCs w:val="18"/>
              </w:rPr>
              <w:t>0.80</w:t>
            </w:r>
          </w:p>
        </w:tc>
        <w:tc>
          <w:tcPr>
            <w:tcW w:w="854" w:type="dxa"/>
            <w:shd w:val="clear" w:color="auto" w:fill="auto"/>
            <w:noWrap/>
            <w:vAlign w:val="center"/>
          </w:tcPr>
          <w:p w14:paraId="086FA2F3">
            <w:pPr>
              <w:widowControl/>
              <w:jc w:val="center"/>
              <w:rPr>
                <w:rFonts w:ascii="宋体" w:hAnsi="宋体" w:cs="宋体"/>
                <w:kern w:val="0"/>
                <w:sz w:val="18"/>
                <w:szCs w:val="18"/>
              </w:rPr>
            </w:pPr>
            <w:r>
              <w:rPr>
                <w:rFonts w:hint="eastAsia" w:ascii="宋体" w:hAnsi="宋体" w:cs="宋体"/>
                <w:kern w:val="0"/>
                <w:sz w:val="18"/>
                <w:szCs w:val="18"/>
              </w:rPr>
              <w:t>0.20</w:t>
            </w:r>
          </w:p>
        </w:tc>
        <w:tc>
          <w:tcPr>
            <w:tcW w:w="1489" w:type="dxa"/>
            <w:shd w:val="clear" w:color="auto" w:fill="auto"/>
            <w:vAlign w:val="center"/>
          </w:tcPr>
          <w:p w14:paraId="237D3D7B">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6A7700C1">
            <w:pPr>
              <w:widowControl/>
              <w:jc w:val="center"/>
              <w:rPr>
                <w:rFonts w:ascii="宋体" w:hAnsi="宋体" w:cs="宋体"/>
                <w:kern w:val="0"/>
                <w:sz w:val="18"/>
                <w:szCs w:val="18"/>
              </w:rPr>
            </w:pPr>
          </w:p>
        </w:tc>
      </w:tr>
      <w:tr w14:paraId="5E5D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6B0BEF9">
            <w:pPr>
              <w:widowControl/>
              <w:jc w:val="center"/>
              <w:rPr>
                <w:rFonts w:ascii="宋体" w:hAnsi="宋体" w:cs="宋体"/>
                <w:kern w:val="0"/>
                <w:sz w:val="18"/>
                <w:szCs w:val="18"/>
              </w:rPr>
            </w:pPr>
          </w:p>
        </w:tc>
        <w:tc>
          <w:tcPr>
            <w:tcW w:w="3659" w:type="dxa"/>
            <w:shd w:val="clear" w:color="auto" w:fill="auto"/>
            <w:noWrap/>
            <w:vAlign w:val="center"/>
          </w:tcPr>
          <w:p w14:paraId="07B5E434">
            <w:pPr>
              <w:widowControl/>
              <w:jc w:val="center"/>
              <w:rPr>
                <w:rFonts w:ascii="宋体" w:hAnsi="宋体" w:cs="宋体"/>
                <w:kern w:val="0"/>
                <w:sz w:val="18"/>
                <w:szCs w:val="18"/>
              </w:rPr>
            </w:pPr>
            <w:r>
              <w:rPr>
                <w:rFonts w:hint="eastAsia" w:ascii="宋体" w:hAnsi="宋体" w:cs="宋体"/>
                <w:kern w:val="0"/>
                <w:sz w:val="18"/>
                <w:szCs w:val="18"/>
              </w:rPr>
              <w:t>拖布卡播卡小学</w:t>
            </w:r>
          </w:p>
        </w:tc>
        <w:tc>
          <w:tcPr>
            <w:tcW w:w="796" w:type="dxa"/>
            <w:shd w:val="clear" w:color="auto" w:fill="auto"/>
            <w:noWrap/>
            <w:vAlign w:val="center"/>
          </w:tcPr>
          <w:p w14:paraId="25F0C3C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3B142C4D">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03608BBC">
            <w:pPr>
              <w:widowControl/>
              <w:jc w:val="center"/>
              <w:rPr>
                <w:rFonts w:ascii="宋体" w:hAnsi="宋体" w:cs="宋体"/>
                <w:kern w:val="0"/>
                <w:sz w:val="18"/>
                <w:szCs w:val="18"/>
              </w:rPr>
            </w:pPr>
            <w:r>
              <w:rPr>
                <w:rFonts w:hint="eastAsia" w:ascii="宋体" w:hAnsi="宋体" w:cs="宋体"/>
                <w:kern w:val="0"/>
                <w:sz w:val="18"/>
                <w:szCs w:val="18"/>
              </w:rPr>
              <w:t>0.80</w:t>
            </w:r>
          </w:p>
        </w:tc>
        <w:tc>
          <w:tcPr>
            <w:tcW w:w="946" w:type="dxa"/>
            <w:shd w:val="clear" w:color="auto" w:fill="auto"/>
            <w:noWrap/>
            <w:vAlign w:val="center"/>
          </w:tcPr>
          <w:p w14:paraId="3AE2E61C">
            <w:pPr>
              <w:widowControl/>
              <w:jc w:val="center"/>
              <w:rPr>
                <w:rFonts w:ascii="宋体" w:hAnsi="宋体" w:cs="宋体"/>
                <w:kern w:val="0"/>
                <w:sz w:val="18"/>
                <w:szCs w:val="18"/>
              </w:rPr>
            </w:pPr>
            <w:r>
              <w:rPr>
                <w:rFonts w:hint="eastAsia" w:ascii="宋体" w:hAnsi="宋体" w:cs="宋体"/>
                <w:kern w:val="0"/>
                <w:sz w:val="18"/>
                <w:szCs w:val="18"/>
              </w:rPr>
              <w:t>0.80</w:t>
            </w:r>
          </w:p>
        </w:tc>
        <w:tc>
          <w:tcPr>
            <w:tcW w:w="854" w:type="dxa"/>
            <w:shd w:val="clear" w:color="auto" w:fill="auto"/>
            <w:noWrap/>
            <w:vAlign w:val="center"/>
          </w:tcPr>
          <w:p w14:paraId="41285E8C">
            <w:pPr>
              <w:widowControl/>
              <w:jc w:val="center"/>
              <w:rPr>
                <w:rFonts w:ascii="宋体" w:hAnsi="宋体" w:cs="宋体"/>
                <w:kern w:val="0"/>
                <w:sz w:val="18"/>
                <w:szCs w:val="18"/>
              </w:rPr>
            </w:pPr>
            <w:r>
              <w:rPr>
                <w:rFonts w:hint="eastAsia" w:ascii="宋体" w:hAnsi="宋体" w:cs="宋体"/>
                <w:kern w:val="0"/>
                <w:sz w:val="18"/>
                <w:szCs w:val="18"/>
              </w:rPr>
              <w:t>0.20</w:t>
            </w:r>
          </w:p>
        </w:tc>
        <w:tc>
          <w:tcPr>
            <w:tcW w:w="1489" w:type="dxa"/>
            <w:shd w:val="clear" w:color="auto" w:fill="auto"/>
            <w:vAlign w:val="center"/>
          </w:tcPr>
          <w:p w14:paraId="0AF38120">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4FC0D7CB">
            <w:pPr>
              <w:widowControl/>
              <w:jc w:val="center"/>
              <w:rPr>
                <w:rFonts w:ascii="宋体" w:hAnsi="宋体" w:cs="宋体"/>
                <w:kern w:val="0"/>
                <w:sz w:val="18"/>
                <w:szCs w:val="18"/>
              </w:rPr>
            </w:pPr>
          </w:p>
        </w:tc>
      </w:tr>
      <w:tr w14:paraId="06DA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6C230E2">
            <w:pPr>
              <w:widowControl/>
              <w:jc w:val="center"/>
              <w:rPr>
                <w:rFonts w:ascii="宋体" w:hAnsi="宋体" w:cs="宋体"/>
                <w:kern w:val="0"/>
                <w:sz w:val="18"/>
                <w:szCs w:val="18"/>
              </w:rPr>
            </w:pPr>
          </w:p>
        </w:tc>
        <w:tc>
          <w:tcPr>
            <w:tcW w:w="3659" w:type="dxa"/>
            <w:shd w:val="clear" w:color="auto" w:fill="auto"/>
            <w:noWrap/>
            <w:vAlign w:val="center"/>
          </w:tcPr>
          <w:p w14:paraId="6C782C67">
            <w:pPr>
              <w:widowControl/>
              <w:jc w:val="center"/>
              <w:rPr>
                <w:rFonts w:ascii="宋体" w:hAnsi="宋体" w:cs="宋体"/>
                <w:kern w:val="0"/>
                <w:sz w:val="18"/>
                <w:szCs w:val="18"/>
              </w:rPr>
            </w:pPr>
            <w:r>
              <w:rPr>
                <w:rFonts w:hint="eastAsia" w:ascii="宋体" w:hAnsi="宋体" w:cs="宋体"/>
                <w:kern w:val="0"/>
                <w:sz w:val="18"/>
                <w:szCs w:val="18"/>
              </w:rPr>
              <w:t>拖布卡布卡小学</w:t>
            </w:r>
          </w:p>
        </w:tc>
        <w:tc>
          <w:tcPr>
            <w:tcW w:w="796" w:type="dxa"/>
            <w:shd w:val="clear" w:color="auto" w:fill="auto"/>
            <w:noWrap/>
            <w:vAlign w:val="center"/>
          </w:tcPr>
          <w:p w14:paraId="6EE82F2A">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623E7A7C">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4DA505DF">
            <w:pPr>
              <w:widowControl/>
              <w:jc w:val="center"/>
              <w:rPr>
                <w:rFonts w:ascii="宋体" w:hAnsi="宋体" w:cs="宋体"/>
                <w:kern w:val="0"/>
                <w:sz w:val="18"/>
                <w:szCs w:val="18"/>
              </w:rPr>
            </w:pPr>
            <w:r>
              <w:rPr>
                <w:rFonts w:hint="eastAsia" w:ascii="宋体" w:hAnsi="宋体" w:cs="宋体"/>
                <w:kern w:val="0"/>
                <w:sz w:val="18"/>
                <w:szCs w:val="18"/>
              </w:rPr>
              <w:t>0.80</w:t>
            </w:r>
          </w:p>
        </w:tc>
        <w:tc>
          <w:tcPr>
            <w:tcW w:w="946" w:type="dxa"/>
            <w:shd w:val="clear" w:color="auto" w:fill="auto"/>
            <w:noWrap/>
            <w:vAlign w:val="center"/>
          </w:tcPr>
          <w:p w14:paraId="01BAF048">
            <w:pPr>
              <w:widowControl/>
              <w:jc w:val="center"/>
              <w:rPr>
                <w:rFonts w:ascii="宋体" w:hAnsi="宋体" w:cs="宋体"/>
                <w:kern w:val="0"/>
                <w:sz w:val="18"/>
                <w:szCs w:val="18"/>
              </w:rPr>
            </w:pPr>
            <w:r>
              <w:rPr>
                <w:rFonts w:hint="eastAsia" w:ascii="宋体" w:hAnsi="宋体" w:cs="宋体"/>
                <w:kern w:val="0"/>
                <w:sz w:val="18"/>
                <w:szCs w:val="18"/>
              </w:rPr>
              <w:t>0.80</w:t>
            </w:r>
          </w:p>
        </w:tc>
        <w:tc>
          <w:tcPr>
            <w:tcW w:w="854" w:type="dxa"/>
            <w:shd w:val="clear" w:color="auto" w:fill="auto"/>
            <w:noWrap/>
            <w:vAlign w:val="center"/>
          </w:tcPr>
          <w:p w14:paraId="30A3D19D">
            <w:pPr>
              <w:widowControl/>
              <w:jc w:val="center"/>
              <w:rPr>
                <w:rFonts w:ascii="宋体" w:hAnsi="宋体" w:cs="宋体"/>
                <w:kern w:val="0"/>
                <w:sz w:val="18"/>
                <w:szCs w:val="18"/>
              </w:rPr>
            </w:pPr>
            <w:r>
              <w:rPr>
                <w:rFonts w:hint="eastAsia" w:ascii="宋体" w:hAnsi="宋体" w:cs="宋体"/>
                <w:kern w:val="0"/>
                <w:sz w:val="18"/>
                <w:szCs w:val="18"/>
              </w:rPr>
              <w:t>0.20</w:t>
            </w:r>
          </w:p>
        </w:tc>
        <w:tc>
          <w:tcPr>
            <w:tcW w:w="1489" w:type="dxa"/>
            <w:shd w:val="clear" w:color="auto" w:fill="auto"/>
            <w:vAlign w:val="center"/>
          </w:tcPr>
          <w:p w14:paraId="336DA976">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36F59DC9">
            <w:pPr>
              <w:widowControl/>
              <w:jc w:val="center"/>
              <w:rPr>
                <w:rFonts w:ascii="宋体" w:hAnsi="宋体" w:cs="宋体"/>
                <w:kern w:val="0"/>
                <w:sz w:val="18"/>
                <w:szCs w:val="18"/>
              </w:rPr>
            </w:pPr>
          </w:p>
        </w:tc>
      </w:tr>
      <w:tr w14:paraId="29B1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A376C80">
            <w:pPr>
              <w:widowControl/>
              <w:jc w:val="center"/>
              <w:rPr>
                <w:rFonts w:ascii="宋体" w:hAnsi="宋体" w:cs="宋体"/>
                <w:kern w:val="0"/>
                <w:sz w:val="18"/>
                <w:szCs w:val="18"/>
              </w:rPr>
            </w:pPr>
          </w:p>
        </w:tc>
        <w:tc>
          <w:tcPr>
            <w:tcW w:w="3659" w:type="dxa"/>
            <w:shd w:val="clear" w:color="auto" w:fill="auto"/>
            <w:noWrap/>
            <w:vAlign w:val="center"/>
          </w:tcPr>
          <w:p w14:paraId="4B4387F7">
            <w:pPr>
              <w:widowControl/>
              <w:jc w:val="center"/>
              <w:rPr>
                <w:rFonts w:ascii="宋体" w:hAnsi="宋体" w:cs="宋体"/>
                <w:kern w:val="0"/>
                <w:sz w:val="18"/>
                <w:szCs w:val="18"/>
              </w:rPr>
            </w:pPr>
            <w:r>
              <w:rPr>
                <w:rFonts w:hint="eastAsia" w:ascii="宋体" w:hAnsi="宋体" w:cs="宋体"/>
                <w:kern w:val="0"/>
                <w:sz w:val="18"/>
                <w:szCs w:val="18"/>
              </w:rPr>
              <w:t>拖布卡中学</w:t>
            </w:r>
          </w:p>
        </w:tc>
        <w:tc>
          <w:tcPr>
            <w:tcW w:w="796" w:type="dxa"/>
            <w:shd w:val="clear" w:color="auto" w:fill="auto"/>
            <w:noWrap/>
            <w:vAlign w:val="center"/>
          </w:tcPr>
          <w:p w14:paraId="6A219980">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1769B1F1">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571302EC">
            <w:pPr>
              <w:widowControl/>
              <w:jc w:val="center"/>
              <w:rPr>
                <w:rFonts w:ascii="宋体" w:hAnsi="宋体" w:cs="宋体"/>
                <w:kern w:val="0"/>
                <w:sz w:val="18"/>
                <w:szCs w:val="18"/>
              </w:rPr>
            </w:pPr>
            <w:r>
              <w:rPr>
                <w:rFonts w:hint="eastAsia" w:ascii="宋体" w:hAnsi="宋体" w:cs="宋体"/>
                <w:kern w:val="0"/>
                <w:sz w:val="18"/>
                <w:szCs w:val="18"/>
              </w:rPr>
              <w:t>1.35</w:t>
            </w:r>
          </w:p>
        </w:tc>
        <w:tc>
          <w:tcPr>
            <w:tcW w:w="946" w:type="dxa"/>
            <w:shd w:val="clear" w:color="auto" w:fill="auto"/>
            <w:noWrap/>
            <w:vAlign w:val="center"/>
          </w:tcPr>
          <w:p w14:paraId="43932E5F">
            <w:pPr>
              <w:widowControl/>
              <w:jc w:val="center"/>
              <w:rPr>
                <w:rFonts w:ascii="宋体" w:hAnsi="宋体" w:cs="宋体"/>
                <w:kern w:val="0"/>
                <w:sz w:val="18"/>
                <w:szCs w:val="18"/>
              </w:rPr>
            </w:pPr>
            <w:r>
              <w:rPr>
                <w:rFonts w:hint="eastAsia" w:ascii="宋体" w:hAnsi="宋体" w:cs="宋体"/>
                <w:kern w:val="0"/>
                <w:sz w:val="18"/>
                <w:szCs w:val="18"/>
              </w:rPr>
              <w:t>0.96</w:t>
            </w:r>
          </w:p>
        </w:tc>
        <w:tc>
          <w:tcPr>
            <w:tcW w:w="854" w:type="dxa"/>
            <w:shd w:val="clear" w:color="auto" w:fill="auto"/>
            <w:noWrap/>
            <w:vAlign w:val="center"/>
          </w:tcPr>
          <w:p w14:paraId="381B8FB8">
            <w:pPr>
              <w:widowControl/>
              <w:jc w:val="center"/>
              <w:rPr>
                <w:rFonts w:ascii="宋体" w:hAnsi="宋体" w:cs="宋体"/>
                <w:kern w:val="0"/>
                <w:sz w:val="18"/>
                <w:szCs w:val="18"/>
              </w:rPr>
            </w:pPr>
            <w:r>
              <w:rPr>
                <w:rFonts w:hint="eastAsia" w:ascii="宋体" w:hAnsi="宋体" w:cs="宋体"/>
                <w:kern w:val="0"/>
                <w:sz w:val="18"/>
                <w:szCs w:val="18"/>
              </w:rPr>
              <w:t>0.49</w:t>
            </w:r>
          </w:p>
        </w:tc>
        <w:tc>
          <w:tcPr>
            <w:tcW w:w="1489" w:type="dxa"/>
            <w:shd w:val="clear" w:color="auto" w:fill="auto"/>
            <w:vAlign w:val="center"/>
          </w:tcPr>
          <w:p w14:paraId="784E51F0">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02B96394">
            <w:pPr>
              <w:widowControl/>
              <w:jc w:val="center"/>
              <w:rPr>
                <w:rFonts w:ascii="宋体" w:hAnsi="宋体" w:cs="宋体"/>
                <w:kern w:val="0"/>
                <w:sz w:val="18"/>
                <w:szCs w:val="18"/>
              </w:rPr>
            </w:pPr>
          </w:p>
        </w:tc>
      </w:tr>
      <w:tr w14:paraId="6FB2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F56F795">
            <w:pPr>
              <w:widowControl/>
              <w:jc w:val="center"/>
              <w:rPr>
                <w:rFonts w:ascii="宋体" w:hAnsi="宋体" w:cs="宋体"/>
                <w:kern w:val="0"/>
                <w:sz w:val="18"/>
                <w:szCs w:val="18"/>
              </w:rPr>
            </w:pPr>
          </w:p>
        </w:tc>
        <w:tc>
          <w:tcPr>
            <w:tcW w:w="3659" w:type="dxa"/>
            <w:shd w:val="clear" w:color="auto" w:fill="auto"/>
            <w:noWrap/>
            <w:vAlign w:val="center"/>
          </w:tcPr>
          <w:p w14:paraId="354284E5">
            <w:pPr>
              <w:widowControl/>
              <w:jc w:val="center"/>
              <w:rPr>
                <w:rFonts w:ascii="宋体" w:hAnsi="宋体" w:cs="宋体"/>
                <w:kern w:val="0"/>
                <w:sz w:val="18"/>
                <w:szCs w:val="18"/>
              </w:rPr>
            </w:pPr>
            <w:r>
              <w:rPr>
                <w:rFonts w:hint="eastAsia" w:ascii="宋体" w:hAnsi="宋体" w:cs="宋体"/>
                <w:kern w:val="0"/>
                <w:sz w:val="18"/>
                <w:szCs w:val="18"/>
              </w:rPr>
              <w:t>乌龙小学</w:t>
            </w:r>
          </w:p>
        </w:tc>
        <w:tc>
          <w:tcPr>
            <w:tcW w:w="796" w:type="dxa"/>
            <w:shd w:val="clear" w:color="auto" w:fill="auto"/>
            <w:noWrap/>
            <w:vAlign w:val="center"/>
          </w:tcPr>
          <w:p w14:paraId="6EC22BFA">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051FE34C">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7C5CBD28">
            <w:pPr>
              <w:widowControl/>
              <w:jc w:val="center"/>
              <w:rPr>
                <w:rFonts w:ascii="宋体" w:hAnsi="宋体" w:cs="宋体"/>
                <w:kern w:val="0"/>
                <w:sz w:val="18"/>
                <w:szCs w:val="18"/>
              </w:rPr>
            </w:pPr>
            <w:r>
              <w:rPr>
                <w:rFonts w:hint="eastAsia" w:ascii="宋体" w:hAnsi="宋体" w:cs="宋体"/>
                <w:kern w:val="0"/>
                <w:sz w:val="18"/>
                <w:szCs w:val="18"/>
              </w:rPr>
              <w:t>0.80</w:t>
            </w:r>
          </w:p>
        </w:tc>
        <w:tc>
          <w:tcPr>
            <w:tcW w:w="946" w:type="dxa"/>
            <w:shd w:val="clear" w:color="auto" w:fill="auto"/>
            <w:noWrap/>
            <w:vAlign w:val="center"/>
          </w:tcPr>
          <w:p w14:paraId="1C14E42B">
            <w:pPr>
              <w:widowControl/>
              <w:jc w:val="center"/>
              <w:rPr>
                <w:rFonts w:ascii="宋体" w:hAnsi="宋体" w:cs="宋体"/>
                <w:kern w:val="0"/>
                <w:sz w:val="18"/>
                <w:szCs w:val="18"/>
              </w:rPr>
            </w:pPr>
            <w:r>
              <w:rPr>
                <w:rFonts w:hint="eastAsia" w:ascii="宋体" w:hAnsi="宋体" w:cs="宋体"/>
                <w:kern w:val="0"/>
                <w:sz w:val="18"/>
                <w:szCs w:val="18"/>
              </w:rPr>
              <w:t>0.80</w:t>
            </w:r>
          </w:p>
        </w:tc>
        <w:tc>
          <w:tcPr>
            <w:tcW w:w="854" w:type="dxa"/>
            <w:shd w:val="clear" w:color="auto" w:fill="auto"/>
            <w:noWrap/>
            <w:vAlign w:val="center"/>
          </w:tcPr>
          <w:p w14:paraId="0B59FBBB">
            <w:pPr>
              <w:widowControl/>
              <w:jc w:val="center"/>
              <w:rPr>
                <w:rFonts w:ascii="宋体" w:hAnsi="宋体" w:cs="宋体"/>
                <w:kern w:val="0"/>
                <w:sz w:val="18"/>
                <w:szCs w:val="18"/>
              </w:rPr>
            </w:pPr>
            <w:r>
              <w:rPr>
                <w:rFonts w:hint="eastAsia" w:ascii="宋体" w:hAnsi="宋体" w:cs="宋体"/>
                <w:kern w:val="0"/>
                <w:sz w:val="18"/>
                <w:szCs w:val="18"/>
              </w:rPr>
              <w:t>0.20</w:t>
            </w:r>
          </w:p>
        </w:tc>
        <w:tc>
          <w:tcPr>
            <w:tcW w:w="1489" w:type="dxa"/>
            <w:shd w:val="clear" w:color="auto" w:fill="auto"/>
            <w:vAlign w:val="center"/>
          </w:tcPr>
          <w:p w14:paraId="20E57EBC">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7805C743">
            <w:pPr>
              <w:widowControl/>
              <w:jc w:val="center"/>
              <w:rPr>
                <w:rFonts w:ascii="宋体" w:hAnsi="宋体" w:cs="宋体"/>
                <w:kern w:val="0"/>
                <w:sz w:val="18"/>
                <w:szCs w:val="18"/>
              </w:rPr>
            </w:pPr>
          </w:p>
        </w:tc>
      </w:tr>
      <w:tr w14:paraId="6C97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70AB405">
            <w:pPr>
              <w:widowControl/>
              <w:jc w:val="center"/>
              <w:rPr>
                <w:rFonts w:ascii="宋体" w:hAnsi="宋体" w:cs="宋体"/>
                <w:kern w:val="0"/>
                <w:sz w:val="18"/>
                <w:szCs w:val="18"/>
              </w:rPr>
            </w:pPr>
          </w:p>
        </w:tc>
        <w:tc>
          <w:tcPr>
            <w:tcW w:w="3659" w:type="dxa"/>
            <w:shd w:val="clear" w:color="auto" w:fill="auto"/>
            <w:noWrap/>
            <w:vAlign w:val="center"/>
          </w:tcPr>
          <w:p w14:paraId="1E7192FC">
            <w:pPr>
              <w:widowControl/>
              <w:jc w:val="center"/>
              <w:rPr>
                <w:rFonts w:ascii="宋体" w:hAnsi="宋体" w:cs="宋体"/>
                <w:kern w:val="0"/>
                <w:sz w:val="18"/>
                <w:szCs w:val="18"/>
              </w:rPr>
            </w:pPr>
            <w:r>
              <w:rPr>
                <w:rFonts w:hint="eastAsia" w:ascii="宋体" w:hAnsi="宋体" w:cs="宋体"/>
                <w:kern w:val="0"/>
                <w:sz w:val="18"/>
                <w:szCs w:val="18"/>
              </w:rPr>
              <w:t>乌龙中学</w:t>
            </w:r>
          </w:p>
        </w:tc>
        <w:tc>
          <w:tcPr>
            <w:tcW w:w="796" w:type="dxa"/>
            <w:shd w:val="clear" w:color="auto" w:fill="auto"/>
            <w:noWrap/>
            <w:vAlign w:val="center"/>
          </w:tcPr>
          <w:p w14:paraId="1AB9AFCF">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644952EA">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3350D6F6">
            <w:pPr>
              <w:widowControl/>
              <w:jc w:val="center"/>
              <w:rPr>
                <w:rFonts w:ascii="宋体" w:hAnsi="宋体" w:cs="宋体"/>
                <w:kern w:val="0"/>
                <w:sz w:val="18"/>
                <w:szCs w:val="18"/>
              </w:rPr>
            </w:pPr>
            <w:r>
              <w:rPr>
                <w:rFonts w:hint="eastAsia" w:ascii="宋体" w:hAnsi="宋体" w:cs="宋体"/>
                <w:kern w:val="0"/>
                <w:sz w:val="18"/>
                <w:szCs w:val="18"/>
              </w:rPr>
              <w:t>1.35</w:t>
            </w:r>
          </w:p>
        </w:tc>
        <w:tc>
          <w:tcPr>
            <w:tcW w:w="946" w:type="dxa"/>
            <w:shd w:val="clear" w:color="auto" w:fill="auto"/>
            <w:noWrap/>
            <w:vAlign w:val="center"/>
          </w:tcPr>
          <w:p w14:paraId="7AFDC072">
            <w:pPr>
              <w:widowControl/>
              <w:jc w:val="center"/>
              <w:rPr>
                <w:rFonts w:ascii="宋体" w:hAnsi="宋体" w:cs="宋体"/>
                <w:kern w:val="0"/>
                <w:sz w:val="18"/>
                <w:szCs w:val="18"/>
              </w:rPr>
            </w:pPr>
            <w:r>
              <w:rPr>
                <w:rFonts w:hint="eastAsia" w:ascii="宋体" w:hAnsi="宋体" w:cs="宋体"/>
                <w:kern w:val="0"/>
                <w:sz w:val="18"/>
                <w:szCs w:val="18"/>
              </w:rPr>
              <w:t>0.96</w:t>
            </w:r>
          </w:p>
        </w:tc>
        <w:tc>
          <w:tcPr>
            <w:tcW w:w="854" w:type="dxa"/>
            <w:shd w:val="clear" w:color="auto" w:fill="auto"/>
            <w:noWrap/>
            <w:vAlign w:val="center"/>
          </w:tcPr>
          <w:p w14:paraId="40646EF5">
            <w:pPr>
              <w:widowControl/>
              <w:jc w:val="center"/>
              <w:rPr>
                <w:rFonts w:ascii="宋体" w:hAnsi="宋体" w:cs="宋体"/>
                <w:kern w:val="0"/>
                <w:sz w:val="18"/>
                <w:szCs w:val="18"/>
              </w:rPr>
            </w:pPr>
            <w:r>
              <w:rPr>
                <w:rFonts w:hint="eastAsia" w:ascii="宋体" w:hAnsi="宋体" w:cs="宋体"/>
                <w:kern w:val="0"/>
                <w:sz w:val="18"/>
                <w:szCs w:val="18"/>
              </w:rPr>
              <w:t>0.49</w:t>
            </w:r>
          </w:p>
        </w:tc>
        <w:tc>
          <w:tcPr>
            <w:tcW w:w="1489" w:type="dxa"/>
            <w:shd w:val="clear" w:color="auto" w:fill="auto"/>
            <w:vAlign w:val="center"/>
          </w:tcPr>
          <w:p w14:paraId="798AD60A">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3C1F626D">
            <w:pPr>
              <w:widowControl/>
              <w:jc w:val="center"/>
              <w:rPr>
                <w:rFonts w:ascii="宋体" w:hAnsi="宋体" w:cs="宋体"/>
                <w:kern w:val="0"/>
                <w:sz w:val="18"/>
                <w:szCs w:val="18"/>
              </w:rPr>
            </w:pPr>
          </w:p>
        </w:tc>
      </w:tr>
      <w:tr w14:paraId="2F84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69D21D8">
            <w:pPr>
              <w:widowControl/>
              <w:jc w:val="center"/>
              <w:rPr>
                <w:rFonts w:ascii="宋体" w:hAnsi="宋体" w:cs="宋体"/>
                <w:kern w:val="0"/>
                <w:sz w:val="18"/>
                <w:szCs w:val="18"/>
              </w:rPr>
            </w:pPr>
          </w:p>
        </w:tc>
        <w:tc>
          <w:tcPr>
            <w:tcW w:w="3659" w:type="dxa"/>
            <w:shd w:val="clear" w:color="auto" w:fill="auto"/>
            <w:noWrap/>
            <w:vAlign w:val="center"/>
          </w:tcPr>
          <w:p w14:paraId="7FEEDAF7">
            <w:pPr>
              <w:widowControl/>
              <w:jc w:val="center"/>
              <w:rPr>
                <w:rFonts w:ascii="宋体" w:hAnsi="宋体" w:cs="宋体"/>
                <w:kern w:val="0"/>
                <w:sz w:val="18"/>
                <w:szCs w:val="18"/>
              </w:rPr>
            </w:pPr>
            <w:r>
              <w:rPr>
                <w:rFonts w:hint="eastAsia" w:ascii="宋体" w:hAnsi="宋体" w:cs="宋体"/>
                <w:kern w:val="0"/>
                <w:sz w:val="18"/>
                <w:szCs w:val="18"/>
              </w:rPr>
              <w:t>因民中心学校</w:t>
            </w:r>
          </w:p>
        </w:tc>
        <w:tc>
          <w:tcPr>
            <w:tcW w:w="796" w:type="dxa"/>
            <w:shd w:val="clear" w:color="auto" w:fill="auto"/>
            <w:noWrap/>
            <w:vAlign w:val="center"/>
          </w:tcPr>
          <w:p w14:paraId="614AD52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3D7602BB">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389C9462">
            <w:pPr>
              <w:widowControl/>
              <w:jc w:val="center"/>
              <w:rPr>
                <w:rFonts w:ascii="宋体" w:hAnsi="宋体" w:cs="宋体"/>
                <w:kern w:val="0"/>
                <w:sz w:val="18"/>
                <w:szCs w:val="18"/>
              </w:rPr>
            </w:pPr>
            <w:r>
              <w:rPr>
                <w:rFonts w:hint="eastAsia" w:ascii="宋体" w:hAnsi="宋体" w:cs="宋体"/>
                <w:kern w:val="0"/>
                <w:sz w:val="18"/>
                <w:szCs w:val="18"/>
              </w:rPr>
              <w:t>1.35</w:t>
            </w:r>
          </w:p>
        </w:tc>
        <w:tc>
          <w:tcPr>
            <w:tcW w:w="946" w:type="dxa"/>
            <w:shd w:val="clear" w:color="auto" w:fill="auto"/>
            <w:noWrap/>
            <w:vAlign w:val="center"/>
          </w:tcPr>
          <w:p w14:paraId="039CCD14">
            <w:pPr>
              <w:widowControl/>
              <w:jc w:val="center"/>
              <w:rPr>
                <w:rFonts w:ascii="宋体" w:hAnsi="宋体" w:cs="宋体"/>
                <w:kern w:val="0"/>
                <w:sz w:val="18"/>
                <w:szCs w:val="18"/>
              </w:rPr>
            </w:pPr>
            <w:r>
              <w:rPr>
                <w:rFonts w:hint="eastAsia" w:ascii="宋体" w:hAnsi="宋体" w:cs="宋体"/>
                <w:kern w:val="0"/>
                <w:sz w:val="18"/>
                <w:szCs w:val="18"/>
              </w:rPr>
              <w:t>0.96</w:t>
            </w:r>
          </w:p>
        </w:tc>
        <w:tc>
          <w:tcPr>
            <w:tcW w:w="854" w:type="dxa"/>
            <w:shd w:val="clear" w:color="auto" w:fill="auto"/>
            <w:noWrap/>
            <w:vAlign w:val="center"/>
          </w:tcPr>
          <w:p w14:paraId="58BF9ECF">
            <w:pPr>
              <w:widowControl/>
              <w:jc w:val="center"/>
              <w:rPr>
                <w:rFonts w:ascii="宋体" w:hAnsi="宋体" w:cs="宋体"/>
                <w:kern w:val="0"/>
                <w:sz w:val="18"/>
                <w:szCs w:val="18"/>
              </w:rPr>
            </w:pPr>
            <w:r>
              <w:rPr>
                <w:rFonts w:hint="eastAsia" w:ascii="宋体" w:hAnsi="宋体" w:cs="宋体"/>
                <w:kern w:val="0"/>
                <w:sz w:val="18"/>
                <w:szCs w:val="18"/>
              </w:rPr>
              <w:t>0.49</w:t>
            </w:r>
          </w:p>
        </w:tc>
        <w:tc>
          <w:tcPr>
            <w:tcW w:w="1489" w:type="dxa"/>
            <w:shd w:val="clear" w:color="auto" w:fill="auto"/>
            <w:vAlign w:val="center"/>
          </w:tcPr>
          <w:p w14:paraId="319D3C21">
            <w:pPr>
              <w:widowControl/>
              <w:jc w:val="center"/>
              <w:rPr>
                <w:rFonts w:ascii="宋体" w:hAnsi="宋体" w:cs="宋体"/>
                <w:kern w:val="0"/>
                <w:sz w:val="15"/>
                <w:szCs w:val="15"/>
              </w:rPr>
            </w:pPr>
            <w:r>
              <w:rPr>
                <w:rFonts w:hint="eastAsia" w:ascii="宋体" w:hAnsi="宋体" w:cs="宋体"/>
                <w:kern w:val="0"/>
                <w:sz w:val="15"/>
                <w:szCs w:val="15"/>
              </w:rPr>
              <w:t>因民镇</w:t>
            </w:r>
          </w:p>
        </w:tc>
        <w:tc>
          <w:tcPr>
            <w:tcW w:w="577" w:type="dxa"/>
            <w:shd w:val="clear" w:color="auto" w:fill="auto"/>
            <w:noWrap/>
            <w:vAlign w:val="center"/>
          </w:tcPr>
          <w:p w14:paraId="616464DE">
            <w:pPr>
              <w:widowControl/>
              <w:jc w:val="center"/>
              <w:rPr>
                <w:rFonts w:ascii="宋体" w:hAnsi="宋体" w:cs="宋体"/>
                <w:kern w:val="0"/>
                <w:sz w:val="18"/>
                <w:szCs w:val="18"/>
              </w:rPr>
            </w:pPr>
          </w:p>
        </w:tc>
      </w:tr>
      <w:tr w14:paraId="23B9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8C1891C">
            <w:pPr>
              <w:widowControl/>
              <w:jc w:val="center"/>
              <w:rPr>
                <w:rFonts w:ascii="宋体" w:hAnsi="宋体" w:cs="宋体"/>
                <w:kern w:val="0"/>
                <w:sz w:val="18"/>
                <w:szCs w:val="18"/>
              </w:rPr>
            </w:pPr>
          </w:p>
        </w:tc>
        <w:tc>
          <w:tcPr>
            <w:tcW w:w="3659" w:type="dxa"/>
            <w:shd w:val="clear" w:color="auto" w:fill="auto"/>
            <w:noWrap/>
            <w:vAlign w:val="center"/>
          </w:tcPr>
          <w:p w14:paraId="04759CDE">
            <w:pPr>
              <w:widowControl/>
              <w:jc w:val="center"/>
              <w:rPr>
                <w:rFonts w:ascii="宋体" w:hAnsi="宋体" w:cs="宋体"/>
                <w:kern w:val="0"/>
                <w:sz w:val="18"/>
                <w:szCs w:val="18"/>
              </w:rPr>
            </w:pPr>
            <w:r>
              <w:rPr>
                <w:rFonts w:hint="eastAsia" w:ascii="宋体" w:hAnsi="宋体" w:cs="宋体"/>
                <w:kern w:val="0"/>
                <w:sz w:val="18"/>
                <w:szCs w:val="18"/>
              </w:rPr>
              <w:t>铜都街道绿茂幸福娃幼儿园</w:t>
            </w:r>
          </w:p>
        </w:tc>
        <w:tc>
          <w:tcPr>
            <w:tcW w:w="796" w:type="dxa"/>
            <w:shd w:val="clear" w:color="auto" w:fill="auto"/>
            <w:noWrap/>
            <w:vAlign w:val="center"/>
          </w:tcPr>
          <w:p w14:paraId="417A9C9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374C200C">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70D0A5DB">
            <w:pPr>
              <w:widowControl/>
              <w:jc w:val="center"/>
              <w:rPr>
                <w:rFonts w:ascii="宋体" w:hAnsi="宋体" w:cs="宋体"/>
                <w:kern w:val="0"/>
                <w:sz w:val="18"/>
                <w:szCs w:val="18"/>
              </w:rPr>
            </w:pPr>
            <w:r>
              <w:rPr>
                <w:rFonts w:hint="eastAsia" w:ascii="宋体" w:hAnsi="宋体" w:cs="宋体"/>
                <w:kern w:val="0"/>
                <w:sz w:val="18"/>
                <w:szCs w:val="18"/>
              </w:rPr>
              <w:t>0.35</w:t>
            </w:r>
          </w:p>
        </w:tc>
        <w:tc>
          <w:tcPr>
            <w:tcW w:w="946" w:type="dxa"/>
            <w:shd w:val="clear" w:color="auto" w:fill="auto"/>
            <w:noWrap/>
            <w:vAlign w:val="center"/>
          </w:tcPr>
          <w:p w14:paraId="0E3EC913">
            <w:pPr>
              <w:widowControl/>
              <w:jc w:val="center"/>
              <w:rPr>
                <w:rFonts w:ascii="宋体" w:hAnsi="宋体" w:cs="宋体"/>
                <w:kern w:val="0"/>
                <w:sz w:val="18"/>
                <w:szCs w:val="18"/>
              </w:rPr>
            </w:pPr>
            <w:r>
              <w:rPr>
                <w:rFonts w:hint="eastAsia" w:ascii="宋体" w:hAnsi="宋体" w:cs="宋体"/>
                <w:kern w:val="0"/>
                <w:sz w:val="18"/>
                <w:szCs w:val="18"/>
              </w:rPr>
              <w:t>0</w:t>
            </w:r>
          </w:p>
        </w:tc>
        <w:tc>
          <w:tcPr>
            <w:tcW w:w="854" w:type="dxa"/>
            <w:shd w:val="clear" w:color="auto" w:fill="auto"/>
            <w:noWrap/>
            <w:vAlign w:val="center"/>
          </w:tcPr>
          <w:p w14:paraId="191D24A5">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vAlign w:val="center"/>
          </w:tcPr>
          <w:p w14:paraId="1CD93B3E">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654B06EC">
            <w:pPr>
              <w:widowControl/>
              <w:jc w:val="center"/>
              <w:rPr>
                <w:rFonts w:ascii="宋体" w:hAnsi="宋体" w:cs="宋体"/>
                <w:kern w:val="0"/>
                <w:sz w:val="18"/>
                <w:szCs w:val="18"/>
              </w:rPr>
            </w:pPr>
          </w:p>
        </w:tc>
      </w:tr>
      <w:tr w14:paraId="3EC9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F4BAF02">
            <w:pPr>
              <w:widowControl/>
              <w:jc w:val="center"/>
              <w:rPr>
                <w:rFonts w:ascii="宋体" w:hAnsi="宋体" w:cs="宋体"/>
                <w:kern w:val="0"/>
                <w:sz w:val="18"/>
                <w:szCs w:val="18"/>
              </w:rPr>
            </w:pPr>
          </w:p>
        </w:tc>
        <w:tc>
          <w:tcPr>
            <w:tcW w:w="3659" w:type="dxa"/>
            <w:shd w:val="clear" w:color="auto" w:fill="auto"/>
            <w:noWrap/>
            <w:vAlign w:val="center"/>
          </w:tcPr>
          <w:p w14:paraId="3C8C9788">
            <w:pPr>
              <w:widowControl/>
              <w:jc w:val="center"/>
              <w:rPr>
                <w:rFonts w:ascii="宋体" w:hAnsi="宋体" w:cs="宋体"/>
                <w:kern w:val="0"/>
                <w:sz w:val="18"/>
                <w:szCs w:val="18"/>
              </w:rPr>
            </w:pPr>
            <w:r>
              <w:rPr>
                <w:rFonts w:hint="eastAsia" w:ascii="宋体" w:hAnsi="宋体" w:cs="宋体"/>
                <w:kern w:val="0"/>
                <w:sz w:val="18"/>
                <w:szCs w:val="18"/>
              </w:rPr>
              <w:t>铜都街道睿睿幼儿园</w:t>
            </w:r>
          </w:p>
        </w:tc>
        <w:tc>
          <w:tcPr>
            <w:tcW w:w="796" w:type="dxa"/>
            <w:shd w:val="clear" w:color="auto" w:fill="auto"/>
            <w:noWrap/>
            <w:vAlign w:val="center"/>
          </w:tcPr>
          <w:p w14:paraId="421E1F80">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tcPr>
          <w:p w14:paraId="58976B55">
            <w:pPr>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47484926">
            <w:pPr>
              <w:widowControl/>
              <w:jc w:val="center"/>
              <w:rPr>
                <w:rFonts w:ascii="宋体" w:hAnsi="宋体" w:cs="宋体"/>
                <w:kern w:val="0"/>
                <w:sz w:val="18"/>
                <w:szCs w:val="18"/>
              </w:rPr>
            </w:pPr>
            <w:r>
              <w:rPr>
                <w:rFonts w:hint="eastAsia" w:ascii="宋体" w:hAnsi="宋体" w:cs="宋体"/>
                <w:kern w:val="0"/>
                <w:sz w:val="18"/>
                <w:szCs w:val="18"/>
              </w:rPr>
              <w:t>0.35</w:t>
            </w:r>
          </w:p>
        </w:tc>
        <w:tc>
          <w:tcPr>
            <w:tcW w:w="946" w:type="dxa"/>
            <w:shd w:val="clear" w:color="auto" w:fill="auto"/>
            <w:noWrap/>
            <w:vAlign w:val="center"/>
          </w:tcPr>
          <w:p w14:paraId="1E0E3F9C">
            <w:pPr>
              <w:widowControl/>
              <w:jc w:val="center"/>
              <w:rPr>
                <w:rFonts w:ascii="宋体" w:hAnsi="宋体" w:cs="宋体"/>
                <w:kern w:val="0"/>
                <w:sz w:val="18"/>
                <w:szCs w:val="18"/>
              </w:rPr>
            </w:pPr>
            <w:r>
              <w:rPr>
                <w:rFonts w:hint="eastAsia" w:ascii="宋体" w:hAnsi="宋体" w:cs="宋体"/>
                <w:kern w:val="0"/>
                <w:sz w:val="18"/>
                <w:szCs w:val="18"/>
              </w:rPr>
              <w:t>0</w:t>
            </w:r>
          </w:p>
        </w:tc>
        <w:tc>
          <w:tcPr>
            <w:tcW w:w="854" w:type="dxa"/>
            <w:shd w:val="clear" w:color="auto" w:fill="auto"/>
            <w:noWrap/>
            <w:vAlign w:val="center"/>
          </w:tcPr>
          <w:p w14:paraId="0176CD00">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vAlign w:val="center"/>
          </w:tcPr>
          <w:p w14:paraId="6D208129">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03E0112C">
            <w:pPr>
              <w:widowControl/>
              <w:jc w:val="center"/>
              <w:rPr>
                <w:rFonts w:ascii="宋体" w:hAnsi="宋体" w:cs="宋体"/>
                <w:kern w:val="0"/>
                <w:sz w:val="18"/>
                <w:szCs w:val="18"/>
              </w:rPr>
            </w:pPr>
          </w:p>
        </w:tc>
      </w:tr>
      <w:tr w14:paraId="6732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FF71E40">
            <w:pPr>
              <w:widowControl/>
              <w:jc w:val="center"/>
              <w:rPr>
                <w:rFonts w:ascii="宋体" w:hAnsi="宋体" w:cs="宋体"/>
                <w:kern w:val="0"/>
                <w:sz w:val="18"/>
                <w:szCs w:val="18"/>
              </w:rPr>
            </w:pPr>
          </w:p>
        </w:tc>
        <w:tc>
          <w:tcPr>
            <w:tcW w:w="3659" w:type="dxa"/>
            <w:shd w:val="clear" w:color="auto" w:fill="auto"/>
            <w:noWrap/>
            <w:vAlign w:val="center"/>
          </w:tcPr>
          <w:p w14:paraId="4A9F1EB7">
            <w:pPr>
              <w:jc w:val="center"/>
              <w:rPr>
                <w:rFonts w:ascii="宋体" w:hAnsi="宋体" w:cs="宋体"/>
                <w:kern w:val="0"/>
                <w:sz w:val="18"/>
                <w:szCs w:val="18"/>
              </w:rPr>
            </w:pPr>
            <w:r>
              <w:rPr>
                <w:rFonts w:hint="eastAsia" w:ascii="宋体" w:hAnsi="宋体" w:cs="宋体"/>
                <w:kern w:val="0"/>
                <w:sz w:val="18"/>
                <w:szCs w:val="18"/>
              </w:rPr>
              <w:t>红土地镇幼儿园</w:t>
            </w:r>
          </w:p>
        </w:tc>
        <w:tc>
          <w:tcPr>
            <w:tcW w:w="796" w:type="dxa"/>
            <w:shd w:val="clear" w:color="auto" w:fill="auto"/>
            <w:noWrap/>
            <w:vAlign w:val="center"/>
          </w:tcPr>
          <w:p w14:paraId="0867F5DA">
            <w:pPr>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5C65E2D7">
            <w:pPr>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2B690544">
            <w:pPr>
              <w:jc w:val="center"/>
              <w:rPr>
                <w:rFonts w:ascii="宋体" w:hAnsi="宋体" w:cs="宋体"/>
                <w:kern w:val="0"/>
                <w:sz w:val="18"/>
                <w:szCs w:val="18"/>
              </w:rPr>
            </w:pPr>
            <w:r>
              <w:rPr>
                <w:rFonts w:hint="eastAsia" w:ascii="宋体" w:hAnsi="宋体" w:cs="宋体"/>
                <w:kern w:val="0"/>
                <w:sz w:val="18"/>
                <w:szCs w:val="18"/>
              </w:rPr>
              <w:t xml:space="preserve">0.75 </w:t>
            </w:r>
          </w:p>
        </w:tc>
        <w:tc>
          <w:tcPr>
            <w:tcW w:w="946" w:type="dxa"/>
            <w:shd w:val="clear" w:color="auto" w:fill="auto"/>
            <w:noWrap/>
            <w:vAlign w:val="center"/>
          </w:tcPr>
          <w:p w14:paraId="67CBB798">
            <w:pPr>
              <w:jc w:val="center"/>
              <w:rPr>
                <w:rFonts w:ascii="宋体" w:hAnsi="宋体" w:cs="宋体"/>
                <w:kern w:val="0"/>
                <w:sz w:val="18"/>
                <w:szCs w:val="18"/>
              </w:rPr>
            </w:pPr>
            <w:r>
              <w:rPr>
                <w:rFonts w:hint="eastAsia" w:ascii="宋体" w:hAnsi="宋体" w:cs="宋体"/>
                <w:kern w:val="0"/>
                <w:sz w:val="18"/>
                <w:szCs w:val="18"/>
              </w:rPr>
              <w:t xml:space="preserve">0.75 </w:t>
            </w:r>
          </w:p>
        </w:tc>
        <w:tc>
          <w:tcPr>
            <w:tcW w:w="854" w:type="dxa"/>
            <w:shd w:val="clear" w:color="auto" w:fill="auto"/>
            <w:noWrap/>
            <w:vAlign w:val="center"/>
          </w:tcPr>
          <w:p w14:paraId="5847F4AD">
            <w:pPr>
              <w:jc w:val="center"/>
              <w:rPr>
                <w:rFonts w:ascii="宋体" w:hAnsi="宋体" w:cs="宋体"/>
                <w:kern w:val="0"/>
                <w:sz w:val="18"/>
                <w:szCs w:val="18"/>
              </w:rPr>
            </w:pPr>
            <w:r>
              <w:rPr>
                <w:rFonts w:hint="eastAsia" w:ascii="宋体" w:hAnsi="宋体" w:cs="宋体"/>
                <w:kern w:val="0"/>
                <w:sz w:val="18"/>
                <w:szCs w:val="18"/>
              </w:rPr>
              <w:t xml:space="preserve">0.60 </w:t>
            </w:r>
          </w:p>
        </w:tc>
        <w:tc>
          <w:tcPr>
            <w:tcW w:w="1489" w:type="dxa"/>
            <w:shd w:val="clear" w:color="auto" w:fill="auto"/>
            <w:vAlign w:val="center"/>
          </w:tcPr>
          <w:p w14:paraId="0E757591">
            <w:pPr>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7DA684D7">
            <w:pPr>
              <w:widowControl/>
              <w:jc w:val="center"/>
              <w:rPr>
                <w:rFonts w:ascii="宋体" w:hAnsi="宋体" w:cs="宋体"/>
                <w:kern w:val="0"/>
                <w:sz w:val="18"/>
                <w:szCs w:val="18"/>
              </w:rPr>
            </w:pPr>
          </w:p>
        </w:tc>
      </w:tr>
      <w:tr w14:paraId="6675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9B17CD9">
            <w:pPr>
              <w:widowControl/>
              <w:jc w:val="center"/>
              <w:rPr>
                <w:rFonts w:ascii="宋体" w:hAnsi="宋体" w:cs="宋体"/>
                <w:kern w:val="0"/>
                <w:sz w:val="18"/>
                <w:szCs w:val="18"/>
              </w:rPr>
            </w:pPr>
          </w:p>
        </w:tc>
        <w:tc>
          <w:tcPr>
            <w:tcW w:w="3659" w:type="dxa"/>
            <w:shd w:val="clear" w:color="auto" w:fill="auto"/>
            <w:noWrap/>
            <w:vAlign w:val="center"/>
          </w:tcPr>
          <w:p w14:paraId="0FA1BFB4">
            <w:pPr>
              <w:widowControl/>
              <w:jc w:val="center"/>
              <w:rPr>
                <w:rFonts w:ascii="宋体" w:hAnsi="宋体" w:cs="宋体"/>
                <w:kern w:val="0"/>
                <w:sz w:val="18"/>
                <w:szCs w:val="18"/>
              </w:rPr>
            </w:pPr>
            <w:r>
              <w:rPr>
                <w:rFonts w:hint="eastAsia" w:ascii="宋体" w:hAnsi="宋体" w:cs="宋体"/>
                <w:kern w:val="0"/>
                <w:sz w:val="18"/>
                <w:szCs w:val="18"/>
              </w:rPr>
              <w:t>小计</w:t>
            </w:r>
          </w:p>
        </w:tc>
        <w:tc>
          <w:tcPr>
            <w:tcW w:w="796" w:type="dxa"/>
            <w:shd w:val="clear" w:color="auto" w:fill="auto"/>
            <w:noWrap/>
            <w:vAlign w:val="center"/>
          </w:tcPr>
          <w:p w14:paraId="4A3F3FB9">
            <w:pPr>
              <w:widowControl/>
              <w:jc w:val="center"/>
              <w:rPr>
                <w:rFonts w:ascii="宋体" w:hAnsi="宋体" w:cs="宋体"/>
                <w:kern w:val="0"/>
                <w:sz w:val="18"/>
                <w:szCs w:val="18"/>
              </w:rPr>
            </w:pPr>
            <w:r>
              <w:rPr>
                <w:rFonts w:hint="eastAsia" w:ascii="宋体" w:hAnsi="宋体" w:cs="宋体"/>
                <w:kern w:val="0"/>
                <w:sz w:val="18"/>
                <w:szCs w:val="18"/>
              </w:rPr>
              <w:t>——</w:t>
            </w:r>
          </w:p>
        </w:tc>
        <w:tc>
          <w:tcPr>
            <w:tcW w:w="1206" w:type="dxa"/>
            <w:shd w:val="clear" w:color="auto" w:fill="auto"/>
            <w:noWrap/>
            <w:vAlign w:val="center"/>
          </w:tcPr>
          <w:p w14:paraId="2874A1D8">
            <w:pPr>
              <w:jc w:val="center"/>
              <w:rPr>
                <w:rFonts w:ascii="宋体" w:hAnsi="宋体" w:cs="宋体"/>
                <w:kern w:val="0"/>
                <w:sz w:val="18"/>
                <w:szCs w:val="18"/>
              </w:rPr>
            </w:pPr>
            <w:r>
              <w:rPr>
                <w:rFonts w:hint="eastAsia" w:ascii="宋体" w:hAnsi="宋体" w:cs="宋体"/>
                <w:kern w:val="0"/>
                <w:sz w:val="18"/>
                <w:szCs w:val="18"/>
              </w:rPr>
              <w:t>——</w:t>
            </w:r>
          </w:p>
        </w:tc>
        <w:tc>
          <w:tcPr>
            <w:tcW w:w="1026" w:type="dxa"/>
            <w:shd w:val="clear" w:color="auto" w:fill="auto"/>
            <w:noWrap/>
            <w:vAlign w:val="center"/>
          </w:tcPr>
          <w:p w14:paraId="04B8CAE0">
            <w:pPr>
              <w:widowControl/>
              <w:jc w:val="center"/>
              <w:rPr>
                <w:rFonts w:ascii="宋体" w:hAnsi="宋体" w:cs="宋体"/>
                <w:kern w:val="0"/>
                <w:sz w:val="18"/>
                <w:szCs w:val="18"/>
              </w:rPr>
            </w:pPr>
            <w:r>
              <w:rPr>
                <w:rFonts w:hint="eastAsia" w:ascii="宋体" w:hAnsi="宋体" w:cs="宋体"/>
                <w:kern w:val="0"/>
                <w:sz w:val="18"/>
                <w:szCs w:val="18"/>
              </w:rPr>
              <w:t>27.51</w:t>
            </w:r>
          </w:p>
        </w:tc>
        <w:tc>
          <w:tcPr>
            <w:tcW w:w="946" w:type="dxa"/>
            <w:shd w:val="clear" w:color="auto" w:fill="auto"/>
            <w:noWrap/>
            <w:vAlign w:val="center"/>
          </w:tcPr>
          <w:p w14:paraId="550D7098">
            <w:pPr>
              <w:widowControl/>
              <w:jc w:val="center"/>
              <w:rPr>
                <w:rFonts w:ascii="宋体" w:hAnsi="宋体" w:cs="宋体"/>
                <w:kern w:val="0"/>
                <w:sz w:val="18"/>
                <w:szCs w:val="18"/>
              </w:rPr>
            </w:pPr>
            <w:r>
              <w:rPr>
                <w:rFonts w:hint="eastAsia" w:ascii="宋体" w:hAnsi="宋体" w:cs="宋体"/>
                <w:kern w:val="0"/>
                <w:sz w:val="18"/>
                <w:szCs w:val="18"/>
              </w:rPr>
              <w:t>23.49</w:t>
            </w:r>
          </w:p>
        </w:tc>
        <w:tc>
          <w:tcPr>
            <w:tcW w:w="854" w:type="dxa"/>
            <w:shd w:val="clear" w:color="auto" w:fill="auto"/>
            <w:noWrap/>
            <w:vAlign w:val="center"/>
          </w:tcPr>
          <w:p w14:paraId="00DF4F1E">
            <w:pPr>
              <w:widowControl/>
              <w:jc w:val="center"/>
              <w:rPr>
                <w:rFonts w:ascii="宋体" w:hAnsi="宋体" w:cs="宋体"/>
                <w:kern w:val="0"/>
                <w:sz w:val="18"/>
                <w:szCs w:val="18"/>
              </w:rPr>
            </w:pPr>
            <w:r>
              <w:rPr>
                <w:rFonts w:hint="eastAsia" w:ascii="宋体" w:hAnsi="宋体" w:cs="宋体"/>
                <w:kern w:val="0"/>
                <w:sz w:val="18"/>
                <w:szCs w:val="18"/>
              </w:rPr>
              <w:t>9.67</w:t>
            </w:r>
          </w:p>
        </w:tc>
        <w:tc>
          <w:tcPr>
            <w:tcW w:w="1489" w:type="dxa"/>
            <w:shd w:val="clear" w:color="auto" w:fill="auto"/>
            <w:vAlign w:val="center"/>
          </w:tcPr>
          <w:p w14:paraId="13D440AE">
            <w:pPr>
              <w:widowControl/>
              <w:jc w:val="center"/>
              <w:rPr>
                <w:rFonts w:ascii="宋体" w:hAnsi="宋体" w:cs="宋体"/>
                <w:kern w:val="0"/>
                <w:sz w:val="15"/>
                <w:szCs w:val="15"/>
              </w:rPr>
            </w:pPr>
            <w:r>
              <w:rPr>
                <w:rFonts w:hint="eastAsia" w:ascii="宋体" w:hAnsi="宋体" w:cs="宋体"/>
                <w:kern w:val="0"/>
                <w:sz w:val="15"/>
                <w:szCs w:val="15"/>
              </w:rPr>
              <w:t>——</w:t>
            </w:r>
          </w:p>
        </w:tc>
        <w:tc>
          <w:tcPr>
            <w:tcW w:w="577" w:type="dxa"/>
            <w:shd w:val="clear" w:color="auto" w:fill="auto"/>
            <w:noWrap/>
            <w:vAlign w:val="center"/>
          </w:tcPr>
          <w:p w14:paraId="77AE9FC6">
            <w:pPr>
              <w:widowControl/>
              <w:jc w:val="center"/>
              <w:rPr>
                <w:rFonts w:ascii="宋体" w:hAnsi="宋体" w:cs="宋体"/>
                <w:kern w:val="0"/>
                <w:sz w:val="18"/>
                <w:szCs w:val="18"/>
              </w:rPr>
            </w:pPr>
          </w:p>
        </w:tc>
      </w:tr>
      <w:tr w14:paraId="48C6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restart"/>
            <w:vAlign w:val="center"/>
          </w:tcPr>
          <w:p w14:paraId="610379CA">
            <w:pPr>
              <w:widowControl/>
              <w:jc w:val="center"/>
              <w:rPr>
                <w:rFonts w:ascii="宋体" w:hAnsi="宋体" w:cs="宋体"/>
                <w:kern w:val="0"/>
                <w:sz w:val="18"/>
                <w:szCs w:val="18"/>
              </w:rPr>
            </w:pPr>
            <w:r>
              <w:rPr>
                <w:rFonts w:hint="eastAsia" w:ascii="宋体" w:hAnsi="宋体" w:cs="宋体"/>
                <w:kern w:val="0"/>
                <w:sz w:val="18"/>
                <w:szCs w:val="18"/>
              </w:rPr>
              <w:t>7、矿山</w:t>
            </w:r>
          </w:p>
        </w:tc>
        <w:tc>
          <w:tcPr>
            <w:tcW w:w="3659" w:type="dxa"/>
            <w:shd w:val="clear" w:color="auto" w:fill="auto"/>
            <w:noWrap/>
            <w:vAlign w:val="center"/>
          </w:tcPr>
          <w:p w14:paraId="263A9B2C">
            <w:pPr>
              <w:widowControl/>
              <w:jc w:val="center"/>
              <w:rPr>
                <w:rFonts w:ascii="宋体" w:hAnsi="宋体" w:cs="宋体"/>
                <w:kern w:val="0"/>
                <w:sz w:val="18"/>
                <w:szCs w:val="18"/>
              </w:rPr>
            </w:pPr>
            <w:r>
              <w:rPr>
                <w:rFonts w:hint="eastAsia" w:ascii="宋体" w:hAnsi="宋体" w:cs="宋体"/>
                <w:kern w:val="0"/>
                <w:sz w:val="18"/>
                <w:szCs w:val="18"/>
              </w:rPr>
              <w:t>云南金沙人化工厂</w:t>
            </w:r>
          </w:p>
        </w:tc>
        <w:tc>
          <w:tcPr>
            <w:tcW w:w="796" w:type="dxa"/>
            <w:shd w:val="clear" w:color="auto" w:fill="auto"/>
            <w:noWrap/>
            <w:vAlign w:val="center"/>
          </w:tcPr>
          <w:p w14:paraId="137F3337">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55303B71">
            <w:pPr>
              <w:widowControl/>
              <w:jc w:val="center"/>
              <w:rPr>
                <w:rFonts w:ascii="宋体" w:hAnsi="宋体" w:cs="宋体"/>
                <w:kern w:val="0"/>
                <w:sz w:val="18"/>
                <w:szCs w:val="18"/>
              </w:rPr>
            </w:pPr>
            <w:r>
              <w:rPr>
                <w:rFonts w:hint="eastAsia" w:ascii="宋体" w:hAnsi="宋体" w:cs="宋体"/>
                <w:kern w:val="0"/>
                <w:sz w:val="18"/>
                <w:szCs w:val="18"/>
              </w:rPr>
              <w:t>2011-2015</w:t>
            </w:r>
          </w:p>
        </w:tc>
        <w:tc>
          <w:tcPr>
            <w:tcW w:w="1026" w:type="dxa"/>
            <w:shd w:val="clear" w:color="auto" w:fill="auto"/>
            <w:noWrap/>
            <w:vAlign w:val="center"/>
          </w:tcPr>
          <w:p w14:paraId="171AD883">
            <w:pPr>
              <w:widowControl/>
              <w:jc w:val="center"/>
              <w:rPr>
                <w:rFonts w:ascii="宋体" w:hAnsi="宋体" w:cs="宋体"/>
                <w:kern w:val="0"/>
                <w:sz w:val="18"/>
                <w:szCs w:val="18"/>
              </w:rPr>
            </w:pPr>
            <w:r>
              <w:rPr>
                <w:rFonts w:hint="eastAsia" w:ascii="宋体" w:hAnsi="宋体" w:cs="宋体"/>
                <w:kern w:val="0"/>
                <w:sz w:val="18"/>
                <w:szCs w:val="18"/>
              </w:rPr>
              <w:t>13.60</w:t>
            </w:r>
          </w:p>
        </w:tc>
        <w:tc>
          <w:tcPr>
            <w:tcW w:w="946" w:type="dxa"/>
            <w:shd w:val="clear" w:color="auto" w:fill="auto"/>
            <w:noWrap/>
            <w:vAlign w:val="center"/>
          </w:tcPr>
          <w:p w14:paraId="1A07C7AD">
            <w:pPr>
              <w:widowControl/>
              <w:jc w:val="center"/>
              <w:rPr>
                <w:rFonts w:ascii="宋体" w:hAnsi="宋体" w:cs="宋体"/>
                <w:kern w:val="0"/>
                <w:sz w:val="18"/>
                <w:szCs w:val="18"/>
              </w:rPr>
            </w:pPr>
            <w:r>
              <w:rPr>
                <w:rFonts w:hint="eastAsia" w:ascii="宋体" w:hAnsi="宋体" w:cs="宋体"/>
                <w:kern w:val="0"/>
                <w:sz w:val="18"/>
                <w:szCs w:val="18"/>
              </w:rPr>
              <w:t>13.60</w:t>
            </w:r>
          </w:p>
        </w:tc>
        <w:tc>
          <w:tcPr>
            <w:tcW w:w="854" w:type="dxa"/>
            <w:shd w:val="clear" w:color="auto" w:fill="auto"/>
            <w:noWrap/>
            <w:vAlign w:val="center"/>
          </w:tcPr>
          <w:p w14:paraId="13C7E0CC">
            <w:pPr>
              <w:widowControl/>
              <w:jc w:val="center"/>
              <w:rPr>
                <w:rFonts w:ascii="宋体" w:hAnsi="宋体" w:cs="宋体"/>
                <w:kern w:val="0"/>
                <w:sz w:val="18"/>
                <w:szCs w:val="18"/>
              </w:rPr>
            </w:pPr>
            <w:r>
              <w:rPr>
                <w:rFonts w:hint="eastAsia" w:ascii="宋体" w:hAnsi="宋体" w:cs="宋体"/>
                <w:kern w:val="0"/>
                <w:sz w:val="18"/>
                <w:szCs w:val="18"/>
              </w:rPr>
              <w:t xml:space="preserve">4.08 </w:t>
            </w:r>
          </w:p>
        </w:tc>
        <w:tc>
          <w:tcPr>
            <w:tcW w:w="1489" w:type="dxa"/>
            <w:shd w:val="clear" w:color="auto" w:fill="auto"/>
            <w:vAlign w:val="center"/>
          </w:tcPr>
          <w:p w14:paraId="68CD85C6">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0AAEFEB0">
            <w:pPr>
              <w:widowControl/>
              <w:jc w:val="center"/>
              <w:rPr>
                <w:rFonts w:ascii="宋体" w:hAnsi="宋体" w:cs="宋体"/>
                <w:kern w:val="0"/>
                <w:sz w:val="18"/>
                <w:szCs w:val="18"/>
              </w:rPr>
            </w:pPr>
          </w:p>
        </w:tc>
      </w:tr>
      <w:tr w14:paraId="726F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79DA830">
            <w:pPr>
              <w:widowControl/>
              <w:jc w:val="center"/>
              <w:rPr>
                <w:rFonts w:ascii="宋体" w:hAnsi="宋体" w:cs="宋体"/>
                <w:kern w:val="0"/>
                <w:sz w:val="18"/>
                <w:szCs w:val="18"/>
              </w:rPr>
            </w:pPr>
          </w:p>
        </w:tc>
        <w:tc>
          <w:tcPr>
            <w:tcW w:w="3659" w:type="dxa"/>
            <w:shd w:val="clear" w:color="auto" w:fill="auto"/>
            <w:noWrap/>
            <w:vAlign w:val="center"/>
          </w:tcPr>
          <w:p w14:paraId="2D9923C5">
            <w:pPr>
              <w:widowControl/>
              <w:jc w:val="center"/>
              <w:rPr>
                <w:rFonts w:ascii="宋体" w:hAnsi="宋体" w:cs="宋体"/>
                <w:kern w:val="0"/>
                <w:sz w:val="18"/>
                <w:szCs w:val="18"/>
              </w:rPr>
            </w:pPr>
            <w:r>
              <w:rPr>
                <w:rFonts w:hint="eastAsia" w:ascii="宋体" w:hAnsi="宋体" w:cs="宋体"/>
                <w:kern w:val="0"/>
                <w:sz w:val="18"/>
                <w:szCs w:val="18"/>
              </w:rPr>
              <w:t>金山公司金矿选厂</w:t>
            </w:r>
          </w:p>
        </w:tc>
        <w:tc>
          <w:tcPr>
            <w:tcW w:w="796" w:type="dxa"/>
            <w:shd w:val="clear" w:color="auto" w:fill="auto"/>
            <w:noWrap/>
            <w:vAlign w:val="center"/>
          </w:tcPr>
          <w:p w14:paraId="1E47A08C">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81F2586">
            <w:pPr>
              <w:widowControl/>
              <w:jc w:val="center"/>
              <w:rPr>
                <w:rFonts w:ascii="宋体" w:hAnsi="宋体" w:cs="宋体"/>
                <w:kern w:val="0"/>
                <w:sz w:val="18"/>
                <w:szCs w:val="18"/>
              </w:rPr>
            </w:pPr>
            <w:r>
              <w:rPr>
                <w:rFonts w:hint="eastAsia" w:ascii="宋体" w:hAnsi="宋体" w:cs="宋体"/>
                <w:kern w:val="0"/>
                <w:sz w:val="18"/>
                <w:szCs w:val="18"/>
              </w:rPr>
              <w:t>2019</w:t>
            </w:r>
          </w:p>
        </w:tc>
        <w:tc>
          <w:tcPr>
            <w:tcW w:w="1026" w:type="dxa"/>
            <w:shd w:val="clear" w:color="auto" w:fill="auto"/>
            <w:noWrap/>
            <w:vAlign w:val="center"/>
          </w:tcPr>
          <w:p w14:paraId="2ADCE614">
            <w:pPr>
              <w:widowControl/>
              <w:jc w:val="center"/>
              <w:rPr>
                <w:rFonts w:ascii="宋体" w:hAnsi="宋体" w:cs="宋体"/>
                <w:kern w:val="0"/>
                <w:sz w:val="18"/>
                <w:szCs w:val="18"/>
              </w:rPr>
            </w:pPr>
            <w:r>
              <w:rPr>
                <w:rFonts w:hint="eastAsia" w:ascii="宋体" w:hAnsi="宋体" w:cs="宋体"/>
                <w:kern w:val="0"/>
                <w:sz w:val="18"/>
                <w:szCs w:val="18"/>
              </w:rPr>
              <w:t>0.00</w:t>
            </w:r>
          </w:p>
        </w:tc>
        <w:tc>
          <w:tcPr>
            <w:tcW w:w="946" w:type="dxa"/>
            <w:shd w:val="clear" w:color="auto" w:fill="auto"/>
            <w:noWrap/>
            <w:vAlign w:val="center"/>
          </w:tcPr>
          <w:p w14:paraId="476A1B64">
            <w:pPr>
              <w:widowControl/>
              <w:jc w:val="center"/>
              <w:rPr>
                <w:rFonts w:ascii="宋体" w:hAnsi="宋体" w:cs="宋体"/>
                <w:kern w:val="0"/>
                <w:sz w:val="18"/>
                <w:szCs w:val="18"/>
              </w:rPr>
            </w:pPr>
            <w:r>
              <w:rPr>
                <w:rFonts w:hint="eastAsia" w:ascii="宋体" w:hAnsi="宋体" w:cs="宋体"/>
                <w:kern w:val="0"/>
                <w:sz w:val="18"/>
                <w:szCs w:val="18"/>
              </w:rPr>
              <w:t>0.00</w:t>
            </w:r>
          </w:p>
        </w:tc>
        <w:tc>
          <w:tcPr>
            <w:tcW w:w="854" w:type="dxa"/>
            <w:shd w:val="clear" w:color="auto" w:fill="auto"/>
            <w:noWrap/>
            <w:vAlign w:val="center"/>
          </w:tcPr>
          <w:p w14:paraId="5FC81300">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89" w:type="dxa"/>
            <w:shd w:val="clear" w:color="auto" w:fill="auto"/>
            <w:vAlign w:val="center"/>
          </w:tcPr>
          <w:p w14:paraId="75F0C8FA">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6437AE2A">
            <w:pPr>
              <w:widowControl/>
              <w:jc w:val="center"/>
              <w:rPr>
                <w:rFonts w:ascii="宋体" w:hAnsi="宋体" w:cs="宋体"/>
                <w:kern w:val="0"/>
                <w:sz w:val="18"/>
                <w:szCs w:val="18"/>
              </w:rPr>
            </w:pPr>
          </w:p>
        </w:tc>
      </w:tr>
      <w:tr w14:paraId="2C03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4FDBAA8">
            <w:pPr>
              <w:widowControl/>
              <w:jc w:val="center"/>
              <w:rPr>
                <w:rFonts w:ascii="宋体" w:hAnsi="宋体" w:cs="宋体"/>
                <w:kern w:val="0"/>
                <w:sz w:val="18"/>
                <w:szCs w:val="18"/>
              </w:rPr>
            </w:pPr>
          </w:p>
        </w:tc>
        <w:tc>
          <w:tcPr>
            <w:tcW w:w="3659" w:type="dxa"/>
            <w:shd w:val="clear" w:color="auto" w:fill="auto"/>
            <w:noWrap/>
            <w:vAlign w:val="center"/>
          </w:tcPr>
          <w:p w14:paraId="72C77334">
            <w:pPr>
              <w:widowControl/>
              <w:jc w:val="center"/>
              <w:rPr>
                <w:rFonts w:ascii="宋体" w:hAnsi="宋体" w:cs="宋体"/>
                <w:kern w:val="0"/>
                <w:sz w:val="18"/>
                <w:szCs w:val="18"/>
              </w:rPr>
            </w:pPr>
            <w:r>
              <w:rPr>
                <w:rFonts w:hint="eastAsia" w:ascii="宋体" w:hAnsi="宋体" w:cs="宋体"/>
                <w:kern w:val="0"/>
                <w:sz w:val="18"/>
                <w:szCs w:val="18"/>
              </w:rPr>
              <w:t>金山公司铜矿选厂</w:t>
            </w:r>
          </w:p>
        </w:tc>
        <w:tc>
          <w:tcPr>
            <w:tcW w:w="796" w:type="dxa"/>
            <w:shd w:val="clear" w:color="auto" w:fill="auto"/>
            <w:noWrap/>
            <w:vAlign w:val="center"/>
          </w:tcPr>
          <w:p w14:paraId="567DA27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4A343B5">
            <w:pPr>
              <w:widowControl/>
              <w:jc w:val="center"/>
              <w:rPr>
                <w:rFonts w:ascii="宋体" w:hAnsi="宋体" w:cs="宋体"/>
                <w:kern w:val="0"/>
                <w:sz w:val="18"/>
                <w:szCs w:val="18"/>
              </w:rPr>
            </w:pPr>
            <w:r>
              <w:rPr>
                <w:rFonts w:hint="eastAsia" w:ascii="宋体" w:hAnsi="宋体" w:cs="宋体"/>
                <w:kern w:val="0"/>
                <w:sz w:val="18"/>
                <w:szCs w:val="18"/>
              </w:rPr>
              <w:t>2011-2020</w:t>
            </w:r>
          </w:p>
        </w:tc>
        <w:tc>
          <w:tcPr>
            <w:tcW w:w="1026" w:type="dxa"/>
            <w:shd w:val="clear" w:color="auto" w:fill="auto"/>
            <w:noWrap/>
            <w:vAlign w:val="center"/>
          </w:tcPr>
          <w:p w14:paraId="3B4EBE7E">
            <w:pPr>
              <w:widowControl/>
              <w:jc w:val="center"/>
              <w:rPr>
                <w:rFonts w:ascii="宋体" w:hAnsi="宋体" w:cs="宋体"/>
                <w:kern w:val="0"/>
                <w:sz w:val="18"/>
                <w:szCs w:val="18"/>
              </w:rPr>
            </w:pPr>
            <w:r>
              <w:rPr>
                <w:rFonts w:hint="eastAsia" w:ascii="宋体" w:hAnsi="宋体" w:cs="宋体"/>
                <w:kern w:val="0"/>
                <w:sz w:val="18"/>
                <w:szCs w:val="18"/>
              </w:rPr>
              <w:t>0.00</w:t>
            </w:r>
          </w:p>
        </w:tc>
        <w:tc>
          <w:tcPr>
            <w:tcW w:w="946" w:type="dxa"/>
            <w:shd w:val="clear" w:color="auto" w:fill="auto"/>
            <w:noWrap/>
            <w:vAlign w:val="center"/>
          </w:tcPr>
          <w:p w14:paraId="69930C1D">
            <w:pPr>
              <w:widowControl/>
              <w:jc w:val="center"/>
              <w:rPr>
                <w:rFonts w:ascii="宋体" w:hAnsi="宋体" w:cs="宋体"/>
                <w:kern w:val="0"/>
                <w:sz w:val="18"/>
                <w:szCs w:val="18"/>
              </w:rPr>
            </w:pPr>
            <w:r>
              <w:rPr>
                <w:rFonts w:hint="eastAsia" w:ascii="宋体" w:hAnsi="宋体" w:cs="宋体"/>
                <w:kern w:val="0"/>
                <w:sz w:val="18"/>
                <w:szCs w:val="18"/>
              </w:rPr>
              <w:t>0.00</w:t>
            </w:r>
          </w:p>
        </w:tc>
        <w:tc>
          <w:tcPr>
            <w:tcW w:w="854" w:type="dxa"/>
            <w:shd w:val="clear" w:color="auto" w:fill="auto"/>
            <w:noWrap/>
            <w:vAlign w:val="center"/>
          </w:tcPr>
          <w:p w14:paraId="3E617B64">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89" w:type="dxa"/>
            <w:shd w:val="clear" w:color="auto" w:fill="auto"/>
            <w:vAlign w:val="center"/>
          </w:tcPr>
          <w:p w14:paraId="0B1EFABC">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4C840EAE">
            <w:pPr>
              <w:widowControl/>
              <w:jc w:val="center"/>
              <w:rPr>
                <w:rFonts w:ascii="宋体" w:hAnsi="宋体" w:cs="宋体"/>
                <w:kern w:val="0"/>
                <w:sz w:val="18"/>
                <w:szCs w:val="18"/>
              </w:rPr>
            </w:pPr>
          </w:p>
        </w:tc>
      </w:tr>
      <w:tr w14:paraId="2C86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2A07DC8">
            <w:pPr>
              <w:widowControl/>
              <w:jc w:val="center"/>
              <w:rPr>
                <w:rFonts w:ascii="宋体" w:hAnsi="宋体" w:cs="宋体"/>
                <w:kern w:val="0"/>
                <w:sz w:val="18"/>
                <w:szCs w:val="18"/>
              </w:rPr>
            </w:pPr>
          </w:p>
        </w:tc>
        <w:tc>
          <w:tcPr>
            <w:tcW w:w="3659" w:type="dxa"/>
            <w:shd w:val="clear" w:color="auto" w:fill="auto"/>
            <w:noWrap/>
            <w:vAlign w:val="center"/>
          </w:tcPr>
          <w:p w14:paraId="56D77357">
            <w:pPr>
              <w:widowControl/>
              <w:jc w:val="center"/>
              <w:rPr>
                <w:rFonts w:ascii="宋体" w:hAnsi="宋体" w:cs="宋体"/>
                <w:kern w:val="0"/>
                <w:sz w:val="18"/>
                <w:szCs w:val="18"/>
              </w:rPr>
            </w:pPr>
            <w:r>
              <w:rPr>
                <w:rFonts w:hint="eastAsia" w:ascii="宋体" w:hAnsi="宋体" w:cs="宋体"/>
                <w:kern w:val="0"/>
                <w:sz w:val="18"/>
                <w:szCs w:val="18"/>
              </w:rPr>
              <w:t>金水公司三分厂及脱水车间</w:t>
            </w:r>
          </w:p>
        </w:tc>
        <w:tc>
          <w:tcPr>
            <w:tcW w:w="796" w:type="dxa"/>
            <w:shd w:val="clear" w:color="auto" w:fill="auto"/>
            <w:noWrap/>
            <w:vAlign w:val="center"/>
          </w:tcPr>
          <w:p w14:paraId="4906FED8">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E75ADAF">
            <w:pPr>
              <w:widowControl/>
              <w:jc w:val="center"/>
              <w:rPr>
                <w:rFonts w:ascii="宋体" w:hAnsi="宋体" w:cs="宋体"/>
                <w:kern w:val="0"/>
                <w:sz w:val="18"/>
                <w:szCs w:val="18"/>
              </w:rPr>
            </w:pPr>
            <w:r>
              <w:rPr>
                <w:rFonts w:hint="eastAsia" w:ascii="宋体" w:hAnsi="宋体" w:cs="宋体"/>
                <w:kern w:val="0"/>
                <w:sz w:val="18"/>
                <w:szCs w:val="18"/>
              </w:rPr>
              <w:t>2011-2020</w:t>
            </w:r>
          </w:p>
        </w:tc>
        <w:tc>
          <w:tcPr>
            <w:tcW w:w="1026" w:type="dxa"/>
            <w:shd w:val="clear" w:color="auto" w:fill="auto"/>
            <w:noWrap/>
            <w:vAlign w:val="center"/>
          </w:tcPr>
          <w:p w14:paraId="089638FA">
            <w:pPr>
              <w:widowControl/>
              <w:jc w:val="center"/>
              <w:rPr>
                <w:rFonts w:ascii="宋体" w:hAnsi="宋体" w:cs="宋体"/>
                <w:kern w:val="0"/>
                <w:sz w:val="18"/>
                <w:szCs w:val="18"/>
              </w:rPr>
            </w:pPr>
            <w:r>
              <w:rPr>
                <w:rFonts w:hint="eastAsia" w:ascii="宋体" w:hAnsi="宋体" w:cs="宋体"/>
                <w:kern w:val="0"/>
                <w:sz w:val="18"/>
                <w:szCs w:val="18"/>
              </w:rPr>
              <w:t>97.68</w:t>
            </w:r>
          </w:p>
        </w:tc>
        <w:tc>
          <w:tcPr>
            <w:tcW w:w="946" w:type="dxa"/>
            <w:shd w:val="clear" w:color="auto" w:fill="auto"/>
            <w:noWrap/>
            <w:vAlign w:val="center"/>
          </w:tcPr>
          <w:p w14:paraId="7448E1D7">
            <w:pPr>
              <w:widowControl/>
              <w:jc w:val="center"/>
              <w:rPr>
                <w:rFonts w:ascii="宋体" w:hAnsi="宋体" w:cs="宋体"/>
                <w:kern w:val="0"/>
                <w:sz w:val="18"/>
                <w:szCs w:val="18"/>
              </w:rPr>
            </w:pPr>
            <w:r>
              <w:rPr>
                <w:rFonts w:hint="eastAsia" w:ascii="宋体" w:hAnsi="宋体" w:cs="宋体"/>
                <w:kern w:val="0"/>
                <w:sz w:val="18"/>
                <w:szCs w:val="18"/>
              </w:rPr>
              <w:t>97.68</w:t>
            </w:r>
          </w:p>
        </w:tc>
        <w:tc>
          <w:tcPr>
            <w:tcW w:w="854" w:type="dxa"/>
            <w:shd w:val="clear" w:color="auto" w:fill="auto"/>
            <w:noWrap/>
            <w:vAlign w:val="center"/>
          </w:tcPr>
          <w:p w14:paraId="1194BE9A">
            <w:pPr>
              <w:widowControl/>
              <w:jc w:val="center"/>
              <w:rPr>
                <w:rFonts w:ascii="宋体" w:hAnsi="宋体" w:cs="宋体"/>
                <w:kern w:val="0"/>
                <w:sz w:val="18"/>
                <w:szCs w:val="18"/>
              </w:rPr>
            </w:pPr>
            <w:r>
              <w:rPr>
                <w:rFonts w:hint="eastAsia" w:ascii="宋体" w:hAnsi="宋体" w:cs="宋体"/>
                <w:kern w:val="0"/>
                <w:sz w:val="18"/>
                <w:szCs w:val="18"/>
              </w:rPr>
              <w:t xml:space="preserve">29.30 </w:t>
            </w:r>
          </w:p>
        </w:tc>
        <w:tc>
          <w:tcPr>
            <w:tcW w:w="1489" w:type="dxa"/>
            <w:shd w:val="clear" w:color="auto" w:fill="auto"/>
            <w:vAlign w:val="center"/>
          </w:tcPr>
          <w:p w14:paraId="788D2B7E">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13C31C04">
            <w:pPr>
              <w:widowControl/>
              <w:jc w:val="center"/>
              <w:rPr>
                <w:rFonts w:ascii="宋体" w:hAnsi="宋体" w:cs="宋体"/>
                <w:kern w:val="0"/>
                <w:sz w:val="18"/>
                <w:szCs w:val="18"/>
              </w:rPr>
            </w:pPr>
          </w:p>
        </w:tc>
      </w:tr>
      <w:tr w14:paraId="73DB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0580B9C">
            <w:pPr>
              <w:widowControl/>
              <w:jc w:val="center"/>
              <w:rPr>
                <w:rFonts w:ascii="宋体" w:hAnsi="宋体" w:cs="宋体"/>
                <w:kern w:val="0"/>
                <w:sz w:val="18"/>
                <w:szCs w:val="18"/>
              </w:rPr>
            </w:pPr>
          </w:p>
        </w:tc>
        <w:tc>
          <w:tcPr>
            <w:tcW w:w="3659" w:type="dxa"/>
            <w:shd w:val="clear" w:color="auto" w:fill="auto"/>
            <w:noWrap/>
            <w:vAlign w:val="center"/>
          </w:tcPr>
          <w:p w14:paraId="15C86195">
            <w:pPr>
              <w:widowControl/>
              <w:jc w:val="center"/>
              <w:rPr>
                <w:rFonts w:ascii="宋体" w:hAnsi="宋体" w:cs="宋体"/>
                <w:kern w:val="0"/>
                <w:sz w:val="18"/>
                <w:szCs w:val="18"/>
              </w:rPr>
            </w:pPr>
            <w:r>
              <w:rPr>
                <w:rFonts w:hint="eastAsia" w:ascii="宋体" w:hAnsi="宋体" w:cs="宋体"/>
                <w:kern w:val="0"/>
                <w:sz w:val="18"/>
                <w:szCs w:val="18"/>
              </w:rPr>
              <w:t>云南金沙矿业股份有限公司因民铜矿尾矿库</w:t>
            </w:r>
          </w:p>
        </w:tc>
        <w:tc>
          <w:tcPr>
            <w:tcW w:w="796" w:type="dxa"/>
            <w:shd w:val="clear" w:color="auto" w:fill="auto"/>
            <w:noWrap/>
            <w:vAlign w:val="center"/>
          </w:tcPr>
          <w:p w14:paraId="0DB6D5BB">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2D3B942">
            <w:pPr>
              <w:widowControl/>
              <w:jc w:val="center"/>
              <w:rPr>
                <w:rFonts w:ascii="宋体" w:hAnsi="宋体" w:cs="宋体"/>
                <w:kern w:val="0"/>
                <w:sz w:val="18"/>
                <w:szCs w:val="18"/>
              </w:rPr>
            </w:pPr>
            <w:r>
              <w:rPr>
                <w:rFonts w:hint="eastAsia" w:ascii="宋体" w:hAnsi="宋体" w:cs="宋体"/>
                <w:kern w:val="0"/>
                <w:sz w:val="18"/>
                <w:szCs w:val="18"/>
              </w:rPr>
              <w:t>2011-2015</w:t>
            </w:r>
          </w:p>
        </w:tc>
        <w:tc>
          <w:tcPr>
            <w:tcW w:w="1026" w:type="dxa"/>
            <w:shd w:val="clear" w:color="auto" w:fill="auto"/>
            <w:noWrap/>
            <w:vAlign w:val="center"/>
          </w:tcPr>
          <w:p w14:paraId="63BF42FA">
            <w:pPr>
              <w:widowControl/>
              <w:jc w:val="center"/>
              <w:rPr>
                <w:rFonts w:ascii="宋体" w:hAnsi="宋体" w:cs="宋体"/>
                <w:kern w:val="0"/>
                <w:sz w:val="18"/>
                <w:szCs w:val="18"/>
              </w:rPr>
            </w:pPr>
            <w:r>
              <w:rPr>
                <w:rFonts w:hint="eastAsia" w:ascii="宋体" w:hAnsi="宋体" w:cs="宋体"/>
                <w:kern w:val="0"/>
                <w:sz w:val="18"/>
                <w:szCs w:val="18"/>
              </w:rPr>
              <w:t>2.43</w:t>
            </w:r>
          </w:p>
        </w:tc>
        <w:tc>
          <w:tcPr>
            <w:tcW w:w="946" w:type="dxa"/>
            <w:shd w:val="clear" w:color="auto" w:fill="auto"/>
            <w:noWrap/>
            <w:vAlign w:val="center"/>
          </w:tcPr>
          <w:p w14:paraId="6BDCF050">
            <w:pPr>
              <w:widowControl/>
              <w:jc w:val="center"/>
              <w:rPr>
                <w:rFonts w:ascii="宋体" w:hAnsi="宋体" w:cs="宋体"/>
                <w:kern w:val="0"/>
                <w:sz w:val="18"/>
                <w:szCs w:val="18"/>
              </w:rPr>
            </w:pPr>
            <w:r>
              <w:rPr>
                <w:rFonts w:hint="eastAsia" w:ascii="宋体" w:hAnsi="宋体" w:cs="宋体"/>
                <w:kern w:val="0"/>
                <w:sz w:val="18"/>
                <w:szCs w:val="18"/>
              </w:rPr>
              <w:t>2.43</w:t>
            </w:r>
          </w:p>
        </w:tc>
        <w:tc>
          <w:tcPr>
            <w:tcW w:w="854" w:type="dxa"/>
            <w:shd w:val="clear" w:color="auto" w:fill="auto"/>
            <w:noWrap/>
            <w:vAlign w:val="center"/>
          </w:tcPr>
          <w:p w14:paraId="669B6D98">
            <w:pPr>
              <w:widowControl/>
              <w:jc w:val="center"/>
              <w:rPr>
                <w:rFonts w:ascii="宋体" w:hAnsi="宋体" w:cs="宋体"/>
                <w:kern w:val="0"/>
                <w:sz w:val="18"/>
                <w:szCs w:val="18"/>
              </w:rPr>
            </w:pPr>
            <w:r>
              <w:rPr>
                <w:rFonts w:hint="eastAsia" w:ascii="宋体" w:hAnsi="宋体" w:cs="宋体"/>
                <w:kern w:val="0"/>
                <w:sz w:val="18"/>
                <w:szCs w:val="18"/>
              </w:rPr>
              <w:t xml:space="preserve">0.73 </w:t>
            </w:r>
          </w:p>
        </w:tc>
        <w:tc>
          <w:tcPr>
            <w:tcW w:w="1489" w:type="dxa"/>
            <w:shd w:val="clear" w:color="auto" w:fill="auto"/>
            <w:vAlign w:val="center"/>
          </w:tcPr>
          <w:p w14:paraId="4CFDC844">
            <w:pPr>
              <w:widowControl/>
              <w:jc w:val="center"/>
              <w:rPr>
                <w:rFonts w:ascii="宋体" w:hAnsi="宋体" w:cs="宋体"/>
                <w:kern w:val="0"/>
                <w:sz w:val="15"/>
                <w:szCs w:val="15"/>
              </w:rPr>
            </w:pPr>
            <w:r>
              <w:rPr>
                <w:rFonts w:hint="eastAsia" w:ascii="宋体" w:hAnsi="宋体" w:cs="宋体"/>
                <w:kern w:val="0"/>
                <w:sz w:val="15"/>
                <w:szCs w:val="15"/>
              </w:rPr>
              <w:t>因民镇</w:t>
            </w:r>
          </w:p>
        </w:tc>
        <w:tc>
          <w:tcPr>
            <w:tcW w:w="577" w:type="dxa"/>
            <w:shd w:val="clear" w:color="auto" w:fill="auto"/>
            <w:noWrap/>
            <w:vAlign w:val="center"/>
          </w:tcPr>
          <w:p w14:paraId="56BBBDC0">
            <w:pPr>
              <w:widowControl/>
              <w:jc w:val="center"/>
              <w:rPr>
                <w:rFonts w:ascii="宋体" w:hAnsi="宋体" w:cs="宋体"/>
                <w:kern w:val="0"/>
                <w:sz w:val="18"/>
                <w:szCs w:val="18"/>
              </w:rPr>
            </w:pPr>
          </w:p>
        </w:tc>
      </w:tr>
      <w:tr w14:paraId="77A1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508AC0F">
            <w:pPr>
              <w:widowControl/>
              <w:jc w:val="center"/>
              <w:rPr>
                <w:rFonts w:ascii="宋体" w:hAnsi="宋体" w:cs="宋体"/>
                <w:kern w:val="0"/>
                <w:sz w:val="18"/>
                <w:szCs w:val="18"/>
              </w:rPr>
            </w:pPr>
          </w:p>
        </w:tc>
        <w:tc>
          <w:tcPr>
            <w:tcW w:w="3659" w:type="dxa"/>
            <w:shd w:val="clear" w:color="auto" w:fill="auto"/>
            <w:noWrap/>
            <w:vAlign w:val="center"/>
          </w:tcPr>
          <w:p w14:paraId="29B3272C">
            <w:pPr>
              <w:widowControl/>
              <w:jc w:val="center"/>
              <w:rPr>
                <w:rFonts w:ascii="宋体" w:hAnsi="宋体" w:cs="宋体"/>
                <w:kern w:val="0"/>
                <w:sz w:val="18"/>
                <w:szCs w:val="18"/>
              </w:rPr>
            </w:pPr>
            <w:r>
              <w:rPr>
                <w:rFonts w:hint="eastAsia" w:ascii="宋体" w:hAnsi="宋体" w:cs="宋体"/>
                <w:kern w:val="0"/>
                <w:sz w:val="18"/>
                <w:szCs w:val="18"/>
              </w:rPr>
              <w:t>云南金沙矿业股份有限公司汤丹铜矿尾矿库</w:t>
            </w:r>
          </w:p>
        </w:tc>
        <w:tc>
          <w:tcPr>
            <w:tcW w:w="796" w:type="dxa"/>
            <w:shd w:val="clear" w:color="auto" w:fill="auto"/>
            <w:noWrap/>
            <w:vAlign w:val="center"/>
          </w:tcPr>
          <w:p w14:paraId="7C7546C8">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2A66B3B2">
            <w:pPr>
              <w:widowControl/>
              <w:jc w:val="center"/>
              <w:rPr>
                <w:rFonts w:ascii="宋体" w:hAnsi="宋体" w:cs="宋体"/>
                <w:kern w:val="0"/>
                <w:sz w:val="18"/>
                <w:szCs w:val="18"/>
              </w:rPr>
            </w:pPr>
            <w:r>
              <w:rPr>
                <w:rFonts w:hint="eastAsia" w:ascii="宋体" w:hAnsi="宋体" w:cs="宋体"/>
                <w:kern w:val="0"/>
                <w:sz w:val="18"/>
                <w:szCs w:val="18"/>
              </w:rPr>
              <w:t>2011-2020</w:t>
            </w:r>
          </w:p>
        </w:tc>
        <w:tc>
          <w:tcPr>
            <w:tcW w:w="1026" w:type="dxa"/>
            <w:shd w:val="clear" w:color="auto" w:fill="auto"/>
            <w:noWrap/>
            <w:vAlign w:val="center"/>
          </w:tcPr>
          <w:p w14:paraId="059D9C11">
            <w:pPr>
              <w:widowControl/>
              <w:jc w:val="center"/>
              <w:rPr>
                <w:rFonts w:ascii="宋体" w:hAnsi="宋体" w:cs="宋体"/>
                <w:kern w:val="0"/>
                <w:sz w:val="18"/>
                <w:szCs w:val="18"/>
              </w:rPr>
            </w:pPr>
            <w:r>
              <w:rPr>
                <w:rFonts w:hint="eastAsia" w:ascii="宋体" w:hAnsi="宋体" w:cs="宋体"/>
                <w:kern w:val="0"/>
                <w:sz w:val="18"/>
                <w:szCs w:val="18"/>
              </w:rPr>
              <w:t>19.83</w:t>
            </w:r>
          </w:p>
        </w:tc>
        <w:tc>
          <w:tcPr>
            <w:tcW w:w="946" w:type="dxa"/>
            <w:shd w:val="clear" w:color="auto" w:fill="auto"/>
            <w:noWrap/>
            <w:vAlign w:val="center"/>
          </w:tcPr>
          <w:p w14:paraId="5A9DFA28">
            <w:pPr>
              <w:widowControl/>
              <w:jc w:val="center"/>
              <w:rPr>
                <w:rFonts w:ascii="宋体" w:hAnsi="宋体" w:cs="宋体"/>
                <w:kern w:val="0"/>
                <w:sz w:val="18"/>
                <w:szCs w:val="18"/>
              </w:rPr>
            </w:pPr>
            <w:r>
              <w:rPr>
                <w:rFonts w:hint="eastAsia" w:ascii="宋体" w:hAnsi="宋体" w:cs="宋体"/>
                <w:kern w:val="0"/>
                <w:sz w:val="18"/>
                <w:szCs w:val="18"/>
              </w:rPr>
              <w:t>19.83</w:t>
            </w:r>
          </w:p>
        </w:tc>
        <w:tc>
          <w:tcPr>
            <w:tcW w:w="854" w:type="dxa"/>
            <w:shd w:val="clear" w:color="auto" w:fill="auto"/>
            <w:noWrap/>
            <w:vAlign w:val="center"/>
          </w:tcPr>
          <w:p w14:paraId="709AE071">
            <w:pPr>
              <w:widowControl/>
              <w:jc w:val="center"/>
              <w:rPr>
                <w:rFonts w:ascii="宋体" w:hAnsi="宋体" w:cs="宋体"/>
                <w:kern w:val="0"/>
                <w:sz w:val="18"/>
                <w:szCs w:val="18"/>
              </w:rPr>
            </w:pPr>
            <w:r>
              <w:rPr>
                <w:rFonts w:hint="eastAsia" w:ascii="宋体" w:hAnsi="宋体" w:cs="宋体"/>
                <w:kern w:val="0"/>
                <w:sz w:val="18"/>
                <w:szCs w:val="18"/>
              </w:rPr>
              <w:t xml:space="preserve">5.95 </w:t>
            </w:r>
          </w:p>
        </w:tc>
        <w:tc>
          <w:tcPr>
            <w:tcW w:w="1489" w:type="dxa"/>
            <w:shd w:val="clear" w:color="auto" w:fill="auto"/>
            <w:vAlign w:val="center"/>
          </w:tcPr>
          <w:p w14:paraId="30A968A4">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23027618">
            <w:pPr>
              <w:widowControl/>
              <w:jc w:val="center"/>
              <w:rPr>
                <w:rFonts w:ascii="宋体" w:hAnsi="宋体" w:cs="宋体"/>
                <w:kern w:val="0"/>
                <w:sz w:val="18"/>
                <w:szCs w:val="18"/>
              </w:rPr>
            </w:pPr>
          </w:p>
        </w:tc>
      </w:tr>
      <w:tr w14:paraId="1BF3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0811BD3">
            <w:pPr>
              <w:widowControl/>
              <w:jc w:val="center"/>
              <w:rPr>
                <w:rFonts w:ascii="宋体" w:hAnsi="宋体" w:cs="宋体"/>
                <w:kern w:val="0"/>
                <w:sz w:val="18"/>
                <w:szCs w:val="18"/>
              </w:rPr>
            </w:pPr>
          </w:p>
        </w:tc>
        <w:tc>
          <w:tcPr>
            <w:tcW w:w="3659" w:type="dxa"/>
            <w:shd w:val="clear" w:color="auto" w:fill="auto"/>
            <w:noWrap/>
            <w:vAlign w:val="center"/>
          </w:tcPr>
          <w:p w14:paraId="01FF9572">
            <w:pPr>
              <w:widowControl/>
              <w:jc w:val="center"/>
              <w:rPr>
                <w:rFonts w:ascii="宋体" w:hAnsi="宋体" w:cs="宋体"/>
                <w:kern w:val="0"/>
                <w:sz w:val="18"/>
                <w:szCs w:val="18"/>
              </w:rPr>
            </w:pPr>
            <w:r>
              <w:rPr>
                <w:rFonts w:hint="eastAsia" w:ascii="宋体" w:hAnsi="宋体" w:cs="宋体"/>
                <w:kern w:val="0"/>
                <w:sz w:val="18"/>
                <w:szCs w:val="18"/>
              </w:rPr>
              <w:t>云南金沙矿业股份有限公司滥泥坪铜矿尾矿库</w:t>
            </w:r>
          </w:p>
        </w:tc>
        <w:tc>
          <w:tcPr>
            <w:tcW w:w="796" w:type="dxa"/>
            <w:shd w:val="clear" w:color="auto" w:fill="auto"/>
            <w:noWrap/>
            <w:vAlign w:val="center"/>
          </w:tcPr>
          <w:p w14:paraId="7F90A576">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329FDDE">
            <w:pPr>
              <w:widowControl/>
              <w:jc w:val="center"/>
              <w:rPr>
                <w:rFonts w:ascii="宋体" w:hAnsi="宋体" w:cs="宋体"/>
                <w:kern w:val="0"/>
                <w:sz w:val="18"/>
                <w:szCs w:val="18"/>
              </w:rPr>
            </w:pPr>
            <w:r>
              <w:rPr>
                <w:rFonts w:hint="eastAsia" w:ascii="宋体" w:hAnsi="宋体" w:cs="宋体"/>
                <w:kern w:val="0"/>
                <w:sz w:val="18"/>
                <w:szCs w:val="18"/>
              </w:rPr>
              <w:t>2011-2020</w:t>
            </w:r>
          </w:p>
        </w:tc>
        <w:tc>
          <w:tcPr>
            <w:tcW w:w="1026" w:type="dxa"/>
            <w:shd w:val="clear" w:color="auto" w:fill="auto"/>
            <w:noWrap/>
            <w:vAlign w:val="center"/>
          </w:tcPr>
          <w:p w14:paraId="2C072D32">
            <w:pPr>
              <w:widowControl/>
              <w:jc w:val="center"/>
              <w:rPr>
                <w:rFonts w:ascii="宋体" w:hAnsi="宋体" w:cs="宋体"/>
                <w:kern w:val="0"/>
                <w:sz w:val="18"/>
                <w:szCs w:val="18"/>
              </w:rPr>
            </w:pPr>
            <w:r>
              <w:rPr>
                <w:rFonts w:hint="eastAsia" w:ascii="宋体" w:hAnsi="宋体" w:cs="宋体"/>
                <w:kern w:val="0"/>
                <w:sz w:val="18"/>
                <w:szCs w:val="18"/>
              </w:rPr>
              <w:t>20.93</w:t>
            </w:r>
          </w:p>
        </w:tc>
        <w:tc>
          <w:tcPr>
            <w:tcW w:w="946" w:type="dxa"/>
            <w:shd w:val="clear" w:color="auto" w:fill="auto"/>
            <w:noWrap/>
            <w:vAlign w:val="center"/>
          </w:tcPr>
          <w:p w14:paraId="3D7C02FA">
            <w:pPr>
              <w:widowControl/>
              <w:jc w:val="center"/>
              <w:rPr>
                <w:rFonts w:ascii="宋体" w:hAnsi="宋体" w:cs="宋体"/>
                <w:kern w:val="0"/>
                <w:sz w:val="18"/>
                <w:szCs w:val="18"/>
              </w:rPr>
            </w:pPr>
            <w:r>
              <w:rPr>
                <w:rFonts w:hint="eastAsia" w:ascii="宋体" w:hAnsi="宋体" w:cs="宋体"/>
                <w:kern w:val="0"/>
                <w:sz w:val="18"/>
                <w:szCs w:val="18"/>
              </w:rPr>
              <w:t>20.93</w:t>
            </w:r>
          </w:p>
        </w:tc>
        <w:tc>
          <w:tcPr>
            <w:tcW w:w="854" w:type="dxa"/>
            <w:shd w:val="clear" w:color="auto" w:fill="auto"/>
            <w:noWrap/>
            <w:vAlign w:val="center"/>
          </w:tcPr>
          <w:p w14:paraId="75329A4D">
            <w:pPr>
              <w:widowControl/>
              <w:jc w:val="center"/>
              <w:rPr>
                <w:rFonts w:ascii="宋体" w:hAnsi="宋体" w:cs="宋体"/>
                <w:kern w:val="0"/>
                <w:sz w:val="18"/>
                <w:szCs w:val="18"/>
              </w:rPr>
            </w:pPr>
            <w:r>
              <w:rPr>
                <w:rFonts w:hint="eastAsia" w:ascii="宋体" w:hAnsi="宋体" w:cs="宋体"/>
                <w:kern w:val="0"/>
                <w:sz w:val="18"/>
                <w:szCs w:val="18"/>
              </w:rPr>
              <w:t xml:space="preserve">6.28 </w:t>
            </w:r>
          </w:p>
        </w:tc>
        <w:tc>
          <w:tcPr>
            <w:tcW w:w="1489" w:type="dxa"/>
            <w:shd w:val="clear" w:color="auto" w:fill="auto"/>
            <w:vAlign w:val="center"/>
          </w:tcPr>
          <w:p w14:paraId="27F7A546">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6CA6358E">
            <w:pPr>
              <w:widowControl/>
              <w:jc w:val="center"/>
              <w:rPr>
                <w:rFonts w:ascii="宋体" w:hAnsi="宋体" w:cs="宋体"/>
                <w:kern w:val="0"/>
                <w:sz w:val="18"/>
                <w:szCs w:val="18"/>
              </w:rPr>
            </w:pPr>
          </w:p>
        </w:tc>
      </w:tr>
      <w:tr w14:paraId="260F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C676DDC">
            <w:pPr>
              <w:widowControl/>
              <w:jc w:val="center"/>
              <w:rPr>
                <w:rFonts w:ascii="宋体" w:hAnsi="宋体" w:cs="宋体"/>
                <w:kern w:val="0"/>
                <w:sz w:val="18"/>
                <w:szCs w:val="18"/>
              </w:rPr>
            </w:pPr>
          </w:p>
        </w:tc>
        <w:tc>
          <w:tcPr>
            <w:tcW w:w="3659" w:type="dxa"/>
            <w:shd w:val="clear" w:color="auto" w:fill="auto"/>
            <w:noWrap/>
            <w:vAlign w:val="center"/>
          </w:tcPr>
          <w:p w14:paraId="2FFF4A6D">
            <w:pPr>
              <w:widowControl/>
              <w:jc w:val="center"/>
              <w:rPr>
                <w:rFonts w:ascii="宋体" w:hAnsi="宋体" w:cs="宋体"/>
                <w:kern w:val="0"/>
                <w:sz w:val="18"/>
                <w:szCs w:val="18"/>
              </w:rPr>
            </w:pPr>
            <w:r>
              <w:rPr>
                <w:rFonts w:hint="eastAsia" w:ascii="宋体" w:hAnsi="宋体" w:cs="宋体"/>
                <w:kern w:val="0"/>
                <w:sz w:val="18"/>
                <w:szCs w:val="18"/>
              </w:rPr>
              <w:t>云南省昆明市东川区新塘铜矿尾矿库</w:t>
            </w:r>
          </w:p>
        </w:tc>
        <w:tc>
          <w:tcPr>
            <w:tcW w:w="796" w:type="dxa"/>
            <w:shd w:val="clear" w:color="auto" w:fill="auto"/>
            <w:noWrap/>
            <w:vAlign w:val="center"/>
          </w:tcPr>
          <w:p w14:paraId="5B75CF02">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0EF4ADE">
            <w:pPr>
              <w:widowControl/>
              <w:jc w:val="center"/>
              <w:rPr>
                <w:rFonts w:ascii="宋体" w:hAnsi="宋体" w:cs="宋体"/>
                <w:kern w:val="0"/>
                <w:sz w:val="18"/>
                <w:szCs w:val="18"/>
              </w:rPr>
            </w:pPr>
            <w:r>
              <w:rPr>
                <w:rFonts w:hint="eastAsia" w:ascii="宋体" w:hAnsi="宋体" w:cs="宋体"/>
                <w:kern w:val="0"/>
                <w:sz w:val="18"/>
                <w:szCs w:val="18"/>
              </w:rPr>
              <w:t>2014-2020</w:t>
            </w:r>
          </w:p>
        </w:tc>
        <w:tc>
          <w:tcPr>
            <w:tcW w:w="1026" w:type="dxa"/>
            <w:shd w:val="clear" w:color="auto" w:fill="auto"/>
            <w:noWrap/>
            <w:vAlign w:val="center"/>
          </w:tcPr>
          <w:p w14:paraId="3502E6F6">
            <w:pPr>
              <w:widowControl/>
              <w:jc w:val="center"/>
              <w:rPr>
                <w:rFonts w:ascii="宋体" w:hAnsi="宋体" w:cs="宋体"/>
                <w:kern w:val="0"/>
                <w:sz w:val="18"/>
                <w:szCs w:val="18"/>
              </w:rPr>
            </w:pPr>
            <w:r>
              <w:rPr>
                <w:rFonts w:hint="eastAsia" w:ascii="宋体" w:hAnsi="宋体" w:cs="宋体"/>
                <w:kern w:val="0"/>
                <w:sz w:val="18"/>
                <w:szCs w:val="18"/>
              </w:rPr>
              <w:t>48.53</w:t>
            </w:r>
          </w:p>
        </w:tc>
        <w:tc>
          <w:tcPr>
            <w:tcW w:w="946" w:type="dxa"/>
            <w:shd w:val="clear" w:color="auto" w:fill="auto"/>
            <w:noWrap/>
            <w:vAlign w:val="center"/>
          </w:tcPr>
          <w:p w14:paraId="5F8A82F7">
            <w:pPr>
              <w:widowControl/>
              <w:jc w:val="center"/>
              <w:rPr>
                <w:rFonts w:ascii="宋体" w:hAnsi="宋体" w:cs="宋体"/>
                <w:kern w:val="0"/>
                <w:sz w:val="18"/>
                <w:szCs w:val="18"/>
              </w:rPr>
            </w:pPr>
            <w:r>
              <w:rPr>
                <w:rFonts w:hint="eastAsia" w:ascii="宋体" w:hAnsi="宋体" w:cs="宋体"/>
                <w:kern w:val="0"/>
                <w:sz w:val="18"/>
                <w:szCs w:val="18"/>
              </w:rPr>
              <w:t>48.53</w:t>
            </w:r>
          </w:p>
        </w:tc>
        <w:tc>
          <w:tcPr>
            <w:tcW w:w="854" w:type="dxa"/>
            <w:shd w:val="clear" w:color="auto" w:fill="auto"/>
            <w:noWrap/>
            <w:vAlign w:val="center"/>
          </w:tcPr>
          <w:p w14:paraId="7D28C5C0">
            <w:pPr>
              <w:widowControl/>
              <w:jc w:val="center"/>
              <w:rPr>
                <w:rFonts w:ascii="宋体" w:hAnsi="宋体" w:cs="宋体"/>
                <w:kern w:val="0"/>
                <w:sz w:val="18"/>
                <w:szCs w:val="18"/>
              </w:rPr>
            </w:pPr>
            <w:r>
              <w:rPr>
                <w:rFonts w:hint="eastAsia" w:ascii="宋体" w:hAnsi="宋体" w:cs="宋体"/>
                <w:kern w:val="0"/>
                <w:sz w:val="18"/>
                <w:szCs w:val="18"/>
              </w:rPr>
              <w:t xml:space="preserve">14.56 </w:t>
            </w:r>
          </w:p>
        </w:tc>
        <w:tc>
          <w:tcPr>
            <w:tcW w:w="1489" w:type="dxa"/>
            <w:shd w:val="clear" w:color="auto" w:fill="auto"/>
            <w:vAlign w:val="center"/>
          </w:tcPr>
          <w:p w14:paraId="0091838D">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0DCE96C1">
            <w:pPr>
              <w:widowControl/>
              <w:jc w:val="center"/>
              <w:rPr>
                <w:rFonts w:ascii="宋体" w:hAnsi="宋体" w:cs="宋体"/>
                <w:kern w:val="0"/>
                <w:sz w:val="18"/>
                <w:szCs w:val="18"/>
              </w:rPr>
            </w:pPr>
          </w:p>
        </w:tc>
      </w:tr>
      <w:tr w14:paraId="53C6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A96C8DD">
            <w:pPr>
              <w:widowControl/>
              <w:jc w:val="center"/>
              <w:rPr>
                <w:rFonts w:ascii="宋体" w:hAnsi="宋体" w:cs="宋体"/>
                <w:kern w:val="0"/>
                <w:sz w:val="18"/>
                <w:szCs w:val="18"/>
              </w:rPr>
            </w:pPr>
          </w:p>
        </w:tc>
        <w:tc>
          <w:tcPr>
            <w:tcW w:w="3659" w:type="dxa"/>
            <w:shd w:val="clear" w:color="auto" w:fill="auto"/>
            <w:noWrap/>
            <w:vAlign w:val="center"/>
          </w:tcPr>
          <w:p w14:paraId="12988E37">
            <w:pPr>
              <w:widowControl/>
              <w:jc w:val="center"/>
              <w:rPr>
                <w:rFonts w:ascii="宋体" w:hAnsi="宋体" w:cs="宋体"/>
                <w:kern w:val="0"/>
                <w:sz w:val="18"/>
                <w:szCs w:val="18"/>
              </w:rPr>
            </w:pPr>
            <w:r>
              <w:rPr>
                <w:rFonts w:hint="eastAsia" w:ascii="宋体" w:hAnsi="宋体" w:cs="宋体"/>
                <w:kern w:val="0"/>
                <w:sz w:val="18"/>
                <w:szCs w:val="18"/>
              </w:rPr>
              <w:t>昆明市东川区永春环境工程有限公司尾矿库</w:t>
            </w:r>
          </w:p>
        </w:tc>
        <w:tc>
          <w:tcPr>
            <w:tcW w:w="796" w:type="dxa"/>
            <w:shd w:val="clear" w:color="auto" w:fill="auto"/>
            <w:noWrap/>
            <w:vAlign w:val="center"/>
          </w:tcPr>
          <w:p w14:paraId="38728794">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1307B4B">
            <w:pPr>
              <w:widowControl/>
              <w:jc w:val="center"/>
              <w:rPr>
                <w:rFonts w:ascii="宋体" w:hAnsi="宋体" w:cs="宋体"/>
                <w:kern w:val="0"/>
                <w:sz w:val="18"/>
                <w:szCs w:val="18"/>
              </w:rPr>
            </w:pPr>
            <w:r>
              <w:rPr>
                <w:rFonts w:hint="eastAsia" w:ascii="宋体" w:hAnsi="宋体" w:cs="宋体"/>
                <w:kern w:val="0"/>
                <w:sz w:val="18"/>
                <w:szCs w:val="18"/>
              </w:rPr>
              <w:t>2011-2015</w:t>
            </w:r>
          </w:p>
        </w:tc>
        <w:tc>
          <w:tcPr>
            <w:tcW w:w="1026" w:type="dxa"/>
            <w:shd w:val="clear" w:color="auto" w:fill="auto"/>
            <w:noWrap/>
            <w:vAlign w:val="center"/>
          </w:tcPr>
          <w:p w14:paraId="09B6107D">
            <w:pPr>
              <w:widowControl/>
              <w:jc w:val="center"/>
              <w:rPr>
                <w:rFonts w:ascii="宋体" w:hAnsi="宋体" w:cs="宋体"/>
                <w:kern w:val="0"/>
                <w:sz w:val="18"/>
                <w:szCs w:val="18"/>
              </w:rPr>
            </w:pPr>
            <w:r>
              <w:rPr>
                <w:rFonts w:hint="eastAsia" w:ascii="宋体" w:hAnsi="宋体" w:cs="宋体"/>
                <w:kern w:val="0"/>
                <w:sz w:val="18"/>
                <w:szCs w:val="18"/>
              </w:rPr>
              <w:t>0.00</w:t>
            </w:r>
          </w:p>
        </w:tc>
        <w:tc>
          <w:tcPr>
            <w:tcW w:w="946" w:type="dxa"/>
            <w:shd w:val="clear" w:color="auto" w:fill="auto"/>
            <w:noWrap/>
            <w:vAlign w:val="center"/>
          </w:tcPr>
          <w:p w14:paraId="1394887A">
            <w:pPr>
              <w:widowControl/>
              <w:jc w:val="center"/>
              <w:rPr>
                <w:rFonts w:ascii="宋体" w:hAnsi="宋体" w:cs="宋体"/>
                <w:kern w:val="0"/>
                <w:sz w:val="18"/>
                <w:szCs w:val="18"/>
              </w:rPr>
            </w:pPr>
            <w:r>
              <w:rPr>
                <w:rFonts w:hint="eastAsia" w:ascii="宋体" w:hAnsi="宋体" w:cs="宋体"/>
                <w:kern w:val="0"/>
                <w:sz w:val="18"/>
                <w:szCs w:val="18"/>
              </w:rPr>
              <w:t>0.00</w:t>
            </w:r>
          </w:p>
        </w:tc>
        <w:tc>
          <w:tcPr>
            <w:tcW w:w="854" w:type="dxa"/>
            <w:shd w:val="clear" w:color="auto" w:fill="auto"/>
            <w:noWrap/>
            <w:vAlign w:val="center"/>
          </w:tcPr>
          <w:p w14:paraId="592093D1">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89" w:type="dxa"/>
            <w:shd w:val="clear" w:color="auto" w:fill="auto"/>
            <w:vAlign w:val="center"/>
          </w:tcPr>
          <w:p w14:paraId="4AFC27BE">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5188ACAC">
            <w:pPr>
              <w:widowControl/>
              <w:jc w:val="center"/>
              <w:rPr>
                <w:rFonts w:ascii="宋体" w:hAnsi="宋体" w:cs="宋体"/>
                <w:kern w:val="0"/>
                <w:sz w:val="18"/>
                <w:szCs w:val="18"/>
              </w:rPr>
            </w:pPr>
          </w:p>
        </w:tc>
      </w:tr>
      <w:tr w14:paraId="009A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3F193D3">
            <w:pPr>
              <w:widowControl/>
              <w:jc w:val="center"/>
              <w:rPr>
                <w:rFonts w:ascii="宋体" w:hAnsi="宋体" w:cs="宋体"/>
                <w:kern w:val="0"/>
                <w:sz w:val="18"/>
                <w:szCs w:val="18"/>
              </w:rPr>
            </w:pPr>
          </w:p>
        </w:tc>
        <w:tc>
          <w:tcPr>
            <w:tcW w:w="3659" w:type="dxa"/>
            <w:shd w:val="clear" w:color="auto" w:fill="auto"/>
            <w:noWrap/>
            <w:vAlign w:val="center"/>
          </w:tcPr>
          <w:p w14:paraId="74919217">
            <w:pPr>
              <w:widowControl/>
              <w:jc w:val="center"/>
              <w:rPr>
                <w:rFonts w:ascii="宋体" w:hAnsi="宋体" w:cs="宋体"/>
                <w:kern w:val="0"/>
                <w:sz w:val="18"/>
                <w:szCs w:val="18"/>
              </w:rPr>
            </w:pPr>
            <w:r>
              <w:rPr>
                <w:rFonts w:hint="eastAsia" w:ascii="宋体" w:hAnsi="宋体" w:cs="宋体"/>
                <w:kern w:val="0"/>
                <w:sz w:val="18"/>
                <w:szCs w:val="18"/>
              </w:rPr>
              <w:t>昆明老来红矿业有限公司尾矿库</w:t>
            </w:r>
          </w:p>
        </w:tc>
        <w:tc>
          <w:tcPr>
            <w:tcW w:w="796" w:type="dxa"/>
            <w:shd w:val="clear" w:color="auto" w:fill="auto"/>
            <w:noWrap/>
            <w:vAlign w:val="center"/>
          </w:tcPr>
          <w:p w14:paraId="1F6187CA">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E88A639">
            <w:pPr>
              <w:widowControl/>
              <w:jc w:val="center"/>
              <w:rPr>
                <w:rFonts w:ascii="宋体" w:hAnsi="宋体" w:cs="宋体"/>
                <w:kern w:val="0"/>
                <w:sz w:val="18"/>
                <w:szCs w:val="18"/>
              </w:rPr>
            </w:pPr>
            <w:r>
              <w:rPr>
                <w:rFonts w:hint="eastAsia" w:ascii="宋体" w:hAnsi="宋体" w:cs="宋体"/>
                <w:kern w:val="0"/>
                <w:sz w:val="18"/>
                <w:szCs w:val="18"/>
              </w:rPr>
              <w:t>2011-2015</w:t>
            </w:r>
          </w:p>
        </w:tc>
        <w:tc>
          <w:tcPr>
            <w:tcW w:w="1026" w:type="dxa"/>
            <w:shd w:val="clear" w:color="auto" w:fill="auto"/>
            <w:noWrap/>
            <w:vAlign w:val="center"/>
          </w:tcPr>
          <w:p w14:paraId="79189BC9">
            <w:pPr>
              <w:widowControl/>
              <w:jc w:val="center"/>
              <w:rPr>
                <w:rFonts w:ascii="宋体" w:hAnsi="宋体" w:cs="宋体"/>
                <w:kern w:val="0"/>
                <w:sz w:val="18"/>
                <w:szCs w:val="18"/>
              </w:rPr>
            </w:pPr>
            <w:r>
              <w:rPr>
                <w:rFonts w:hint="eastAsia" w:ascii="宋体" w:hAnsi="宋体" w:cs="宋体"/>
                <w:kern w:val="0"/>
                <w:sz w:val="18"/>
                <w:szCs w:val="18"/>
              </w:rPr>
              <w:t>0.26</w:t>
            </w:r>
          </w:p>
        </w:tc>
        <w:tc>
          <w:tcPr>
            <w:tcW w:w="946" w:type="dxa"/>
            <w:shd w:val="clear" w:color="auto" w:fill="auto"/>
            <w:noWrap/>
            <w:vAlign w:val="center"/>
          </w:tcPr>
          <w:p w14:paraId="799B30EE">
            <w:pPr>
              <w:widowControl/>
              <w:jc w:val="center"/>
              <w:rPr>
                <w:rFonts w:ascii="宋体" w:hAnsi="宋体" w:cs="宋体"/>
                <w:kern w:val="0"/>
                <w:sz w:val="18"/>
                <w:szCs w:val="18"/>
              </w:rPr>
            </w:pPr>
            <w:r>
              <w:rPr>
                <w:rFonts w:hint="eastAsia" w:ascii="宋体" w:hAnsi="宋体" w:cs="宋体"/>
                <w:kern w:val="0"/>
                <w:sz w:val="18"/>
                <w:szCs w:val="18"/>
              </w:rPr>
              <w:t>0.26</w:t>
            </w:r>
          </w:p>
        </w:tc>
        <w:tc>
          <w:tcPr>
            <w:tcW w:w="854" w:type="dxa"/>
            <w:shd w:val="clear" w:color="auto" w:fill="auto"/>
            <w:noWrap/>
            <w:vAlign w:val="center"/>
          </w:tcPr>
          <w:p w14:paraId="163EA3C6">
            <w:pPr>
              <w:widowControl/>
              <w:jc w:val="center"/>
              <w:rPr>
                <w:rFonts w:ascii="宋体" w:hAnsi="宋体" w:cs="宋体"/>
                <w:kern w:val="0"/>
                <w:sz w:val="18"/>
                <w:szCs w:val="18"/>
              </w:rPr>
            </w:pPr>
            <w:r>
              <w:rPr>
                <w:rFonts w:hint="eastAsia" w:ascii="宋体" w:hAnsi="宋体" w:cs="宋体"/>
                <w:kern w:val="0"/>
                <w:sz w:val="18"/>
                <w:szCs w:val="18"/>
              </w:rPr>
              <w:t xml:space="preserve">0.08 </w:t>
            </w:r>
          </w:p>
        </w:tc>
        <w:tc>
          <w:tcPr>
            <w:tcW w:w="1489" w:type="dxa"/>
            <w:shd w:val="clear" w:color="auto" w:fill="auto"/>
            <w:vAlign w:val="center"/>
          </w:tcPr>
          <w:p w14:paraId="2683D9D5">
            <w:pPr>
              <w:widowControl/>
              <w:jc w:val="center"/>
              <w:rPr>
                <w:rFonts w:ascii="宋体" w:hAnsi="宋体" w:cs="宋体"/>
                <w:kern w:val="0"/>
                <w:sz w:val="15"/>
                <w:szCs w:val="15"/>
              </w:rPr>
            </w:pPr>
            <w:r>
              <w:rPr>
                <w:rFonts w:hint="eastAsia" w:ascii="宋体" w:hAnsi="宋体" w:cs="宋体"/>
                <w:kern w:val="0"/>
                <w:sz w:val="15"/>
                <w:szCs w:val="15"/>
              </w:rPr>
              <w:t>因民镇</w:t>
            </w:r>
          </w:p>
        </w:tc>
        <w:tc>
          <w:tcPr>
            <w:tcW w:w="577" w:type="dxa"/>
            <w:shd w:val="clear" w:color="auto" w:fill="auto"/>
            <w:noWrap/>
            <w:vAlign w:val="center"/>
          </w:tcPr>
          <w:p w14:paraId="0A61334B">
            <w:pPr>
              <w:widowControl/>
              <w:jc w:val="center"/>
              <w:rPr>
                <w:rFonts w:ascii="宋体" w:hAnsi="宋体" w:cs="宋体"/>
                <w:kern w:val="0"/>
                <w:sz w:val="18"/>
                <w:szCs w:val="18"/>
              </w:rPr>
            </w:pPr>
          </w:p>
        </w:tc>
      </w:tr>
      <w:tr w14:paraId="2CA3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E3D1B41">
            <w:pPr>
              <w:widowControl/>
              <w:jc w:val="center"/>
              <w:rPr>
                <w:rFonts w:ascii="宋体" w:hAnsi="宋体" w:cs="宋体"/>
                <w:kern w:val="0"/>
                <w:sz w:val="18"/>
                <w:szCs w:val="18"/>
              </w:rPr>
            </w:pPr>
          </w:p>
        </w:tc>
        <w:tc>
          <w:tcPr>
            <w:tcW w:w="3659" w:type="dxa"/>
            <w:shd w:val="clear" w:color="auto" w:fill="auto"/>
            <w:noWrap/>
            <w:vAlign w:val="center"/>
          </w:tcPr>
          <w:p w14:paraId="53B31BA9">
            <w:pPr>
              <w:widowControl/>
              <w:jc w:val="center"/>
              <w:rPr>
                <w:rFonts w:ascii="宋体" w:hAnsi="宋体" w:cs="宋体"/>
                <w:kern w:val="0"/>
                <w:sz w:val="18"/>
                <w:szCs w:val="18"/>
              </w:rPr>
            </w:pPr>
            <w:r>
              <w:rPr>
                <w:rFonts w:hint="eastAsia" w:ascii="宋体" w:hAnsi="宋体" w:cs="宋体"/>
                <w:kern w:val="0"/>
                <w:sz w:val="18"/>
                <w:szCs w:val="18"/>
              </w:rPr>
              <w:t>昆明玉东工贸有限公司尾矿库（干堆）</w:t>
            </w:r>
          </w:p>
        </w:tc>
        <w:tc>
          <w:tcPr>
            <w:tcW w:w="796" w:type="dxa"/>
            <w:shd w:val="clear" w:color="auto" w:fill="auto"/>
            <w:noWrap/>
            <w:vAlign w:val="center"/>
          </w:tcPr>
          <w:p w14:paraId="12A7436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56663930">
            <w:pPr>
              <w:widowControl/>
              <w:jc w:val="center"/>
              <w:rPr>
                <w:rFonts w:ascii="宋体" w:hAnsi="宋体" w:cs="宋体"/>
                <w:kern w:val="0"/>
                <w:sz w:val="18"/>
                <w:szCs w:val="18"/>
              </w:rPr>
            </w:pPr>
            <w:r>
              <w:rPr>
                <w:rFonts w:hint="eastAsia" w:ascii="宋体" w:hAnsi="宋体" w:cs="宋体"/>
                <w:kern w:val="0"/>
                <w:sz w:val="18"/>
                <w:szCs w:val="18"/>
              </w:rPr>
              <w:t>2014-2016</w:t>
            </w:r>
          </w:p>
        </w:tc>
        <w:tc>
          <w:tcPr>
            <w:tcW w:w="1026" w:type="dxa"/>
            <w:shd w:val="clear" w:color="auto" w:fill="auto"/>
            <w:noWrap/>
            <w:vAlign w:val="center"/>
          </w:tcPr>
          <w:p w14:paraId="6B4F3635">
            <w:pPr>
              <w:widowControl/>
              <w:jc w:val="center"/>
              <w:rPr>
                <w:rFonts w:ascii="宋体" w:hAnsi="宋体" w:cs="宋体"/>
                <w:kern w:val="0"/>
                <w:sz w:val="18"/>
                <w:szCs w:val="18"/>
              </w:rPr>
            </w:pPr>
            <w:r>
              <w:rPr>
                <w:rFonts w:hint="eastAsia" w:ascii="宋体" w:hAnsi="宋体" w:cs="宋体"/>
                <w:kern w:val="0"/>
                <w:sz w:val="18"/>
                <w:szCs w:val="18"/>
              </w:rPr>
              <w:t>14.40</w:t>
            </w:r>
          </w:p>
        </w:tc>
        <w:tc>
          <w:tcPr>
            <w:tcW w:w="946" w:type="dxa"/>
            <w:shd w:val="clear" w:color="auto" w:fill="auto"/>
            <w:noWrap/>
            <w:vAlign w:val="center"/>
          </w:tcPr>
          <w:p w14:paraId="5454BE90">
            <w:pPr>
              <w:widowControl/>
              <w:jc w:val="center"/>
              <w:rPr>
                <w:rFonts w:ascii="宋体" w:hAnsi="宋体" w:cs="宋体"/>
                <w:kern w:val="0"/>
                <w:sz w:val="18"/>
                <w:szCs w:val="18"/>
              </w:rPr>
            </w:pPr>
            <w:r>
              <w:rPr>
                <w:rFonts w:hint="eastAsia" w:ascii="宋体" w:hAnsi="宋体" w:cs="宋体"/>
                <w:kern w:val="0"/>
                <w:sz w:val="18"/>
                <w:szCs w:val="18"/>
              </w:rPr>
              <w:t>14.40</w:t>
            </w:r>
          </w:p>
        </w:tc>
        <w:tc>
          <w:tcPr>
            <w:tcW w:w="854" w:type="dxa"/>
            <w:shd w:val="clear" w:color="auto" w:fill="auto"/>
            <w:noWrap/>
            <w:vAlign w:val="center"/>
          </w:tcPr>
          <w:p w14:paraId="09728288">
            <w:pPr>
              <w:widowControl/>
              <w:jc w:val="center"/>
              <w:rPr>
                <w:rFonts w:ascii="宋体" w:hAnsi="宋体" w:cs="宋体"/>
                <w:kern w:val="0"/>
                <w:sz w:val="18"/>
                <w:szCs w:val="18"/>
              </w:rPr>
            </w:pPr>
            <w:r>
              <w:rPr>
                <w:rFonts w:hint="eastAsia" w:ascii="宋体" w:hAnsi="宋体" w:cs="宋体"/>
                <w:kern w:val="0"/>
                <w:sz w:val="18"/>
                <w:szCs w:val="18"/>
              </w:rPr>
              <w:t xml:space="preserve">4.32 </w:t>
            </w:r>
          </w:p>
        </w:tc>
        <w:tc>
          <w:tcPr>
            <w:tcW w:w="1489" w:type="dxa"/>
            <w:shd w:val="clear" w:color="auto" w:fill="auto"/>
            <w:vAlign w:val="center"/>
          </w:tcPr>
          <w:p w14:paraId="673084EF">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397151AF">
            <w:pPr>
              <w:widowControl/>
              <w:jc w:val="center"/>
              <w:rPr>
                <w:rFonts w:ascii="宋体" w:hAnsi="宋体" w:cs="宋体"/>
                <w:kern w:val="0"/>
                <w:sz w:val="18"/>
                <w:szCs w:val="18"/>
              </w:rPr>
            </w:pPr>
          </w:p>
        </w:tc>
      </w:tr>
      <w:tr w14:paraId="7701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E63EAA5">
            <w:pPr>
              <w:widowControl/>
              <w:jc w:val="center"/>
              <w:rPr>
                <w:rFonts w:ascii="宋体" w:hAnsi="宋体" w:cs="宋体"/>
                <w:kern w:val="0"/>
                <w:sz w:val="18"/>
                <w:szCs w:val="18"/>
              </w:rPr>
            </w:pPr>
          </w:p>
        </w:tc>
        <w:tc>
          <w:tcPr>
            <w:tcW w:w="3659" w:type="dxa"/>
            <w:shd w:val="clear" w:color="auto" w:fill="auto"/>
            <w:noWrap/>
            <w:vAlign w:val="center"/>
          </w:tcPr>
          <w:p w14:paraId="3DCEEF8D">
            <w:pPr>
              <w:widowControl/>
              <w:jc w:val="center"/>
              <w:rPr>
                <w:rFonts w:ascii="宋体" w:hAnsi="宋体" w:cs="宋体"/>
                <w:kern w:val="0"/>
                <w:sz w:val="18"/>
                <w:szCs w:val="18"/>
              </w:rPr>
            </w:pPr>
            <w:r>
              <w:rPr>
                <w:rFonts w:hint="eastAsia" w:ascii="宋体" w:hAnsi="宋体" w:cs="宋体"/>
                <w:kern w:val="0"/>
                <w:sz w:val="18"/>
                <w:szCs w:val="18"/>
              </w:rPr>
              <w:t>东川文兴选厂尾矿库</w:t>
            </w:r>
          </w:p>
        </w:tc>
        <w:tc>
          <w:tcPr>
            <w:tcW w:w="796" w:type="dxa"/>
            <w:shd w:val="clear" w:color="auto" w:fill="auto"/>
            <w:noWrap/>
            <w:vAlign w:val="center"/>
          </w:tcPr>
          <w:p w14:paraId="4A51F137">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F82F001">
            <w:pPr>
              <w:widowControl/>
              <w:jc w:val="center"/>
              <w:rPr>
                <w:rFonts w:ascii="宋体" w:hAnsi="宋体" w:cs="宋体"/>
                <w:kern w:val="0"/>
                <w:sz w:val="18"/>
                <w:szCs w:val="18"/>
              </w:rPr>
            </w:pPr>
            <w:r>
              <w:rPr>
                <w:rFonts w:hint="eastAsia" w:ascii="宋体" w:hAnsi="宋体" w:cs="宋体"/>
                <w:kern w:val="0"/>
                <w:sz w:val="18"/>
                <w:szCs w:val="18"/>
              </w:rPr>
              <w:t>2010-2020</w:t>
            </w:r>
          </w:p>
        </w:tc>
        <w:tc>
          <w:tcPr>
            <w:tcW w:w="1026" w:type="dxa"/>
            <w:shd w:val="clear" w:color="auto" w:fill="auto"/>
            <w:noWrap/>
            <w:vAlign w:val="center"/>
          </w:tcPr>
          <w:p w14:paraId="5BA02869">
            <w:pPr>
              <w:widowControl/>
              <w:jc w:val="center"/>
              <w:rPr>
                <w:rFonts w:ascii="宋体" w:hAnsi="宋体" w:cs="宋体"/>
                <w:kern w:val="0"/>
                <w:sz w:val="18"/>
                <w:szCs w:val="18"/>
              </w:rPr>
            </w:pPr>
            <w:r>
              <w:rPr>
                <w:rFonts w:hint="eastAsia" w:ascii="宋体" w:hAnsi="宋体" w:cs="宋体"/>
                <w:kern w:val="0"/>
                <w:sz w:val="18"/>
                <w:szCs w:val="18"/>
              </w:rPr>
              <w:t>8.04</w:t>
            </w:r>
          </w:p>
        </w:tc>
        <w:tc>
          <w:tcPr>
            <w:tcW w:w="946" w:type="dxa"/>
            <w:shd w:val="clear" w:color="auto" w:fill="auto"/>
            <w:noWrap/>
            <w:vAlign w:val="center"/>
          </w:tcPr>
          <w:p w14:paraId="17B93375">
            <w:pPr>
              <w:widowControl/>
              <w:jc w:val="center"/>
              <w:rPr>
                <w:rFonts w:ascii="宋体" w:hAnsi="宋体" w:cs="宋体"/>
                <w:kern w:val="0"/>
                <w:sz w:val="18"/>
                <w:szCs w:val="18"/>
              </w:rPr>
            </w:pPr>
            <w:r>
              <w:rPr>
                <w:rFonts w:hint="eastAsia" w:ascii="宋体" w:hAnsi="宋体" w:cs="宋体"/>
                <w:kern w:val="0"/>
                <w:sz w:val="18"/>
                <w:szCs w:val="18"/>
              </w:rPr>
              <w:t>8.04</w:t>
            </w:r>
          </w:p>
        </w:tc>
        <w:tc>
          <w:tcPr>
            <w:tcW w:w="854" w:type="dxa"/>
            <w:shd w:val="clear" w:color="auto" w:fill="auto"/>
            <w:noWrap/>
            <w:vAlign w:val="center"/>
          </w:tcPr>
          <w:p w14:paraId="0144D2AD">
            <w:pPr>
              <w:widowControl/>
              <w:jc w:val="center"/>
              <w:rPr>
                <w:rFonts w:ascii="宋体" w:hAnsi="宋体" w:cs="宋体"/>
                <w:kern w:val="0"/>
                <w:sz w:val="18"/>
                <w:szCs w:val="18"/>
              </w:rPr>
            </w:pPr>
            <w:r>
              <w:rPr>
                <w:rFonts w:hint="eastAsia" w:ascii="宋体" w:hAnsi="宋体" w:cs="宋体"/>
                <w:kern w:val="0"/>
                <w:sz w:val="18"/>
                <w:szCs w:val="18"/>
              </w:rPr>
              <w:t xml:space="preserve">2.41 </w:t>
            </w:r>
          </w:p>
        </w:tc>
        <w:tc>
          <w:tcPr>
            <w:tcW w:w="1489" w:type="dxa"/>
            <w:shd w:val="clear" w:color="auto" w:fill="auto"/>
            <w:vAlign w:val="center"/>
          </w:tcPr>
          <w:p w14:paraId="25B6E712">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6C4F35C0">
            <w:pPr>
              <w:widowControl/>
              <w:jc w:val="center"/>
              <w:rPr>
                <w:rFonts w:ascii="宋体" w:hAnsi="宋体" w:cs="宋体"/>
                <w:kern w:val="0"/>
                <w:sz w:val="18"/>
                <w:szCs w:val="18"/>
              </w:rPr>
            </w:pPr>
          </w:p>
        </w:tc>
      </w:tr>
      <w:tr w14:paraId="05AF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8300063">
            <w:pPr>
              <w:widowControl/>
              <w:jc w:val="center"/>
              <w:rPr>
                <w:rFonts w:ascii="宋体" w:hAnsi="宋体" w:cs="宋体"/>
                <w:kern w:val="0"/>
                <w:sz w:val="18"/>
                <w:szCs w:val="18"/>
              </w:rPr>
            </w:pPr>
          </w:p>
        </w:tc>
        <w:tc>
          <w:tcPr>
            <w:tcW w:w="3659" w:type="dxa"/>
            <w:shd w:val="clear" w:color="auto" w:fill="auto"/>
            <w:noWrap/>
            <w:vAlign w:val="center"/>
          </w:tcPr>
          <w:p w14:paraId="458258BB">
            <w:pPr>
              <w:widowControl/>
              <w:jc w:val="center"/>
              <w:rPr>
                <w:rFonts w:ascii="宋体" w:hAnsi="宋体" w:cs="宋体"/>
                <w:kern w:val="0"/>
                <w:sz w:val="18"/>
                <w:szCs w:val="18"/>
              </w:rPr>
            </w:pPr>
            <w:r>
              <w:rPr>
                <w:rFonts w:hint="eastAsia" w:ascii="宋体" w:hAnsi="宋体" w:cs="宋体"/>
                <w:kern w:val="0"/>
                <w:sz w:val="18"/>
                <w:szCs w:val="18"/>
              </w:rPr>
              <w:t>昆明琼瑞矿业有限公司尾矿库</w:t>
            </w:r>
          </w:p>
        </w:tc>
        <w:tc>
          <w:tcPr>
            <w:tcW w:w="796" w:type="dxa"/>
            <w:shd w:val="clear" w:color="auto" w:fill="auto"/>
            <w:noWrap/>
            <w:vAlign w:val="center"/>
          </w:tcPr>
          <w:p w14:paraId="12FF698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1B9AA57">
            <w:pPr>
              <w:widowControl/>
              <w:jc w:val="center"/>
              <w:rPr>
                <w:rFonts w:ascii="宋体" w:hAnsi="宋体" w:cs="宋体"/>
                <w:kern w:val="0"/>
                <w:sz w:val="18"/>
                <w:szCs w:val="18"/>
              </w:rPr>
            </w:pPr>
            <w:r>
              <w:rPr>
                <w:rFonts w:hint="eastAsia" w:ascii="宋体" w:hAnsi="宋体" w:cs="宋体"/>
                <w:kern w:val="0"/>
                <w:sz w:val="18"/>
                <w:szCs w:val="18"/>
              </w:rPr>
              <w:t>2015-2017</w:t>
            </w:r>
          </w:p>
        </w:tc>
        <w:tc>
          <w:tcPr>
            <w:tcW w:w="1026" w:type="dxa"/>
            <w:shd w:val="clear" w:color="auto" w:fill="auto"/>
            <w:noWrap/>
            <w:vAlign w:val="center"/>
          </w:tcPr>
          <w:p w14:paraId="456C878A">
            <w:pPr>
              <w:widowControl/>
              <w:jc w:val="center"/>
              <w:rPr>
                <w:rFonts w:ascii="宋体" w:hAnsi="宋体" w:cs="宋体"/>
                <w:kern w:val="0"/>
                <w:sz w:val="18"/>
                <w:szCs w:val="18"/>
              </w:rPr>
            </w:pPr>
            <w:r>
              <w:rPr>
                <w:rFonts w:hint="eastAsia" w:ascii="宋体" w:hAnsi="宋体" w:cs="宋体"/>
                <w:kern w:val="0"/>
                <w:sz w:val="18"/>
                <w:szCs w:val="18"/>
              </w:rPr>
              <w:t>2.44</w:t>
            </w:r>
          </w:p>
        </w:tc>
        <w:tc>
          <w:tcPr>
            <w:tcW w:w="946" w:type="dxa"/>
            <w:shd w:val="clear" w:color="auto" w:fill="auto"/>
            <w:noWrap/>
            <w:vAlign w:val="center"/>
          </w:tcPr>
          <w:p w14:paraId="400B3487">
            <w:pPr>
              <w:widowControl/>
              <w:jc w:val="center"/>
              <w:rPr>
                <w:rFonts w:ascii="宋体" w:hAnsi="宋体" w:cs="宋体"/>
                <w:kern w:val="0"/>
                <w:sz w:val="18"/>
                <w:szCs w:val="18"/>
              </w:rPr>
            </w:pPr>
            <w:r>
              <w:rPr>
                <w:rFonts w:hint="eastAsia" w:ascii="宋体" w:hAnsi="宋体" w:cs="宋体"/>
                <w:kern w:val="0"/>
                <w:sz w:val="18"/>
                <w:szCs w:val="18"/>
              </w:rPr>
              <w:t>2.44</w:t>
            </w:r>
          </w:p>
        </w:tc>
        <w:tc>
          <w:tcPr>
            <w:tcW w:w="854" w:type="dxa"/>
            <w:shd w:val="clear" w:color="auto" w:fill="auto"/>
            <w:noWrap/>
            <w:vAlign w:val="center"/>
          </w:tcPr>
          <w:p w14:paraId="66B04CFC">
            <w:pPr>
              <w:widowControl/>
              <w:jc w:val="center"/>
              <w:rPr>
                <w:rFonts w:ascii="宋体" w:hAnsi="宋体" w:cs="宋体"/>
                <w:kern w:val="0"/>
                <w:sz w:val="18"/>
                <w:szCs w:val="18"/>
              </w:rPr>
            </w:pPr>
            <w:r>
              <w:rPr>
                <w:rFonts w:hint="eastAsia" w:ascii="宋体" w:hAnsi="宋体" w:cs="宋体"/>
                <w:kern w:val="0"/>
                <w:sz w:val="18"/>
                <w:szCs w:val="18"/>
              </w:rPr>
              <w:t xml:space="preserve">0.73 </w:t>
            </w:r>
          </w:p>
        </w:tc>
        <w:tc>
          <w:tcPr>
            <w:tcW w:w="1489" w:type="dxa"/>
            <w:shd w:val="clear" w:color="auto" w:fill="auto"/>
            <w:vAlign w:val="center"/>
          </w:tcPr>
          <w:p w14:paraId="355F410E">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38B0004B">
            <w:pPr>
              <w:widowControl/>
              <w:jc w:val="center"/>
              <w:rPr>
                <w:rFonts w:ascii="宋体" w:hAnsi="宋体" w:cs="宋体"/>
                <w:kern w:val="0"/>
                <w:sz w:val="18"/>
                <w:szCs w:val="18"/>
              </w:rPr>
            </w:pPr>
          </w:p>
        </w:tc>
      </w:tr>
      <w:tr w14:paraId="4EA8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97282D5">
            <w:pPr>
              <w:widowControl/>
              <w:jc w:val="center"/>
              <w:rPr>
                <w:rFonts w:ascii="宋体" w:hAnsi="宋体" w:cs="宋体"/>
                <w:kern w:val="0"/>
                <w:sz w:val="18"/>
                <w:szCs w:val="18"/>
              </w:rPr>
            </w:pPr>
          </w:p>
        </w:tc>
        <w:tc>
          <w:tcPr>
            <w:tcW w:w="3659" w:type="dxa"/>
            <w:shd w:val="clear" w:color="auto" w:fill="auto"/>
            <w:noWrap/>
            <w:vAlign w:val="center"/>
          </w:tcPr>
          <w:p w14:paraId="25C84B1A">
            <w:pPr>
              <w:widowControl/>
              <w:jc w:val="center"/>
              <w:rPr>
                <w:rFonts w:ascii="宋体" w:hAnsi="宋体" w:cs="宋体"/>
                <w:kern w:val="0"/>
                <w:sz w:val="18"/>
                <w:szCs w:val="18"/>
              </w:rPr>
            </w:pPr>
            <w:r>
              <w:rPr>
                <w:rFonts w:hint="eastAsia" w:ascii="宋体" w:hAnsi="宋体" w:cs="宋体"/>
                <w:kern w:val="0"/>
                <w:sz w:val="18"/>
                <w:szCs w:val="18"/>
              </w:rPr>
              <w:t>昆明市东川区小江固体废物治理有限公司黄水箐尾矿库</w:t>
            </w:r>
          </w:p>
        </w:tc>
        <w:tc>
          <w:tcPr>
            <w:tcW w:w="796" w:type="dxa"/>
            <w:shd w:val="clear" w:color="auto" w:fill="auto"/>
            <w:noWrap/>
            <w:vAlign w:val="center"/>
          </w:tcPr>
          <w:p w14:paraId="4C3EEC34">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016C28C7">
            <w:pPr>
              <w:widowControl/>
              <w:jc w:val="center"/>
              <w:rPr>
                <w:rFonts w:ascii="宋体" w:hAnsi="宋体" w:cs="宋体"/>
                <w:kern w:val="0"/>
                <w:sz w:val="18"/>
                <w:szCs w:val="18"/>
              </w:rPr>
            </w:pPr>
            <w:r>
              <w:rPr>
                <w:rFonts w:hint="eastAsia" w:ascii="宋体" w:hAnsi="宋体" w:cs="宋体"/>
                <w:kern w:val="0"/>
                <w:sz w:val="18"/>
                <w:szCs w:val="18"/>
              </w:rPr>
              <w:t>2011-2020</w:t>
            </w:r>
          </w:p>
        </w:tc>
        <w:tc>
          <w:tcPr>
            <w:tcW w:w="1026" w:type="dxa"/>
            <w:shd w:val="clear" w:color="auto" w:fill="auto"/>
            <w:noWrap/>
            <w:vAlign w:val="center"/>
          </w:tcPr>
          <w:p w14:paraId="76B6A8CB">
            <w:pPr>
              <w:widowControl/>
              <w:jc w:val="center"/>
              <w:rPr>
                <w:rFonts w:ascii="宋体" w:hAnsi="宋体" w:cs="宋体"/>
                <w:kern w:val="0"/>
                <w:sz w:val="18"/>
                <w:szCs w:val="18"/>
              </w:rPr>
            </w:pPr>
            <w:r>
              <w:rPr>
                <w:rFonts w:hint="eastAsia" w:ascii="宋体" w:hAnsi="宋体" w:cs="宋体"/>
                <w:kern w:val="0"/>
                <w:sz w:val="18"/>
                <w:szCs w:val="18"/>
              </w:rPr>
              <w:t>0.00</w:t>
            </w:r>
          </w:p>
        </w:tc>
        <w:tc>
          <w:tcPr>
            <w:tcW w:w="946" w:type="dxa"/>
            <w:shd w:val="clear" w:color="auto" w:fill="auto"/>
            <w:noWrap/>
            <w:vAlign w:val="center"/>
          </w:tcPr>
          <w:p w14:paraId="31066282">
            <w:pPr>
              <w:widowControl/>
              <w:jc w:val="center"/>
              <w:rPr>
                <w:rFonts w:ascii="宋体" w:hAnsi="宋体" w:cs="宋体"/>
                <w:kern w:val="0"/>
                <w:sz w:val="18"/>
                <w:szCs w:val="18"/>
              </w:rPr>
            </w:pPr>
            <w:r>
              <w:rPr>
                <w:rFonts w:hint="eastAsia" w:ascii="宋体" w:hAnsi="宋体" w:cs="宋体"/>
                <w:kern w:val="0"/>
                <w:sz w:val="18"/>
                <w:szCs w:val="18"/>
              </w:rPr>
              <w:t>0.00</w:t>
            </w:r>
          </w:p>
        </w:tc>
        <w:tc>
          <w:tcPr>
            <w:tcW w:w="854" w:type="dxa"/>
            <w:shd w:val="clear" w:color="auto" w:fill="auto"/>
            <w:noWrap/>
            <w:vAlign w:val="center"/>
          </w:tcPr>
          <w:p w14:paraId="08855768">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89" w:type="dxa"/>
            <w:shd w:val="clear" w:color="auto" w:fill="auto"/>
            <w:vAlign w:val="center"/>
          </w:tcPr>
          <w:p w14:paraId="6C3C2CE6">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723F124C">
            <w:pPr>
              <w:widowControl/>
              <w:jc w:val="center"/>
              <w:rPr>
                <w:rFonts w:ascii="宋体" w:hAnsi="宋体" w:cs="宋体"/>
                <w:kern w:val="0"/>
                <w:sz w:val="18"/>
                <w:szCs w:val="18"/>
              </w:rPr>
            </w:pPr>
          </w:p>
        </w:tc>
      </w:tr>
      <w:tr w14:paraId="1536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13C12D2">
            <w:pPr>
              <w:widowControl/>
              <w:jc w:val="center"/>
              <w:rPr>
                <w:rFonts w:ascii="宋体" w:hAnsi="宋体" w:cs="宋体"/>
                <w:kern w:val="0"/>
                <w:sz w:val="18"/>
                <w:szCs w:val="18"/>
              </w:rPr>
            </w:pPr>
          </w:p>
        </w:tc>
        <w:tc>
          <w:tcPr>
            <w:tcW w:w="3659" w:type="dxa"/>
            <w:shd w:val="clear" w:color="auto" w:fill="auto"/>
            <w:noWrap/>
            <w:vAlign w:val="center"/>
          </w:tcPr>
          <w:p w14:paraId="50E9D191">
            <w:pPr>
              <w:widowControl/>
              <w:jc w:val="center"/>
              <w:rPr>
                <w:rFonts w:ascii="宋体" w:hAnsi="宋体" w:cs="宋体"/>
                <w:kern w:val="0"/>
                <w:sz w:val="18"/>
                <w:szCs w:val="18"/>
              </w:rPr>
            </w:pPr>
            <w:r>
              <w:rPr>
                <w:rFonts w:hint="eastAsia" w:ascii="宋体" w:hAnsi="宋体" w:cs="宋体"/>
                <w:kern w:val="0"/>
                <w:sz w:val="18"/>
                <w:szCs w:val="18"/>
              </w:rPr>
              <w:t>昆明利南矿业有限公司尾矿库</w:t>
            </w:r>
          </w:p>
        </w:tc>
        <w:tc>
          <w:tcPr>
            <w:tcW w:w="796" w:type="dxa"/>
            <w:shd w:val="clear" w:color="auto" w:fill="auto"/>
            <w:noWrap/>
            <w:vAlign w:val="center"/>
          </w:tcPr>
          <w:p w14:paraId="2136D41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224364AB">
            <w:pPr>
              <w:widowControl/>
              <w:jc w:val="center"/>
              <w:rPr>
                <w:rFonts w:ascii="宋体" w:hAnsi="宋体" w:cs="宋体"/>
                <w:kern w:val="0"/>
                <w:sz w:val="18"/>
                <w:szCs w:val="18"/>
              </w:rPr>
            </w:pPr>
            <w:r>
              <w:rPr>
                <w:rFonts w:hint="eastAsia" w:ascii="宋体" w:hAnsi="宋体" w:cs="宋体"/>
                <w:kern w:val="0"/>
                <w:sz w:val="18"/>
                <w:szCs w:val="18"/>
              </w:rPr>
              <w:t>2012-2018</w:t>
            </w:r>
          </w:p>
        </w:tc>
        <w:tc>
          <w:tcPr>
            <w:tcW w:w="1026" w:type="dxa"/>
            <w:shd w:val="clear" w:color="auto" w:fill="auto"/>
            <w:noWrap/>
            <w:vAlign w:val="center"/>
          </w:tcPr>
          <w:p w14:paraId="5D7A75A7">
            <w:pPr>
              <w:widowControl/>
              <w:jc w:val="center"/>
              <w:rPr>
                <w:rFonts w:ascii="宋体" w:hAnsi="宋体" w:cs="宋体"/>
                <w:kern w:val="0"/>
                <w:sz w:val="18"/>
                <w:szCs w:val="18"/>
              </w:rPr>
            </w:pPr>
            <w:r>
              <w:rPr>
                <w:rFonts w:hint="eastAsia" w:ascii="宋体" w:hAnsi="宋体" w:cs="宋体"/>
                <w:kern w:val="0"/>
                <w:sz w:val="18"/>
                <w:szCs w:val="18"/>
              </w:rPr>
              <w:t>78.91</w:t>
            </w:r>
          </w:p>
        </w:tc>
        <w:tc>
          <w:tcPr>
            <w:tcW w:w="946" w:type="dxa"/>
            <w:shd w:val="clear" w:color="auto" w:fill="auto"/>
            <w:noWrap/>
            <w:vAlign w:val="center"/>
          </w:tcPr>
          <w:p w14:paraId="664A1033">
            <w:pPr>
              <w:widowControl/>
              <w:jc w:val="center"/>
              <w:rPr>
                <w:rFonts w:ascii="宋体" w:hAnsi="宋体" w:cs="宋体"/>
                <w:kern w:val="0"/>
                <w:sz w:val="18"/>
                <w:szCs w:val="18"/>
              </w:rPr>
            </w:pPr>
            <w:r>
              <w:rPr>
                <w:rFonts w:hint="eastAsia" w:ascii="宋体" w:hAnsi="宋体" w:cs="宋体"/>
                <w:kern w:val="0"/>
                <w:sz w:val="18"/>
                <w:szCs w:val="18"/>
              </w:rPr>
              <w:t>78.91</w:t>
            </w:r>
          </w:p>
        </w:tc>
        <w:tc>
          <w:tcPr>
            <w:tcW w:w="854" w:type="dxa"/>
            <w:shd w:val="clear" w:color="auto" w:fill="auto"/>
            <w:noWrap/>
            <w:vAlign w:val="center"/>
          </w:tcPr>
          <w:p w14:paraId="009F472E">
            <w:pPr>
              <w:widowControl/>
              <w:jc w:val="center"/>
              <w:rPr>
                <w:rFonts w:ascii="宋体" w:hAnsi="宋体" w:cs="宋体"/>
                <w:kern w:val="0"/>
                <w:sz w:val="18"/>
                <w:szCs w:val="18"/>
              </w:rPr>
            </w:pPr>
            <w:r>
              <w:rPr>
                <w:rFonts w:hint="eastAsia" w:ascii="宋体" w:hAnsi="宋体" w:cs="宋体"/>
                <w:kern w:val="0"/>
                <w:sz w:val="18"/>
                <w:szCs w:val="18"/>
              </w:rPr>
              <w:t xml:space="preserve">23.67 </w:t>
            </w:r>
          </w:p>
        </w:tc>
        <w:tc>
          <w:tcPr>
            <w:tcW w:w="1489" w:type="dxa"/>
            <w:shd w:val="clear" w:color="auto" w:fill="auto"/>
            <w:vAlign w:val="center"/>
          </w:tcPr>
          <w:p w14:paraId="2008DEC9">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696C3B89">
            <w:pPr>
              <w:widowControl/>
              <w:jc w:val="center"/>
              <w:rPr>
                <w:rFonts w:ascii="宋体" w:hAnsi="宋体" w:cs="宋体"/>
                <w:kern w:val="0"/>
                <w:sz w:val="18"/>
                <w:szCs w:val="18"/>
              </w:rPr>
            </w:pPr>
          </w:p>
        </w:tc>
      </w:tr>
      <w:tr w14:paraId="5587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F8FEE96">
            <w:pPr>
              <w:widowControl/>
              <w:jc w:val="center"/>
              <w:rPr>
                <w:rFonts w:ascii="宋体" w:hAnsi="宋体" w:cs="宋体"/>
                <w:kern w:val="0"/>
                <w:sz w:val="18"/>
                <w:szCs w:val="18"/>
              </w:rPr>
            </w:pPr>
          </w:p>
        </w:tc>
        <w:tc>
          <w:tcPr>
            <w:tcW w:w="3659" w:type="dxa"/>
            <w:shd w:val="clear" w:color="auto" w:fill="auto"/>
            <w:noWrap/>
            <w:vAlign w:val="center"/>
          </w:tcPr>
          <w:p w14:paraId="19F592CA">
            <w:pPr>
              <w:widowControl/>
              <w:jc w:val="center"/>
              <w:rPr>
                <w:rFonts w:ascii="宋体" w:hAnsi="宋体" w:cs="宋体"/>
                <w:kern w:val="0"/>
                <w:sz w:val="18"/>
                <w:szCs w:val="18"/>
              </w:rPr>
            </w:pPr>
            <w:r>
              <w:rPr>
                <w:rFonts w:hint="eastAsia" w:ascii="宋体" w:hAnsi="宋体" w:cs="宋体"/>
                <w:kern w:val="0"/>
                <w:sz w:val="18"/>
                <w:szCs w:val="18"/>
              </w:rPr>
              <w:t>昆明市东川区通宇选矿厂尾矿库</w:t>
            </w:r>
          </w:p>
        </w:tc>
        <w:tc>
          <w:tcPr>
            <w:tcW w:w="796" w:type="dxa"/>
            <w:shd w:val="clear" w:color="auto" w:fill="auto"/>
            <w:noWrap/>
            <w:vAlign w:val="center"/>
          </w:tcPr>
          <w:p w14:paraId="115D905C">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2662CF26">
            <w:pPr>
              <w:widowControl/>
              <w:jc w:val="center"/>
              <w:rPr>
                <w:rFonts w:ascii="宋体" w:hAnsi="宋体" w:cs="宋体"/>
                <w:kern w:val="0"/>
                <w:sz w:val="18"/>
                <w:szCs w:val="18"/>
              </w:rPr>
            </w:pPr>
            <w:r>
              <w:rPr>
                <w:rFonts w:hint="eastAsia" w:ascii="宋体" w:hAnsi="宋体" w:cs="宋体"/>
                <w:kern w:val="0"/>
                <w:sz w:val="18"/>
                <w:szCs w:val="18"/>
              </w:rPr>
              <w:t>2014-2018</w:t>
            </w:r>
          </w:p>
        </w:tc>
        <w:tc>
          <w:tcPr>
            <w:tcW w:w="1026" w:type="dxa"/>
            <w:shd w:val="clear" w:color="auto" w:fill="auto"/>
            <w:noWrap/>
            <w:vAlign w:val="center"/>
          </w:tcPr>
          <w:p w14:paraId="53F1C451">
            <w:pPr>
              <w:widowControl/>
              <w:jc w:val="center"/>
              <w:rPr>
                <w:rFonts w:ascii="宋体" w:hAnsi="宋体" w:cs="宋体"/>
                <w:kern w:val="0"/>
                <w:sz w:val="18"/>
                <w:szCs w:val="18"/>
              </w:rPr>
            </w:pPr>
            <w:r>
              <w:rPr>
                <w:rFonts w:hint="eastAsia" w:ascii="宋体" w:hAnsi="宋体" w:cs="宋体"/>
                <w:kern w:val="0"/>
                <w:sz w:val="18"/>
                <w:szCs w:val="18"/>
              </w:rPr>
              <w:t>0.00</w:t>
            </w:r>
          </w:p>
        </w:tc>
        <w:tc>
          <w:tcPr>
            <w:tcW w:w="946" w:type="dxa"/>
            <w:shd w:val="clear" w:color="auto" w:fill="auto"/>
            <w:noWrap/>
            <w:vAlign w:val="center"/>
          </w:tcPr>
          <w:p w14:paraId="05715055">
            <w:pPr>
              <w:widowControl/>
              <w:jc w:val="center"/>
              <w:rPr>
                <w:rFonts w:ascii="宋体" w:hAnsi="宋体" w:cs="宋体"/>
                <w:kern w:val="0"/>
                <w:sz w:val="18"/>
                <w:szCs w:val="18"/>
              </w:rPr>
            </w:pPr>
            <w:r>
              <w:rPr>
                <w:rFonts w:hint="eastAsia" w:ascii="宋体" w:hAnsi="宋体" w:cs="宋体"/>
                <w:kern w:val="0"/>
                <w:sz w:val="18"/>
                <w:szCs w:val="18"/>
              </w:rPr>
              <w:t>0.00</w:t>
            </w:r>
          </w:p>
        </w:tc>
        <w:tc>
          <w:tcPr>
            <w:tcW w:w="854" w:type="dxa"/>
            <w:shd w:val="clear" w:color="auto" w:fill="auto"/>
            <w:noWrap/>
            <w:vAlign w:val="center"/>
          </w:tcPr>
          <w:p w14:paraId="52B7B2C3">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89" w:type="dxa"/>
            <w:shd w:val="clear" w:color="auto" w:fill="auto"/>
            <w:vAlign w:val="center"/>
          </w:tcPr>
          <w:p w14:paraId="207A18A4">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75A54271">
            <w:pPr>
              <w:widowControl/>
              <w:jc w:val="center"/>
              <w:rPr>
                <w:rFonts w:ascii="宋体" w:hAnsi="宋体" w:cs="宋体"/>
                <w:kern w:val="0"/>
                <w:sz w:val="18"/>
                <w:szCs w:val="18"/>
              </w:rPr>
            </w:pPr>
          </w:p>
        </w:tc>
      </w:tr>
      <w:tr w14:paraId="6632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D7F0E68">
            <w:pPr>
              <w:widowControl/>
              <w:jc w:val="center"/>
              <w:rPr>
                <w:rFonts w:ascii="宋体" w:hAnsi="宋体" w:cs="宋体"/>
                <w:kern w:val="0"/>
                <w:sz w:val="18"/>
                <w:szCs w:val="18"/>
              </w:rPr>
            </w:pPr>
          </w:p>
        </w:tc>
        <w:tc>
          <w:tcPr>
            <w:tcW w:w="3659" w:type="dxa"/>
            <w:shd w:val="clear" w:color="auto" w:fill="auto"/>
            <w:noWrap/>
            <w:vAlign w:val="center"/>
          </w:tcPr>
          <w:p w14:paraId="13C6E4D9">
            <w:pPr>
              <w:widowControl/>
              <w:jc w:val="center"/>
              <w:rPr>
                <w:rFonts w:ascii="宋体" w:hAnsi="宋体" w:cs="宋体"/>
                <w:kern w:val="0"/>
                <w:sz w:val="18"/>
                <w:szCs w:val="18"/>
              </w:rPr>
            </w:pPr>
            <w:r>
              <w:rPr>
                <w:rFonts w:hint="eastAsia" w:ascii="宋体" w:hAnsi="宋体" w:cs="宋体"/>
                <w:kern w:val="0"/>
                <w:sz w:val="18"/>
                <w:szCs w:val="18"/>
              </w:rPr>
              <w:t>昆明市东川金水矿业有限责任公司龙头山干堆场</w:t>
            </w:r>
          </w:p>
        </w:tc>
        <w:tc>
          <w:tcPr>
            <w:tcW w:w="796" w:type="dxa"/>
            <w:shd w:val="clear" w:color="auto" w:fill="auto"/>
            <w:noWrap/>
            <w:vAlign w:val="center"/>
          </w:tcPr>
          <w:p w14:paraId="0998350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6D432F2">
            <w:pPr>
              <w:widowControl/>
              <w:jc w:val="center"/>
              <w:rPr>
                <w:rFonts w:ascii="宋体" w:hAnsi="宋体" w:cs="宋体"/>
                <w:kern w:val="0"/>
                <w:sz w:val="18"/>
                <w:szCs w:val="18"/>
              </w:rPr>
            </w:pPr>
            <w:r>
              <w:rPr>
                <w:rFonts w:hint="eastAsia" w:ascii="宋体" w:hAnsi="宋体" w:cs="宋体"/>
                <w:kern w:val="0"/>
                <w:sz w:val="18"/>
                <w:szCs w:val="18"/>
              </w:rPr>
              <w:t>2012-2018</w:t>
            </w:r>
          </w:p>
        </w:tc>
        <w:tc>
          <w:tcPr>
            <w:tcW w:w="1026" w:type="dxa"/>
            <w:shd w:val="clear" w:color="auto" w:fill="auto"/>
            <w:noWrap/>
            <w:vAlign w:val="center"/>
          </w:tcPr>
          <w:p w14:paraId="2FF1D772">
            <w:pPr>
              <w:widowControl/>
              <w:jc w:val="center"/>
              <w:rPr>
                <w:rFonts w:ascii="宋体" w:hAnsi="宋体" w:cs="宋体"/>
                <w:kern w:val="0"/>
                <w:sz w:val="18"/>
                <w:szCs w:val="18"/>
              </w:rPr>
            </w:pPr>
            <w:r>
              <w:rPr>
                <w:rFonts w:hint="eastAsia" w:ascii="宋体" w:hAnsi="宋体" w:cs="宋体"/>
                <w:kern w:val="0"/>
                <w:sz w:val="18"/>
                <w:szCs w:val="18"/>
              </w:rPr>
              <w:t>0.00</w:t>
            </w:r>
          </w:p>
        </w:tc>
        <w:tc>
          <w:tcPr>
            <w:tcW w:w="946" w:type="dxa"/>
            <w:shd w:val="clear" w:color="auto" w:fill="auto"/>
            <w:noWrap/>
            <w:vAlign w:val="center"/>
          </w:tcPr>
          <w:p w14:paraId="59080010">
            <w:pPr>
              <w:widowControl/>
              <w:jc w:val="center"/>
              <w:rPr>
                <w:rFonts w:ascii="宋体" w:hAnsi="宋体" w:cs="宋体"/>
                <w:kern w:val="0"/>
                <w:sz w:val="18"/>
                <w:szCs w:val="18"/>
              </w:rPr>
            </w:pPr>
            <w:r>
              <w:rPr>
                <w:rFonts w:hint="eastAsia" w:ascii="宋体" w:hAnsi="宋体" w:cs="宋体"/>
                <w:kern w:val="0"/>
                <w:sz w:val="18"/>
                <w:szCs w:val="18"/>
              </w:rPr>
              <w:t>0.00</w:t>
            </w:r>
          </w:p>
        </w:tc>
        <w:tc>
          <w:tcPr>
            <w:tcW w:w="854" w:type="dxa"/>
            <w:shd w:val="clear" w:color="auto" w:fill="auto"/>
            <w:noWrap/>
            <w:vAlign w:val="center"/>
          </w:tcPr>
          <w:p w14:paraId="4DBAA4A7">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89" w:type="dxa"/>
            <w:shd w:val="clear" w:color="auto" w:fill="auto"/>
            <w:vAlign w:val="center"/>
          </w:tcPr>
          <w:p w14:paraId="18CFD37E">
            <w:pPr>
              <w:widowControl/>
              <w:jc w:val="center"/>
              <w:rPr>
                <w:rFonts w:ascii="宋体" w:hAnsi="宋体" w:cs="宋体"/>
                <w:kern w:val="0"/>
                <w:sz w:val="15"/>
                <w:szCs w:val="15"/>
              </w:rPr>
            </w:pPr>
            <w:r>
              <w:rPr>
                <w:rFonts w:hint="eastAsia" w:ascii="宋体" w:hAnsi="宋体" w:cs="宋体"/>
                <w:kern w:val="0"/>
                <w:sz w:val="15"/>
                <w:szCs w:val="15"/>
              </w:rPr>
              <w:t>因民镇</w:t>
            </w:r>
          </w:p>
        </w:tc>
        <w:tc>
          <w:tcPr>
            <w:tcW w:w="577" w:type="dxa"/>
            <w:shd w:val="clear" w:color="auto" w:fill="auto"/>
            <w:noWrap/>
            <w:vAlign w:val="center"/>
          </w:tcPr>
          <w:p w14:paraId="024272EC">
            <w:pPr>
              <w:widowControl/>
              <w:jc w:val="center"/>
              <w:rPr>
                <w:rFonts w:ascii="宋体" w:hAnsi="宋体" w:cs="宋体"/>
                <w:kern w:val="0"/>
                <w:sz w:val="18"/>
                <w:szCs w:val="18"/>
              </w:rPr>
            </w:pPr>
          </w:p>
        </w:tc>
      </w:tr>
      <w:tr w14:paraId="10E7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6B36613">
            <w:pPr>
              <w:widowControl/>
              <w:jc w:val="center"/>
              <w:rPr>
                <w:rFonts w:ascii="宋体" w:hAnsi="宋体" w:cs="宋体"/>
                <w:kern w:val="0"/>
                <w:sz w:val="18"/>
                <w:szCs w:val="18"/>
              </w:rPr>
            </w:pPr>
          </w:p>
        </w:tc>
        <w:tc>
          <w:tcPr>
            <w:tcW w:w="3659" w:type="dxa"/>
            <w:shd w:val="clear" w:color="auto" w:fill="auto"/>
            <w:noWrap/>
            <w:vAlign w:val="center"/>
          </w:tcPr>
          <w:p w14:paraId="415A86ED">
            <w:pPr>
              <w:widowControl/>
              <w:jc w:val="center"/>
              <w:rPr>
                <w:rFonts w:ascii="宋体" w:hAnsi="宋体" w:cs="宋体"/>
                <w:kern w:val="0"/>
                <w:sz w:val="18"/>
                <w:szCs w:val="18"/>
              </w:rPr>
            </w:pPr>
            <w:r>
              <w:rPr>
                <w:rFonts w:hint="eastAsia" w:ascii="宋体" w:hAnsi="宋体" w:cs="宋体"/>
                <w:kern w:val="0"/>
                <w:sz w:val="18"/>
                <w:szCs w:val="18"/>
              </w:rPr>
              <w:t>昆明生乾矿业公司尾矿库</w:t>
            </w:r>
          </w:p>
        </w:tc>
        <w:tc>
          <w:tcPr>
            <w:tcW w:w="796" w:type="dxa"/>
            <w:shd w:val="clear" w:color="auto" w:fill="auto"/>
            <w:noWrap/>
            <w:vAlign w:val="center"/>
          </w:tcPr>
          <w:p w14:paraId="7EDC7621">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21325776">
            <w:pPr>
              <w:widowControl/>
              <w:jc w:val="center"/>
              <w:rPr>
                <w:rFonts w:ascii="宋体" w:hAnsi="宋体" w:cs="宋体"/>
                <w:kern w:val="0"/>
                <w:sz w:val="18"/>
                <w:szCs w:val="18"/>
              </w:rPr>
            </w:pPr>
            <w:r>
              <w:rPr>
                <w:rFonts w:hint="eastAsia" w:ascii="宋体" w:hAnsi="宋体" w:cs="宋体"/>
                <w:kern w:val="0"/>
                <w:sz w:val="18"/>
                <w:szCs w:val="18"/>
              </w:rPr>
              <w:t>2012-2018</w:t>
            </w:r>
          </w:p>
        </w:tc>
        <w:tc>
          <w:tcPr>
            <w:tcW w:w="1026" w:type="dxa"/>
            <w:shd w:val="clear" w:color="auto" w:fill="auto"/>
            <w:noWrap/>
            <w:vAlign w:val="center"/>
          </w:tcPr>
          <w:p w14:paraId="57E8B1D0">
            <w:pPr>
              <w:widowControl/>
              <w:jc w:val="center"/>
              <w:rPr>
                <w:rFonts w:ascii="宋体" w:hAnsi="宋体" w:cs="宋体"/>
                <w:kern w:val="0"/>
                <w:sz w:val="18"/>
                <w:szCs w:val="18"/>
              </w:rPr>
            </w:pPr>
            <w:r>
              <w:rPr>
                <w:rFonts w:hint="eastAsia" w:ascii="宋体" w:hAnsi="宋体" w:cs="宋体"/>
                <w:kern w:val="0"/>
                <w:sz w:val="18"/>
                <w:szCs w:val="18"/>
              </w:rPr>
              <w:t>15.69</w:t>
            </w:r>
          </w:p>
        </w:tc>
        <w:tc>
          <w:tcPr>
            <w:tcW w:w="946" w:type="dxa"/>
            <w:shd w:val="clear" w:color="auto" w:fill="auto"/>
            <w:noWrap/>
            <w:vAlign w:val="center"/>
          </w:tcPr>
          <w:p w14:paraId="481727EE">
            <w:pPr>
              <w:widowControl/>
              <w:jc w:val="center"/>
              <w:rPr>
                <w:rFonts w:ascii="宋体" w:hAnsi="宋体" w:cs="宋体"/>
                <w:kern w:val="0"/>
                <w:sz w:val="18"/>
                <w:szCs w:val="18"/>
              </w:rPr>
            </w:pPr>
            <w:r>
              <w:rPr>
                <w:rFonts w:hint="eastAsia" w:ascii="宋体" w:hAnsi="宋体" w:cs="宋体"/>
                <w:kern w:val="0"/>
                <w:sz w:val="18"/>
                <w:szCs w:val="18"/>
              </w:rPr>
              <w:t>15.69</w:t>
            </w:r>
          </w:p>
        </w:tc>
        <w:tc>
          <w:tcPr>
            <w:tcW w:w="854" w:type="dxa"/>
            <w:shd w:val="clear" w:color="auto" w:fill="auto"/>
            <w:noWrap/>
            <w:vAlign w:val="center"/>
          </w:tcPr>
          <w:p w14:paraId="6A4FF7A5">
            <w:pPr>
              <w:widowControl/>
              <w:jc w:val="center"/>
              <w:rPr>
                <w:rFonts w:ascii="宋体" w:hAnsi="宋体" w:cs="宋体"/>
                <w:kern w:val="0"/>
                <w:sz w:val="18"/>
                <w:szCs w:val="18"/>
              </w:rPr>
            </w:pPr>
            <w:r>
              <w:rPr>
                <w:rFonts w:hint="eastAsia" w:ascii="宋体" w:hAnsi="宋体" w:cs="宋体"/>
                <w:kern w:val="0"/>
                <w:sz w:val="18"/>
                <w:szCs w:val="18"/>
              </w:rPr>
              <w:t xml:space="preserve">4.71 </w:t>
            </w:r>
          </w:p>
        </w:tc>
        <w:tc>
          <w:tcPr>
            <w:tcW w:w="1489" w:type="dxa"/>
            <w:shd w:val="clear" w:color="auto" w:fill="auto"/>
            <w:vAlign w:val="center"/>
          </w:tcPr>
          <w:p w14:paraId="52ECB66D">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4C58BCBD">
            <w:pPr>
              <w:widowControl/>
              <w:jc w:val="center"/>
              <w:rPr>
                <w:rFonts w:ascii="宋体" w:hAnsi="宋体" w:cs="宋体"/>
                <w:kern w:val="0"/>
                <w:sz w:val="18"/>
                <w:szCs w:val="18"/>
              </w:rPr>
            </w:pPr>
          </w:p>
        </w:tc>
      </w:tr>
      <w:tr w14:paraId="210E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05A0672">
            <w:pPr>
              <w:widowControl/>
              <w:jc w:val="center"/>
              <w:rPr>
                <w:rFonts w:ascii="宋体" w:hAnsi="宋体" w:cs="宋体"/>
                <w:kern w:val="0"/>
                <w:sz w:val="18"/>
                <w:szCs w:val="18"/>
              </w:rPr>
            </w:pPr>
          </w:p>
        </w:tc>
        <w:tc>
          <w:tcPr>
            <w:tcW w:w="3659" w:type="dxa"/>
            <w:shd w:val="clear" w:color="auto" w:fill="auto"/>
            <w:noWrap/>
            <w:vAlign w:val="center"/>
          </w:tcPr>
          <w:p w14:paraId="18D38653">
            <w:pPr>
              <w:widowControl/>
              <w:jc w:val="center"/>
              <w:rPr>
                <w:rFonts w:ascii="宋体" w:hAnsi="宋体" w:cs="宋体"/>
                <w:kern w:val="0"/>
                <w:sz w:val="18"/>
                <w:szCs w:val="18"/>
              </w:rPr>
            </w:pPr>
            <w:r>
              <w:rPr>
                <w:rFonts w:hint="eastAsia" w:ascii="宋体" w:hAnsi="宋体" w:cs="宋体"/>
                <w:kern w:val="0"/>
                <w:sz w:val="18"/>
                <w:szCs w:val="18"/>
              </w:rPr>
              <w:t>昆明玉东工贸有限公司土洞尾矿库（湿排）</w:t>
            </w:r>
          </w:p>
        </w:tc>
        <w:tc>
          <w:tcPr>
            <w:tcW w:w="796" w:type="dxa"/>
            <w:shd w:val="clear" w:color="auto" w:fill="auto"/>
            <w:noWrap/>
            <w:vAlign w:val="center"/>
          </w:tcPr>
          <w:p w14:paraId="5B1CF5FF">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DD262C2">
            <w:pPr>
              <w:widowControl/>
              <w:jc w:val="center"/>
              <w:rPr>
                <w:rFonts w:ascii="宋体" w:hAnsi="宋体" w:cs="宋体"/>
                <w:kern w:val="0"/>
                <w:sz w:val="18"/>
                <w:szCs w:val="18"/>
              </w:rPr>
            </w:pPr>
            <w:r>
              <w:rPr>
                <w:rFonts w:hint="eastAsia" w:ascii="宋体" w:hAnsi="宋体" w:cs="宋体"/>
                <w:kern w:val="0"/>
                <w:sz w:val="18"/>
                <w:szCs w:val="18"/>
              </w:rPr>
              <w:t>2012-2018</w:t>
            </w:r>
          </w:p>
        </w:tc>
        <w:tc>
          <w:tcPr>
            <w:tcW w:w="1026" w:type="dxa"/>
            <w:shd w:val="clear" w:color="auto" w:fill="auto"/>
            <w:noWrap/>
            <w:vAlign w:val="center"/>
          </w:tcPr>
          <w:p w14:paraId="1999002F">
            <w:pPr>
              <w:widowControl/>
              <w:jc w:val="center"/>
              <w:rPr>
                <w:rFonts w:ascii="宋体" w:hAnsi="宋体" w:cs="宋体"/>
                <w:kern w:val="0"/>
                <w:sz w:val="18"/>
                <w:szCs w:val="18"/>
              </w:rPr>
            </w:pPr>
            <w:r>
              <w:rPr>
                <w:rFonts w:hint="eastAsia" w:ascii="宋体" w:hAnsi="宋体" w:cs="宋体"/>
                <w:kern w:val="0"/>
                <w:sz w:val="18"/>
                <w:szCs w:val="18"/>
              </w:rPr>
              <w:t>0.00</w:t>
            </w:r>
          </w:p>
        </w:tc>
        <w:tc>
          <w:tcPr>
            <w:tcW w:w="946" w:type="dxa"/>
            <w:shd w:val="clear" w:color="auto" w:fill="auto"/>
            <w:noWrap/>
            <w:vAlign w:val="center"/>
          </w:tcPr>
          <w:p w14:paraId="2D22BEFE">
            <w:pPr>
              <w:widowControl/>
              <w:jc w:val="center"/>
              <w:rPr>
                <w:rFonts w:ascii="宋体" w:hAnsi="宋体" w:cs="宋体"/>
                <w:kern w:val="0"/>
                <w:sz w:val="18"/>
                <w:szCs w:val="18"/>
              </w:rPr>
            </w:pPr>
            <w:r>
              <w:rPr>
                <w:rFonts w:hint="eastAsia" w:ascii="宋体" w:hAnsi="宋体" w:cs="宋体"/>
                <w:kern w:val="0"/>
                <w:sz w:val="18"/>
                <w:szCs w:val="18"/>
              </w:rPr>
              <w:t>0.00</w:t>
            </w:r>
          </w:p>
        </w:tc>
        <w:tc>
          <w:tcPr>
            <w:tcW w:w="854" w:type="dxa"/>
            <w:shd w:val="clear" w:color="auto" w:fill="auto"/>
            <w:noWrap/>
            <w:vAlign w:val="center"/>
          </w:tcPr>
          <w:p w14:paraId="3A43A60F">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89" w:type="dxa"/>
            <w:shd w:val="clear" w:color="auto" w:fill="auto"/>
            <w:vAlign w:val="center"/>
          </w:tcPr>
          <w:p w14:paraId="4ADAE93D">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0052B471">
            <w:pPr>
              <w:widowControl/>
              <w:jc w:val="center"/>
              <w:rPr>
                <w:rFonts w:ascii="宋体" w:hAnsi="宋体" w:cs="宋体"/>
                <w:kern w:val="0"/>
                <w:sz w:val="18"/>
                <w:szCs w:val="18"/>
              </w:rPr>
            </w:pPr>
          </w:p>
        </w:tc>
      </w:tr>
      <w:tr w14:paraId="2680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ECD2EB5">
            <w:pPr>
              <w:widowControl/>
              <w:jc w:val="center"/>
              <w:rPr>
                <w:rFonts w:ascii="宋体" w:hAnsi="宋体" w:cs="宋体"/>
                <w:kern w:val="0"/>
                <w:sz w:val="18"/>
                <w:szCs w:val="18"/>
              </w:rPr>
            </w:pPr>
          </w:p>
        </w:tc>
        <w:tc>
          <w:tcPr>
            <w:tcW w:w="3659" w:type="dxa"/>
            <w:shd w:val="clear" w:color="auto" w:fill="auto"/>
            <w:noWrap/>
            <w:vAlign w:val="center"/>
          </w:tcPr>
          <w:p w14:paraId="6E549F2C">
            <w:pPr>
              <w:widowControl/>
              <w:jc w:val="center"/>
              <w:rPr>
                <w:rFonts w:ascii="宋体" w:hAnsi="宋体" w:cs="宋体"/>
                <w:kern w:val="0"/>
                <w:sz w:val="18"/>
                <w:szCs w:val="18"/>
              </w:rPr>
            </w:pPr>
            <w:r>
              <w:rPr>
                <w:rFonts w:hint="eastAsia" w:ascii="宋体" w:hAnsi="宋体" w:cs="宋体"/>
                <w:kern w:val="0"/>
                <w:sz w:val="18"/>
                <w:szCs w:val="18"/>
              </w:rPr>
              <w:t>云南金山矿业有限公司东川区人占石铜矿尾矿库</w:t>
            </w:r>
          </w:p>
        </w:tc>
        <w:tc>
          <w:tcPr>
            <w:tcW w:w="796" w:type="dxa"/>
            <w:shd w:val="clear" w:color="auto" w:fill="auto"/>
            <w:noWrap/>
            <w:vAlign w:val="center"/>
          </w:tcPr>
          <w:p w14:paraId="6495899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D8FA1AF">
            <w:pPr>
              <w:widowControl/>
              <w:jc w:val="center"/>
              <w:rPr>
                <w:rFonts w:ascii="宋体" w:hAnsi="宋体" w:cs="宋体"/>
                <w:kern w:val="0"/>
                <w:sz w:val="18"/>
                <w:szCs w:val="18"/>
              </w:rPr>
            </w:pPr>
            <w:r>
              <w:rPr>
                <w:rFonts w:hint="eastAsia" w:ascii="宋体" w:hAnsi="宋体" w:cs="宋体"/>
                <w:kern w:val="0"/>
                <w:sz w:val="18"/>
                <w:szCs w:val="18"/>
              </w:rPr>
              <w:t>2014-2020</w:t>
            </w:r>
          </w:p>
        </w:tc>
        <w:tc>
          <w:tcPr>
            <w:tcW w:w="1026" w:type="dxa"/>
            <w:shd w:val="clear" w:color="auto" w:fill="auto"/>
            <w:noWrap/>
            <w:vAlign w:val="center"/>
          </w:tcPr>
          <w:p w14:paraId="2B145097">
            <w:pPr>
              <w:widowControl/>
              <w:jc w:val="center"/>
              <w:rPr>
                <w:rFonts w:ascii="宋体" w:hAnsi="宋体" w:cs="宋体"/>
                <w:kern w:val="0"/>
                <w:sz w:val="18"/>
                <w:szCs w:val="18"/>
              </w:rPr>
            </w:pPr>
            <w:r>
              <w:rPr>
                <w:rFonts w:hint="eastAsia" w:ascii="宋体" w:hAnsi="宋体" w:cs="宋体"/>
                <w:kern w:val="0"/>
                <w:sz w:val="18"/>
                <w:szCs w:val="18"/>
              </w:rPr>
              <w:t>0.00</w:t>
            </w:r>
          </w:p>
        </w:tc>
        <w:tc>
          <w:tcPr>
            <w:tcW w:w="946" w:type="dxa"/>
            <w:shd w:val="clear" w:color="auto" w:fill="auto"/>
            <w:noWrap/>
            <w:vAlign w:val="center"/>
          </w:tcPr>
          <w:p w14:paraId="7FF800C4">
            <w:pPr>
              <w:widowControl/>
              <w:jc w:val="center"/>
              <w:rPr>
                <w:rFonts w:ascii="宋体" w:hAnsi="宋体" w:cs="宋体"/>
                <w:kern w:val="0"/>
                <w:sz w:val="18"/>
                <w:szCs w:val="18"/>
              </w:rPr>
            </w:pPr>
            <w:r>
              <w:rPr>
                <w:rFonts w:hint="eastAsia" w:ascii="宋体" w:hAnsi="宋体" w:cs="宋体"/>
                <w:kern w:val="0"/>
                <w:sz w:val="18"/>
                <w:szCs w:val="18"/>
              </w:rPr>
              <w:t>0.00</w:t>
            </w:r>
          </w:p>
        </w:tc>
        <w:tc>
          <w:tcPr>
            <w:tcW w:w="854" w:type="dxa"/>
            <w:shd w:val="clear" w:color="auto" w:fill="auto"/>
            <w:noWrap/>
            <w:vAlign w:val="center"/>
          </w:tcPr>
          <w:p w14:paraId="061FE4E7">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89" w:type="dxa"/>
            <w:shd w:val="clear" w:color="auto" w:fill="auto"/>
            <w:vAlign w:val="center"/>
          </w:tcPr>
          <w:p w14:paraId="0FC989CC">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4594B8DB">
            <w:pPr>
              <w:widowControl/>
              <w:jc w:val="center"/>
              <w:rPr>
                <w:rFonts w:ascii="宋体" w:hAnsi="宋体" w:cs="宋体"/>
                <w:kern w:val="0"/>
                <w:sz w:val="18"/>
                <w:szCs w:val="18"/>
              </w:rPr>
            </w:pPr>
          </w:p>
        </w:tc>
      </w:tr>
      <w:tr w14:paraId="04D4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A7D9643">
            <w:pPr>
              <w:widowControl/>
              <w:jc w:val="center"/>
              <w:rPr>
                <w:rFonts w:ascii="宋体" w:hAnsi="宋体" w:cs="宋体"/>
                <w:kern w:val="0"/>
                <w:sz w:val="18"/>
                <w:szCs w:val="18"/>
              </w:rPr>
            </w:pPr>
          </w:p>
        </w:tc>
        <w:tc>
          <w:tcPr>
            <w:tcW w:w="3659" w:type="dxa"/>
            <w:shd w:val="clear" w:color="auto" w:fill="auto"/>
            <w:noWrap/>
            <w:vAlign w:val="center"/>
          </w:tcPr>
          <w:p w14:paraId="6D216441">
            <w:pPr>
              <w:widowControl/>
              <w:jc w:val="center"/>
              <w:rPr>
                <w:rFonts w:ascii="宋体" w:hAnsi="宋体" w:cs="宋体"/>
                <w:kern w:val="0"/>
                <w:sz w:val="18"/>
                <w:szCs w:val="18"/>
              </w:rPr>
            </w:pPr>
            <w:r>
              <w:rPr>
                <w:rFonts w:hint="eastAsia" w:ascii="宋体" w:hAnsi="宋体" w:cs="宋体"/>
                <w:kern w:val="0"/>
                <w:sz w:val="18"/>
                <w:szCs w:val="18"/>
              </w:rPr>
              <w:t>云南金山矿业有限公司新山金矿尾矿库</w:t>
            </w:r>
          </w:p>
        </w:tc>
        <w:tc>
          <w:tcPr>
            <w:tcW w:w="796" w:type="dxa"/>
            <w:shd w:val="clear" w:color="auto" w:fill="auto"/>
            <w:noWrap/>
            <w:vAlign w:val="center"/>
          </w:tcPr>
          <w:p w14:paraId="4424EFE5">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61F30B8">
            <w:pPr>
              <w:widowControl/>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02E6737E">
            <w:pPr>
              <w:widowControl/>
              <w:jc w:val="center"/>
              <w:rPr>
                <w:rFonts w:ascii="宋体" w:hAnsi="宋体" w:cs="宋体"/>
                <w:kern w:val="0"/>
                <w:sz w:val="18"/>
                <w:szCs w:val="18"/>
              </w:rPr>
            </w:pPr>
            <w:r>
              <w:rPr>
                <w:rFonts w:hint="eastAsia" w:ascii="宋体" w:hAnsi="宋体" w:cs="宋体"/>
                <w:kern w:val="0"/>
                <w:sz w:val="18"/>
                <w:szCs w:val="18"/>
              </w:rPr>
              <w:t>31.36</w:t>
            </w:r>
          </w:p>
        </w:tc>
        <w:tc>
          <w:tcPr>
            <w:tcW w:w="946" w:type="dxa"/>
            <w:shd w:val="clear" w:color="auto" w:fill="auto"/>
            <w:noWrap/>
            <w:vAlign w:val="center"/>
          </w:tcPr>
          <w:p w14:paraId="7237D6E9">
            <w:pPr>
              <w:widowControl/>
              <w:jc w:val="center"/>
              <w:rPr>
                <w:rFonts w:ascii="宋体" w:hAnsi="宋体" w:cs="宋体"/>
                <w:kern w:val="0"/>
                <w:sz w:val="18"/>
                <w:szCs w:val="18"/>
              </w:rPr>
            </w:pPr>
            <w:r>
              <w:rPr>
                <w:rFonts w:hint="eastAsia" w:ascii="宋体" w:hAnsi="宋体" w:cs="宋体"/>
                <w:kern w:val="0"/>
                <w:sz w:val="18"/>
                <w:szCs w:val="18"/>
              </w:rPr>
              <w:t>31.36</w:t>
            </w:r>
          </w:p>
        </w:tc>
        <w:tc>
          <w:tcPr>
            <w:tcW w:w="854" w:type="dxa"/>
            <w:shd w:val="clear" w:color="auto" w:fill="auto"/>
            <w:noWrap/>
            <w:vAlign w:val="center"/>
          </w:tcPr>
          <w:p w14:paraId="3639E262">
            <w:pPr>
              <w:widowControl/>
              <w:jc w:val="center"/>
              <w:rPr>
                <w:rFonts w:ascii="宋体" w:hAnsi="宋体" w:cs="宋体"/>
                <w:kern w:val="0"/>
                <w:sz w:val="18"/>
                <w:szCs w:val="18"/>
              </w:rPr>
            </w:pPr>
            <w:r>
              <w:rPr>
                <w:rFonts w:hint="eastAsia" w:ascii="宋体" w:hAnsi="宋体" w:cs="宋体"/>
                <w:kern w:val="0"/>
                <w:sz w:val="18"/>
                <w:szCs w:val="18"/>
              </w:rPr>
              <w:t xml:space="preserve">9.41 </w:t>
            </w:r>
          </w:p>
        </w:tc>
        <w:tc>
          <w:tcPr>
            <w:tcW w:w="1489" w:type="dxa"/>
            <w:shd w:val="clear" w:color="auto" w:fill="auto"/>
            <w:vAlign w:val="center"/>
          </w:tcPr>
          <w:p w14:paraId="7F0DE2B1">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5A3206B0">
            <w:pPr>
              <w:widowControl/>
              <w:jc w:val="center"/>
              <w:rPr>
                <w:rFonts w:ascii="宋体" w:hAnsi="宋体" w:cs="宋体"/>
                <w:kern w:val="0"/>
                <w:sz w:val="18"/>
                <w:szCs w:val="18"/>
              </w:rPr>
            </w:pPr>
          </w:p>
        </w:tc>
      </w:tr>
      <w:tr w14:paraId="1C48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79C6977">
            <w:pPr>
              <w:widowControl/>
              <w:jc w:val="center"/>
              <w:rPr>
                <w:rFonts w:ascii="宋体" w:hAnsi="宋体" w:cs="宋体"/>
                <w:kern w:val="0"/>
                <w:sz w:val="18"/>
                <w:szCs w:val="18"/>
              </w:rPr>
            </w:pPr>
          </w:p>
        </w:tc>
        <w:tc>
          <w:tcPr>
            <w:tcW w:w="3659" w:type="dxa"/>
            <w:shd w:val="clear" w:color="auto" w:fill="auto"/>
            <w:noWrap/>
            <w:vAlign w:val="center"/>
          </w:tcPr>
          <w:p w14:paraId="0EA53EF3">
            <w:pPr>
              <w:widowControl/>
              <w:jc w:val="center"/>
              <w:rPr>
                <w:rFonts w:ascii="宋体" w:hAnsi="宋体" w:cs="宋体"/>
                <w:kern w:val="0"/>
                <w:sz w:val="18"/>
                <w:szCs w:val="18"/>
              </w:rPr>
            </w:pPr>
            <w:r>
              <w:rPr>
                <w:rFonts w:hint="eastAsia" w:ascii="宋体" w:hAnsi="宋体" w:cs="宋体"/>
                <w:kern w:val="0"/>
                <w:sz w:val="18"/>
                <w:szCs w:val="18"/>
              </w:rPr>
              <w:t>昆明市中航磷化工有限公司</w:t>
            </w:r>
          </w:p>
        </w:tc>
        <w:tc>
          <w:tcPr>
            <w:tcW w:w="796" w:type="dxa"/>
            <w:shd w:val="clear" w:color="auto" w:fill="auto"/>
            <w:noWrap/>
            <w:vAlign w:val="center"/>
          </w:tcPr>
          <w:p w14:paraId="5156DE4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5990686">
            <w:pPr>
              <w:widowControl/>
              <w:jc w:val="center"/>
              <w:rPr>
                <w:rFonts w:ascii="宋体" w:hAnsi="宋体" w:cs="宋体"/>
                <w:kern w:val="0"/>
                <w:sz w:val="18"/>
                <w:szCs w:val="18"/>
              </w:rPr>
            </w:pPr>
            <w:r>
              <w:rPr>
                <w:rFonts w:hint="eastAsia" w:ascii="宋体" w:hAnsi="宋体" w:cs="宋体"/>
                <w:kern w:val="0"/>
                <w:sz w:val="18"/>
                <w:szCs w:val="18"/>
              </w:rPr>
              <w:t>2014-2020</w:t>
            </w:r>
          </w:p>
        </w:tc>
        <w:tc>
          <w:tcPr>
            <w:tcW w:w="1026" w:type="dxa"/>
            <w:shd w:val="clear" w:color="auto" w:fill="auto"/>
            <w:noWrap/>
            <w:vAlign w:val="center"/>
          </w:tcPr>
          <w:p w14:paraId="5074BFAC">
            <w:pPr>
              <w:widowControl/>
              <w:jc w:val="center"/>
              <w:rPr>
                <w:rFonts w:ascii="宋体" w:hAnsi="宋体" w:cs="宋体"/>
                <w:kern w:val="0"/>
                <w:sz w:val="18"/>
                <w:szCs w:val="18"/>
              </w:rPr>
            </w:pPr>
            <w:r>
              <w:rPr>
                <w:rFonts w:hint="eastAsia" w:ascii="宋体" w:hAnsi="宋体" w:cs="宋体"/>
                <w:kern w:val="0"/>
                <w:sz w:val="18"/>
                <w:szCs w:val="18"/>
              </w:rPr>
              <w:t>26.032</w:t>
            </w:r>
          </w:p>
        </w:tc>
        <w:tc>
          <w:tcPr>
            <w:tcW w:w="946" w:type="dxa"/>
            <w:shd w:val="clear" w:color="auto" w:fill="auto"/>
            <w:noWrap/>
            <w:vAlign w:val="center"/>
          </w:tcPr>
          <w:p w14:paraId="1049FE0C">
            <w:pPr>
              <w:widowControl/>
              <w:jc w:val="center"/>
              <w:rPr>
                <w:rFonts w:ascii="宋体" w:hAnsi="宋体" w:cs="宋体"/>
                <w:kern w:val="0"/>
                <w:sz w:val="18"/>
                <w:szCs w:val="18"/>
              </w:rPr>
            </w:pPr>
            <w:r>
              <w:rPr>
                <w:rFonts w:hint="eastAsia" w:ascii="宋体" w:hAnsi="宋体" w:cs="宋体"/>
                <w:kern w:val="0"/>
                <w:sz w:val="18"/>
                <w:szCs w:val="18"/>
              </w:rPr>
              <w:t>26.032</w:t>
            </w:r>
          </w:p>
        </w:tc>
        <w:tc>
          <w:tcPr>
            <w:tcW w:w="854" w:type="dxa"/>
            <w:shd w:val="clear" w:color="auto" w:fill="auto"/>
            <w:noWrap/>
            <w:vAlign w:val="center"/>
          </w:tcPr>
          <w:p w14:paraId="42C807C3">
            <w:pPr>
              <w:widowControl/>
              <w:jc w:val="center"/>
              <w:rPr>
                <w:rFonts w:ascii="宋体" w:hAnsi="宋体" w:cs="宋体"/>
                <w:kern w:val="0"/>
                <w:sz w:val="18"/>
                <w:szCs w:val="18"/>
              </w:rPr>
            </w:pPr>
            <w:r>
              <w:rPr>
                <w:rFonts w:hint="eastAsia" w:ascii="宋体" w:hAnsi="宋体" w:cs="宋体"/>
                <w:kern w:val="0"/>
                <w:sz w:val="18"/>
                <w:szCs w:val="18"/>
              </w:rPr>
              <w:t xml:space="preserve">7.81 </w:t>
            </w:r>
          </w:p>
        </w:tc>
        <w:tc>
          <w:tcPr>
            <w:tcW w:w="1489" w:type="dxa"/>
            <w:shd w:val="clear" w:color="auto" w:fill="auto"/>
            <w:vAlign w:val="center"/>
          </w:tcPr>
          <w:p w14:paraId="06876221">
            <w:pPr>
              <w:widowControl/>
              <w:jc w:val="center"/>
              <w:rPr>
                <w:rFonts w:ascii="宋体" w:hAnsi="宋体" w:cs="宋体"/>
                <w:kern w:val="0"/>
                <w:sz w:val="15"/>
                <w:szCs w:val="15"/>
              </w:rPr>
            </w:pPr>
            <w:r>
              <w:rPr>
                <w:rFonts w:hint="eastAsia" w:ascii="宋体" w:hAnsi="宋体" w:cs="宋体"/>
                <w:kern w:val="0"/>
                <w:sz w:val="15"/>
                <w:szCs w:val="15"/>
              </w:rPr>
              <w:t>阿旺镇</w:t>
            </w:r>
          </w:p>
        </w:tc>
        <w:tc>
          <w:tcPr>
            <w:tcW w:w="577" w:type="dxa"/>
            <w:shd w:val="clear" w:color="auto" w:fill="auto"/>
            <w:noWrap/>
            <w:vAlign w:val="center"/>
          </w:tcPr>
          <w:p w14:paraId="04A8BF47">
            <w:pPr>
              <w:widowControl/>
              <w:jc w:val="center"/>
              <w:rPr>
                <w:rFonts w:ascii="宋体" w:hAnsi="宋体" w:cs="宋体"/>
                <w:kern w:val="0"/>
                <w:sz w:val="18"/>
                <w:szCs w:val="18"/>
              </w:rPr>
            </w:pPr>
          </w:p>
        </w:tc>
      </w:tr>
      <w:tr w14:paraId="40C7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1490362">
            <w:pPr>
              <w:widowControl/>
              <w:jc w:val="center"/>
              <w:rPr>
                <w:rFonts w:ascii="宋体" w:hAnsi="宋体" w:cs="宋体"/>
                <w:kern w:val="0"/>
                <w:sz w:val="18"/>
                <w:szCs w:val="18"/>
              </w:rPr>
            </w:pPr>
          </w:p>
        </w:tc>
        <w:tc>
          <w:tcPr>
            <w:tcW w:w="3659" w:type="dxa"/>
            <w:shd w:val="clear" w:color="auto" w:fill="auto"/>
            <w:noWrap/>
            <w:vAlign w:val="center"/>
          </w:tcPr>
          <w:p w14:paraId="5CBF4DF8">
            <w:pPr>
              <w:widowControl/>
              <w:jc w:val="center"/>
              <w:rPr>
                <w:rFonts w:ascii="宋体" w:hAnsi="宋体" w:cs="宋体"/>
                <w:kern w:val="0"/>
                <w:sz w:val="18"/>
                <w:szCs w:val="18"/>
              </w:rPr>
            </w:pPr>
            <w:r>
              <w:rPr>
                <w:rFonts w:hint="eastAsia" w:ascii="宋体" w:hAnsi="宋体" w:cs="宋体"/>
                <w:kern w:val="0"/>
                <w:sz w:val="18"/>
                <w:szCs w:val="18"/>
              </w:rPr>
              <w:t>云南天生塘矿业有限公司</w:t>
            </w:r>
          </w:p>
        </w:tc>
        <w:tc>
          <w:tcPr>
            <w:tcW w:w="796" w:type="dxa"/>
            <w:shd w:val="clear" w:color="auto" w:fill="auto"/>
            <w:noWrap/>
            <w:vAlign w:val="center"/>
          </w:tcPr>
          <w:p w14:paraId="7983ABD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55F4492">
            <w:pPr>
              <w:widowControl/>
              <w:jc w:val="center"/>
              <w:rPr>
                <w:rFonts w:ascii="宋体" w:hAnsi="宋体" w:cs="宋体"/>
                <w:kern w:val="0"/>
                <w:sz w:val="18"/>
                <w:szCs w:val="18"/>
              </w:rPr>
            </w:pPr>
            <w:r>
              <w:rPr>
                <w:rFonts w:hint="eastAsia" w:ascii="宋体" w:hAnsi="宋体" w:cs="宋体"/>
                <w:kern w:val="0"/>
                <w:sz w:val="18"/>
                <w:szCs w:val="18"/>
              </w:rPr>
              <w:t>2011-2015</w:t>
            </w:r>
          </w:p>
        </w:tc>
        <w:tc>
          <w:tcPr>
            <w:tcW w:w="1026" w:type="dxa"/>
            <w:shd w:val="clear" w:color="auto" w:fill="auto"/>
            <w:noWrap/>
            <w:vAlign w:val="center"/>
          </w:tcPr>
          <w:p w14:paraId="4EE74D0D">
            <w:pPr>
              <w:widowControl/>
              <w:jc w:val="center"/>
              <w:rPr>
                <w:rFonts w:ascii="宋体" w:hAnsi="宋体" w:cs="宋体"/>
                <w:kern w:val="0"/>
                <w:sz w:val="18"/>
                <w:szCs w:val="18"/>
              </w:rPr>
            </w:pPr>
            <w:r>
              <w:rPr>
                <w:rFonts w:hint="eastAsia" w:ascii="宋体" w:hAnsi="宋体" w:cs="宋体"/>
                <w:kern w:val="0"/>
                <w:sz w:val="18"/>
                <w:szCs w:val="18"/>
              </w:rPr>
              <w:t>0.26</w:t>
            </w:r>
          </w:p>
        </w:tc>
        <w:tc>
          <w:tcPr>
            <w:tcW w:w="946" w:type="dxa"/>
            <w:shd w:val="clear" w:color="auto" w:fill="auto"/>
            <w:noWrap/>
            <w:vAlign w:val="center"/>
          </w:tcPr>
          <w:p w14:paraId="5FD17F1A">
            <w:pPr>
              <w:widowControl/>
              <w:jc w:val="center"/>
              <w:rPr>
                <w:rFonts w:ascii="宋体" w:hAnsi="宋体" w:cs="宋体"/>
                <w:kern w:val="0"/>
                <w:sz w:val="18"/>
                <w:szCs w:val="18"/>
              </w:rPr>
            </w:pPr>
            <w:r>
              <w:rPr>
                <w:rFonts w:hint="eastAsia" w:ascii="宋体" w:hAnsi="宋体" w:cs="宋体"/>
                <w:kern w:val="0"/>
                <w:sz w:val="18"/>
                <w:szCs w:val="18"/>
              </w:rPr>
              <w:t>0.26</w:t>
            </w:r>
          </w:p>
        </w:tc>
        <w:tc>
          <w:tcPr>
            <w:tcW w:w="854" w:type="dxa"/>
            <w:shd w:val="clear" w:color="auto" w:fill="auto"/>
            <w:noWrap/>
            <w:vAlign w:val="center"/>
          </w:tcPr>
          <w:p w14:paraId="4C2F9987">
            <w:pPr>
              <w:widowControl/>
              <w:jc w:val="center"/>
              <w:rPr>
                <w:rFonts w:ascii="宋体" w:hAnsi="宋体" w:cs="宋体"/>
                <w:kern w:val="0"/>
                <w:sz w:val="18"/>
                <w:szCs w:val="18"/>
              </w:rPr>
            </w:pPr>
            <w:r>
              <w:rPr>
                <w:rFonts w:hint="eastAsia" w:ascii="宋体" w:hAnsi="宋体" w:cs="宋体"/>
                <w:kern w:val="0"/>
                <w:sz w:val="18"/>
                <w:szCs w:val="18"/>
              </w:rPr>
              <w:t xml:space="preserve">0.08 </w:t>
            </w:r>
          </w:p>
        </w:tc>
        <w:tc>
          <w:tcPr>
            <w:tcW w:w="1489" w:type="dxa"/>
            <w:shd w:val="clear" w:color="auto" w:fill="auto"/>
            <w:vAlign w:val="center"/>
          </w:tcPr>
          <w:p w14:paraId="2CEB860D">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0A1BB732">
            <w:pPr>
              <w:widowControl/>
              <w:jc w:val="center"/>
              <w:rPr>
                <w:rFonts w:ascii="宋体" w:hAnsi="宋体" w:cs="宋体"/>
                <w:kern w:val="0"/>
                <w:sz w:val="18"/>
                <w:szCs w:val="18"/>
              </w:rPr>
            </w:pPr>
          </w:p>
        </w:tc>
      </w:tr>
      <w:tr w14:paraId="0100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7CAC1AA">
            <w:pPr>
              <w:widowControl/>
              <w:jc w:val="center"/>
              <w:rPr>
                <w:rFonts w:ascii="宋体" w:hAnsi="宋体" w:cs="宋体"/>
                <w:kern w:val="0"/>
                <w:sz w:val="18"/>
                <w:szCs w:val="18"/>
              </w:rPr>
            </w:pPr>
          </w:p>
        </w:tc>
        <w:tc>
          <w:tcPr>
            <w:tcW w:w="3659" w:type="dxa"/>
            <w:shd w:val="clear" w:color="auto" w:fill="auto"/>
            <w:noWrap/>
            <w:vAlign w:val="center"/>
          </w:tcPr>
          <w:p w14:paraId="6D74EF35">
            <w:pPr>
              <w:widowControl/>
              <w:jc w:val="center"/>
              <w:rPr>
                <w:rFonts w:ascii="宋体" w:hAnsi="宋体" w:cs="宋体"/>
                <w:kern w:val="0"/>
                <w:sz w:val="18"/>
                <w:szCs w:val="18"/>
              </w:rPr>
            </w:pPr>
            <w:r>
              <w:rPr>
                <w:rFonts w:hint="eastAsia" w:ascii="宋体" w:hAnsi="宋体" w:cs="宋体"/>
                <w:kern w:val="0"/>
                <w:sz w:val="18"/>
                <w:szCs w:val="18"/>
              </w:rPr>
              <w:t>金新翼矿业有限公司</w:t>
            </w:r>
          </w:p>
        </w:tc>
        <w:tc>
          <w:tcPr>
            <w:tcW w:w="796" w:type="dxa"/>
            <w:shd w:val="clear" w:color="auto" w:fill="auto"/>
            <w:noWrap/>
            <w:vAlign w:val="center"/>
          </w:tcPr>
          <w:p w14:paraId="1396676F">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530BA012">
            <w:pPr>
              <w:widowControl/>
              <w:jc w:val="center"/>
              <w:rPr>
                <w:rFonts w:ascii="宋体" w:hAnsi="宋体" w:cs="宋体"/>
                <w:kern w:val="0"/>
                <w:sz w:val="18"/>
                <w:szCs w:val="18"/>
              </w:rPr>
            </w:pPr>
            <w:r>
              <w:rPr>
                <w:rFonts w:hint="eastAsia" w:ascii="宋体" w:hAnsi="宋体" w:cs="宋体"/>
                <w:kern w:val="0"/>
                <w:sz w:val="18"/>
                <w:szCs w:val="18"/>
              </w:rPr>
              <w:t>2014-2016</w:t>
            </w:r>
          </w:p>
        </w:tc>
        <w:tc>
          <w:tcPr>
            <w:tcW w:w="1026" w:type="dxa"/>
            <w:shd w:val="clear" w:color="auto" w:fill="auto"/>
            <w:noWrap/>
            <w:vAlign w:val="center"/>
          </w:tcPr>
          <w:p w14:paraId="5DA68BA9">
            <w:pPr>
              <w:widowControl/>
              <w:jc w:val="center"/>
              <w:rPr>
                <w:rFonts w:ascii="宋体" w:hAnsi="宋体" w:cs="宋体"/>
                <w:kern w:val="0"/>
                <w:sz w:val="18"/>
                <w:szCs w:val="18"/>
              </w:rPr>
            </w:pPr>
            <w:r>
              <w:rPr>
                <w:rFonts w:hint="eastAsia" w:ascii="宋体" w:hAnsi="宋体" w:cs="宋体"/>
                <w:kern w:val="0"/>
                <w:sz w:val="18"/>
                <w:szCs w:val="18"/>
              </w:rPr>
              <w:t>14.40</w:t>
            </w:r>
          </w:p>
        </w:tc>
        <w:tc>
          <w:tcPr>
            <w:tcW w:w="946" w:type="dxa"/>
            <w:shd w:val="clear" w:color="auto" w:fill="auto"/>
            <w:noWrap/>
            <w:vAlign w:val="center"/>
          </w:tcPr>
          <w:p w14:paraId="030F88FC">
            <w:pPr>
              <w:widowControl/>
              <w:jc w:val="center"/>
              <w:rPr>
                <w:rFonts w:ascii="宋体" w:hAnsi="宋体" w:cs="宋体"/>
                <w:kern w:val="0"/>
                <w:sz w:val="18"/>
                <w:szCs w:val="18"/>
              </w:rPr>
            </w:pPr>
            <w:r>
              <w:rPr>
                <w:rFonts w:hint="eastAsia" w:ascii="宋体" w:hAnsi="宋体" w:cs="宋体"/>
                <w:kern w:val="0"/>
                <w:sz w:val="18"/>
                <w:szCs w:val="18"/>
              </w:rPr>
              <w:t>14.40</w:t>
            </w:r>
          </w:p>
        </w:tc>
        <w:tc>
          <w:tcPr>
            <w:tcW w:w="854" w:type="dxa"/>
            <w:shd w:val="clear" w:color="auto" w:fill="auto"/>
            <w:noWrap/>
            <w:vAlign w:val="center"/>
          </w:tcPr>
          <w:p w14:paraId="392FB6FC">
            <w:pPr>
              <w:widowControl/>
              <w:jc w:val="center"/>
              <w:rPr>
                <w:rFonts w:ascii="宋体" w:hAnsi="宋体" w:cs="宋体"/>
                <w:kern w:val="0"/>
                <w:sz w:val="18"/>
                <w:szCs w:val="18"/>
              </w:rPr>
            </w:pPr>
            <w:r>
              <w:rPr>
                <w:rFonts w:hint="eastAsia" w:ascii="宋体" w:hAnsi="宋体" w:cs="宋体"/>
                <w:kern w:val="0"/>
                <w:sz w:val="18"/>
                <w:szCs w:val="18"/>
              </w:rPr>
              <w:t xml:space="preserve">4.32 </w:t>
            </w:r>
          </w:p>
        </w:tc>
        <w:tc>
          <w:tcPr>
            <w:tcW w:w="1489" w:type="dxa"/>
            <w:shd w:val="clear" w:color="auto" w:fill="auto"/>
            <w:vAlign w:val="center"/>
          </w:tcPr>
          <w:p w14:paraId="5CEF4061">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1637481B">
            <w:pPr>
              <w:widowControl/>
              <w:jc w:val="center"/>
              <w:rPr>
                <w:rFonts w:ascii="宋体" w:hAnsi="宋体" w:cs="宋体"/>
                <w:kern w:val="0"/>
                <w:sz w:val="18"/>
                <w:szCs w:val="18"/>
              </w:rPr>
            </w:pPr>
          </w:p>
        </w:tc>
      </w:tr>
      <w:tr w14:paraId="2778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40BF7ED">
            <w:pPr>
              <w:widowControl/>
              <w:jc w:val="center"/>
              <w:rPr>
                <w:rFonts w:ascii="宋体" w:hAnsi="宋体" w:cs="宋体"/>
                <w:kern w:val="0"/>
                <w:sz w:val="18"/>
                <w:szCs w:val="18"/>
              </w:rPr>
            </w:pPr>
          </w:p>
        </w:tc>
        <w:tc>
          <w:tcPr>
            <w:tcW w:w="3659" w:type="dxa"/>
            <w:shd w:val="clear" w:color="auto" w:fill="auto"/>
            <w:noWrap/>
            <w:vAlign w:val="center"/>
          </w:tcPr>
          <w:p w14:paraId="73AF1753">
            <w:pPr>
              <w:widowControl/>
              <w:jc w:val="center"/>
              <w:rPr>
                <w:rFonts w:ascii="宋体" w:hAnsi="宋体" w:cs="宋体"/>
                <w:kern w:val="0"/>
                <w:sz w:val="18"/>
                <w:szCs w:val="18"/>
              </w:rPr>
            </w:pPr>
            <w:r>
              <w:rPr>
                <w:rFonts w:hint="eastAsia" w:ascii="宋体" w:hAnsi="宋体" w:cs="宋体"/>
                <w:kern w:val="0"/>
                <w:sz w:val="18"/>
                <w:szCs w:val="18"/>
              </w:rPr>
              <w:t>云南紫润矿业有限公司绿茂紫牛大凹子尾矿库</w:t>
            </w:r>
          </w:p>
        </w:tc>
        <w:tc>
          <w:tcPr>
            <w:tcW w:w="796" w:type="dxa"/>
            <w:shd w:val="clear" w:color="auto" w:fill="auto"/>
            <w:noWrap/>
            <w:vAlign w:val="center"/>
          </w:tcPr>
          <w:p w14:paraId="62B800D0">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FC77C5D">
            <w:pPr>
              <w:widowControl/>
              <w:jc w:val="center"/>
              <w:rPr>
                <w:rFonts w:ascii="宋体" w:hAnsi="宋体" w:cs="宋体"/>
                <w:kern w:val="0"/>
                <w:sz w:val="18"/>
                <w:szCs w:val="18"/>
              </w:rPr>
            </w:pPr>
            <w:r>
              <w:rPr>
                <w:rFonts w:hint="eastAsia" w:ascii="宋体" w:hAnsi="宋体" w:cs="宋体"/>
                <w:kern w:val="0"/>
                <w:sz w:val="18"/>
                <w:szCs w:val="18"/>
              </w:rPr>
              <w:t>2010-2020</w:t>
            </w:r>
          </w:p>
        </w:tc>
        <w:tc>
          <w:tcPr>
            <w:tcW w:w="1026" w:type="dxa"/>
            <w:shd w:val="clear" w:color="auto" w:fill="auto"/>
            <w:noWrap/>
            <w:vAlign w:val="center"/>
          </w:tcPr>
          <w:p w14:paraId="47E0E644">
            <w:pPr>
              <w:widowControl/>
              <w:jc w:val="center"/>
              <w:rPr>
                <w:rFonts w:ascii="宋体" w:hAnsi="宋体" w:cs="宋体"/>
                <w:kern w:val="0"/>
                <w:sz w:val="18"/>
                <w:szCs w:val="18"/>
              </w:rPr>
            </w:pPr>
            <w:r>
              <w:rPr>
                <w:rFonts w:hint="eastAsia" w:ascii="宋体" w:hAnsi="宋体" w:cs="宋体"/>
                <w:kern w:val="0"/>
                <w:sz w:val="18"/>
                <w:szCs w:val="18"/>
              </w:rPr>
              <w:t>8.04</w:t>
            </w:r>
          </w:p>
        </w:tc>
        <w:tc>
          <w:tcPr>
            <w:tcW w:w="946" w:type="dxa"/>
            <w:shd w:val="clear" w:color="auto" w:fill="auto"/>
            <w:noWrap/>
            <w:vAlign w:val="center"/>
          </w:tcPr>
          <w:p w14:paraId="67ACEB0F">
            <w:pPr>
              <w:widowControl/>
              <w:jc w:val="center"/>
              <w:rPr>
                <w:rFonts w:ascii="宋体" w:hAnsi="宋体" w:cs="宋体"/>
                <w:kern w:val="0"/>
                <w:sz w:val="18"/>
                <w:szCs w:val="18"/>
              </w:rPr>
            </w:pPr>
            <w:r>
              <w:rPr>
                <w:rFonts w:hint="eastAsia" w:ascii="宋体" w:hAnsi="宋体" w:cs="宋体"/>
                <w:kern w:val="0"/>
                <w:sz w:val="18"/>
                <w:szCs w:val="18"/>
              </w:rPr>
              <w:t>8.04</w:t>
            </w:r>
          </w:p>
        </w:tc>
        <w:tc>
          <w:tcPr>
            <w:tcW w:w="854" w:type="dxa"/>
            <w:shd w:val="clear" w:color="auto" w:fill="auto"/>
            <w:noWrap/>
            <w:vAlign w:val="center"/>
          </w:tcPr>
          <w:p w14:paraId="110A964B">
            <w:pPr>
              <w:widowControl/>
              <w:jc w:val="center"/>
              <w:rPr>
                <w:rFonts w:ascii="宋体" w:hAnsi="宋体" w:cs="宋体"/>
                <w:kern w:val="0"/>
                <w:sz w:val="18"/>
                <w:szCs w:val="18"/>
              </w:rPr>
            </w:pPr>
            <w:r>
              <w:rPr>
                <w:rFonts w:hint="eastAsia" w:ascii="宋体" w:hAnsi="宋体" w:cs="宋体"/>
                <w:kern w:val="0"/>
                <w:sz w:val="18"/>
                <w:szCs w:val="18"/>
              </w:rPr>
              <w:t xml:space="preserve">2.41 </w:t>
            </w:r>
          </w:p>
        </w:tc>
        <w:tc>
          <w:tcPr>
            <w:tcW w:w="1489" w:type="dxa"/>
            <w:shd w:val="clear" w:color="auto" w:fill="auto"/>
            <w:vAlign w:val="center"/>
          </w:tcPr>
          <w:p w14:paraId="37616699">
            <w:pPr>
              <w:widowControl/>
              <w:jc w:val="center"/>
              <w:rPr>
                <w:rFonts w:ascii="宋体" w:hAnsi="宋体" w:cs="宋体"/>
                <w:kern w:val="0"/>
                <w:sz w:val="15"/>
                <w:szCs w:val="15"/>
              </w:rPr>
            </w:pPr>
            <w:r>
              <w:rPr>
                <w:rFonts w:hint="eastAsia" w:ascii="宋体" w:hAnsi="宋体" w:cs="宋体"/>
                <w:kern w:val="0"/>
                <w:sz w:val="15"/>
                <w:szCs w:val="15"/>
              </w:rPr>
              <w:t>铜都街道办</w:t>
            </w:r>
          </w:p>
        </w:tc>
        <w:tc>
          <w:tcPr>
            <w:tcW w:w="577" w:type="dxa"/>
            <w:shd w:val="clear" w:color="auto" w:fill="auto"/>
            <w:noWrap/>
            <w:vAlign w:val="center"/>
          </w:tcPr>
          <w:p w14:paraId="3F52ED9B">
            <w:pPr>
              <w:widowControl/>
              <w:jc w:val="center"/>
              <w:rPr>
                <w:rFonts w:ascii="宋体" w:hAnsi="宋体" w:cs="宋体"/>
                <w:kern w:val="0"/>
                <w:sz w:val="18"/>
                <w:szCs w:val="18"/>
              </w:rPr>
            </w:pPr>
          </w:p>
        </w:tc>
      </w:tr>
      <w:tr w14:paraId="33FB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24F864C">
            <w:pPr>
              <w:widowControl/>
              <w:jc w:val="center"/>
              <w:rPr>
                <w:rFonts w:ascii="宋体" w:hAnsi="宋体" w:cs="宋体"/>
                <w:kern w:val="0"/>
                <w:sz w:val="18"/>
                <w:szCs w:val="18"/>
              </w:rPr>
            </w:pPr>
          </w:p>
        </w:tc>
        <w:tc>
          <w:tcPr>
            <w:tcW w:w="3659" w:type="dxa"/>
            <w:shd w:val="clear" w:color="auto" w:fill="auto"/>
            <w:noWrap/>
            <w:vAlign w:val="center"/>
          </w:tcPr>
          <w:p w14:paraId="02C6658B">
            <w:pPr>
              <w:widowControl/>
              <w:jc w:val="center"/>
              <w:rPr>
                <w:rFonts w:ascii="宋体" w:hAnsi="宋体" w:cs="宋体"/>
                <w:kern w:val="0"/>
                <w:sz w:val="18"/>
                <w:szCs w:val="18"/>
              </w:rPr>
            </w:pPr>
            <w:r>
              <w:rPr>
                <w:rFonts w:hint="eastAsia" w:ascii="宋体" w:hAnsi="宋体" w:cs="宋体"/>
                <w:kern w:val="0"/>
                <w:sz w:val="18"/>
                <w:szCs w:val="18"/>
              </w:rPr>
              <w:t>昆明顺祥矿业有限公司尾矿干堆库</w:t>
            </w:r>
          </w:p>
        </w:tc>
        <w:tc>
          <w:tcPr>
            <w:tcW w:w="796" w:type="dxa"/>
            <w:shd w:val="clear" w:color="auto" w:fill="auto"/>
            <w:noWrap/>
            <w:vAlign w:val="center"/>
          </w:tcPr>
          <w:p w14:paraId="422F6B66">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E950890">
            <w:pPr>
              <w:widowControl/>
              <w:jc w:val="center"/>
              <w:rPr>
                <w:rFonts w:ascii="宋体" w:hAnsi="宋体" w:cs="宋体"/>
                <w:kern w:val="0"/>
                <w:sz w:val="18"/>
                <w:szCs w:val="18"/>
              </w:rPr>
            </w:pPr>
            <w:r>
              <w:rPr>
                <w:rFonts w:hint="eastAsia" w:ascii="宋体" w:hAnsi="宋体" w:cs="宋体"/>
                <w:kern w:val="0"/>
                <w:sz w:val="18"/>
                <w:szCs w:val="18"/>
              </w:rPr>
              <w:t>2015-2017</w:t>
            </w:r>
          </w:p>
        </w:tc>
        <w:tc>
          <w:tcPr>
            <w:tcW w:w="1026" w:type="dxa"/>
            <w:shd w:val="clear" w:color="auto" w:fill="auto"/>
            <w:noWrap/>
            <w:vAlign w:val="center"/>
          </w:tcPr>
          <w:p w14:paraId="7D5C0141">
            <w:pPr>
              <w:widowControl/>
              <w:jc w:val="center"/>
              <w:rPr>
                <w:rFonts w:ascii="宋体" w:hAnsi="宋体" w:cs="宋体"/>
                <w:kern w:val="0"/>
                <w:sz w:val="18"/>
                <w:szCs w:val="18"/>
              </w:rPr>
            </w:pPr>
            <w:r>
              <w:rPr>
                <w:rFonts w:hint="eastAsia" w:ascii="宋体" w:hAnsi="宋体" w:cs="宋体"/>
                <w:kern w:val="0"/>
                <w:sz w:val="18"/>
                <w:szCs w:val="18"/>
              </w:rPr>
              <w:t>2.44</w:t>
            </w:r>
          </w:p>
        </w:tc>
        <w:tc>
          <w:tcPr>
            <w:tcW w:w="946" w:type="dxa"/>
            <w:shd w:val="clear" w:color="auto" w:fill="auto"/>
            <w:noWrap/>
            <w:vAlign w:val="center"/>
          </w:tcPr>
          <w:p w14:paraId="6C8837A4">
            <w:pPr>
              <w:widowControl/>
              <w:jc w:val="center"/>
              <w:rPr>
                <w:rFonts w:ascii="宋体" w:hAnsi="宋体" w:cs="宋体"/>
                <w:kern w:val="0"/>
                <w:sz w:val="18"/>
                <w:szCs w:val="18"/>
              </w:rPr>
            </w:pPr>
            <w:r>
              <w:rPr>
                <w:rFonts w:hint="eastAsia" w:ascii="宋体" w:hAnsi="宋体" w:cs="宋体"/>
                <w:kern w:val="0"/>
                <w:sz w:val="18"/>
                <w:szCs w:val="18"/>
              </w:rPr>
              <w:t>2.44</w:t>
            </w:r>
          </w:p>
        </w:tc>
        <w:tc>
          <w:tcPr>
            <w:tcW w:w="854" w:type="dxa"/>
            <w:shd w:val="clear" w:color="auto" w:fill="auto"/>
            <w:noWrap/>
            <w:vAlign w:val="center"/>
          </w:tcPr>
          <w:p w14:paraId="0738FF78">
            <w:pPr>
              <w:widowControl/>
              <w:jc w:val="center"/>
              <w:rPr>
                <w:rFonts w:ascii="宋体" w:hAnsi="宋体" w:cs="宋体"/>
                <w:kern w:val="0"/>
                <w:sz w:val="18"/>
                <w:szCs w:val="18"/>
              </w:rPr>
            </w:pPr>
            <w:r>
              <w:rPr>
                <w:rFonts w:hint="eastAsia" w:ascii="宋体" w:hAnsi="宋体" w:cs="宋体"/>
                <w:kern w:val="0"/>
                <w:sz w:val="18"/>
                <w:szCs w:val="18"/>
              </w:rPr>
              <w:t xml:space="preserve">0.73 </w:t>
            </w:r>
          </w:p>
        </w:tc>
        <w:tc>
          <w:tcPr>
            <w:tcW w:w="1489" w:type="dxa"/>
            <w:shd w:val="clear" w:color="auto" w:fill="auto"/>
            <w:vAlign w:val="center"/>
          </w:tcPr>
          <w:p w14:paraId="720E3569">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3E0E322F">
            <w:pPr>
              <w:widowControl/>
              <w:jc w:val="center"/>
              <w:rPr>
                <w:rFonts w:ascii="宋体" w:hAnsi="宋体" w:cs="宋体"/>
                <w:kern w:val="0"/>
                <w:sz w:val="18"/>
                <w:szCs w:val="18"/>
              </w:rPr>
            </w:pPr>
          </w:p>
        </w:tc>
      </w:tr>
      <w:tr w14:paraId="7214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64B6E75">
            <w:pPr>
              <w:widowControl/>
              <w:jc w:val="center"/>
              <w:rPr>
                <w:rFonts w:ascii="宋体" w:hAnsi="宋体" w:cs="宋体"/>
                <w:kern w:val="0"/>
                <w:sz w:val="18"/>
                <w:szCs w:val="18"/>
              </w:rPr>
            </w:pPr>
          </w:p>
        </w:tc>
        <w:tc>
          <w:tcPr>
            <w:tcW w:w="3659" w:type="dxa"/>
            <w:shd w:val="clear" w:color="auto" w:fill="auto"/>
            <w:noWrap/>
            <w:vAlign w:val="center"/>
          </w:tcPr>
          <w:p w14:paraId="3DF339E8">
            <w:pPr>
              <w:widowControl/>
              <w:jc w:val="center"/>
              <w:rPr>
                <w:rFonts w:ascii="宋体" w:hAnsi="宋体" w:cs="宋体"/>
                <w:kern w:val="0"/>
                <w:sz w:val="18"/>
                <w:szCs w:val="18"/>
              </w:rPr>
            </w:pPr>
            <w:r>
              <w:rPr>
                <w:rFonts w:hint="eastAsia" w:ascii="宋体" w:hAnsi="宋体" w:cs="宋体"/>
                <w:kern w:val="0"/>
                <w:sz w:val="18"/>
                <w:szCs w:val="18"/>
              </w:rPr>
              <w:t>昆明市昆明同心矿业有限公司尾矿库</w:t>
            </w:r>
          </w:p>
        </w:tc>
        <w:tc>
          <w:tcPr>
            <w:tcW w:w="796" w:type="dxa"/>
            <w:shd w:val="clear" w:color="auto" w:fill="auto"/>
            <w:noWrap/>
            <w:vAlign w:val="center"/>
          </w:tcPr>
          <w:p w14:paraId="320127F8">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428B2BA">
            <w:pPr>
              <w:widowControl/>
              <w:jc w:val="center"/>
              <w:rPr>
                <w:rFonts w:ascii="宋体" w:hAnsi="宋体" w:cs="宋体"/>
                <w:kern w:val="0"/>
                <w:sz w:val="18"/>
                <w:szCs w:val="18"/>
              </w:rPr>
            </w:pPr>
            <w:r>
              <w:rPr>
                <w:rFonts w:hint="eastAsia" w:ascii="宋体" w:hAnsi="宋体" w:cs="宋体"/>
                <w:kern w:val="0"/>
                <w:sz w:val="18"/>
                <w:szCs w:val="18"/>
              </w:rPr>
              <w:t>2012-2018</w:t>
            </w:r>
          </w:p>
        </w:tc>
        <w:tc>
          <w:tcPr>
            <w:tcW w:w="1026" w:type="dxa"/>
            <w:shd w:val="clear" w:color="auto" w:fill="auto"/>
            <w:noWrap/>
            <w:vAlign w:val="center"/>
          </w:tcPr>
          <w:p w14:paraId="43852385">
            <w:pPr>
              <w:widowControl/>
              <w:jc w:val="center"/>
              <w:rPr>
                <w:rFonts w:ascii="宋体" w:hAnsi="宋体" w:cs="宋体"/>
                <w:kern w:val="0"/>
                <w:sz w:val="18"/>
                <w:szCs w:val="18"/>
              </w:rPr>
            </w:pPr>
            <w:r>
              <w:rPr>
                <w:rFonts w:hint="eastAsia" w:ascii="宋体" w:hAnsi="宋体" w:cs="宋体"/>
                <w:kern w:val="0"/>
                <w:sz w:val="18"/>
                <w:szCs w:val="18"/>
              </w:rPr>
              <w:t>15.69</w:t>
            </w:r>
          </w:p>
        </w:tc>
        <w:tc>
          <w:tcPr>
            <w:tcW w:w="946" w:type="dxa"/>
            <w:shd w:val="clear" w:color="auto" w:fill="auto"/>
            <w:noWrap/>
            <w:vAlign w:val="center"/>
          </w:tcPr>
          <w:p w14:paraId="520B40F5">
            <w:pPr>
              <w:widowControl/>
              <w:jc w:val="center"/>
              <w:rPr>
                <w:rFonts w:ascii="宋体" w:hAnsi="宋体" w:cs="宋体"/>
                <w:kern w:val="0"/>
                <w:sz w:val="18"/>
                <w:szCs w:val="18"/>
              </w:rPr>
            </w:pPr>
            <w:r>
              <w:rPr>
                <w:rFonts w:hint="eastAsia" w:ascii="宋体" w:hAnsi="宋体" w:cs="宋体"/>
                <w:kern w:val="0"/>
                <w:sz w:val="18"/>
                <w:szCs w:val="18"/>
              </w:rPr>
              <w:t>15.69</w:t>
            </w:r>
          </w:p>
        </w:tc>
        <w:tc>
          <w:tcPr>
            <w:tcW w:w="854" w:type="dxa"/>
            <w:shd w:val="clear" w:color="auto" w:fill="auto"/>
            <w:noWrap/>
            <w:vAlign w:val="center"/>
          </w:tcPr>
          <w:p w14:paraId="6A0CF0C7">
            <w:pPr>
              <w:widowControl/>
              <w:jc w:val="center"/>
              <w:rPr>
                <w:rFonts w:ascii="宋体" w:hAnsi="宋体" w:cs="宋体"/>
                <w:kern w:val="0"/>
                <w:sz w:val="18"/>
                <w:szCs w:val="18"/>
              </w:rPr>
            </w:pPr>
            <w:r>
              <w:rPr>
                <w:rFonts w:hint="eastAsia" w:ascii="宋体" w:hAnsi="宋体" w:cs="宋体"/>
                <w:kern w:val="0"/>
                <w:sz w:val="18"/>
                <w:szCs w:val="18"/>
              </w:rPr>
              <w:t xml:space="preserve">4.71 </w:t>
            </w:r>
          </w:p>
        </w:tc>
        <w:tc>
          <w:tcPr>
            <w:tcW w:w="1489" w:type="dxa"/>
            <w:shd w:val="clear" w:color="auto" w:fill="auto"/>
            <w:vAlign w:val="center"/>
          </w:tcPr>
          <w:p w14:paraId="675BDE37">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5BC32873">
            <w:pPr>
              <w:widowControl/>
              <w:jc w:val="center"/>
              <w:rPr>
                <w:rFonts w:ascii="宋体" w:hAnsi="宋体" w:cs="宋体"/>
                <w:kern w:val="0"/>
                <w:sz w:val="18"/>
                <w:szCs w:val="18"/>
              </w:rPr>
            </w:pPr>
          </w:p>
        </w:tc>
      </w:tr>
      <w:tr w14:paraId="33D6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9F1846B">
            <w:pPr>
              <w:widowControl/>
              <w:jc w:val="center"/>
              <w:rPr>
                <w:rFonts w:ascii="宋体" w:hAnsi="宋体" w:cs="宋体"/>
                <w:kern w:val="0"/>
                <w:sz w:val="18"/>
                <w:szCs w:val="18"/>
              </w:rPr>
            </w:pPr>
          </w:p>
        </w:tc>
        <w:tc>
          <w:tcPr>
            <w:tcW w:w="3659" w:type="dxa"/>
            <w:shd w:val="clear" w:color="auto" w:fill="auto"/>
            <w:noWrap/>
            <w:vAlign w:val="center"/>
          </w:tcPr>
          <w:p w14:paraId="30860546">
            <w:pPr>
              <w:widowControl/>
              <w:jc w:val="center"/>
              <w:rPr>
                <w:rFonts w:ascii="宋体" w:hAnsi="宋体" w:cs="宋体"/>
                <w:kern w:val="0"/>
                <w:sz w:val="18"/>
                <w:szCs w:val="18"/>
              </w:rPr>
            </w:pPr>
            <w:r>
              <w:rPr>
                <w:rFonts w:hint="eastAsia" w:ascii="宋体" w:hAnsi="宋体" w:cs="宋体"/>
                <w:kern w:val="0"/>
                <w:sz w:val="18"/>
                <w:szCs w:val="18"/>
              </w:rPr>
              <w:t>昆明因民冶金有限责任公司富申地尾矿干堆库</w:t>
            </w:r>
          </w:p>
        </w:tc>
        <w:tc>
          <w:tcPr>
            <w:tcW w:w="796" w:type="dxa"/>
            <w:shd w:val="clear" w:color="auto" w:fill="auto"/>
            <w:noWrap/>
            <w:vAlign w:val="center"/>
          </w:tcPr>
          <w:p w14:paraId="4BDCBE1C">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0AAC5836">
            <w:pPr>
              <w:widowControl/>
              <w:jc w:val="center"/>
              <w:rPr>
                <w:rFonts w:ascii="宋体" w:hAnsi="宋体" w:cs="宋体"/>
                <w:kern w:val="0"/>
                <w:sz w:val="18"/>
                <w:szCs w:val="18"/>
              </w:rPr>
            </w:pPr>
            <w:r>
              <w:rPr>
                <w:rFonts w:hint="eastAsia" w:ascii="宋体" w:hAnsi="宋体" w:cs="宋体"/>
                <w:kern w:val="0"/>
                <w:sz w:val="18"/>
                <w:szCs w:val="18"/>
              </w:rPr>
              <w:t>2012-2018</w:t>
            </w:r>
          </w:p>
        </w:tc>
        <w:tc>
          <w:tcPr>
            <w:tcW w:w="1026" w:type="dxa"/>
            <w:shd w:val="clear" w:color="auto" w:fill="auto"/>
            <w:noWrap/>
            <w:vAlign w:val="center"/>
          </w:tcPr>
          <w:p w14:paraId="27679F14">
            <w:pPr>
              <w:widowControl/>
              <w:jc w:val="center"/>
              <w:rPr>
                <w:rFonts w:ascii="宋体" w:hAnsi="宋体" w:cs="宋体"/>
                <w:kern w:val="0"/>
                <w:sz w:val="18"/>
                <w:szCs w:val="18"/>
              </w:rPr>
            </w:pPr>
            <w:r>
              <w:rPr>
                <w:rFonts w:hint="eastAsia" w:ascii="宋体" w:hAnsi="宋体" w:cs="宋体"/>
                <w:kern w:val="0"/>
                <w:sz w:val="18"/>
                <w:szCs w:val="18"/>
              </w:rPr>
              <w:t>0.00</w:t>
            </w:r>
          </w:p>
        </w:tc>
        <w:tc>
          <w:tcPr>
            <w:tcW w:w="946" w:type="dxa"/>
            <w:shd w:val="clear" w:color="auto" w:fill="auto"/>
            <w:noWrap/>
            <w:vAlign w:val="center"/>
          </w:tcPr>
          <w:p w14:paraId="49B080B8">
            <w:pPr>
              <w:widowControl/>
              <w:jc w:val="center"/>
              <w:rPr>
                <w:rFonts w:ascii="宋体" w:hAnsi="宋体" w:cs="宋体"/>
                <w:kern w:val="0"/>
                <w:sz w:val="18"/>
                <w:szCs w:val="18"/>
              </w:rPr>
            </w:pPr>
            <w:r>
              <w:rPr>
                <w:rFonts w:hint="eastAsia" w:ascii="宋体" w:hAnsi="宋体" w:cs="宋体"/>
                <w:kern w:val="0"/>
                <w:sz w:val="18"/>
                <w:szCs w:val="18"/>
              </w:rPr>
              <w:t>0.00</w:t>
            </w:r>
          </w:p>
        </w:tc>
        <w:tc>
          <w:tcPr>
            <w:tcW w:w="854" w:type="dxa"/>
            <w:shd w:val="clear" w:color="auto" w:fill="auto"/>
            <w:noWrap/>
            <w:vAlign w:val="center"/>
          </w:tcPr>
          <w:p w14:paraId="35EE7895">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89" w:type="dxa"/>
            <w:shd w:val="clear" w:color="auto" w:fill="auto"/>
            <w:vAlign w:val="center"/>
          </w:tcPr>
          <w:p w14:paraId="735BCC66">
            <w:pPr>
              <w:widowControl/>
              <w:jc w:val="center"/>
              <w:rPr>
                <w:rFonts w:ascii="宋体" w:hAnsi="宋体" w:cs="宋体"/>
                <w:kern w:val="0"/>
                <w:sz w:val="15"/>
                <w:szCs w:val="15"/>
              </w:rPr>
            </w:pPr>
            <w:r>
              <w:rPr>
                <w:rFonts w:hint="eastAsia" w:ascii="宋体" w:hAnsi="宋体" w:cs="宋体"/>
                <w:kern w:val="0"/>
                <w:sz w:val="15"/>
                <w:szCs w:val="15"/>
              </w:rPr>
              <w:t>因民镇</w:t>
            </w:r>
          </w:p>
        </w:tc>
        <w:tc>
          <w:tcPr>
            <w:tcW w:w="577" w:type="dxa"/>
            <w:shd w:val="clear" w:color="auto" w:fill="auto"/>
            <w:noWrap/>
            <w:vAlign w:val="center"/>
          </w:tcPr>
          <w:p w14:paraId="640EAE3C">
            <w:pPr>
              <w:widowControl/>
              <w:jc w:val="center"/>
              <w:rPr>
                <w:rFonts w:ascii="宋体" w:hAnsi="宋体" w:cs="宋体"/>
                <w:kern w:val="0"/>
                <w:sz w:val="18"/>
                <w:szCs w:val="18"/>
              </w:rPr>
            </w:pPr>
          </w:p>
        </w:tc>
      </w:tr>
      <w:tr w14:paraId="19F7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3643046">
            <w:pPr>
              <w:widowControl/>
              <w:jc w:val="center"/>
              <w:rPr>
                <w:rFonts w:ascii="宋体" w:hAnsi="宋体" w:cs="宋体"/>
                <w:kern w:val="0"/>
                <w:sz w:val="18"/>
                <w:szCs w:val="18"/>
              </w:rPr>
            </w:pPr>
          </w:p>
        </w:tc>
        <w:tc>
          <w:tcPr>
            <w:tcW w:w="3659" w:type="dxa"/>
            <w:shd w:val="clear" w:color="auto" w:fill="auto"/>
            <w:noWrap/>
            <w:vAlign w:val="center"/>
          </w:tcPr>
          <w:p w14:paraId="662F0774">
            <w:pPr>
              <w:widowControl/>
              <w:jc w:val="center"/>
              <w:rPr>
                <w:rFonts w:ascii="宋体" w:hAnsi="宋体" w:cs="宋体"/>
                <w:kern w:val="0"/>
                <w:sz w:val="18"/>
                <w:szCs w:val="18"/>
              </w:rPr>
            </w:pPr>
            <w:r>
              <w:rPr>
                <w:rFonts w:hint="eastAsia" w:ascii="宋体" w:hAnsi="宋体" w:cs="宋体"/>
                <w:kern w:val="0"/>
                <w:sz w:val="18"/>
                <w:szCs w:val="18"/>
              </w:rPr>
              <w:t>昆明石将军矿业有限公司干塘子尾矿库</w:t>
            </w:r>
          </w:p>
        </w:tc>
        <w:tc>
          <w:tcPr>
            <w:tcW w:w="796" w:type="dxa"/>
            <w:shd w:val="clear" w:color="auto" w:fill="auto"/>
            <w:noWrap/>
            <w:vAlign w:val="center"/>
          </w:tcPr>
          <w:p w14:paraId="17FD8B0B">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DA7BB84">
            <w:pPr>
              <w:widowControl/>
              <w:jc w:val="center"/>
              <w:rPr>
                <w:rFonts w:ascii="宋体" w:hAnsi="宋体" w:cs="宋体"/>
                <w:kern w:val="0"/>
                <w:sz w:val="18"/>
                <w:szCs w:val="18"/>
              </w:rPr>
            </w:pPr>
            <w:r>
              <w:rPr>
                <w:rFonts w:hint="eastAsia" w:ascii="宋体" w:hAnsi="宋体" w:cs="宋体"/>
                <w:kern w:val="0"/>
                <w:sz w:val="18"/>
                <w:szCs w:val="18"/>
              </w:rPr>
              <w:t>2014-2020</w:t>
            </w:r>
          </w:p>
        </w:tc>
        <w:tc>
          <w:tcPr>
            <w:tcW w:w="1026" w:type="dxa"/>
            <w:shd w:val="clear" w:color="auto" w:fill="auto"/>
            <w:noWrap/>
            <w:vAlign w:val="center"/>
          </w:tcPr>
          <w:p w14:paraId="16E9FFB8">
            <w:pPr>
              <w:widowControl/>
              <w:jc w:val="center"/>
              <w:rPr>
                <w:rFonts w:ascii="宋体" w:hAnsi="宋体" w:cs="宋体"/>
                <w:kern w:val="0"/>
                <w:sz w:val="18"/>
                <w:szCs w:val="18"/>
              </w:rPr>
            </w:pPr>
            <w:r>
              <w:rPr>
                <w:rFonts w:hint="eastAsia" w:ascii="宋体" w:hAnsi="宋体" w:cs="宋体"/>
                <w:kern w:val="0"/>
                <w:sz w:val="18"/>
                <w:szCs w:val="18"/>
              </w:rPr>
              <w:t>0.00</w:t>
            </w:r>
          </w:p>
        </w:tc>
        <w:tc>
          <w:tcPr>
            <w:tcW w:w="946" w:type="dxa"/>
            <w:shd w:val="clear" w:color="auto" w:fill="auto"/>
            <w:noWrap/>
            <w:vAlign w:val="center"/>
          </w:tcPr>
          <w:p w14:paraId="759945AE">
            <w:pPr>
              <w:widowControl/>
              <w:jc w:val="center"/>
              <w:rPr>
                <w:rFonts w:ascii="宋体" w:hAnsi="宋体" w:cs="宋体"/>
                <w:kern w:val="0"/>
                <w:sz w:val="18"/>
                <w:szCs w:val="18"/>
              </w:rPr>
            </w:pPr>
            <w:r>
              <w:rPr>
                <w:rFonts w:hint="eastAsia" w:ascii="宋体" w:hAnsi="宋体" w:cs="宋体"/>
                <w:kern w:val="0"/>
                <w:sz w:val="18"/>
                <w:szCs w:val="18"/>
              </w:rPr>
              <w:t>0.00</w:t>
            </w:r>
          </w:p>
        </w:tc>
        <w:tc>
          <w:tcPr>
            <w:tcW w:w="854" w:type="dxa"/>
            <w:shd w:val="clear" w:color="auto" w:fill="auto"/>
            <w:noWrap/>
            <w:vAlign w:val="center"/>
          </w:tcPr>
          <w:p w14:paraId="4EE97DC0">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489" w:type="dxa"/>
            <w:shd w:val="clear" w:color="auto" w:fill="auto"/>
            <w:vAlign w:val="center"/>
          </w:tcPr>
          <w:p w14:paraId="13F1336C">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57AC0A37">
            <w:pPr>
              <w:widowControl/>
              <w:jc w:val="center"/>
              <w:rPr>
                <w:rFonts w:ascii="宋体" w:hAnsi="宋体" w:cs="宋体"/>
                <w:kern w:val="0"/>
                <w:sz w:val="18"/>
                <w:szCs w:val="18"/>
              </w:rPr>
            </w:pPr>
          </w:p>
        </w:tc>
      </w:tr>
      <w:tr w14:paraId="1471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A8F7718">
            <w:pPr>
              <w:widowControl/>
              <w:jc w:val="center"/>
              <w:rPr>
                <w:rFonts w:ascii="宋体" w:hAnsi="宋体" w:cs="宋体"/>
                <w:kern w:val="0"/>
                <w:sz w:val="18"/>
                <w:szCs w:val="18"/>
              </w:rPr>
            </w:pPr>
          </w:p>
        </w:tc>
        <w:tc>
          <w:tcPr>
            <w:tcW w:w="3659" w:type="dxa"/>
            <w:shd w:val="clear" w:color="auto" w:fill="auto"/>
            <w:noWrap/>
            <w:vAlign w:val="center"/>
          </w:tcPr>
          <w:p w14:paraId="6DFD8468">
            <w:pPr>
              <w:widowControl/>
              <w:jc w:val="center"/>
              <w:rPr>
                <w:rFonts w:ascii="宋体" w:hAnsi="宋体" w:cs="宋体"/>
                <w:kern w:val="0"/>
                <w:sz w:val="18"/>
                <w:szCs w:val="18"/>
              </w:rPr>
            </w:pPr>
            <w:r>
              <w:rPr>
                <w:rFonts w:hint="eastAsia" w:ascii="宋体" w:hAnsi="宋体" w:cs="宋体"/>
                <w:kern w:val="0"/>
                <w:sz w:val="18"/>
                <w:szCs w:val="18"/>
              </w:rPr>
              <w:t>昆明龙力矿业有限公司</w:t>
            </w:r>
          </w:p>
        </w:tc>
        <w:tc>
          <w:tcPr>
            <w:tcW w:w="796" w:type="dxa"/>
            <w:shd w:val="clear" w:color="auto" w:fill="auto"/>
            <w:noWrap/>
            <w:vAlign w:val="center"/>
          </w:tcPr>
          <w:p w14:paraId="043ECE3C">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868914B">
            <w:pPr>
              <w:widowControl/>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4F2A907D">
            <w:pPr>
              <w:widowControl/>
              <w:jc w:val="center"/>
              <w:rPr>
                <w:rFonts w:ascii="宋体" w:hAnsi="宋体" w:cs="宋体"/>
                <w:kern w:val="0"/>
                <w:sz w:val="18"/>
                <w:szCs w:val="18"/>
              </w:rPr>
            </w:pPr>
            <w:r>
              <w:rPr>
                <w:rFonts w:hint="eastAsia" w:ascii="宋体" w:hAnsi="宋体" w:cs="宋体"/>
                <w:kern w:val="0"/>
                <w:sz w:val="18"/>
                <w:szCs w:val="18"/>
              </w:rPr>
              <w:t>31.36</w:t>
            </w:r>
          </w:p>
        </w:tc>
        <w:tc>
          <w:tcPr>
            <w:tcW w:w="946" w:type="dxa"/>
            <w:shd w:val="clear" w:color="auto" w:fill="auto"/>
            <w:noWrap/>
            <w:vAlign w:val="center"/>
          </w:tcPr>
          <w:p w14:paraId="62F7B685">
            <w:pPr>
              <w:widowControl/>
              <w:jc w:val="center"/>
              <w:rPr>
                <w:rFonts w:ascii="宋体" w:hAnsi="宋体" w:cs="宋体"/>
                <w:kern w:val="0"/>
                <w:sz w:val="18"/>
                <w:szCs w:val="18"/>
              </w:rPr>
            </w:pPr>
            <w:r>
              <w:rPr>
                <w:rFonts w:hint="eastAsia" w:ascii="宋体" w:hAnsi="宋体" w:cs="宋体"/>
                <w:kern w:val="0"/>
                <w:sz w:val="18"/>
                <w:szCs w:val="18"/>
              </w:rPr>
              <w:t>31.36</w:t>
            </w:r>
          </w:p>
        </w:tc>
        <w:tc>
          <w:tcPr>
            <w:tcW w:w="854" w:type="dxa"/>
            <w:shd w:val="clear" w:color="auto" w:fill="auto"/>
            <w:noWrap/>
            <w:vAlign w:val="center"/>
          </w:tcPr>
          <w:p w14:paraId="0B690F3F">
            <w:pPr>
              <w:widowControl/>
              <w:jc w:val="center"/>
              <w:rPr>
                <w:rFonts w:ascii="宋体" w:hAnsi="宋体" w:cs="宋体"/>
                <w:kern w:val="0"/>
                <w:sz w:val="18"/>
                <w:szCs w:val="18"/>
              </w:rPr>
            </w:pPr>
            <w:r>
              <w:rPr>
                <w:rFonts w:hint="eastAsia" w:ascii="宋体" w:hAnsi="宋体" w:cs="宋体"/>
                <w:kern w:val="0"/>
                <w:sz w:val="18"/>
                <w:szCs w:val="18"/>
              </w:rPr>
              <w:t xml:space="preserve">9.41 </w:t>
            </w:r>
          </w:p>
        </w:tc>
        <w:tc>
          <w:tcPr>
            <w:tcW w:w="1489" w:type="dxa"/>
            <w:shd w:val="clear" w:color="auto" w:fill="auto"/>
            <w:vAlign w:val="center"/>
          </w:tcPr>
          <w:p w14:paraId="63DD2507">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52759B9E">
            <w:pPr>
              <w:widowControl/>
              <w:jc w:val="center"/>
              <w:rPr>
                <w:rFonts w:ascii="宋体" w:hAnsi="宋体" w:cs="宋体"/>
                <w:kern w:val="0"/>
                <w:sz w:val="18"/>
                <w:szCs w:val="18"/>
              </w:rPr>
            </w:pPr>
          </w:p>
        </w:tc>
      </w:tr>
      <w:tr w14:paraId="7151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A4EF0DF">
            <w:pPr>
              <w:widowControl/>
              <w:jc w:val="center"/>
              <w:rPr>
                <w:rFonts w:ascii="宋体" w:hAnsi="宋体" w:cs="宋体"/>
                <w:kern w:val="0"/>
                <w:sz w:val="18"/>
                <w:szCs w:val="18"/>
              </w:rPr>
            </w:pPr>
          </w:p>
        </w:tc>
        <w:tc>
          <w:tcPr>
            <w:tcW w:w="3659" w:type="dxa"/>
            <w:shd w:val="clear" w:color="auto" w:fill="auto"/>
            <w:noWrap/>
            <w:vAlign w:val="center"/>
          </w:tcPr>
          <w:p w14:paraId="1D7E2E84">
            <w:pPr>
              <w:widowControl/>
              <w:jc w:val="center"/>
              <w:rPr>
                <w:rFonts w:ascii="宋体" w:hAnsi="宋体" w:cs="宋体"/>
                <w:kern w:val="0"/>
                <w:sz w:val="18"/>
                <w:szCs w:val="18"/>
              </w:rPr>
            </w:pPr>
            <w:r>
              <w:rPr>
                <w:rFonts w:hint="eastAsia" w:ascii="宋体" w:hAnsi="宋体" w:cs="宋体"/>
                <w:kern w:val="0"/>
                <w:sz w:val="18"/>
                <w:szCs w:val="18"/>
              </w:rPr>
              <w:t>昆明锦鸿涛矿业有限公司</w:t>
            </w:r>
          </w:p>
        </w:tc>
        <w:tc>
          <w:tcPr>
            <w:tcW w:w="796" w:type="dxa"/>
            <w:shd w:val="clear" w:color="auto" w:fill="auto"/>
            <w:noWrap/>
            <w:vAlign w:val="center"/>
          </w:tcPr>
          <w:p w14:paraId="13FFFCB7">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0AB0C6A5">
            <w:pPr>
              <w:widowControl/>
              <w:jc w:val="center"/>
              <w:rPr>
                <w:rFonts w:ascii="宋体" w:hAnsi="宋体" w:cs="宋体"/>
                <w:kern w:val="0"/>
                <w:sz w:val="18"/>
                <w:szCs w:val="18"/>
              </w:rPr>
            </w:pPr>
            <w:r>
              <w:rPr>
                <w:rFonts w:hint="eastAsia" w:ascii="宋体" w:hAnsi="宋体" w:cs="宋体"/>
                <w:kern w:val="0"/>
                <w:sz w:val="18"/>
                <w:szCs w:val="18"/>
              </w:rPr>
              <w:t>2014-2020</w:t>
            </w:r>
          </w:p>
        </w:tc>
        <w:tc>
          <w:tcPr>
            <w:tcW w:w="1026" w:type="dxa"/>
            <w:shd w:val="clear" w:color="auto" w:fill="auto"/>
            <w:noWrap/>
            <w:vAlign w:val="center"/>
          </w:tcPr>
          <w:p w14:paraId="7E778EE6">
            <w:pPr>
              <w:widowControl/>
              <w:jc w:val="center"/>
              <w:rPr>
                <w:rFonts w:ascii="宋体" w:hAnsi="宋体" w:cs="宋体"/>
                <w:kern w:val="0"/>
                <w:sz w:val="18"/>
                <w:szCs w:val="18"/>
              </w:rPr>
            </w:pPr>
            <w:r>
              <w:rPr>
                <w:rFonts w:hint="eastAsia" w:ascii="宋体" w:hAnsi="宋体" w:cs="宋体"/>
                <w:kern w:val="0"/>
                <w:sz w:val="18"/>
                <w:szCs w:val="18"/>
              </w:rPr>
              <w:t>26.032</w:t>
            </w:r>
          </w:p>
        </w:tc>
        <w:tc>
          <w:tcPr>
            <w:tcW w:w="946" w:type="dxa"/>
            <w:shd w:val="clear" w:color="auto" w:fill="auto"/>
            <w:noWrap/>
            <w:vAlign w:val="center"/>
          </w:tcPr>
          <w:p w14:paraId="5D3339D1">
            <w:pPr>
              <w:widowControl/>
              <w:jc w:val="center"/>
              <w:rPr>
                <w:rFonts w:ascii="宋体" w:hAnsi="宋体" w:cs="宋体"/>
                <w:kern w:val="0"/>
                <w:sz w:val="18"/>
                <w:szCs w:val="18"/>
              </w:rPr>
            </w:pPr>
            <w:r>
              <w:rPr>
                <w:rFonts w:hint="eastAsia" w:ascii="宋体" w:hAnsi="宋体" w:cs="宋体"/>
                <w:kern w:val="0"/>
                <w:sz w:val="18"/>
                <w:szCs w:val="18"/>
              </w:rPr>
              <w:t>26.032</w:t>
            </w:r>
          </w:p>
        </w:tc>
        <w:tc>
          <w:tcPr>
            <w:tcW w:w="854" w:type="dxa"/>
            <w:shd w:val="clear" w:color="auto" w:fill="auto"/>
            <w:noWrap/>
            <w:vAlign w:val="center"/>
          </w:tcPr>
          <w:p w14:paraId="6DFFBA99">
            <w:pPr>
              <w:widowControl/>
              <w:jc w:val="center"/>
              <w:rPr>
                <w:rFonts w:ascii="宋体" w:hAnsi="宋体" w:cs="宋体"/>
                <w:kern w:val="0"/>
                <w:sz w:val="18"/>
                <w:szCs w:val="18"/>
              </w:rPr>
            </w:pPr>
            <w:r>
              <w:rPr>
                <w:rFonts w:hint="eastAsia" w:ascii="宋体" w:hAnsi="宋体" w:cs="宋体"/>
                <w:kern w:val="0"/>
                <w:sz w:val="18"/>
                <w:szCs w:val="18"/>
              </w:rPr>
              <w:t xml:space="preserve">7.81 </w:t>
            </w:r>
          </w:p>
        </w:tc>
        <w:tc>
          <w:tcPr>
            <w:tcW w:w="1489" w:type="dxa"/>
            <w:shd w:val="clear" w:color="auto" w:fill="auto"/>
            <w:vAlign w:val="center"/>
          </w:tcPr>
          <w:p w14:paraId="76CC9829">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29BB4371">
            <w:pPr>
              <w:widowControl/>
              <w:jc w:val="center"/>
              <w:rPr>
                <w:rFonts w:ascii="宋体" w:hAnsi="宋体" w:cs="宋体"/>
                <w:kern w:val="0"/>
                <w:sz w:val="18"/>
                <w:szCs w:val="18"/>
              </w:rPr>
            </w:pPr>
          </w:p>
        </w:tc>
      </w:tr>
      <w:tr w14:paraId="5649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F916A54">
            <w:pPr>
              <w:widowControl/>
              <w:jc w:val="center"/>
              <w:rPr>
                <w:rFonts w:ascii="宋体" w:hAnsi="宋体" w:cs="宋体"/>
                <w:kern w:val="0"/>
                <w:sz w:val="18"/>
                <w:szCs w:val="18"/>
              </w:rPr>
            </w:pPr>
          </w:p>
        </w:tc>
        <w:tc>
          <w:tcPr>
            <w:tcW w:w="3659" w:type="dxa"/>
            <w:shd w:val="clear" w:color="auto" w:fill="auto"/>
            <w:noWrap/>
            <w:vAlign w:val="center"/>
          </w:tcPr>
          <w:p w14:paraId="794D685C">
            <w:pPr>
              <w:widowControl/>
              <w:jc w:val="center"/>
              <w:rPr>
                <w:rFonts w:ascii="宋体" w:hAnsi="宋体" w:cs="宋体"/>
                <w:kern w:val="0"/>
                <w:sz w:val="18"/>
                <w:szCs w:val="18"/>
              </w:rPr>
            </w:pPr>
            <w:r>
              <w:rPr>
                <w:rFonts w:hint="eastAsia" w:ascii="宋体" w:hAnsi="宋体" w:cs="宋体"/>
                <w:kern w:val="0"/>
                <w:sz w:val="18"/>
                <w:szCs w:val="18"/>
              </w:rPr>
              <w:t>昆明银潞矿业有限公司干堆库</w:t>
            </w:r>
          </w:p>
        </w:tc>
        <w:tc>
          <w:tcPr>
            <w:tcW w:w="796" w:type="dxa"/>
            <w:shd w:val="clear" w:color="auto" w:fill="auto"/>
            <w:noWrap/>
            <w:vAlign w:val="center"/>
          </w:tcPr>
          <w:p w14:paraId="3CEB4107">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5A080E36">
            <w:pPr>
              <w:widowControl/>
              <w:jc w:val="center"/>
              <w:rPr>
                <w:rFonts w:ascii="宋体" w:hAnsi="宋体" w:cs="宋体"/>
                <w:kern w:val="0"/>
                <w:sz w:val="18"/>
                <w:szCs w:val="18"/>
              </w:rPr>
            </w:pPr>
            <w:r>
              <w:rPr>
                <w:rFonts w:hint="eastAsia" w:ascii="宋体" w:hAnsi="宋体" w:cs="宋体"/>
                <w:kern w:val="0"/>
                <w:sz w:val="18"/>
                <w:szCs w:val="18"/>
              </w:rPr>
              <w:t>2011-2015</w:t>
            </w:r>
          </w:p>
        </w:tc>
        <w:tc>
          <w:tcPr>
            <w:tcW w:w="1026" w:type="dxa"/>
            <w:shd w:val="clear" w:color="auto" w:fill="auto"/>
            <w:noWrap/>
            <w:vAlign w:val="center"/>
          </w:tcPr>
          <w:p w14:paraId="4F7300A8">
            <w:pPr>
              <w:widowControl/>
              <w:jc w:val="center"/>
              <w:rPr>
                <w:rFonts w:ascii="宋体" w:hAnsi="宋体" w:cs="宋体"/>
                <w:kern w:val="0"/>
                <w:sz w:val="18"/>
                <w:szCs w:val="18"/>
              </w:rPr>
            </w:pPr>
            <w:r>
              <w:rPr>
                <w:rFonts w:hint="eastAsia" w:ascii="宋体" w:hAnsi="宋体" w:cs="宋体"/>
                <w:kern w:val="0"/>
                <w:sz w:val="18"/>
                <w:szCs w:val="18"/>
              </w:rPr>
              <w:t>0.26</w:t>
            </w:r>
          </w:p>
        </w:tc>
        <w:tc>
          <w:tcPr>
            <w:tcW w:w="946" w:type="dxa"/>
            <w:shd w:val="clear" w:color="auto" w:fill="auto"/>
            <w:noWrap/>
            <w:vAlign w:val="center"/>
          </w:tcPr>
          <w:p w14:paraId="23E6DA34">
            <w:pPr>
              <w:widowControl/>
              <w:jc w:val="center"/>
              <w:rPr>
                <w:rFonts w:ascii="宋体" w:hAnsi="宋体" w:cs="宋体"/>
                <w:kern w:val="0"/>
                <w:sz w:val="18"/>
                <w:szCs w:val="18"/>
              </w:rPr>
            </w:pPr>
            <w:r>
              <w:rPr>
                <w:rFonts w:hint="eastAsia" w:ascii="宋体" w:hAnsi="宋体" w:cs="宋体"/>
                <w:kern w:val="0"/>
                <w:sz w:val="18"/>
                <w:szCs w:val="18"/>
              </w:rPr>
              <w:t>0.26</w:t>
            </w:r>
          </w:p>
        </w:tc>
        <w:tc>
          <w:tcPr>
            <w:tcW w:w="854" w:type="dxa"/>
            <w:shd w:val="clear" w:color="auto" w:fill="auto"/>
            <w:noWrap/>
            <w:vAlign w:val="center"/>
          </w:tcPr>
          <w:p w14:paraId="4EAF293A">
            <w:pPr>
              <w:widowControl/>
              <w:jc w:val="center"/>
              <w:rPr>
                <w:rFonts w:ascii="宋体" w:hAnsi="宋体" w:cs="宋体"/>
                <w:kern w:val="0"/>
                <w:sz w:val="18"/>
                <w:szCs w:val="18"/>
              </w:rPr>
            </w:pPr>
            <w:r>
              <w:rPr>
                <w:rFonts w:hint="eastAsia" w:ascii="宋体" w:hAnsi="宋体" w:cs="宋体"/>
                <w:kern w:val="0"/>
                <w:sz w:val="18"/>
                <w:szCs w:val="18"/>
              </w:rPr>
              <w:t xml:space="preserve">0.08 </w:t>
            </w:r>
          </w:p>
        </w:tc>
        <w:tc>
          <w:tcPr>
            <w:tcW w:w="1489" w:type="dxa"/>
            <w:shd w:val="clear" w:color="auto" w:fill="auto"/>
            <w:vAlign w:val="center"/>
          </w:tcPr>
          <w:p w14:paraId="264145AC">
            <w:pPr>
              <w:widowControl/>
              <w:jc w:val="center"/>
              <w:rPr>
                <w:rFonts w:ascii="宋体" w:hAnsi="宋体" w:cs="宋体"/>
                <w:kern w:val="0"/>
                <w:sz w:val="15"/>
                <w:szCs w:val="15"/>
              </w:rPr>
            </w:pPr>
            <w:r>
              <w:rPr>
                <w:rFonts w:hint="eastAsia" w:ascii="宋体" w:hAnsi="宋体" w:cs="宋体"/>
                <w:kern w:val="0"/>
                <w:sz w:val="15"/>
                <w:szCs w:val="15"/>
              </w:rPr>
              <w:t>汤丹镇</w:t>
            </w:r>
          </w:p>
        </w:tc>
        <w:tc>
          <w:tcPr>
            <w:tcW w:w="577" w:type="dxa"/>
            <w:shd w:val="clear" w:color="auto" w:fill="auto"/>
            <w:noWrap/>
            <w:vAlign w:val="center"/>
          </w:tcPr>
          <w:p w14:paraId="259033CB">
            <w:pPr>
              <w:widowControl/>
              <w:jc w:val="center"/>
              <w:rPr>
                <w:rFonts w:ascii="宋体" w:hAnsi="宋体" w:cs="宋体"/>
                <w:kern w:val="0"/>
                <w:sz w:val="18"/>
                <w:szCs w:val="18"/>
              </w:rPr>
            </w:pPr>
          </w:p>
        </w:tc>
      </w:tr>
      <w:tr w14:paraId="2195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062F3FC">
            <w:pPr>
              <w:widowControl/>
              <w:jc w:val="center"/>
              <w:rPr>
                <w:rFonts w:ascii="宋体" w:hAnsi="宋体" w:cs="宋体"/>
                <w:kern w:val="0"/>
                <w:sz w:val="18"/>
                <w:szCs w:val="18"/>
              </w:rPr>
            </w:pPr>
          </w:p>
        </w:tc>
        <w:tc>
          <w:tcPr>
            <w:tcW w:w="3659" w:type="dxa"/>
            <w:shd w:val="clear" w:color="auto" w:fill="auto"/>
            <w:noWrap/>
            <w:vAlign w:val="center"/>
          </w:tcPr>
          <w:p w14:paraId="48575420">
            <w:pPr>
              <w:widowControl/>
              <w:jc w:val="center"/>
              <w:rPr>
                <w:rFonts w:ascii="宋体" w:hAnsi="宋体" w:cs="宋体"/>
                <w:kern w:val="0"/>
                <w:sz w:val="18"/>
                <w:szCs w:val="18"/>
              </w:rPr>
            </w:pPr>
            <w:r>
              <w:rPr>
                <w:rFonts w:hint="eastAsia" w:ascii="宋体" w:hAnsi="宋体" w:cs="宋体"/>
                <w:kern w:val="0"/>
                <w:sz w:val="18"/>
                <w:szCs w:val="18"/>
              </w:rPr>
              <w:t>昆明汤丹冶金有限责任公司乌龙河尾矿库</w:t>
            </w:r>
          </w:p>
        </w:tc>
        <w:tc>
          <w:tcPr>
            <w:tcW w:w="796" w:type="dxa"/>
            <w:shd w:val="clear" w:color="auto" w:fill="auto"/>
            <w:noWrap/>
            <w:vAlign w:val="center"/>
          </w:tcPr>
          <w:p w14:paraId="604C82A3">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0A0071D2">
            <w:pPr>
              <w:widowControl/>
              <w:jc w:val="center"/>
              <w:rPr>
                <w:rFonts w:ascii="宋体" w:hAnsi="宋体" w:cs="宋体"/>
                <w:kern w:val="0"/>
                <w:sz w:val="18"/>
                <w:szCs w:val="18"/>
              </w:rPr>
            </w:pPr>
            <w:r>
              <w:rPr>
                <w:rFonts w:hint="eastAsia" w:ascii="宋体" w:hAnsi="宋体" w:cs="宋体"/>
                <w:kern w:val="0"/>
                <w:sz w:val="18"/>
                <w:szCs w:val="18"/>
              </w:rPr>
              <w:t>2014-2016</w:t>
            </w:r>
          </w:p>
        </w:tc>
        <w:tc>
          <w:tcPr>
            <w:tcW w:w="1026" w:type="dxa"/>
            <w:shd w:val="clear" w:color="auto" w:fill="auto"/>
            <w:noWrap/>
            <w:vAlign w:val="center"/>
          </w:tcPr>
          <w:p w14:paraId="1C066E4D">
            <w:pPr>
              <w:widowControl/>
              <w:jc w:val="center"/>
              <w:rPr>
                <w:rFonts w:ascii="宋体" w:hAnsi="宋体" w:cs="宋体"/>
                <w:kern w:val="0"/>
                <w:sz w:val="18"/>
                <w:szCs w:val="18"/>
              </w:rPr>
            </w:pPr>
            <w:r>
              <w:rPr>
                <w:rFonts w:hint="eastAsia" w:ascii="宋体" w:hAnsi="宋体" w:cs="宋体"/>
                <w:kern w:val="0"/>
                <w:sz w:val="18"/>
                <w:szCs w:val="18"/>
              </w:rPr>
              <w:t>14.40</w:t>
            </w:r>
          </w:p>
        </w:tc>
        <w:tc>
          <w:tcPr>
            <w:tcW w:w="946" w:type="dxa"/>
            <w:shd w:val="clear" w:color="auto" w:fill="auto"/>
            <w:noWrap/>
            <w:vAlign w:val="center"/>
          </w:tcPr>
          <w:p w14:paraId="3A28E65B">
            <w:pPr>
              <w:widowControl/>
              <w:jc w:val="center"/>
              <w:rPr>
                <w:rFonts w:ascii="宋体" w:hAnsi="宋体" w:cs="宋体"/>
                <w:kern w:val="0"/>
                <w:sz w:val="18"/>
                <w:szCs w:val="18"/>
              </w:rPr>
            </w:pPr>
            <w:r>
              <w:rPr>
                <w:rFonts w:hint="eastAsia" w:ascii="宋体" w:hAnsi="宋体" w:cs="宋体"/>
                <w:kern w:val="0"/>
                <w:sz w:val="18"/>
                <w:szCs w:val="18"/>
              </w:rPr>
              <w:t>14.40</w:t>
            </w:r>
          </w:p>
        </w:tc>
        <w:tc>
          <w:tcPr>
            <w:tcW w:w="854" w:type="dxa"/>
            <w:shd w:val="clear" w:color="auto" w:fill="auto"/>
            <w:noWrap/>
            <w:vAlign w:val="center"/>
          </w:tcPr>
          <w:p w14:paraId="6485B2E2">
            <w:pPr>
              <w:widowControl/>
              <w:jc w:val="center"/>
              <w:rPr>
                <w:rFonts w:ascii="宋体" w:hAnsi="宋体" w:cs="宋体"/>
                <w:kern w:val="0"/>
                <w:sz w:val="18"/>
                <w:szCs w:val="18"/>
              </w:rPr>
            </w:pPr>
            <w:r>
              <w:rPr>
                <w:rFonts w:hint="eastAsia" w:ascii="宋体" w:hAnsi="宋体" w:cs="宋体"/>
                <w:kern w:val="0"/>
                <w:sz w:val="18"/>
                <w:szCs w:val="18"/>
              </w:rPr>
              <w:t xml:space="preserve">4.32 </w:t>
            </w:r>
          </w:p>
        </w:tc>
        <w:tc>
          <w:tcPr>
            <w:tcW w:w="1489" w:type="dxa"/>
            <w:shd w:val="clear" w:color="auto" w:fill="auto"/>
            <w:vAlign w:val="center"/>
          </w:tcPr>
          <w:p w14:paraId="0577A093">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7CBEC2FC">
            <w:pPr>
              <w:widowControl/>
              <w:jc w:val="center"/>
              <w:rPr>
                <w:rFonts w:ascii="宋体" w:hAnsi="宋体" w:cs="宋体"/>
                <w:kern w:val="0"/>
                <w:sz w:val="18"/>
                <w:szCs w:val="18"/>
              </w:rPr>
            </w:pPr>
          </w:p>
        </w:tc>
      </w:tr>
      <w:tr w14:paraId="45FE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1898B6B">
            <w:pPr>
              <w:widowControl/>
              <w:jc w:val="center"/>
              <w:rPr>
                <w:rFonts w:ascii="宋体" w:hAnsi="宋体" w:cs="宋体"/>
                <w:kern w:val="0"/>
                <w:sz w:val="18"/>
                <w:szCs w:val="18"/>
              </w:rPr>
            </w:pPr>
          </w:p>
        </w:tc>
        <w:tc>
          <w:tcPr>
            <w:tcW w:w="3659" w:type="dxa"/>
            <w:shd w:val="clear" w:color="auto" w:fill="auto"/>
            <w:noWrap/>
            <w:vAlign w:val="center"/>
          </w:tcPr>
          <w:p w14:paraId="577595F4">
            <w:pPr>
              <w:widowControl/>
              <w:jc w:val="center"/>
              <w:rPr>
                <w:rFonts w:ascii="宋体" w:hAnsi="宋体" w:cs="宋体"/>
                <w:kern w:val="0"/>
                <w:sz w:val="18"/>
                <w:szCs w:val="18"/>
              </w:rPr>
            </w:pPr>
            <w:r>
              <w:rPr>
                <w:rFonts w:hint="eastAsia" w:ascii="宋体" w:hAnsi="宋体" w:cs="宋体"/>
                <w:kern w:val="0"/>
                <w:sz w:val="18"/>
                <w:szCs w:val="18"/>
              </w:rPr>
              <w:t>昆明市东川区朝明採锌有限公司橄榄坡尾矿干堆库</w:t>
            </w:r>
          </w:p>
        </w:tc>
        <w:tc>
          <w:tcPr>
            <w:tcW w:w="796" w:type="dxa"/>
            <w:shd w:val="clear" w:color="auto" w:fill="auto"/>
            <w:noWrap/>
            <w:vAlign w:val="center"/>
          </w:tcPr>
          <w:p w14:paraId="60D9A65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59503273">
            <w:pPr>
              <w:widowControl/>
              <w:jc w:val="center"/>
              <w:rPr>
                <w:rFonts w:ascii="宋体" w:hAnsi="宋体" w:cs="宋体"/>
                <w:kern w:val="0"/>
                <w:sz w:val="18"/>
                <w:szCs w:val="18"/>
              </w:rPr>
            </w:pPr>
            <w:r>
              <w:rPr>
                <w:rFonts w:hint="eastAsia" w:ascii="宋体" w:hAnsi="宋体" w:cs="宋体"/>
                <w:kern w:val="0"/>
                <w:sz w:val="18"/>
                <w:szCs w:val="18"/>
              </w:rPr>
              <w:t>2010-2020</w:t>
            </w:r>
          </w:p>
        </w:tc>
        <w:tc>
          <w:tcPr>
            <w:tcW w:w="1026" w:type="dxa"/>
            <w:shd w:val="clear" w:color="auto" w:fill="auto"/>
            <w:noWrap/>
            <w:vAlign w:val="center"/>
          </w:tcPr>
          <w:p w14:paraId="03D87881">
            <w:pPr>
              <w:widowControl/>
              <w:jc w:val="center"/>
              <w:rPr>
                <w:rFonts w:ascii="宋体" w:hAnsi="宋体" w:cs="宋体"/>
                <w:kern w:val="0"/>
                <w:sz w:val="18"/>
                <w:szCs w:val="18"/>
              </w:rPr>
            </w:pPr>
            <w:r>
              <w:rPr>
                <w:rFonts w:hint="eastAsia" w:ascii="宋体" w:hAnsi="宋体" w:cs="宋体"/>
                <w:kern w:val="0"/>
                <w:sz w:val="18"/>
                <w:szCs w:val="18"/>
              </w:rPr>
              <w:t>8.04</w:t>
            </w:r>
          </w:p>
        </w:tc>
        <w:tc>
          <w:tcPr>
            <w:tcW w:w="946" w:type="dxa"/>
            <w:shd w:val="clear" w:color="auto" w:fill="auto"/>
            <w:noWrap/>
            <w:vAlign w:val="center"/>
          </w:tcPr>
          <w:p w14:paraId="29D0295B">
            <w:pPr>
              <w:widowControl/>
              <w:jc w:val="center"/>
              <w:rPr>
                <w:rFonts w:ascii="宋体" w:hAnsi="宋体" w:cs="宋体"/>
                <w:kern w:val="0"/>
                <w:sz w:val="18"/>
                <w:szCs w:val="18"/>
              </w:rPr>
            </w:pPr>
            <w:r>
              <w:rPr>
                <w:rFonts w:hint="eastAsia" w:ascii="宋体" w:hAnsi="宋体" w:cs="宋体"/>
                <w:kern w:val="0"/>
                <w:sz w:val="18"/>
                <w:szCs w:val="18"/>
              </w:rPr>
              <w:t>8.04</w:t>
            </w:r>
          </w:p>
        </w:tc>
        <w:tc>
          <w:tcPr>
            <w:tcW w:w="854" w:type="dxa"/>
            <w:shd w:val="clear" w:color="auto" w:fill="auto"/>
            <w:noWrap/>
            <w:vAlign w:val="center"/>
          </w:tcPr>
          <w:p w14:paraId="2C419E6F">
            <w:pPr>
              <w:widowControl/>
              <w:jc w:val="center"/>
              <w:rPr>
                <w:rFonts w:ascii="宋体" w:hAnsi="宋体" w:cs="宋体"/>
                <w:kern w:val="0"/>
                <w:sz w:val="18"/>
                <w:szCs w:val="18"/>
              </w:rPr>
            </w:pPr>
            <w:r>
              <w:rPr>
                <w:rFonts w:hint="eastAsia" w:ascii="宋体" w:hAnsi="宋体" w:cs="宋体"/>
                <w:kern w:val="0"/>
                <w:sz w:val="18"/>
                <w:szCs w:val="18"/>
              </w:rPr>
              <w:t xml:space="preserve">2.41 </w:t>
            </w:r>
          </w:p>
        </w:tc>
        <w:tc>
          <w:tcPr>
            <w:tcW w:w="1489" w:type="dxa"/>
            <w:shd w:val="clear" w:color="auto" w:fill="auto"/>
            <w:vAlign w:val="center"/>
          </w:tcPr>
          <w:p w14:paraId="19C096F4">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4FE8116C">
            <w:pPr>
              <w:widowControl/>
              <w:jc w:val="center"/>
              <w:rPr>
                <w:rFonts w:ascii="宋体" w:hAnsi="宋体" w:cs="宋体"/>
                <w:kern w:val="0"/>
                <w:sz w:val="18"/>
                <w:szCs w:val="18"/>
              </w:rPr>
            </w:pPr>
          </w:p>
        </w:tc>
      </w:tr>
      <w:tr w14:paraId="4953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72C82CA">
            <w:pPr>
              <w:widowControl/>
              <w:jc w:val="center"/>
              <w:rPr>
                <w:rFonts w:ascii="宋体" w:hAnsi="宋体" w:cs="宋体"/>
                <w:kern w:val="0"/>
                <w:sz w:val="18"/>
                <w:szCs w:val="18"/>
              </w:rPr>
            </w:pPr>
          </w:p>
        </w:tc>
        <w:tc>
          <w:tcPr>
            <w:tcW w:w="3659" w:type="dxa"/>
            <w:shd w:val="clear" w:color="auto" w:fill="auto"/>
            <w:noWrap/>
            <w:vAlign w:val="center"/>
          </w:tcPr>
          <w:p w14:paraId="742AFDB1">
            <w:pPr>
              <w:widowControl/>
              <w:jc w:val="center"/>
              <w:rPr>
                <w:rFonts w:ascii="宋体" w:hAnsi="宋体" w:cs="宋体"/>
                <w:kern w:val="0"/>
                <w:sz w:val="18"/>
                <w:szCs w:val="18"/>
              </w:rPr>
            </w:pPr>
            <w:r>
              <w:rPr>
                <w:rFonts w:hint="eastAsia" w:ascii="宋体" w:hAnsi="宋体" w:cs="宋体"/>
                <w:kern w:val="0"/>
                <w:sz w:val="18"/>
                <w:szCs w:val="18"/>
              </w:rPr>
              <w:t>昆明升新矿业有限责任公司板河口尾矿干堆库</w:t>
            </w:r>
          </w:p>
        </w:tc>
        <w:tc>
          <w:tcPr>
            <w:tcW w:w="796" w:type="dxa"/>
            <w:shd w:val="clear" w:color="auto" w:fill="auto"/>
            <w:noWrap/>
            <w:vAlign w:val="center"/>
          </w:tcPr>
          <w:p w14:paraId="6D945E5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B047B70">
            <w:pPr>
              <w:widowControl/>
              <w:jc w:val="center"/>
              <w:rPr>
                <w:rFonts w:ascii="宋体" w:hAnsi="宋体" w:cs="宋体"/>
                <w:kern w:val="0"/>
                <w:sz w:val="18"/>
                <w:szCs w:val="18"/>
              </w:rPr>
            </w:pPr>
            <w:r>
              <w:rPr>
                <w:rFonts w:hint="eastAsia" w:ascii="宋体" w:hAnsi="宋体" w:cs="宋体"/>
                <w:kern w:val="0"/>
                <w:sz w:val="18"/>
                <w:szCs w:val="18"/>
              </w:rPr>
              <w:t>2015-2017</w:t>
            </w:r>
          </w:p>
        </w:tc>
        <w:tc>
          <w:tcPr>
            <w:tcW w:w="1026" w:type="dxa"/>
            <w:shd w:val="clear" w:color="auto" w:fill="auto"/>
            <w:noWrap/>
            <w:vAlign w:val="center"/>
          </w:tcPr>
          <w:p w14:paraId="78A197EE">
            <w:pPr>
              <w:widowControl/>
              <w:jc w:val="center"/>
              <w:rPr>
                <w:rFonts w:ascii="宋体" w:hAnsi="宋体" w:cs="宋体"/>
                <w:kern w:val="0"/>
                <w:sz w:val="18"/>
                <w:szCs w:val="18"/>
              </w:rPr>
            </w:pPr>
            <w:r>
              <w:rPr>
                <w:rFonts w:hint="eastAsia" w:ascii="宋体" w:hAnsi="宋体" w:cs="宋体"/>
                <w:kern w:val="0"/>
                <w:sz w:val="18"/>
                <w:szCs w:val="18"/>
              </w:rPr>
              <w:t>2.44</w:t>
            </w:r>
          </w:p>
        </w:tc>
        <w:tc>
          <w:tcPr>
            <w:tcW w:w="946" w:type="dxa"/>
            <w:shd w:val="clear" w:color="auto" w:fill="auto"/>
            <w:noWrap/>
            <w:vAlign w:val="center"/>
          </w:tcPr>
          <w:p w14:paraId="02280F3C">
            <w:pPr>
              <w:widowControl/>
              <w:jc w:val="center"/>
              <w:rPr>
                <w:rFonts w:ascii="宋体" w:hAnsi="宋体" w:cs="宋体"/>
                <w:kern w:val="0"/>
                <w:sz w:val="18"/>
                <w:szCs w:val="18"/>
              </w:rPr>
            </w:pPr>
            <w:r>
              <w:rPr>
                <w:rFonts w:hint="eastAsia" w:ascii="宋体" w:hAnsi="宋体" w:cs="宋体"/>
                <w:kern w:val="0"/>
                <w:sz w:val="18"/>
                <w:szCs w:val="18"/>
              </w:rPr>
              <w:t>2.44</w:t>
            </w:r>
          </w:p>
        </w:tc>
        <w:tc>
          <w:tcPr>
            <w:tcW w:w="854" w:type="dxa"/>
            <w:shd w:val="clear" w:color="auto" w:fill="auto"/>
            <w:noWrap/>
            <w:vAlign w:val="center"/>
          </w:tcPr>
          <w:p w14:paraId="3E7A7C9F">
            <w:pPr>
              <w:widowControl/>
              <w:jc w:val="center"/>
              <w:rPr>
                <w:rFonts w:ascii="宋体" w:hAnsi="宋体" w:cs="宋体"/>
                <w:kern w:val="0"/>
                <w:sz w:val="18"/>
                <w:szCs w:val="18"/>
              </w:rPr>
            </w:pPr>
            <w:r>
              <w:rPr>
                <w:rFonts w:hint="eastAsia" w:ascii="宋体" w:hAnsi="宋体" w:cs="宋体"/>
                <w:kern w:val="0"/>
                <w:sz w:val="18"/>
                <w:szCs w:val="18"/>
              </w:rPr>
              <w:t xml:space="preserve">0.73 </w:t>
            </w:r>
          </w:p>
        </w:tc>
        <w:tc>
          <w:tcPr>
            <w:tcW w:w="1489" w:type="dxa"/>
            <w:shd w:val="clear" w:color="auto" w:fill="auto"/>
            <w:vAlign w:val="center"/>
          </w:tcPr>
          <w:p w14:paraId="05F753E5">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2897BE43">
            <w:pPr>
              <w:widowControl/>
              <w:jc w:val="center"/>
              <w:rPr>
                <w:rFonts w:ascii="宋体" w:hAnsi="宋体" w:cs="宋体"/>
                <w:kern w:val="0"/>
                <w:sz w:val="18"/>
                <w:szCs w:val="18"/>
              </w:rPr>
            </w:pPr>
          </w:p>
        </w:tc>
      </w:tr>
      <w:tr w14:paraId="2B46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53F26FB">
            <w:pPr>
              <w:widowControl/>
              <w:jc w:val="center"/>
              <w:rPr>
                <w:rFonts w:ascii="宋体" w:hAnsi="宋体" w:cs="宋体"/>
                <w:kern w:val="0"/>
                <w:sz w:val="18"/>
                <w:szCs w:val="18"/>
              </w:rPr>
            </w:pPr>
          </w:p>
        </w:tc>
        <w:tc>
          <w:tcPr>
            <w:tcW w:w="3659" w:type="dxa"/>
            <w:shd w:val="clear" w:color="auto" w:fill="auto"/>
            <w:noWrap/>
            <w:vAlign w:val="center"/>
          </w:tcPr>
          <w:p w14:paraId="04FC2D61">
            <w:pPr>
              <w:widowControl/>
              <w:jc w:val="center"/>
              <w:rPr>
                <w:rFonts w:ascii="宋体" w:hAnsi="宋体" w:cs="宋体"/>
                <w:kern w:val="0"/>
                <w:sz w:val="18"/>
                <w:szCs w:val="18"/>
              </w:rPr>
            </w:pPr>
            <w:r>
              <w:rPr>
                <w:rFonts w:hint="eastAsia" w:ascii="宋体" w:hAnsi="宋体" w:cs="宋体"/>
                <w:kern w:val="0"/>
                <w:sz w:val="18"/>
                <w:szCs w:val="18"/>
              </w:rPr>
              <w:t>东川天荣冶炼厂</w:t>
            </w:r>
          </w:p>
        </w:tc>
        <w:tc>
          <w:tcPr>
            <w:tcW w:w="796" w:type="dxa"/>
            <w:shd w:val="clear" w:color="auto" w:fill="auto"/>
            <w:noWrap/>
            <w:vAlign w:val="center"/>
          </w:tcPr>
          <w:p w14:paraId="29134EAF">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52D25B81">
            <w:pPr>
              <w:widowControl/>
              <w:jc w:val="center"/>
              <w:rPr>
                <w:rFonts w:ascii="宋体" w:hAnsi="宋体" w:cs="宋体"/>
                <w:kern w:val="0"/>
                <w:sz w:val="18"/>
                <w:szCs w:val="18"/>
              </w:rPr>
            </w:pPr>
            <w:r>
              <w:rPr>
                <w:rFonts w:hint="eastAsia" w:ascii="宋体" w:hAnsi="宋体" w:cs="宋体"/>
                <w:kern w:val="0"/>
                <w:sz w:val="18"/>
                <w:szCs w:val="18"/>
              </w:rPr>
              <w:t>2011-2015</w:t>
            </w:r>
          </w:p>
        </w:tc>
        <w:tc>
          <w:tcPr>
            <w:tcW w:w="1026" w:type="dxa"/>
            <w:shd w:val="clear" w:color="auto" w:fill="auto"/>
            <w:noWrap/>
            <w:vAlign w:val="center"/>
          </w:tcPr>
          <w:p w14:paraId="1ED97EFF">
            <w:pPr>
              <w:widowControl/>
              <w:jc w:val="center"/>
              <w:rPr>
                <w:rFonts w:ascii="宋体" w:hAnsi="宋体" w:cs="宋体"/>
                <w:kern w:val="0"/>
                <w:sz w:val="18"/>
                <w:szCs w:val="18"/>
              </w:rPr>
            </w:pPr>
            <w:r>
              <w:rPr>
                <w:rFonts w:hint="eastAsia" w:ascii="宋体" w:hAnsi="宋体" w:cs="宋体"/>
                <w:kern w:val="0"/>
                <w:sz w:val="18"/>
                <w:szCs w:val="18"/>
              </w:rPr>
              <w:t>2.43</w:t>
            </w:r>
          </w:p>
        </w:tc>
        <w:tc>
          <w:tcPr>
            <w:tcW w:w="946" w:type="dxa"/>
            <w:shd w:val="clear" w:color="auto" w:fill="auto"/>
            <w:noWrap/>
            <w:vAlign w:val="center"/>
          </w:tcPr>
          <w:p w14:paraId="49027BB2">
            <w:pPr>
              <w:widowControl/>
              <w:jc w:val="center"/>
              <w:rPr>
                <w:rFonts w:ascii="宋体" w:hAnsi="宋体" w:cs="宋体"/>
                <w:kern w:val="0"/>
                <w:sz w:val="18"/>
                <w:szCs w:val="18"/>
              </w:rPr>
            </w:pPr>
            <w:r>
              <w:rPr>
                <w:rFonts w:hint="eastAsia" w:ascii="宋体" w:hAnsi="宋体" w:cs="宋体"/>
                <w:kern w:val="0"/>
                <w:sz w:val="18"/>
                <w:szCs w:val="18"/>
              </w:rPr>
              <w:t>2.43</w:t>
            </w:r>
          </w:p>
        </w:tc>
        <w:tc>
          <w:tcPr>
            <w:tcW w:w="854" w:type="dxa"/>
            <w:shd w:val="clear" w:color="auto" w:fill="auto"/>
            <w:noWrap/>
            <w:vAlign w:val="center"/>
          </w:tcPr>
          <w:p w14:paraId="2D158578">
            <w:pPr>
              <w:widowControl/>
              <w:jc w:val="center"/>
              <w:rPr>
                <w:rFonts w:ascii="宋体" w:hAnsi="宋体" w:cs="宋体"/>
                <w:kern w:val="0"/>
                <w:sz w:val="18"/>
                <w:szCs w:val="18"/>
              </w:rPr>
            </w:pPr>
            <w:r>
              <w:rPr>
                <w:rFonts w:hint="eastAsia" w:ascii="宋体" w:hAnsi="宋体" w:cs="宋体"/>
                <w:kern w:val="0"/>
                <w:sz w:val="18"/>
                <w:szCs w:val="18"/>
              </w:rPr>
              <w:t xml:space="preserve">0.73 </w:t>
            </w:r>
          </w:p>
        </w:tc>
        <w:tc>
          <w:tcPr>
            <w:tcW w:w="1489" w:type="dxa"/>
            <w:shd w:val="clear" w:color="auto" w:fill="auto"/>
            <w:vAlign w:val="center"/>
          </w:tcPr>
          <w:p w14:paraId="30660665">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5BC2C095">
            <w:pPr>
              <w:widowControl/>
              <w:jc w:val="center"/>
              <w:rPr>
                <w:rFonts w:ascii="宋体" w:hAnsi="宋体" w:cs="宋体"/>
                <w:kern w:val="0"/>
                <w:sz w:val="18"/>
                <w:szCs w:val="18"/>
              </w:rPr>
            </w:pPr>
          </w:p>
        </w:tc>
      </w:tr>
      <w:tr w14:paraId="5368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4FAA4D0">
            <w:pPr>
              <w:widowControl/>
              <w:jc w:val="center"/>
              <w:rPr>
                <w:rFonts w:ascii="宋体" w:hAnsi="宋体" w:cs="宋体"/>
                <w:kern w:val="0"/>
                <w:sz w:val="18"/>
                <w:szCs w:val="18"/>
              </w:rPr>
            </w:pPr>
          </w:p>
        </w:tc>
        <w:tc>
          <w:tcPr>
            <w:tcW w:w="3659" w:type="dxa"/>
            <w:shd w:val="clear" w:color="auto" w:fill="auto"/>
            <w:noWrap/>
            <w:vAlign w:val="center"/>
          </w:tcPr>
          <w:p w14:paraId="2179F286">
            <w:pPr>
              <w:widowControl/>
              <w:jc w:val="center"/>
              <w:rPr>
                <w:rFonts w:ascii="宋体" w:hAnsi="宋体" w:cs="宋体"/>
                <w:kern w:val="0"/>
                <w:sz w:val="18"/>
                <w:szCs w:val="18"/>
              </w:rPr>
            </w:pPr>
            <w:r>
              <w:rPr>
                <w:rFonts w:hint="eastAsia" w:ascii="宋体" w:hAnsi="宋体" w:cs="宋体"/>
                <w:kern w:val="0"/>
                <w:sz w:val="18"/>
                <w:szCs w:val="18"/>
              </w:rPr>
              <w:t>昆明市东川万金矿业公司补味沟尾矿库</w:t>
            </w:r>
          </w:p>
        </w:tc>
        <w:tc>
          <w:tcPr>
            <w:tcW w:w="796" w:type="dxa"/>
            <w:shd w:val="clear" w:color="auto" w:fill="auto"/>
            <w:noWrap/>
            <w:vAlign w:val="center"/>
          </w:tcPr>
          <w:p w14:paraId="403BD9C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A04C4F3">
            <w:pPr>
              <w:widowControl/>
              <w:jc w:val="center"/>
              <w:rPr>
                <w:rFonts w:ascii="宋体" w:hAnsi="宋体" w:cs="宋体"/>
                <w:kern w:val="0"/>
                <w:sz w:val="18"/>
                <w:szCs w:val="18"/>
              </w:rPr>
            </w:pPr>
            <w:r>
              <w:rPr>
                <w:rFonts w:hint="eastAsia" w:ascii="宋体" w:hAnsi="宋体" w:cs="宋体"/>
                <w:kern w:val="0"/>
                <w:sz w:val="18"/>
                <w:szCs w:val="18"/>
              </w:rPr>
              <w:t>2011-2020</w:t>
            </w:r>
          </w:p>
        </w:tc>
        <w:tc>
          <w:tcPr>
            <w:tcW w:w="1026" w:type="dxa"/>
            <w:shd w:val="clear" w:color="auto" w:fill="auto"/>
            <w:noWrap/>
            <w:vAlign w:val="center"/>
          </w:tcPr>
          <w:p w14:paraId="2E37D210">
            <w:pPr>
              <w:widowControl/>
              <w:jc w:val="center"/>
              <w:rPr>
                <w:rFonts w:ascii="宋体" w:hAnsi="宋体" w:cs="宋体"/>
                <w:kern w:val="0"/>
                <w:sz w:val="18"/>
                <w:szCs w:val="18"/>
              </w:rPr>
            </w:pPr>
            <w:r>
              <w:rPr>
                <w:rFonts w:hint="eastAsia" w:ascii="宋体" w:hAnsi="宋体" w:cs="宋体"/>
                <w:kern w:val="0"/>
                <w:sz w:val="18"/>
                <w:szCs w:val="18"/>
              </w:rPr>
              <w:t>19.83</w:t>
            </w:r>
          </w:p>
        </w:tc>
        <w:tc>
          <w:tcPr>
            <w:tcW w:w="946" w:type="dxa"/>
            <w:shd w:val="clear" w:color="auto" w:fill="auto"/>
            <w:noWrap/>
            <w:vAlign w:val="center"/>
          </w:tcPr>
          <w:p w14:paraId="068D868E">
            <w:pPr>
              <w:widowControl/>
              <w:jc w:val="center"/>
              <w:rPr>
                <w:rFonts w:ascii="宋体" w:hAnsi="宋体" w:cs="宋体"/>
                <w:kern w:val="0"/>
                <w:sz w:val="18"/>
                <w:szCs w:val="18"/>
              </w:rPr>
            </w:pPr>
            <w:r>
              <w:rPr>
                <w:rFonts w:hint="eastAsia" w:ascii="宋体" w:hAnsi="宋体" w:cs="宋体"/>
                <w:kern w:val="0"/>
                <w:sz w:val="18"/>
                <w:szCs w:val="18"/>
              </w:rPr>
              <w:t>19.83</w:t>
            </w:r>
          </w:p>
        </w:tc>
        <w:tc>
          <w:tcPr>
            <w:tcW w:w="854" w:type="dxa"/>
            <w:shd w:val="clear" w:color="auto" w:fill="auto"/>
            <w:noWrap/>
            <w:vAlign w:val="center"/>
          </w:tcPr>
          <w:p w14:paraId="1C25033D">
            <w:pPr>
              <w:widowControl/>
              <w:jc w:val="center"/>
              <w:rPr>
                <w:rFonts w:ascii="宋体" w:hAnsi="宋体" w:cs="宋体"/>
                <w:kern w:val="0"/>
                <w:sz w:val="18"/>
                <w:szCs w:val="18"/>
              </w:rPr>
            </w:pPr>
            <w:r>
              <w:rPr>
                <w:rFonts w:hint="eastAsia" w:ascii="宋体" w:hAnsi="宋体" w:cs="宋体"/>
                <w:kern w:val="0"/>
                <w:sz w:val="18"/>
                <w:szCs w:val="18"/>
              </w:rPr>
              <w:t xml:space="preserve">5.95 </w:t>
            </w:r>
          </w:p>
        </w:tc>
        <w:tc>
          <w:tcPr>
            <w:tcW w:w="1489" w:type="dxa"/>
            <w:shd w:val="clear" w:color="auto" w:fill="auto"/>
            <w:vAlign w:val="center"/>
          </w:tcPr>
          <w:p w14:paraId="2DE44D8C">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7C06A52B">
            <w:pPr>
              <w:widowControl/>
              <w:jc w:val="center"/>
              <w:rPr>
                <w:rFonts w:ascii="宋体" w:hAnsi="宋体" w:cs="宋体"/>
                <w:kern w:val="0"/>
                <w:sz w:val="18"/>
                <w:szCs w:val="18"/>
              </w:rPr>
            </w:pPr>
          </w:p>
        </w:tc>
      </w:tr>
      <w:tr w14:paraId="6896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0D7EA73">
            <w:pPr>
              <w:widowControl/>
              <w:jc w:val="center"/>
              <w:rPr>
                <w:rFonts w:ascii="宋体" w:hAnsi="宋体" w:cs="宋体"/>
                <w:kern w:val="0"/>
                <w:sz w:val="18"/>
                <w:szCs w:val="18"/>
              </w:rPr>
            </w:pPr>
          </w:p>
        </w:tc>
        <w:tc>
          <w:tcPr>
            <w:tcW w:w="3659" w:type="dxa"/>
            <w:shd w:val="clear" w:color="auto" w:fill="auto"/>
            <w:noWrap/>
            <w:vAlign w:val="center"/>
          </w:tcPr>
          <w:p w14:paraId="3D7344AE">
            <w:pPr>
              <w:widowControl/>
              <w:jc w:val="center"/>
              <w:rPr>
                <w:rFonts w:ascii="宋体" w:hAnsi="宋体" w:cs="宋体"/>
                <w:kern w:val="0"/>
                <w:sz w:val="18"/>
                <w:szCs w:val="18"/>
              </w:rPr>
            </w:pPr>
            <w:r>
              <w:rPr>
                <w:rFonts w:hint="eastAsia" w:ascii="宋体" w:hAnsi="宋体" w:cs="宋体"/>
                <w:kern w:val="0"/>
                <w:sz w:val="18"/>
                <w:szCs w:val="18"/>
              </w:rPr>
              <w:t>昆明市东川万金矿业公司刺坪子大沟尾矿库</w:t>
            </w:r>
          </w:p>
        </w:tc>
        <w:tc>
          <w:tcPr>
            <w:tcW w:w="796" w:type="dxa"/>
            <w:shd w:val="clear" w:color="auto" w:fill="auto"/>
            <w:noWrap/>
            <w:vAlign w:val="center"/>
          </w:tcPr>
          <w:p w14:paraId="4B974664">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377467D">
            <w:pPr>
              <w:widowControl/>
              <w:jc w:val="center"/>
              <w:rPr>
                <w:rFonts w:ascii="宋体" w:hAnsi="宋体" w:cs="宋体"/>
                <w:kern w:val="0"/>
                <w:sz w:val="18"/>
                <w:szCs w:val="18"/>
              </w:rPr>
            </w:pPr>
            <w:r>
              <w:rPr>
                <w:rFonts w:hint="eastAsia" w:ascii="宋体" w:hAnsi="宋体" w:cs="宋体"/>
                <w:kern w:val="0"/>
                <w:sz w:val="18"/>
                <w:szCs w:val="18"/>
              </w:rPr>
              <w:t>2011-2020</w:t>
            </w:r>
          </w:p>
        </w:tc>
        <w:tc>
          <w:tcPr>
            <w:tcW w:w="1026" w:type="dxa"/>
            <w:shd w:val="clear" w:color="auto" w:fill="auto"/>
            <w:noWrap/>
            <w:vAlign w:val="center"/>
          </w:tcPr>
          <w:p w14:paraId="4D6A4042">
            <w:pPr>
              <w:widowControl/>
              <w:jc w:val="center"/>
              <w:rPr>
                <w:rFonts w:ascii="宋体" w:hAnsi="宋体" w:cs="宋体"/>
                <w:kern w:val="0"/>
                <w:sz w:val="18"/>
                <w:szCs w:val="18"/>
              </w:rPr>
            </w:pPr>
            <w:r>
              <w:rPr>
                <w:rFonts w:hint="eastAsia" w:ascii="宋体" w:hAnsi="宋体" w:cs="宋体"/>
                <w:kern w:val="0"/>
                <w:sz w:val="18"/>
                <w:szCs w:val="18"/>
              </w:rPr>
              <w:t>20.93</w:t>
            </w:r>
          </w:p>
        </w:tc>
        <w:tc>
          <w:tcPr>
            <w:tcW w:w="946" w:type="dxa"/>
            <w:shd w:val="clear" w:color="auto" w:fill="auto"/>
            <w:noWrap/>
            <w:vAlign w:val="center"/>
          </w:tcPr>
          <w:p w14:paraId="2DA7134A">
            <w:pPr>
              <w:widowControl/>
              <w:jc w:val="center"/>
              <w:rPr>
                <w:rFonts w:ascii="宋体" w:hAnsi="宋体" w:cs="宋体"/>
                <w:kern w:val="0"/>
                <w:sz w:val="18"/>
                <w:szCs w:val="18"/>
              </w:rPr>
            </w:pPr>
            <w:r>
              <w:rPr>
                <w:rFonts w:hint="eastAsia" w:ascii="宋体" w:hAnsi="宋体" w:cs="宋体"/>
                <w:kern w:val="0"/>
                <w:sz w:val="18"/>
                <w:szCs w:val="18"/>
              </w:rPr>
              <w:t>20.93</w:t>
            </w:r>
          </w:p>
        </w:tc>
        <w:tc>
          <w:tcPr>
            <w:tcW w:w="854" w:type="dxa"/>
            <w:shd w:val="clear" w:color="auto" w:fill="auto"/>
            <w:noWrap/>
            <w:vAlign w:val="center"/>
          </w:tcPr>
          <w:p w14:paraId="26147346">
            <w:pPr>
              <w:widowControl/>
              <w:jc w:val="center"/>
              <w:rPr>
                <w:rFonts w:ascii="宋体" w:hAnsi="宋体" w:cs="宋体"/>
                <w:kern w:val="0"/>
                <w:sz w:val="18"/>
                <w:szCs w:val="18"/>
              </w:rPr>
            </w:pPr>
            <w:r>
              <w:rPr>
                <w:rFonts w:hint="eastAsia" w:ascii="宋体" w:hAnsi="宋体" w:cs="宋体"/>
                <w:kern w:val="0"/>
                <w:sz w:val="18"/>
                <w:szCs w:val="18"/>
              </w:rPr>
              <w:t xml:space="preserve">6.28 </w:t>
            </w:r>
          </w:p>
        </w:tc>
        <w:tc>
          <w:tcPr>
            <w:tcW w:w="1489" w:type="dxa"/>
            <w:shd w:val="clear" w:color="auto" w:fill="auto"/>
            <w:vAlign w:val="center"/>
          </w:tcPr>
          <w:p w14:paraId="170EF5DA">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45CFBD54">
            <w:pPr>
              <w:widowControl/>
              <w:jc w:val="center"/>
              <w:rPr>
                <w:rFonts w:ascii="宋体" w:hAnsi="宋体" w:cs="宋体"/>
                <w:kern w:val="0"/>
                <w:sz w:val="18"/>
                <w:szCs w:val="18"/>
              </w:rPr>
            </w:pPr>
          </w:p>
        </w:tc>
      </w:tr>
      <w:tr w14:paraId="2955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5BA7FE3">
            <w:pPr>
              <w:widowControl/>
              <w:jc w:val="center"/>
              <w:rPr>
                <w:rFonts w:ascii="宋体" w:hAnsi="宋体" w:cs="宋体"/>
                <w:kern w:val="0"/>
                <w:sz w:val="18"/>
                <w:szCs w:val="18"/>
              </w:rPr>
            </w:pPr>
          </w:p>
        </w:tc>
        <w:tc>
          <w:tcPr>
            <w:tcW w:w="3659" w:type="dxa"/>
            <w:shd w:val="clear" w:color="auto" w:fill="auto"/>
            <w:noWrap/>
            <w:vAlign w:val="center"/>
          </w:tcPr>
          <w:p w14:paraId="25C2603A">
            <w:pPr>
              <w:widowControl/>
              <w:jc w:val="center"/>
              <w:rPr>
                <w:rFonts w:ascii="宋体" w:hAnsi="宋体" w:cs="宋体"/>
                <w:kern w:val="0"/>
                <w:sz w:val="18"/>
                <w:szCs w:val="18"/>
              </w:rPr>
            </w:pPr>
            <w:r>
              <w:rPr>
                <w:rFonts w:hint="eastAsia" w:ascii="宋体" w:hAnsi="宋体" w:cs="宋体"/>
                <w:kern w:val="0"/>
                <w:sz w:val="18"/>
                <w:szCs w:val="18"/>
              </w:rPr>
              <w:t>小计</w:t>
            </w:r>
          </w:p>
        </w:tc>
        <w:tc>
          <w:tcPr>
            <w:tcW w:w="796" w:type="dxa"/>
            <w:shd w:val="clear" w:color="auto" w:fill="auto"/>
            <w:noWrap/>
            <w:vAlign w:val="center"/>
          </w:tcPr>
          <w:p w14:paraId="214B53D1">
            <w:pPr>
              <w:widowControl/>
              <w:jc w:val="center"/>
              <w:rPr>
                <w:rFonts w:ascii="宋体" w:hAnsi="宋体" w:cs="宋体"/>
                <w:kern w:val="0"/>
                <w:sz w:val="18"/>
                <w:szCs w:val="18"/>
              </w:rPr>
            </w:pPr>
            <w:r>
              <w:rPr>
                <w:rFonts w:hint="eastAsia" w:ascii="宋体" w:hAnsi="宋体" w:cs="宋体"/>
                <w:kern w:val="0"/>
                <w:sz w:val="18"/>
                <w:szCs w:val="18"/>
              </w:rPr>
              <w:t>——</w:t>
            </w:r>
          </w:p>
        </w:tc>
        <w:tc>
          <w:tcPr>
            <w:tcW w:w="1206" w:type="dxa"/>
            <w:shd w:val="clear" w:color="auto" w:fill="auto"/>
            <w:noWrap/>
            <w:vAlign w:val="center"/>
          </w:tcPr>
          <w:p w14:paraId="216505D1">
            <w:pPr>
              <w:widowControl/>
              <w:jc w:val="center"/>
              <w:rPr>
                <w:rFonts w:ascii="宋体" w:hAnsi="宋体" w:cs="宋体"/>
                <w:kern w:val="0"/>
                <w:sz w:val="18"/>
                <w:szCs w:val="18"/>
              </w:rPr>
            </w:pPr>
            <w:r>
              <w:rPr>
                <w:rFonts w:hint="eastAsia" w:ascii="宋体" w:hAnsi="宋体" w:cs="宋体"/>
                <w:kern w:val="0"/>
                <w:sz w:val="18"/>
                <w:szCs w:val="18"/>
              </w:rPr>
              <w:t>——</w:t>
            </w:r>
          </w:p>
        </w:tc>
        <w:tc>
          <w:tcPr>
            <w:tcW w:w="1026" w:type="dxa"/>
            <w:shd w:val="clear" w:color="auto" w:fill="auto"/>
            <w:noWrap/>
            <w:vAlign w:val="center"/>
          </w:tcPr>
          <w:p w14:paraId="0D050508">
            <w:pPr>
              <w:widowControl/>
              <w:jc w:val="center"/>
              <w:rPr>
                <w:rFonts w:ascii="宋体" w:hAnsi="宋体" w:cs="宋体"/>
                <w:kern w:val="0"/>
                <w:sz w:val="18"/>
                <w:szCs w:val="18"/>
              </w:rPr>
            </w:pPr>
            <w:r>
              <w:rPr>
                <w:rFonts w:ascii="宋体" w:hAnsi="宋体" w:cs="宋体"/>
                <w:kern w:val="0"/>
                <w:sz w:val="18"/>
                <w:szCs w:val="18"/>
              </w:rPr>
              <w:t>546.68</w:t>
            </w:r>
          </w:p>
        </w:tc>
        <w:tc>
          <w:tcPr>
            <w:tcW w:w="946" w:type="dxa"/>
            <w:shd w:val="clear" w:color="auto" w:fill="auto"/>
            <w:noWrap/>
            <w:vAlign w:val="center"/>
          </w:tcPr>
          <w:p w14:paraId="1FE33454">
            <w:pPr>
              <w:widowControl/>
              <w:jc w:val="center"/>
              <w:rPr>
                <w:rFonts w:ascii="宋体" w:hAnsi="宋体" w:cs="宋体"/>
                <w:kern w:val="0"/>
                <w:sz w:val="18"/>
                <w:szCs w:val="18"/>
              </w:rPr>
            </w:pPr>
            <w:r>
              <w:rPr>
                <w:rFonts w:ascii="宋体" w:hAnsi="宋体" w:cs="宋体"/>
                <w:kern w:val="0"/>
                <w:sz w:val="18"/>
                <w:szCs w:val="18"/>
              </w:rPr>
              <w:t>546.68</w:t>
            </w:r>
          </w:p>
        </w:tc>
        <w:tc>
          <w:tcPr>
            <w:tcW w:w="854" w:type="dxa"/>
            <w:shd w:val="clear" w:color="auto" w:fill="auto"/>
            <w:noWrap/>
            <w:vAlign w:val="center"/>
          </w:tcPr>
          <w:p w14:paraId="0FDBF570">
            <w:pPr>
              <w:widowControl/>
              <w:jc w:val="right"/>
              <w:rPr>
                <w:rFonts w:ascii="宋体" w:hAnsi="宋体" w:cs="宋体"/>
                <w:kern w:val="0"/>
                <w:sz w:val="18"/>
                <w:szCs w:val="18"/>
              </w:rPr>
            </w:pPr>
            <w:r>
              <w:rPr>
                <w:rFonts w:ascii="宋体" w:hAnsi="宋体" w:cs="宋体"/>
                <w:kern w:val="0"/>
                <w:sz w:val="18"/>
                <w:szCs w:val="18"/>
              </w:rPr>
              <w:t>164.01</w:t>
            </w:r>
          </w:p>
        </w:tc>
        <w:tc>
          <w:tcPr>
            <w:tcW w:w="1489" w:type="dxa"/>
            <w:shd w:val="clear" w:color="auto" w:fill="auto"/>
            <w:vAlign w:val="center"/>
          </w:tcPr>
          <w:p w14:paraId="05C4D7B1">
            <w:pPr>
              <w:widowControl/>
              <w:jc w:val="center"/>
              <w:rPr>
                <w:rFonts w:ascii="宋体" w:hAnsi="宋体" w:cs="宋体"/>
                <w:kern w:val="0"/>
                <w:sz w:val="15"/>
                <w:szCs w:val="15"/>
              </w:rPr>
            </w:pPr>
            <w:r>
              <w:rPr>
                <w:rFonts w:hint="eastAsia" w:ascii="宋体" w:hAnsi="宋体" w:cs="宋体"/>
                <w:kern w:val="0"/>
                <w:sz w:val="15"/>
                <w:szCs w:val="15"/>
              </w:rPr>
              <w:t>——</w:t>
            </w:r>
          </w:p>
        </w:tc>
        <w:tc>
          <w:tcPr>
            <w:tcW w:w="577" w:type="dxa"/>
            <w:shd w:val="clear" w:color="auto" w:fill="auto"/>
            <w:noWrap/>
            <w:vAlign w:val="center"/>
          </w:tcPr>
          <w:p w14:paraId="0FCFEF21">
            <w:pPr>
              <w:widowControl/>
              <w:jc w:val="center"/>
              <w:rPr>
                <w:rFonts w:ascii="宋体" w:hAnsi="宋体" w:cs="宋体"/>
                <w:kern w:val="0"/>
                <w:sz w:val="18"/>
                <w:szCs w:val="18"/>
              </w:rPr>
            </w:pPr>
          </w:p>
        </w:tc>
      </w:tr>
      <w:tr w14:paraId="1AC0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restart"/>
            <w:shd w:val="clear" w:color="auto" w:fill="auto"/>
            <w:noWrap/>
            <w:vAlign w:val="center"/>
          </w:tcPr>
          <w:p w14:paraId="2EB11A86">
            <w:pPr>
              <w:widowControl/>
              <w:jc w:val="center"/>
              <w:rPr>
                <w:rFonts w:ascii="宋体" w:hAnsi="宋体" w:cs="宋体"/>
                <w:kern w:val="0"/>
                <w:sz w:val="18"/>
                <w:szCs w:val="18"/>
              </w:rPr>
            </w:pPr>
            <w:r>
              <w:rPr>
                <w:rFonts w:hint="eastAsia" w:ascii="宋体" w:hAnsi="宋体" w:cs="宋体"/>
                <w:kern w:val="0"/>
                <w:sz w:val="18"/>
                <w:szCs w:val="18"/>
              </w:rPr>
              <w:t>8.特</w:t>
            </w:r>
          </w:p>
          <w:p w14:paraId="27234E02">
            <w:pPr>
              <w:widowControl/>
              <w:jc w:val="center"/>
              <w:rPr>
                <w:rFonts w:ascii="宋体" w:hAnsi="宋体" w:cs="宋体"/>
                <w:kern w:val="0"/>
                <w:sz w:val="18"/>
                <w:szCs w:val="18"/>
              </w:rPr>
            </w:pPr>
            <w:r>
              <w:rPr>
                <w:rFonts w:hint="eastAsia" w:ascii="宋体" w:hAnsi="宋体" w:cs="宋体"/>
                <w:kern w:val="0"/>
                <w:sz w:val="18"/>
                <w:szCs w:val="18"/>
              </w:rPr>
              <w:t>殊及</w:t>
            </w:r>
          </w:p>
          <w:p w14:paraId="6AEA1B70">
            <w:pPr>
              <w:widowControl/>
              <w:jc w:val="center"/>
              <w:rPr>
                <w:rFonts w:ascii="宋体" w:hAnsi="宋体" w:cs="宋体"/>
                <w:kern w:val="0"/>
                <w:sz w:val="18"/>
                <w:szCs w:val="18"/>
              </w:rPr>
            </w:pPr>
            <w:r>
              <w:rPr>
                <w:rFonts w:hint="eastAsia" w:ascii="宋体" w:hAnsi="宋体" w:cs="宋体"/>
                <w:kern w:val="0"/>
                <w:sz w:val="18"/>
                <w:szCs w:val="18"/>
              </w:rPr>
              <w:t>其他</w:t>
            </w:r>
          </w:p>
        </w:tc>
        <w:tc>
          <w:tcPr>
            <w:tcW w:w="3659" w:type="dxa"/>
            <w:shd w:val="clear" w:color="auto" w:fill="auto"/>
            <w:noWrap/>
            <w:vAlign w:val="center"/>
          </w:tcPr>
          <w:p w14:paraId="00E52411">
            <w:pPr>
              <w:widowControl/>
              <w:jc w:val="center"/>
              <w:rPr>
                <w:rFonts w:ascii="宋体" w:hAnsi="宋体" w:cs="宋体"/>
                <w:kern w:val="0"/>
                <w:sz w:val="18"/>
                <w:szCs w:val="18"/>
              </w:rPr>
            </w:pPr>
            <w:r>
              <w:rPr>
                <w:rFonts w:hint="eastAsia" w:ascii="宋体" w:hAnsi="宋体" w:cs="宋体"/>
                <w:kern w:val="0"/>
                <w:sz w:val="18"/>
                <w:szCs w:val="18"/>
              </w:rPr>
              <w:t>东川武装部民兵训练基地</w:t>
            </w:r>
          </w:p>
        </w:tc>
        <w:tc>
          <w:tcPr>
            <w:tcW w:w="796" w:type="dxa"/>
            <w:shd w:val="clear" w:color="auto" w:fill="auto"/>
            <w:noWrap/>
            <w:vAlign w:val="center"/>
          </w:tcPr>
          <w:p w14:paraId="0DB4C3E6">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FD7425D">
            <w:pPr>
              <w:widowControl/>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53586B18">
            <w:pPr>
              <w:widowControl/>
              <w:jc w:val="center"/>
              <w:rPr>
                <w:rFonts w:ascii="宋体" w:hAnsi="宋体" w:cs="宋体"/>
                <w:kern w:val="0"/>
                <w:sz w:val="18"/>
                <w:szCs w:val="18"/>
              </w:rPr>
            </w:pPr>
            <w:r>
              <w:rPr>
                <w:rFonts w:hint="eastAsia" w:ascii="宋体" w:hAnsi="宋体" w:cs="宋体"/>
                <w:kern w:val="0"/>
                <w:sz w:val="18"/>
                <w:szCs w:val="18"/>
              </w:rPr>
              <w:t>9.64</w:t>
            </w:r>
          </w:p>
        </w:tc>
        <w:tc>
          <w:tcPr>
            <w:tcW w:w="946" w:type="dxa"/>
            <w:shd w:val="clear" w:color="auto" w:fill="auto"/>
            <w:noWrap/>
            <w:vAlign w:val="center"/>
          </w:tcPr>
          <w:p w14:paraId="5E2E3307">
            <w:pPr>
              <w:widowControl/>
              <w:jc w:val="center"/>
              <w:rPr>
                <w:rFonts w:ascii="宋体" w:hAnsi="宋体" w:cs="宋体"/>
                <w:kern w:val="0"/>
                <w:sz w:val="18"/>
                <w:szCs w:val="18"/>
              </w:rPr>
            </w:pPr>
            <w:r>
              <w:rPr>
                <w:rFonts w:hint="eastAsia" w:ascii="宋体" w:hAnsi="宋体" w:cs="宋体"/>
                <w:kern w:val="0"/>
                <w:sz w:val="18"/>
                <w:szCs w:val="18"/>
              </w:rPr>
              <w:t>9.29</w:t>
            </w:r>
          </w:p>
        </w:tc>
        <w:tc>
          <w:tcPr>
            <w:tcW w:w="854" w:type="dxa"/>
            <w:shd w:val="clear" w:color="auto" w:fill="auto"/>
            <w:noWrap/>
            <w:vAlign w:val="center"/>
          </w:tcPr>
          <w:p w14:paraId="70AECC37">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noWrap/>
            <w:vAlign w:val="center"/>
          </w:tcPr>
          <w:p w14:paraId="0289E994">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0DF55A75">
            <w:pPr>
              <w:widowControl/>
              <w:jc w:val="center"/>
              <w:rPr>
                <w:rFonts w:ascii="宋体" w:hAnsi="宋体" w:cs="宋体"/>
                <w:kern w:val="0"/>
                <w:sz w:val="18"/>
                <w:szCs w:val="18"/>
              </w:rPr>
            </w:pPr>
          </w:p>
        </w:tc>
      </w:tr>
      <w:tr w14:paraId="06CE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shd w:val="clear" w:color="auto" w:fill="auto"/>
            <w:noWrap/>
            <w:vAlign w:val="center"/>
          </w:tcPr>
          <w:p w14:paraId="454E8A62">
            <w:pPr>
              <w:widowControl/>
              <w:jc w:val="center"/>
              <w:rPr>
                <w:rFonts w:ascii="宋体" w:hAnsi="宋体" w:cs="宋体"/>
                <w:kern w:val="0"/>
                <w:sz w:val="18"/>
                <w:szCs w:val="18"/>
              </w:rPr>
            </w:pPr>
          </w:p>
        </w:tc>
        <w:tc>
          <w:tcPr>
            <w:tcW w:w="3659" w:type="dxa"/>
            <w:shd w:val="clear" w:color="auto" w:fill="auto"/>
            <w:noWrap/>
            <w:vAlign w:val="center"/>
          </w:tcPr>
          <w:p w14:paraId="20B49A97">
            <w:pPr>
              <w:widowControl/>
              <w:jc w:val="center"/>
              <w:rPr>
                <w:rFonts w:ascii="宋体" w:hAnsi="宋体" w:cs="宋体"/>
                <w:kern w:val="0"/>
                <w:sz w:val="18"/>
                <w:szCs w:val="18"/>
              </w:rPr>
            </w:pPr>
            <w:r>
              <w:rPr>
                <w:rFonts w:hint="eastAsia" w:ascii="宋体" w:hAnsi="宋体" w:cs="宋体"/>
                <w:kern w:val="0"/>
                <w:sz w:val="18"/>
                <w:szCs w:val="18"/>
              </w:rPr>
              <w:t>东川区格勒经济区</w:t>
            </w:r>
          </w:p>
        </w:tc>
        <w:tc>
          <w:tcPr>
            <w:tcW w:w="796" w:type="dxa"/>
            <w:shd w:val="clear" w:color="auto" w:fill="auto"/>
            <w:noWrap/>
            <w:vAlign w:val="center"/>
          </w:tcPr>
          <w:p w14:paraId="056995BC">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01420000">
            <w:pPr>
              <w:widowControl/>
              <w:jc w:val="center"/>
              <w:rPr>
                <w:rFonts w:ascii="宋体" w:hAnsi="宋体" w:cs="宋体"/>
                <w:kern w:val="0"/>
                <w:sz w:val="18"/>
                <w:szCs w:val="18"/>
              </w:rPr>
            </w:pPr>
            <w:r>
              <w:rPr>
                <w:rFonts w:hint="eastAsia" w:ascii="宋体" w:hAnsi="宋体" w:cs="宋体"/>
                <w:kern w:val="0"/>
                <w:sz w:val="18"/>
                <w:szCs w:val="18"/>
              </w:rPr>
              <w:t>2018</w:t>
            </w:r>
          </w:p>
        </w:tc>
        <w:tc>
          <w:tcPr>
            <w:tcW w:w="1026" w:type="dxa"/>
            <w:shd w:val="clear" w:color="auto" w:fill="auto"/>
            <w:noWrap/>
            <w:vAlign w:val="center"/>
          </w:tcPr>
          <w:p w14:paraId="2473B595">
            <w:pPr>
              <w:widowControl/>
              <w:jc w:val="center"/>
              <w:rPr>
                <w:rFonts w:ascii="宋体" w:hAnsi="宋体" w:cs="宋体"/>
                <w:kern w:val="0"/>
                <w:sz w:val="18"/>
                <w:szCs w:val="18"/>
              </w:rPr>
            </w:pPr>
            <w:r>
              <w:rPr>
                <w:rFonts w:hint="eastAsia" w:ascii="宋体" w:hAnsi="宋体" w:cs="宋体"/>
                <w:kern w:val="0"/>
                <w:sz w:val="18"/>
                <w:szCs w:val="18"/>
              </w:rPr>
              <w:t>20</w:t>
            </w:r>
          </w:p>
        </w:tc>
        <w:tc>
          <w:tcPr>
            <w:tcW w:w="946" w:type="dxa"/>
            <w:shd w:val="clear" w:color="auto" w:fill="auto"/>
            <w:noWrap/>
            <w:vAlign w:val="center"/>
          </w:tcPr>
          <w:p w14:paraId="5581FEB8">
            <w:pPr>
              <w:widowControl/>
              <w:jc w:val="center"/>
              <w:rPr>
                <w:rFonts w:ascii="宋体" w:hAnsi="宋体" w:cs="宋体"/>
                <w:kern w:val="0"/>
                <w:sz w:val="18"/>
                <w:szCs w:val="18"/>
              </w:rPr>
            </w:pPr>
            <w:r>
              <w:rPr>
                <w:rFonts w:hint="eastAsia" w:ascii="宋体" w:hAnsi="宋体" w:cs="宋体"/>
                <w:kern w:val="0"/>
                <w:sz w:val="18"/>
                <w:szCs w:val="18"/>
              </w:rPr>
              <w:t>15</w:t>
            </w:r>
          </w:p>
        </w:tc>
        <w:tc>
          <w:tcPr>
            <w:tcW w:w="854" w:type="dxa"/>
            <w:shd w:val="clear" w:color="auto" w:fill="auto"/>
            <w:noWrap/>
            <w:vAlign w:val="center"/>
          </w:tcPr>
          <w:p w14:paraId="1CC57C9D">
            <w:pPr>
              <w:widowControl/>
              <w:jc w:val="center"/>
              <w:rPr>
                <w:rFonts w:ascii="宋体" w:hAnsi="宋体" w:cs="宋体"/>
                <w:kern w:val="0"/>
                <w:sz w:val="18"/>
                <w:szCs w:val="18"/>
              </w:rPr>
            </w:pPr>
            <w:r>
              <w:rPr>
                <w:rFonts w:hint="eastAsia" w:ascii="宋体" w:hAnsi="宋体" w:cs="宋体"/>
                <w:kern w:val="0"/>
                <w:sz w:val="18"/>
                <w:szCs w:val="18"/>
              </w:rPr>
              <w:t>3</w:t>
            </w:r>
          </w:p>
        </w:tc>
        <w:tc>
          <w:tcPr>
            <w:tcW w:w="1489" w:type="dxa"/>
            <w:shd w:val="clear" w:color="auto" w:fill="auto"/>
            <w:noWrap/>
            <w:vAlign w:val="center"/>
          </w:tcPr>
          <w:p w14:paraId="06AACDA7">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7651E2D9">
            <w:pPr>
              <w:widowControl/>
              <w:jc w:val="center"/>
              <w:rPr>
                <w:rFonts w:ascii="宋体" w:hAnsi="宋体" w:cs="宋体"/>
                <w:kern w:val="0"/>
                <w:sz w:val="18"/>
                <w:szCs w:val="18"/>
              </w:rPr>
            </w:pPr>
          </w:p>
        </w:tc>
      </w:tr>
      <w:tr w14:paraId="6D7B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D95A82C">
            <w:pPr>
              <w:widowControl/>
              <w:jc w:val="center"/>
              <w:rPr>
                <w:rFonts w:ascii="宋体" w:hAnsi="宋体" w:cs="宋体"/>
                <w:kern w:val="0"/>
                <w:sz w:val="18"/>
                <w:szCs w:val="18"/>
              </w:rPr>
            </w:pPr>
          </w:p>
        </w:tc>
        <w:tc>
          <w:tcPr>
            <w:tcW w:w="3659" w:type="dxa"/>
            <w:shd w:val="clear" w:color="auto" w:fill="auto"/>
            <w:vAlign w:val="center"/>
          </w:tcPr>
          <w:p w14:paraId="408A428C">
            <w:pPr>
              <w:widowControl/>
              <w:jc w:val="center"/>
              <w:rPr>
                <w:rFonts w:ascii="宋体" w:hAnsi="宋体" w:cs="宋体"/>
                <w:kern w:val="0"/>
                <w:sz w:val="18"/>
                <w:szCs w:val="18"/>
              </w:rPr>
            </w:pPr>
            <w:r>
              <w:rPr>
                <w:rFonts w:hint="eastAsia" w:ascii="宋体" w:hAnsi="宋体" w:cs="宋体"/>
                <w:kern w:val="0"/>
                <w:sz w:val="18"/>
                <w:szCs w:val="18"/>
              </w:rPr>
              <w:t>东川乌龙镇坝塘村回民归真仪式服务点</w:t>
            </w:r>
          </w:p>
        </w:tc>
        <w:tc>
          <w:tcPr>
            <w:tcW w:w="796" w:type="dxa"/>
            <w:shd w:val="clear" w:color="auto" w:fill="auto"/>
            <w:noWrap/>
            <w:vAlign w:val="center"/>
          </w:tcPr>
          <w:p w14:paraId="598579A7">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7ADA0C29">
            <w:pPr>
              <w:widowControl/>
              <w:jc w:val="center"/>
              <w:rPr>
                <w:rFonts w:ascii="宋体" w:hAnsi="宋体" w:cs="宋体"/>
                <w:kern w:val="0"/>
                <w:sz w:val="18"/>
                <w:szCs w:val="18"/>
              </w:rPr>
            </w:pPr>
            <w:r>
              <w:rPr>
                <w:rFonts w:hint="eastAsia" w:ascii="宋体" w:hAnsi="宋体" w:cs="宋体"/>
                <w:kern w:val="0"/>
                <w:sz w:val="18"/>
                <w:szCs w:val="18"/>
              </w:rPr>
              <w:t>2019</w:t>
            </w:r>
          </w:p>
        </w:tc>
        <w:tc>
          <w:tcPr>
            <w:tcW w:w="1026" w:type="dxa"/>
            <w:shd w:val="clear" w:color="auto" w:fill="auto"/>
            <w:noWrap/>
            <w:vAlign w:val="center"/>
          </w:tcPr>
          <w:p w14:paraId="718372A3">
            <w:pPr>
              <w:widowControl/>
              <w:jc w:val="center"/>
              <w:rPr>
                <w:rFonts w:ascii="宋体" w:hAnsi="宋体" w:cs="宋体"/>
                <w:kern w:val="0"/>
                <w:sz w:val="18"/>
                <w:szCs w:val="18"/>
              </w:rPr>
            </w:pPr>
            <w:r>
              <w:rPr>
                <w:rFonts w:hint="eastAsia" w:ascii="宋体" w:hAnsi="宋体" w:cs="宋体"/>
                <w:kern w:val="0"/>
                <w:sz w:val="18"/>
                <w:szCs w:val="18"/>
              </w:rPr>
              <w:t>0.09</w:t>
            </w:r>
          </w:p>
        </w:tc>
        <w:tc>
          <w:tcPr>
            <w:tcW w:w="946" w:type="dxa"/>
            <w:shd w:val="clear" w:color="auto" w:fill="auto"/>
            <w:noWrap/>
            <w:vAlign w:val="center"/>
          </w:tcPr>
          <w:p w14:paraId="2F7485D8">
            <w:pPr>
              <w:widowControl/>
              <w:jc w:val="center"/>
              <w:rPr>
                <w:rFonts w:ascii="宋体" w:hAnsi="宋体" w:cs="宋体"/>
                <w:kern w:val="0"/>
                <w:sz w:val="18"/>
                <w:szCs w:val="18"/>
              </w:rPr>
            </w:pPr>
            <w:r>
              <w:rPr>
                <w:rFonts w:hint="eastAsia" w:ascii="宋体" w:hAnsi="宋体" w:cs="宋体"/>
                <w:kern w:val="0"/>
                <w:sz w:val="18"/>
                <w:szCs w:val="18"/>
              </w:rPr>
              <w:t>0.09</w:t>
            </w:r>
          </w:p>
        </w:tc>
        <w:tc>
          <w:tcPr>
            <w:tcW w:w="854" w:type="dxa"/>
            <w:shd w:val="clear" w:color="auto" w:fill="auto"/>
            <w:noWrap/>
            <w:vAlign w:val="center"/>
          </w:tcPr>
          <w:p w14:paraId="1F8E7504">
            <w:pPr>
              <w:widowControl/>
              <w:jc w:val="center"/>
              <w:rPr>
                <w:rFonts w:ascii="宋体" w:hAnsi="宋体" w:cs="宋体"/>
                <w:kern w:val="0"/>
                <w:sz w:val="18"/>
                <w:szCs w:val="18"/>
              </w:rPr>
            </w:pPr>
            <w:r>
              <w:rPr>
                <w:rFonts w:hint="eastAsia" w:ascii="宋体" w:hAnsi="宋体" w:cs="宋体"/>
                <w:kern w:val="0"/>
                <w:sz w:val="18"/>
                <w:szCs w:val="18"/>
              </w:rPr>
              <w:t>0.29</w:t>
            </w:r>
          </w:p>
        </w:tc>
        <w:tc>
          <w:tcPr>
            <w:tcW w:w="1489" w:type="dxa"/>
            <w:shd w:val="clear" w:color="auto" w:fill="auto"/>
            <w:noWrap/>
            <w:vAlign w:val="center"/>
          </w:tcPr>
          <w:p w14:paraId="50CA6A20">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3F763EBF">
            <w:pPr>
              <w:widowControl/>
              <w:jc w:val="center"/>
              <w:rPr>
                <w:rFonts w:ascii="宋体" w:hAnsi="宋体" w:cs="宋体"/>
                <w:kern w:val="0"/>
                <w:sz w:val="18"/>
                <w:szCs w:val="18"/>
              </w:rPr>
            </w:pPr>
          </w:p>
        </w:tc>
      </w:tr>
      <w:tr w14:paraId="3BEC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D5E6342">
            <w:pPr>
              <w:widowControl/>
              <w:jc w:val="center"/>
              <w:rPr>
                <w:rFonts w:ascii="宋体" w:hAnsi="宋体" w:cs="宋体"/>
                <w:kern w:val="0"/>
                <w:sz w:val="18"/>
                <w:szCs w:val="18"/>
              </w:rPr>
            </w:pPr>
          </w:p>
        </w:tc>
        <w:tc>
          <w:tcPr>
            <w:tcW w:w="3659" w:type="dxa"/>
            <w:shd w:val="clear" w:color="auto" w:fill="auto"/>
            <w:vAlign w:val="center"/>
          </w:tcPr>
          <w:p w14:paraId="7694DF8D">
            <w:pPr>
              <w:widowControl/>
              <w:jc w:val="center"/>
              <w:rPr>
                <w:rFonts w:ascii="宋体" w:hAnsi="宋体" w:cs="宋体"/>
                <w:kern w:val="0"/>
                <w:sz w:val="18"/>
                <w:szCs w:val="18"/>
              </w:rPr>
            </w:pPr>
            <w:r>
              <w:rPr>
                <w:rFonts w:hint="eastAsia" w:ascii="宋体" w:hAnsi="宋体" w:cs="宋体"/>
                <w:kern w:val="0"/>
                <w:sz w:val="18"/>
                <w:szCs w:val="18"/>
              </w:rPr>
              <w:t>深沟矿山公园</w:t>
            </w:r>
          </w:p>
        </w:tc>
        <w:tc>
          <w:tcPr>
            <w:tcW w:w="796" w:type="dxa"/>
            <w:shd w:val="clear" w:color="auto" w:fill="auto"/>
            <w:noWrap/>
            <w:vAlign w:val="center"/>
          </w:tcPr>
          <w:p w14:paraId="6F84DEBE">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4305234D">
            <w:pPr>
              <w:widowControl/>
              <w:jc w:val="center"/>
              <w:rPr>
                <w:rFonts w:ascii="宋体" w:hAnsi="宋体" w:cs="宋体"/>
                <w:kern w:val="0"/>
                <w:sz w:val="18"/>
                <w:szCs w:val="18"/>
              </w:rPr>
            </w:pPr>
            <w:r>
              <w:rPr>
                <w:rFonts w:hint="eastAsia" w:ascii="宋体" w:hAnsi="宋体" w:cs="宋体"/>
                <w:kern w:val="0"/>
                <w:sz w:val="18"/>
                <w:szCs w:val="18"/>
              </w:rPr>
              <w:t>2019</w:t>
            </w:r>
          </w:p>
        </w:tc>
        <w:tc>
          <w:tcPr>
            <w:tcW w:w="1026" w:type="dxa"/>
            <w:shd w:val="clear" w:color="auto" w:fill="auto"/>
            <w:noWrap/>
            <w:vAlign w:val="center"/>
          </w:tcPr>
          <w:p w14:paraId="64922CE8">
            <w:pPr>
              <w:widowControl/>
              <w:jc w:val="center"/>
              <w:rPr>
                <w:rFonts w:ascii="宋体" w:hAnsi="宋体" w:cs="宋体"/>
                <w:kern w:val="0"/>
                <w:sz w:val="18"/>
                <w:szCs w:val="18"/>
              </w:rPr>
            </w:pPr>
            <w:r>
              <w:rPr>
                <w:rFonts w:hint="eastAsia" w:ascii="宋体" w:hAnsi="宋体" w:cs="宋体"/>
                <w:kern w:val="0"/>
                <w:sz w:val="18"/>
                <w:szCs w:val="18"/>
              </w:rPr>
              <w:t>13</w:t>
            </w:r>
          </w:p>
        </w:tc>
        <w:tc>
          <w:tcPr>
            <w:tcW w:w="946" w:type="dxa"/>
            <w:shd w:val="clear" w:color="auto" w:fill="auto"/>
            <w:noWrap/>
            <w:vAlign w:val="center"/>
          </w:tcPr>
          <w:p w14:paraId="4BDB565B">
            <w:pPr>
              <w:widowControl/>
              <w:jc w:val="center"/>
              <w:rPr>
                <w:rFonts w:ascii="宋体" w:hAnsi="宋体" w:cs="宋体"/>
                <w:kern w:val="0"/>
                <w:sz w:val="18"/>
                <w:szCs w:val="18"/>
              </w:rPr>
            </w:pPr>
            <w:r>
              <w:rPr>
                <w:rFonts w:hint="eastAsia" w:ascii="宋体" w:hAnsi="宋体" w:cs="宋体"/>
                <w:kern w:val="0"/>
                <w:sz w:val="18"/>
                <w:szCs w:val="18"/>
              </w:rPr>
              <w:t>12.43</w:t>
            </w:r>
          </w:p>
        </w:tc>
        <w:tc>
          <w:tcPr>
            <w:tcW w:w="854" w:type="dxa"/>
            <w:shd w:val="clear" w:color="auto" w:fill="auto"/>
            <w:noWrap/>
            <w:vAlign w:val="center"/>
          </w:tcPr>
          <w:p w14:paraId="6D1F8D2D">
            <w:pPr>
              <w:widowControl/>
              <w:jc w:val="center"/>
              <w:rPr>
                <w:rFonts w:ascii="宋体" w:hAnsi="宋体" w:cs="宋体"/>
                <w:kern w:val="0"/>
                <w:sz w:val="18"/>
                <w:szCs w:val="18"/>
              </w:rPr>
            </w:pPr>
            <w:r>
              <w:rPr>
                <w:rFonts w:hint="eastAsia" w:ascii="宋体" w:hAnsi="宋体" w:cs="宋体"/>
                <w:kern w:val="0"/>
                <w:sz w:val="18"/>
                <w:szCs w:val="18"/>
              </w:rPr>
              <w:t>0.01</w:t>
            </w:r>
          </w:p>
        </w:tc>
        <w:tc>
          <w:tcPr>
            <w:tcW w:w="1489" w:type="dxa"/>
            <w:shd w:val="clear" w:color="auto" w:fill="auto"/>
            <w:noWrap/>
            <w:vAlign w:val="center"/>
          </w:tcPr>
          <w:p w14:paraId="395D61E2">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1F1F6E9B">
            <w:pPr>
              <w:widowControl/>
              <w:jc w:val="center"/>
              <w:rPr>
                <w:rFonts w:ascii="宋体" w:hAnsi="宋体" w:cs="宋体"/>
                <w:kern w:val="0"/>
                <w:sz w:val="18"/>
                <w:szCs w:val="18"/>
              </w:rPr>
            </w:pPr>
          </w:p>
        </w:tc>
      </w:tr>
      <w:tr w14:paraId="498E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F07CA36">
            <w:pPr>
              <w:widowControl/>
              <w:jc w:val="center"/>
              <w:rPr>
                <w:rFonts w:ascii="宋体" w:hAnsi="宋体" w:cs="宋体"/>
                <w:kern w:val="0"/>
                <w:sz w:val="18"/>
                <w:szCs w:val="18"/>
              </w:rPr>
            </w:pPr>
          </w:p>
        </w:tc>
        <w:tc>
          <w:tcPr>
            <w:tcW w:w="3659" w:type="dxa"/>
            <w:shd w:val="clear" w:color="auto" w:fill="auto"/>
            <w:noWrap/>
            <w:vAlign w:val="center"/>
          </w:tcPr>
          <w:p w14:paraId="77C629FD">
            <w:pPr>
              <w:widowControl/>
              <w:jc w:val="center"/>
              <w:rPr>
                <w:rFonts w:ascii="宋体" w:hAnsi="宋体" w:cs="宋体"/>
                <w:kern w:val="0"/>
                <w:sz w:val="18"/>
                <w:szCs w:val="18"/>
              </w:rPr>
            </w:pPr>
            <w:r>
              <w:rPr>
                <w:rFonts w:hint="eastAsia" w:ascii="宋体" w:hAnsi="宋体" w:cs="宋体"/>
                <w:kern w:val="0"/>
                <w:sz w:val="18"/>
                <w:szCs w:val="18"/>
              </w:rPr>
              <w:t>云南省696台搬迁</w:t>
            </w:r>
          </w:p>
        </w:tc>
        <w:tc>
          <w:tcPr>
            <w:tcW w:w="796" w:type="dxa"/>
            <w:shd w:val="clear" w:color="auto" w:fill="auto"/>
            <w:noWrap/>
            <w:vAlign w:val="center"/>
          </w:tcPr>
          <w:p w14:paraId="5845CE7E">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F8A6825">
            <w:pPr>
              <w:widowControl/>
              <w:jc w:val="center"/>
              <w:rPr>
                <w:rFonts w:ascii="宋体" w:hAnsi="宋体" w:cs="宋体"/>
                <w:kern w:val="0"/>
                <w:sz w:val="18"/>
                <w:szCs w:val="18"/>
              </w:rPr>
            </w:pPr>
            <w:r>
              <w:rPr>
                <w:rFonts w:hint="eastAsia" w:ascii="宋体" w:hAnsi="宋体" w:cs="宋体"/>
                <w:kern w:val="0"/>
                <w:sz w:val="18"/>
                <w:szCs w:val="18"/>
              </w:rPr>
              <w:t>2017-2020</w:t>
            </w:r>
          </w:p>
        </w:tc>
        <w:tc>
          <w:tcPr>
            <w:tcW w:w="1026" w:type="dxa"/>
            <w:shd w:val="clear" w:color="auto" w:fill="auto"/>
            <w:noWrap/>
            <w:vAlign w:val="center"/>
          </w:tcPr>
          <w:p w14:paraId="08CFDEE0">
            <w:pPr>
              <w:widowControl/>
              <w:jc w:val="center"/>
              <w:rPr>
                <w:rFonts w:ascii="宋体" w:hAnsi="宋体" w:cs="宋体"/>
                <w:kern w:val="0"/>
                <w:sz w:val="18"/>
                <w:szCs w:val="18"/>
              </w:rPr>
            </w:pPr>
            <w:r>
              <w:rPr>
                <w:rFonts w:hint="eastAsia" w:ascii="宋体" w:hAnsi="宋体" w:cs="宋体"/>
                <w:kern w:val="0"/>
                <w:sz w:val="18"/>
                <w:szCs w:val="18"/>
              </w:rPr>
              <w:t>0.77</w:t>
            </w:r>
          </w:p>
        </w:tc>
        <w:tc>
          <w:tcPr>
            <w:tcW w:w="946" w:type="dxa"/>
            <w:shd w:val="clear" w:color="auto" w:fill="auto"/>
            <w:noWrap/>
            <w:vAlign w:val="center"/>
          </w:tcPr>
          <w:p w14:paraId="3D3E4304">
            <w:pPr>
              <w:widowControl/>
              <w:jc w:val="center"/>
              <w:rPr>
                <w:rFonts w:ascii="宋体" w:hAnsi="宋体" w:cs="宋体"/>
                <w:kern w:val="0"/>
                <w:sz w:val="18"/>
                <w:szCs w:val="18"/>
              </w:rPr>
            </w:pPr>
            <w:r>
              <w:rPr>
                <w:rFonts w:hint="eastAsia" w:ascii="宋体" w:hAnsi="宋体" w:cs="宋体"/>
                <w:kern w:val="0"/>
                <w:sz w:val="18"/>
                <w:szCs w:val="18"/>
              </w:rPr>
              <w:t>0.77</w:t>
            </w:r>
          </w:p>
        </w:tc>
        <w:tc>
          <w:tcPr>
            <w:tcW w:w="854" w:type="dxa"/>
            <w:shd w:val="clear" w:color="auto" w:fill="auto"/>
            <w:noWrap/>
            <w:vAlign w:val="center"/>
          </w:tcPr>
          <w:p w14:paraId="797B6DEC">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vAlign w:val="center"/>
          </w:tcPr>
          <w:p w14:paraId="2A1163F7">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021053F8">
            <w:pPr>
              <w:widowControl/>
              <w:jc w:val="center"/>
              <w:rPr>
                <w:rFonts w:ascii="宋体" w:hAnsi="宋体" w:cs="宋体"/>
                <w:kern w:val="0"/>
                <w:sz w:val="18"/>
                <w:szCs w:val="18"/>
              </w:rPr>
            </w:pPr>
          </w:p>
        </w:tc>
      </w:tr>
      <w:tr w14:paraId="2D4A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DFC626C">
            <w:pPr>
              <w:widowControl/>
              <w:jc w:val="center"/>
              <w:rPr>
                <w:rFonts w:ascii="宋体" w:hAnsi="宋体" w:cs="宋体"/>
                <w:kern w:val="0"/>
                <w:sz w:val="18"/>
                <w:szCs w:val="18"/>
              </w:rPr>
            </w:pPr>
          </w:p>
        </w:tc>
        <w:tc>
          <w:tcPr>
            <w:tcW w:w="3659" w:type="dxa"/>
            <w:shd w:val="clear" w:color="auto" w:fill="auto"/>
            <w:noWrap/>
            <w:vAlign w:val="center"/>
          </w:tcPr>
          <w:p w14:paraId="6A30F609">
            <w:pPr>
              <w:widowControl/>
              <w:jc w:val="center"/>
              <w:rPr>
                <w:rFonts w:ascii="宋体" w:hAnsi="宋体" w:cs="宋体"/>
                <w:kern w:val="0"/>
                <w:sz w:val="18"/>
                <w:szCs w:val="18"/>
              </w:rPr>
            </w:pPr>
            <w:r>
              <w:rPr>
                <w:rFonts w:hint="eastAsia" w:ascii="宋体" w:hAnsi="宋体" w:cs="宋体"/>
                <w:kern w:val="0"/>
                <w:sz w:val="18"/>
                <w:szCs w:val="18"/>
              </w:rPr>
              <w:t>中石化刺坪子加油站</w:t>
            </w:r>
          </w:p>
        </w:tc>
        <w:tc>
          <w:tcPr>
            <w:tcW w:w="796" w:type="dxa"/>
            <w:shd w:val="clear" w:color="auto" w:fill="auto"/>
            <w:noWrap/>
            <w:vAlign w:val="center"/>
          </w:tcPr>
          <w:p w14:paraId="3854308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4FF7BEB">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188BC0E8">
            <w:pPr>
              <w:widowControl/>
              <w:jc w:val="center"/>
              <w:rPr>
                <w:rFonts w:ascii="宋体" w:hAnsi="宋体" w:cs="宋体"/>
                <w:kern w:val="0"/>
                <w:sz w:val="18"/>
                <w:szCs w:val="18"/>
              </w:rPr>
            </w:pPr>
            <w:r>
              <w:rPr>
                <w:rFonts w:hint="eastAsia" w:ascii="宋体" w:hAnsi="宋体" w:cs="宋体"/>
                <w:kern w:val="0"/>
                <w:sz w:val="18"/>
                <w:szCs w:val="18"/>
              </w:rPr>
              <w:t>0.32</w:t>
            </w:r>
          </w:p>
        </w:tc>
        <w:tc>
          <w:tcPr>
            <w:tcW w:w="946" w:type="dxa"/>
            <w:shd w:val="clear" w:color="auto" w:fill="auto"/>
            <w:noWrap/>
            <w:vAlign w:val="center"/>
          </w:tcPr>
          <w:p w14:paraId="3DCD8CCA">
            <w:pPr>
              <w:widowControl/>
              <w:jc w:val="center"/>
              <w:rPr>
                <w:rFonts w:ascii="宋体" w:hAnsi="宋体" w:cs="宋体"/>
                <w:kern w:val="0"/>
                <w:sz w:val="18"/>
                <w:szCs w:val="18"/>
              </w:rPr>
            </w:pPr>
            <w:r>
              <w:rPr>
                <w:rFonts w:hint="eastAsia" w:ascii="宋体" w:hAnsi="宋体" w:cs="宋体"/>
                <w:kern w:val="0"/>
                <w:sz w:val="18"/>
                <w:szCs w:val="18"/>
              </w:rPr>
              <w:t>0.32</w:t>
            </w:r>
          </w:p>
        </w:tc>
        <w:tc>
          <w:tcPr>
            <w:tcW w:w="854" w:type="dxa"/>
            <w:shd w:val="clear" w:color="auto" w:fill="auto"/>
            <w:noWrap/>
            <w:vAlign w:val="center"/>
          </w:tcPr>
          <w:p w14:paraId="4D83D074">
            <w:pPr>
              <w:widowControl/>
              <w:jc w:val="center"/>
              <w:rPr>
                <w:rFonts w:ascii="宋体" w:hAnsi="宋体" w:cs="宋体"/>
                <w:kern w:val="0"/>
                <w:sz w:val="18"/>
                <w:szCs w:val="18"/>
              </w:rPr>
            </w:pPr>
            <w:r>
              <w:rPr>
                <w:rFonts w:hint="eastAsia" w:ascii="宋体" w:hAnsi="宋体" w:cs="宋体"/>
                <w:kern w:val="0"/>
                <w:sz w:val="18"/>
                <w:szCs w:val="18"/>
              </w:rPr>
              <w:t>0.2</w:t>
            </w:r>
          </w:p>
        </w:tc>
        <w:tc>
          <w:tcPr>
            <w:tcW w:w="1489" w:type="dxa"/>
            <w:shd w:val="clear" w:color="auto" w:fill="auto"/>
            <w:vAlign w:val="center"/>
          </w:tcPr>
          <w:p w14:paraId="6FFA96AE">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756FA3C1">
            <w:pPr>
              <w:widowControl/>
              <w:jc w:val="center"/>
              <w:rPr>
                <w:rFonts w:ascii="宋体" w:hAnsi="宋体" w:cs="宋体"/>
                <w:kern w:val="0"/>
                <w:sz w:val="18"/>
                <w:szCs w:val="18"/>
              </w:rPr>
            </w:pPr>
          </w:p>
        </w:tc>
      </w:tr>
      <w:tr w14:paraId="5CB4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8A2768E">
            <w:pPr>
              <w:widowControl/>
              <w:jc w:val="center"/>
              <w:rPr>
                <w:rFonts w:ascii="宋体" w:hAnsi="宋体" w:cs="宋体"/>
                <w:kern w:val="0"/>
                <w:sz w:val="18"/>
                <w:szCs w:val="18"/>
              </w:rPr>
            </w:pPr>
          </w:p>
        </w:tc>
        <w:tc>
          <w:tcPr>
            <w:tcW w:w="3659" w:type="dxa"/>
            <w:shd w:val="clear" w:color="auto" w:fill="auto"/>
            <w:noWrap/>
            <w:vAlign w:val="center"/>
          </w:tcPr>
          <w:p w14:paraId="6EC5AC80">
            <w:pPr>
              <w:widowControl/>
              <w:jc w:val="center"/>
              <w:rPr>
                <w:rFonts w:ascii="宋体" w:hAnsi="宋体" w:cs="宋体"/>
                <w:kern w:val="0"/>
                <w:sz w:val="18"/>
                <w:szCs w:val="18"/>
              </w:rPr>
            </w:pPr>
            <w:r>
              <w:rPr>
                <w:rFonts w:hint="eastAsia" w:ascii="宋体" w:hAnsi="宋体" w:cs="宋体"/>
                <w:kern w:val="0"/>
                <w:sz w:val="18"/>
                <w:szCs w:val="18"/>
              </w:rPr>
              <w:t>昆发展加油站功东高速木树朗接口1号</w:t>
            </w:r>
          </w:p>
        </w:tc>
        <w:tc>
          <w:tcPr>
            <w:tcW w:w="796" w:type="dxa"/>
            <w:shd w:val="clear" w:color="auto" w:fill="auto"/>
            <w:noWrap/>
            <w:vAlign w:val="center"/>
          </w:tcPr>
          <w:p w14:paraId="30F6BB8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76EDF2F">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2159BCBD">
            <w:pPr>
              <w:widowControl/>
              <w:jc w:val="center"/>
              <w:rPr>
                <w:rFonts w:ascii="宋体" w:hAnsi="宋体" w:cs="宋体"/>
                <w:kern w:val="0"/>
                <w:sz w:val="18"/>
                <w:szCs w:val="18"/>
              </w:rPr>
            </w:pPr>
            <w:r>
              <w:rPr>
                <w:rFonts w:hint="eastAsia" w:ascii="宋体" w:hAnsi="宋体" w:cs="宋体"/>
                <w:kern w:val="0"/>
                <w:sz w:val="18"/>
                <w:szCs w:val="18"/>
              </w:rPr>
              <w:t>0.37</w:t>
            </w:r>
          </w:p>
        </w:tc>
        <w:tc>
          <w:tcPr>
            <w:tcW w:w="946" w:type="dxa"/>
            <w:shd w:val="clear" w:color="auto" w:fill="auto"/>
            <w:noWrap/>
            <w:vAlign w:val="center"/>
          </w:tcPr>
          <w:p w14:paraId="02B8ABA7">
            <w:pPr>
              <w:widowControl/>
              <w:jc w:val="center"/>
              <w:rPr>
                <w:rFonts w:ascii="宋体" w:hAnsi="宋体" w:cs="宋体"/>
                <w:kern w:val="0"/>
                <w:sz w:val="18"/>
                <w:szCs w:val="18"/>
              </w:rPr>
            </w:pPr>
            <w:r>
              <w:rPr>
                <w:rFonts w:hint="eastAsia" w:ascii="宋体" w:hAnsi="宋体" w:cs="宋体"/>
                <w:kern w:val="0"/>
                <w:sz w:val="18"/>
                <w:szCs w:val="18"/>
              </w:rPr>
              <w:t>0.37</w:t>
            </w:r>
          </w:p>
        </w:tc>
        <w:tc>
          <w:tcPr>
            <w:tcW w:w="854" w:type="dxa"/>
            <w:shd w:val="clear" w:color="auto" w:fill="auto"/>
            <w:noWrap/>
            <w:vAlign w:val="center"/>
          </w:tcPr>
          <w:p w14:paraId="5647B041">
            <w:pPr>
              <w:widowControl/>
              <w:jc w:val="center"/>
              <w:rPr>
                <w:rFonts w:ascii="宋体" w:hAnsi="宋体" w:cs="宋体"/>
                <w:kern w:val="0"/>
                <w:sz w:val="18"/>
                <w:szCs w:val="18"/>
              </w:rPr>
            </w:pPr>
            <w:r>
              <w:rPr>
                <w:rFonts w:hint="eastAsia" w:ascii="宋体" w:hAnsi="宋体" w:cs="宋体"/>
                <w:kern w:val="0"/>
                <w:sz w:val="18"/>
                <w:szCs w:val="18"/>
              </w:rPr>
              <w:t>0.30</w:t>
            </w:r>
          </w:p>
        </w:tc>
        <w:tc>
          <w:tcPr>
            <w:tcW w:w="1489" w:type="dxa"/>
            <w:shd w:val="clear" w:color="auto" w:fill="auto"/>
            <w:vAlign w:val="center"/>
          </w:tcPr>
          <w:p w14:paraId="48B6873E">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1E70B6E5">
            <w:pPr>
              <w:widowControl/>
              <w:jc w:val="center"/>
              <w:rPr>
                <w:rFonts w:ascii="宋体" w:hAnsi="宋体" w:cs="宋体"/>
                <w:kern w:val="0"/>
                <w:sz w:val="18"/>
                <w:szCs w:val="18"/>
              </w:rPr>
            </w:pPr>
          </w:p>
        </w:tc>
      </w:tr>
      <w:tr w14:paraId="62EF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C3D6724">
            <w:pPr>
              <w:widowControl/>
              <w:jc w:val="center"/>
              <w:rPr>
                <w:rFonts w:ascii="宋体" w:hAnsi="宋体" w:cs="宋体"/>
                <w:kern w:val="0"/>
                <w:sz w:val="18"/>
                <w:szCs w:val="18"/>
              </w:rPr>
            </w:pPr>
          </w:p>
        </w:tc>
        <w:tc>
          <w:tcPr>
            <w:tcW w:w="3659" w:type="dxa"/>
            <w:shd w:val="clear" w:color="auto" w:fill="auto"/>
            <w:noWrap/>
            <w:vAlign w:val="center"/>
          </w:tcPr>
          <w:p w14:paraId="648A367C">
            <w:pPr>
              <w:widowControl/>
              <w:jc w:val="center"/>
              <w:rPr>
                <w:rFonts w:ascii="宋体" w:hAnsi="宋体" w:cs="宋体"/>
                <w:kern w:val="0"/>
                <w:sz w:val="18"/>
                <w:szCs w:val="18"/>
              </w:rPr>
            </w:pPr>
            <w:r>
              <w:rPr>
                <w:rFonts w:hint="eastAsia" w:ascii="宋体" w:hAnsi="宋体" w:cs="宋体"/>
                <w:kern w:val="0"/>
                <w:sz w:val="18"/>
                <w:szCs w:val="18"/>
              </w:rPr>
              <w:t>昆发展加油站功东高速木树朗接口2号</w:t>
            </w:r>
          </w:p>
        </w:tc>
        <w:tc>
          <w:tcPr>
            <w:tcW w:w="796" w:type="dxa"/>
            <w:shd w:val="clear" w:color="auto" w:fill="auto"/>
            <w:noWrap/>
            <w:vAlign w:val="center"/>
          </w:tcPr>
          <w:p w14:paraId="3F2FE16E">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B61EF0B">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02B3C5B3">
            <w:pPr>
              <w:widowControl/>
              <w:jc w:val="center"/>
              <w:rPr>
                <w:rFonts w:ascii="宋体" w:hAnsi="宋体" w:cs="宋体"/>
                <w:kern w:val="0"/>
                <w:sz w:val="18"/>
                <w:szCs w:val="18"/>
              </w:rPr>
            </w:pPr>
            <w:r>
              <w:rPr>
                <w:rFonts w:hint="eastAsia" w:ascii="宋体" w:hAnsi="宋体" w:cs="宋体"/>
                <w:kern w:val="0"/>
                <w:sz w:val="18"/>
                <w:szCs w:val="18"/>
              </w:rPr>
              <w:t>0.37</w:t>
            </w:r>
          </w:p>
        </w:tc>
        <w:tc>
          <w:tcPr>
            <w:tcW w:w="946" w:type="dxa"/>
            <w:shd w:val="clear" w:color="auto" w:fill="auto"/>
            <w:noWrap/>
            <w:vAlign w:val="center"/>
          </w:tcPr>
          <w:p w14:paraId="4F7F205F">
            <w:pPr>
              <w:widowControl/>
              <w:jc w:val="center"/>
              <w:rPr>
                <w:rFonts w:ascii="宋体" w:hAnsi="宋体" w:cs="宋体"/>
                <w:kern w:val="0"/>
                <w:sz w:val="18"/>
                <w:szCs w:val="18"/>
              </w:rPr>
            </w:pPr>
            <w:r>
              <w:rPr>
                <w:rFonts w:hint="eastAsia" w:ascii="宋体" w:hAnsi="宋体" w:cs="宋体"/>
                <w:kern w:val="0"/>
                <w:sz w:val="18"/>
                <w:szCs w:val="18"/>
              </w:rPr>
              <w:t>0.37</w:t>
            </w:r>
          </w:p>
        </w:tc>
        <w:tc>
          <w:tcPr>
            <w:tcW w:w="854" w:type="dxa"/>
            <w:shd w:val="clear" w:color="auto" w:fill="auto"/>
            <w:noWrap/>
            <w:vAlign w:val="center"/>
          </w:tcPr>
          <w:p w14:paraId="7FE1AE5F">
            <w:pPr>
              <w:widowControl/>
              <w:jc w:val="center"/>
              <w:rPr>
                <w:rFonts w:ascii="宋体" w:hAnsi="宋体" w:cs="宋体"/>
                <w:kern w:val="0"/>
                <w:sz w:val="18"/>
                <w:szCs w:val="18"/>
              </w:rPr>
            </w:pPr>
            <w:r>
              <w:rPr>
                <w:rFonts w:hint="eastAsia" w:ascii="宋体" w:hAnsi="宋体" w:cs="宋体"/>
                <w:kern w:val="0"/>
                <w:sz w:val="18"/>
                <w:szCs w:val="18"/>
              </w:rPr>
              <w:t>0.30</w:t>
            </w:r>
          </w:p>
        </w:tc>
        <w:tc>
          <w:tcPr>
            <w:tcW w:w="1489" w:type="dxa"/>
            <w:shd w:val="clear" w:color="auto" w:fill="auto"/>
            <w:vAlign w:val="center"/>
          </w:tcPr>
          <w:p w14:paraId="5053662A">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5D2E252D">
            <w:pPr>
              <w:widowControl/>
              <w:jc w:val="center"/>
              <w:rPr>
                <w:rFonts w:ascii="宋体" w:hAnsi="宋体" w:cs="宋体"/>
                <w:kern w:val="0"/>
                <w:sz w:val="18"/>
                <w:szCs w:val="18"/>
              </w:rPr>
            </w:pPr>
          </w:p>
        </w:tc>
      </w:tr>
      <w:tr w14:paraId="70B0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1C8A38B3">
            <w:pPr>
              <w:widowControl/>
              <w:jc w:val="center"/>
              <w:rPr>
                <w:rFonts w:ascii="宋体" w:hAnsi="宋体" w:cs="宋体"/>
                <w:kern w:val="0"/>
                <w:sz w:val="18"/>
                <w:szCs w:val="18"/>
              </w:rPr>
            </w:pPr>
          </w:p>
        </w:tc>
        <w:tc>
          <w:tcPr>
            <w:tcW w:w="3659" w:type="dxa"/>
            <w:shd w:val="clear" w:color="auto" w:fill="auto"/>
            <w:noWrap/>
            <w:vAlign w:val="center"/>
          </w:tcPr>
          <w:p w14:paraId="5DE5E8D8">
            <w:pPr>
              <w:widowControl/>
              <w:jc w:val="center"/>
              <w:rPr>
                <w:rFonts w:ascii="宋体" w:hAnsi="宋体" w:cs="宋体"/>
                <w:kern w:val="0"/>
                <w:sz w:val="18"/>
                <w:szCs w:val="18"/>
              </w:rPr>
            </w:pPr>
            <w:r>
              <w:rPr>
                <w:rFonts w:hint="eastAsia" w:ascii="宋体" w:hAnsi="宋体" w:cs="宋体"/>
                <w:kern w:val="0"/>
                <w:sz w:val="18"/>
                <w:szCs w:val="18"/>
              </w:rPr>
              <w:t>云南省公投加油站功东高速阿旺接口1号</w:t>
            </w:r>
          </w:p>
        </w:tc>
        <w:tc>
          <w:tcPr>
            <w:tcW w:w="796" w:type="dxa"/>
            <w:shd w:val="clear" w:color="auto" w:fill="auto"/>
            <w:noWrap/>
            <w:vAlign w:val="center"/>
          </w:tcPr>
          <w:p w14:paraId="3D97595B">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100784C3">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tcPr>
          <w:p w14:paraId="484743AA">
            <w:pPr>
              <w:jc w:val="center"/>
            </w:pPr>
            <w:r>
              <w:rPr>
                <w:rFonts w:hint="eastAsia" w:ascii="宋体" w:hAnsi="宋体" w:cs="宋体"/>
                <w:kern w:val="0"/>
                <w:sz w:val="18"/>
                <w:szCs w:val="18"/>
              </w:rPr>
              <w:t>0.4</w:t>
            </w:r>
          </w:p>
        </w:tc>
        <w:tc>
          <w:tcPr>
            <w:tcW w:w="946" w:type="dxa"/>
            <w:shd w:val="clear" w:color="auto" w:fill="auto"/>
            <w:noWrap/>
          </w:tcPr>
          <w:p w14:paraId="77E93DE2">
            <w:pPr>
              <w:jc w:val="center"/>
            </w:pPr>
            <w:r>
              <w:rPr>
                <w:rFonts w:hint="eastAsia" w:ascii="宋体" w:hAnsi="宋体" w:cs="宋体"/>
                <w:kern w:val="0"/>
                <w:sz w:val="18"/>
                <w:szCs w:val="18"/>
              </w:rPr>
              <w:t>0.4</w:t>
            </w:r>
          </w:p>
        </w:tc>
        <w:tc>
          <w:tcPr>
            <w:tcW w:w="854" w:type="dxa"/>
            <w:shd w:val="clear" w:color="auto" w:fill="auto"/>
            <w:noWrap/>
          </w:tcPr>
          <w:p w14:paraId="3DCEC740">
            <w:pPr>
              <w:jc w:val="center"/>
            </w:pPr>
            <w:r>
              <w:rPr>
                <w:rFonts w:hint="eastAsia" w:ascii="宋体" w:hAnsi="宋体" w:cs="宋体"/>
                <w:kern w:val="0"/>
                <w:sz w:val="18"/>
                <w:szCs w:val="18"/>
              </w:rPr>
              <w:t>0.4</w:t>
            </w:r>
          </w:p>
        </w:tc>
        <w:tc>
          <w:tcPr>
            <w:tcW w:w="1489" w:type="dxa"/>
            <w:shd w:val="clear" w:color="auto" w:fill="auto"/>
            <w:vAlign w:val="center"/>
          </w:tcPr>
          <w:p w14:paraId="0DAE27EF">
            <w:pPr>
              <w:widowControl/>
              <w:jc w:val="center"/>
              <w:rPr>
                <w:rFonts w:ascii="宋体" w:hAnsi="宋体" w:cs="宋体"/>
                <w:kern w:val="0"/>
                <w:sz w:val="15"/>
                <w:szCs w:val="15"/>
              </w:rPr>
            </w:pPr>
            <w:r>
              <w:rPr>
                <w:rFonts w:hint="eastAsia" w:ascii="宋体" w:hAnsi="宋体" w:cs="宋体"/>
                <w:kern w:val="0"/>
                <w:sz w:val="15"/>
                <w:szCs w:val="15"/>
              </w:rPr>
              <w:t>阿旺镇</w:t>
            </w:r>
          </w:p>
        </w:tc>
        <w:tc>
          <w:tcPr>
            <w:tcW w:w="577" w:type="dxa"/>
            <w:shd w:val="clear" w:color="auto" w:fill="auto"/>
            <w:noWrap/>
            <w:vAlign w:val="center"/>
          </w:tcPr>
          <w:p w14:paraId="1F7AE4EE">
            <w:pPr>
              <w:widowControl/>
              <w:jc w:val="center"/>
              <w:rPr>
                <w:rFonts w:ascii="宋体" w:hAnsi="宋体" w:cs="宋体"/>
                <w:kern w:val="0"/>
                <w:sz w:val="18"/>
                <w:szCs w:val="18"/>
              </w:rPr>
            </w:pPr>
          </w:p>
        </w:tc>
      </w:tr>
      <w:tr w14:paraId="0085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CF1680C">
            <w:pPr>
              <w:widowControl/>
              <w:jc w:val="center"/>
              <w:rPr>
                <w:rFonts w:ascii="宋体" w:hAnsi="宋体" w:cs="宋体"/>
                <w:kern w:val="0"/>
                <w:sz w:val="18"/>
                <w:szCs w:val="18"/>
              </w:rPr>
            </w:pPr>
          </w:p>
        </w:tc>
        <w:tc>
          <w:tcPr>
            <w:tcW w:w="3659" w:type="dxa"/>
            <w:shd w:val="clear" w:color="auto" w:fill="auto"/>
            <w:noWrap/>
            <w:vAlign w:val="center"/>
          </w:tcPr>
          <w:p w14:paraId="51C5F8C4">
            <w:pPr>
              <w:widowControl/>
              <w:jc w:val="center"/>
              <w:rPr>
                <w:rFonts w:ascii="宋体" w:hAnsi="宋体" w:cs="宋体"/>
                <w:kern w:val="0"/>
                <w:sz w:val="18"/>
                <w:szCs w:val="18"/>
              </w:rPr>
            </w:pPr>
            <w:r>
              <w:rPr>
                <w:rFonts w:hint="eastAsia" w:ascii="宋体" w:hAnsi="宋体" w:cs="宋体"/>
                <w:kern w:val="0"/>
                <w:sz w:val="18"/>
                <w:szCs w:val="18"/>
              </w:rPr>
              <w:t>云南省公投加油站功东高速阿旺接口2号</w:t>
            </w:r>
          </w:p>
        </w:tc>
        <w:tc>
          <w:tcPr>
            <w:tcW w:w="796" w:type="dxa"/>
            <w:shd w:val="clear" w:color="auto" w:fill="auto"/>
            <w:noWrap/>
            <w:vAlign w:val="center"/>
          </w:tcPr>
          <w:p w14:paraId="66B13E21">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5C54E81C">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tcPr>
          <w:p w14:paraId="6CA102CE">
            <w:pPr>
              <w:jc w:val="center"/>
            </w:pPr>
            <w:r>
              <w:rPr>
                <w:rFonts w:hint="eastAsia" w:ascii="宋体" w:hAnsi="宋体" w:cs="宋体"/>
                <w:kern w:val="0"/>
                <w:sz w:val="18"/>
                <w:szCs w:val="18"/>
              </w:rPr>
              <w:t>0.4</w:t>
            </w:r>
          </w:p>
        </w:tc>
        <w:tc>
          <w:tcPr>
            <w:tcW w:w="946" w:type="dxa"/>
            <w:shd w:val="clear" w:color="auto" w:fill="auto"/>
            <w:noWrap/>
          </w:tcPr>
          <w:p w14:paraId="69DE2289">
            <w:pPr>
              <w:jc w:val="center"/>
            </w:pPr>
            <w:r>
              <w:rPr>
                <w:rFonts w:hint="eastAsia" w:ascii="宋体" w:hAnsi="宋体" w:cs="宋体"/>
                <w:kern w:val="0"/>
                <w:sz w:val="18"/>
                <w:szCs w:val="18"/>
              </w:rPr>
              <w:t>0.4</w:t>
            </w:r>
          </w:p>
        </w:tc>
        <w:tc>
          <w:tcPr>
            <w:tcW w:w="854" w:type="dxa"/>
            <w:shd w:val="clear" w:color="auto" w:fill="auto"/>
            <w:noWrap/>
          </w:tcPr>
          <w:p w14:paraId="25582099">
            <w:pPr>
              <w:jc w:val="center"/>
            </w:pPr>
            <w:r>
              <w:rPr>
                <w:rFonts w:hint="eastAsia" w:ascii="宋体" w:hAnsi="宋体" w:cs="宋体"/>
                <w:kern w:val="0"/>
                <w:sz w:val="18"/>
                <w:szCs w:val="18"/>
              </w:rPr>
              <w:t>0.4</w:t>
            </w:r>
          </w:p>
        </w:tc>
        <w:tc>
          <w:tcPr>
            <w:tcW w:w="1489" w:type="dxa"/>
            <w:shd w:val="clear" w:color="auto" w:fill="auto"/>
            <w:vAlign w:val="center"/>
          </w:tcPr>
          <w:p w14:paraId="4826D7A0">
            <w:pPr>
              <w:widowControl/>
              <w:jc w:val="center"/>
              <w:rPr>
                <w:rFonts w:ascii="宋体" w:hAnsi="宋体" w:cs="宋体"/>
                <w:kern w:val="0"/>
                <w:sz w:val="15"/>
                <w:szCs w:val="15"/>
              </w:rPr>
            </w:pPr>
            <w:r>
              <w:rPr>
                <w:rFonts w:hint="eastAsia" w:ascii="宋体" w:hAnsi="宋体" w:cs="宋体"/>
                <w:kern w:val="0"/>
                <w:sz w:val="15"/>
                <w:szCs w:val="15"/>
              </w:rPr>
              <w:t>阿旺镇</w:t>
            </w:r>
          </w:p>
        </w:tc>
        <w:tc>
          <w:tcPr>
            <w:tcW w:w="577" w:type="dxa"/>
            <w:shd w:val="clear" w:color="auto" w:fill="auto"/>
            <w:noWrap/>
            <w:vAlign w:val="center"/>
          </w:tcPr>
          <w:p w14:paraId="40759012">
            <w:pPr>
              <w:widowControl/>
              <w:jc w:val="center"/>
              <w:rPr>
                <w:rFonts w:ascii="宋体" w:hAnsi="宋体" w:cs="宋体"/>
                <w:kern w:val="0"/>
                <w:sz w:val="18"/>
                <w:szCs w:val="18"/>
              </w:rPr>
            </w:pPr>
          </w:p>
        </w:tc>
      </w:tr>
      <w:tr w14:paraId="3BD9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F48565D">
            <w:pPr>
              <w:widowControl/>
              <w:jc w:val="center"/>
              <w:rPr>
                <w:rFonts w:ascii="宋体" w:hAnsi="宋体" w:cs="宋体"/>
                <w:kern w:val="0"/>
                <w:sz w:val="18"/>
                <w:szCs w:val="18"/>
              </w:rPr>
            </w:pPr>
          </w:p>
        </w:tc>
        <w:tc>
          <w:tcPr>
            <w:tcW w:w="3659" w:type="dxa"/>
            <w:shd w:val="clear" w:color="auto" w:fill="auto"/>
            <w:noWrap/>
            <w:vAlign w:val="center"/>
          </w:tcPr>
          <w:p w14:paraId="7898ED74">
            <w:pPr>
              <w:jc w:val="center"/>
              <w:rPr>
                <w:rFonts w:ascii="宋体" w:hAnsi="宋体" w:cs="宋体"/>
                <w:sz w:val="18"/>
                <w:szCs w:val="18"/>
              </w:rPr>
            </w:pPr>
            <w:r>
              <w:rPr>
                <w:rFonts w:hint="eastAsia"/>
                <w:sz w:val="18"/>
                <w:szCs w:val="18"/>
              </w:rPr>
              <w:t>拖布卡加油站</w:t>
            </w:r>
          </w:p>
        </w:tc>
        <w:tc>
          <w:tcPr>
            <w:tcW w:w="796" w:type="dxa"/>
            <w:shd w:val="clear" w:color="auto" w:fill="auto"/>
            <w:noWrap/>
            <w:vAlign w:val="center"/>
          </w:tcPr>
          <w:p w14:paraId="358D9078">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25678138">
            <w:pPr>
              <w:widowControl/>
              <w:jc w:val="center"/>
              <w:rPr>
                <w:rFonts w:ascii="宋体" w:hAnsi="宋体" w:cs="宋体"/>
                <w:kern w:val="0"/>
                <w:sz w:val="18"/>
                <w:szCs w:val="18"/>
              </w:rPr>
            </w:pPr>
            <w:r>
              <w:rPr>
                <w:rFonts w:hint="eastAsia" w:ascii="宋体" w:hAnsi="宋体" w:cs="宋体"/>
                <w:kern w:val="0"/>
                <w:sz w:val="18"/>
                <w:szCs w:val="18"/>
              </w:rPr>
              <w:t>2019</w:t>
            </w:r>
          </w:p>
        </w:tc>
        <w:tc>
          <w:tcPr>
            <w:tcW w:w="1026" w:type="dxa"/>
            <w:shd w:val="clear" w:color="auto" w:fill="auto"/>
            <w:noWrap/>
            <w:vAlign w:val="center"/>
          </w:tcPr>
          <w:p w14:paraId="3570BA76">
            <w:pPr>
              <w:widowControl/>
              <w:jc w:val="center"/>
              <w:rPr>
                <w:rFonts w:ascii="宋体" w:hAnsi="宋体" w:cs="宋体"/>
                <w:kern w:val="0"/>
                <w:sz w:val="18"/>
                <w:szCs w:val="18"/>
              </w:rPr>
            </w:pPr>
            <w:r>
              <w:rPr>
                <w:rFonts w:hint="eastAsia" w:ascii="宋体" w:hAnsi="宋体" w:cs="宋体"/>
                <w:kern w:val="0"/>
                <w:sz w:val="18"/>
                <w:szCs w:val="18"/>
              </w:rPr>
              <w:t>0.15</w:t>
            </w:r>
          </w:p>
        </w:tc>
        <w:tc>
          <w:tcPr>
            <w:tcW w:w="946" w:type="dxa"/>
            <w:shd w:val="clear" w:color="auto" w:fill="auto"/>
            <w:noWrap/>
            <w:vAlign w:val="center"/>
          </w:tcPr>
          <w:p w14:paraId="4391CB1F">
            <w:pPr>
              <w:widowControl/>
              <w:jc w:val="center"/>
              <w:rPr>
                <w:rFonts w:ascii="宋体" w:hAnsi="宋体" w:cs="宋体"/>
                <w:kern w:val="0"/>
                <w:sz w:val="18"/>
                <w:szCs w:val="18"/>
              </w:rPr>
            </w:pPr>
            <w:r>
              <w:rPr>
                <w:rFonts w:hint="eastAsia" w:ascii="宋体" w:hAnsi="宋体" w:cs="宋体"/>
                <w:kern w:val="0"/>
                <w:sz w:val="18"/>
                <w:szCs w:val="18"/>
              </w:rPr>
              <w:t>0.04</w:t>
            </w:r>
          </w:p>
        </w:tc>
        <w:tc>
          <w:tcPr>
            <w:tcW w:w="854" w:type="dxa"/>
            <w:shd w:val="clear" w:color="auto" w:fill="auto"/>
            <w:noWrap/>
            <w:vAlign w:val="center"/>
          </w:tcPr>
          <w:p w14:paraId="3435C326">
            <w:pPr>
              <w:widowControl/>
              <w:jc w:val="center"/>
              <w:rPr>
                <w:rFonts w:ascii="宋体" w:hAnsi="宋体" w:cs="宋体"/>
                <w:kern w:val="0"/>
                <w:sz w:val="18"/>
                <w:szCs w:val="18"/>
              </w:rPr>
            </w:pPr>
            <w:r>
              <w:rPr>
                <w:rFonts w:hint="eastAsia" w:ascii="宋体" w:hAnsi="宋体" w:cs="宋体"/>
                <w:kern w:val="0"/>
                <w:sz w:val="18"/>
                <w:szCs w:val="18"/>
              </w:rPr>
              <w:t>0.37</w:t>
            </w:r>
          </w:p>
        </w:tc>
        <w:tc>
          <w:tcPr>
            <w:tcW w:w="1489" w:type="dxa"/>
            <w:shd w:val="clear" w:color="auto" w:fill="auto"/>
            <w:vAlign w:val="center"/>
          </w:tcPr>
          <w:p w14:paraId="0E2C0E8D">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1C3C144C">
            <w:pPr>
              <w:widowControl/>
              <w:jc w:val="center"/>
              <w:rPr>
                <w:rFonts w:ascii="宋体" w:hAnsi="宋体" w:cs="宋体"/>
                <w:kern w:val="0"/>
                <w:sz w:val="18"/>
                <w:szCs w:val="18"/>
              </w:rPr>
            </w:pPr>
          </w:p>
        </w:tc>
      </w:tr>
      <w:tr w14:paraId="5004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2A58A238">
            <w:pPr>
              <w:widowControl/>
              <w:jc w:val="center"/>
              <w:rPr>
                <w:rFonts w:ascii="宋体" w:hAnsi="宋体" w:cs="宋体"/>
                <w:kern w:val="0"/>
                <w:sz w:val="18"/>
                <w:szCs w:val="18"/>
              </w:rPr>
            </w:pPr>
          </w:p>
        </w:tc>
        <w:tc>
          <w:tcPr>
            <w:tcW w:w="3659" w:type="dxa"/>
            <w:shd w:val="clear" w:color="auto" w:fill="auto"/>
            <w:noWrap/>
            <w:vAlign w:val="center"/>
          </w:tcPr>
          <w:p w14:paraId="5EFBF373">
            <w:pPr>
              <w:jc w:val="center"/>
              <w:rPr>
                <w:rFonts w:ascii="宋体" w:hAnsi="宋体" w:cs="宋体"/>
                <w:sz w:val="18"/>
                <w:szCs w:val="18"/>
              </w:rPr>
            </w:pPr>
            <w:r>
              <w:rPr>
                <w:rFonts w:hint="eastAsia"/>
                <w:sz w:val="18"/>
                <w:szCs w:val="18"/>
              </w:rPr>
              <w:t>富油公司小江桥南侧加油站</w:t>
            </w:r>
          </w:p>
        </w:tc>
        <w:tc>
          <w:tcPr>
            <w:tcW w:w="796" w:type="dxa"/>
            <w:shd w:val="clear" w:color="auto" w:fill="auto"/>
            <w:noWrap/>
            <w:vAlign w:val="center"/>
          </w:tcPr>
          <w:p w14:paraId="6B6B6EA2">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6BDB5F57">
            <w:pPr>
              <w:widowControl/>
              <w:jc w:val="center"/>
              <w:rPr>
                <w:rFonts w:ascii="宋体" w:hAnsi="宋体" w:cs="宋体"/>
                <w:kern w:val="0"/>
                <w:sz w:val="18"/>
                <w:szCs w:val="18"/>
              </w:rPr>
            </w:pPr>
            <w:r>
              <w:rPr>
                <w:rFonts w:hint="eastAsia" w:ascii="宋体" w:hAnsi="宋体" w:cs="宋体"/>
                <w:kern w:val="0"/>
                <w:sz w:val="18"/>
                <w:szCs w:val="18"/>
              </w:rPr>
              <w:t>2017-2020</w:t>
            </w:r>
          </w:p>
        </w:tc>
        <w:tc>
          <w:tcPr>
            <w:tcW w:w="1026" w:type="dxa"/>
            <w:shd w:val="clear" w:color="auto" w:fill="auto"/>
            <w:noWrap/>
            <w:vAlign w:val="center"/>
          </w:tcPr>
          <w:p w14:paraId="4E27A24A">
            <w:pPr>
              <w:widowControl/>
              <w:jc w:val="center"/>
              <w:rPr>
                <w:rFonts w:ascii="宋体" w:hAnsi="宋体" w:cs="宋体"/>
                <w:kern w:val="0"/>
                <w:sz w:val="18"/>
                <w:szCs w:val="18"/>
              </w:rPr>
            </w:pPr>
            <w:r>
              <w:rPr>
                <w:rFonts w:hint="eastAsia" w:ascii="宋体" w:hAnsi="宋体" w:cs="宋体"/>
                <w:kern w:val="0"/>
                <w:sz w:val="18"/>
                <w:szCs w:val="18"/>
              </w:rPr>
              <w:t>0.26</w:t>
            </w:r>
          </w:p>
        </w:tc>
        <w:tc>
          <w:tcPr>
            <w:tcW w:w="946" w:type="dxa"/>
            <w:shd w:val="clear" w:color="auto" w:fill="auto"/>
            <w:noWrap/>
            <w:vAlign w:val="center"/>
          </w:tcPr>
          <w:p w14:paraId="4487031C">
            <w:pPr>
              <w:widowControl/>
              <w:jc w:val="center"/>
              <w:rPr>
                <w:rFonts w:ascii="宋体" w:hAnsi="宋体" w:cs="宋体"/>
                <w:kern w:val="0"/>
                <w:sz w:val="18"/>
                <w:szCs w:val="18"/>
              </w:rPr>
            </w:pPr>
            <w:r>
              <w:rPr>
                <w:rFonts w:hint="eastAsia" w:ascii="宋体" w:hAnsi="宋体" w:cs="宋体"/>
                <w:kern w:val="0"/>
                <w:sz w:val="18"/>
                <w:szCs w:val="18"/>
              </w:rPr>
              <w:t>0.2</w:t>
            </w:r>
          </w:p>
        </w:tc>
        <w:tc>
          <w:tcPr>
            <w:tcW w:w="854" w:type="dxa"/>
            <w:shd w:val="clear" w:color="auto" w:fill="auto"/>
            <w:noWrap/>
            <w:vAlign w:val="center"/>
          </w:tcPr>
          <w:p w14:paraId="3AFC7687">
            <w:pPr>
              <w:widowControl/>
              <w:jc w:val="center"/>
              <w:rPr>
                <w:rFonts w:ascii="宋体" w:hAnsi="宋体" w:cs="宋体"/>
                <w:kern w:val="0"/>
                <w:sz w:val="18"/>
                <w:szCs w:val="18"/>
              </w:rPr>
            </w:pPr>
            <w:r>
              <w:rPr>
                <w:rFonts w:hint="eastAsia" w:ascii="宋体" w:hAnsi="宋体" w:cs="宋体"/>
                <w:kern w:val="0"/>
                <w:sz w:val="18"/>
                <w:szCs w:val="18"/>
              </w:rPr>
              <w:t>0.04</w:t>
            </w:r>
          </w:p>
        </w:tc>
        <w:tc>
          <w:tcPr>
            <w:tcW w:w="1489" w:type="dxa"/>
            <w:shd w:val="clear" w:color="auto" w:fill="auto"/>
            <w:vAlign w:val="center"/>
          </w:tcPr>
          <w:p w14:paraId="0BC4A211">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11E80C5A">
            <w:pPr>
              <w:widowControl/>
              <w:jc w:val="center"/>
              <w:rPr>
                <w:rFonts w:ascii="宋体" w:hAnsi="宋体" w:cs="宋体"/>
                <w:kern w:val="0"/>
                <w:sz w:val="18"/>
                <w:szCs w:val="18"/>
              </w:rPr>
            </w:pPr>
          </w:p>
        </w:tc>
      </w:tr>
      <w:tr w14:paraId="4449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9A13D9E">
            <w:pPr>
              <w:widowControl/>
              <w:jc w:val="center"/>
              <w:rPr>
                <w:rFonts w:ascii="宋体" w:hAnsi="宋体" w:cs="宋体"/>
                <w:kern w:val="0"/>
                <w:sz w:val="18"/>
                <w:szCs w:val="18"/>
              </w:rPr>
            </w:pPr>
          </w:p>
        </w:tc>
        <w:tc>
          <w:tcPr>
            <w:tcW w:w="3659" w:type="dxa"/>
            <w:shd w:val="clear" w:color="auto" w:fill="auto"/>
            <w:noWrap/>
            <w:vAlign w:val="center"/>
          </w:tcPr>
          <w:p w14:paraId="33B37DFD">
            <w:pPr>
              <w:jc w:val="center"/>
              <w:rPr>
                <w:sz w:val="18"/>
                <w:szCs w:val="18"/>
              </w:rPr>
            </w:pPr>
            <w:r>
              <w:rPr>
                <w:rFonts w:hint="eastAsia"/>
                <w:sz w:val="18"/>
                <w:szCs w:val="18"/>
              </w:rPr>
              <w:t>华新大道北侧加油站</w:t>
            </w:r>
          </w:p>
        </w:tc>
        <w:tc>
          <w:tcPr>
            <w:tcW w:w="796" w:type="dxa"/>
            <w:shd w:val="clear" w:color="auto" w:fill="auto"/>
            <w:noWrap/>
            <w:vAlign w:val="center"/>
          </w:tcPr>
          <w:p w14:paraId="467D18F9">
            <w:pPr>
              <w:jc w:val="center"/>
              <w:rPr>
                <w:sz w:val="18"/>
                <w:szCs w:val="18"/>
              </w:rPr>
            </w:pPr>
            <w:r>
              <w:rPr>
                <w:rFonts w:hint="eastAsia"/>
                <w:sz w:val="18"/>
                <w:szCs w:val="18"/>
              </w:rPr>
              <w:t>新建</w:t>
            </w:r>
          </w:p>
        </w:tc>
        <w:tc>
          <w:tcPr>
            <w:tcW w:w="1206" w:type="dxa"/>
            <w:shd w:val="clear" w:color="auto" w:fill="auto"/>
            <w:noWrap/>
            <w:vAlign w:val="center"/>
          </w:tcPr>
          <w:p w14:paraId="2FE5400B">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4C27B3BA">
            <w:pPr>
              <w:widowControl/>
              <w:jc w:val="center"/>
              <w:rPr>
                <w:rFonts w:ascii="宋体" w:hAnsi="宋体" w:cs="宋体"/>
                <w:kern w:val="0"/>
                <w:sz w:val="18"/>
                <w:szCs w:val="18"/>
              </w:rPr>
            </w:pPr>
            <w:r>
              <w:rPr>
                <w:rFonts w:hint="eastAsia" w:ascii="宋体" w:hAnsi="宋体" w:cs="宋体"/>
                <w:kern w:val="0"/>
                <w:sz w:val="18"/>
                <w:szCs w:val="18"/>
              </w:rPr>
              <w:t>0.32</w:t>
            </w:r>
          </w:p>
        </w:tc>
        <w:tc>
          <w:tcPr>
            <w:tcW w:w="946" w:type="dxa"/>
            <w:shd w:val="clear" w:color="auto" w:fill="auto"/>
            <w:noWrap/>
            <w:vAlign w:val="center"/>
          </w:tcPr>
          <w:p w14:paraId="662FF470">
            <w:pPr>
              <w:widowControl/>
              <w:jc w:val="center"/>
              <w:rPr>
                <w:rFonts w:ascii="宋体" w:hAnsi="宋体" w:cs="宋体"/>
                <w:kern w:val="0"/>
                <w:sz w:val="18"/>
                <w:szCs w:val="18"/>
              </w:rPr>
            </w:pPr>
            <w:r>
              <w:rPr>
                <w:rFonts w:hint="eastAsia" w:ascii="宋体" w:hAnsi="宋体" w:cs="宋体"/>
                <w:kern w:val="0"/>
                <w:sz w:val="18"/>
                <w:szCs w:val="18"/>
              </w:rPr>
              <w:t>0.32</w:t>
            </w:r>
          </w:p>
        </w:tc>
        <w:tc>
          <w:tcPr>
            <w:tcW w:w="854" w:type="dxa"/>
            <w:shd w:val="clear" w:color="auto" w:fill="auto"/>
            <w:noWrap/>
            <w:vAlign w:val="center"/>
          </w:tcPr>
          <w:p w14:paraId="49325572">
            <w:pPr>
              <w:widowControl/>
              <w:jc w:val="center"/>
              <w:rPr>
                <w:rFonts w:ascii="宋体" w:hAnsi="宋体" w:cs="宋体"/>
                <w:kern w:val="0"/>
                <w:sz w:val="18"/>
                <w:szCs w:val="18"/>
              </w:rPr>
            </w:pPr>
            <w:r>
              <w:rPr>
                <w:rFonts w:hint="eastAsia" w:ascii="宋体" w:hAnsi="宋体" w:cs="宋体"/>
                <w:kern w:val="0"/>
                <w:sz w:val="18"/>
                <w:szCs w:val="18"/>
              </w:rPr>
              <w:t>0.2</w:t>
            </w:r>
          </w:p>
        </w:tc>
        <w:tc>
          <w:tcPr>
            <w:tcW w:w="1489" w:type="dxa"/>
            <w:shd w:val="clear" w:color="auto" w:fill="auto"/>
            <w:vAlign w:val="center"/>
          </w:tcPr>
          <w:p w14:paraId="2909C45D">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7B1D5DDE">
            <w:pPr>
              <w:widowControl/>
              <w:jc w:val="center"/>
              <w:rPr>
                <w:rFonts w:ascii="宋体" w:hAnsi="宋体" w:cs="宋体"/>
                <w:kern w:val="0"/>
                <w:sz w:val="18"/>
                <w:szCs w:val="18"/>
              </w:rPr>
            </w:pPr>
          </w:p>
        </w:tc>
      </w:tr>
      <w:tr w14:paraId="247D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326876FB">
            <w:pPr>
              <w:widowControl/>
              <w:jc w:val="center"/>
              <w:rPr>
                <w:rFonts w:ascii="宋体" w:hAnsi="宋体" w:cs="宋体"/>
                <w:kern w:val="0"/>
                <w:sz w:val="18"/>
                <w:szCs w:val="18"/>
              </w:rPr>
            </w:pPr>
          </w:p>
        </w:tc>
        <w:tc>
          <w:tcPr>
            <w:tcW w:w="3659" w:type="dxa"/>
            <w:shd w:val="clear" w:color="auto" w:fill="auto"/>
            <w:noWrap/>
            <w:vAlign w:val="center"/>
          </w:tcPr>
          <w:p w14:paraId="6A8F2B5C">
            <w:pPr>
              <w:jc w:val="center"/>
              <w:rPr>
                <w:sz w:val="18"/>
                <w:szCs w:val="18"/>
              </w:rPr>
            </w:pPr>
            <w:r>
              <w:rPr>
                <w:rFonts w:hint="eastAsia"/>
                <w:sz w:val="18"/>
                <w:szCs w:val="18"/>
              </w:rPr>
              <w:t>国家光伏扶贫项目村级电站</w:t>
            </w:r>
          </w:p>
        </w:tc>
        <w:tc>
          <w:tcPr>
            <w:tcW w:w="796" w:type="dxa"/>
            <w:shd w:val="clear" w:color="auto" w:fill="auto"/>
            <w:noWrap/>
            <w:vAlign w:val="center"/>
          </w:tcPr>
          <w:p w14:paraId="10D04FCF">
            <w:pPr>
              <w:jc w:val="center"/>
              <w:rPr>
                <w:sz w:val="18"/>
                <w:szCs w:val="18"/>
              </w:rPr>
            </w:pPr>
            <w:r>
              <w:rPr>
                <w:rFonts w:hint="eastAsia"/>
                <w:sz w:val="18"/>
                <w:szCs w:val="18"/>
              </w:rPr>
              <w:t>新建</w:t>
            </w:r>
          </w:p>
        </w:tc>
        <w:tc>
          <w:tcPr>
            <w:tcW w:w="1206" w:type="dxa"/>
            <w:shd w:val="clear" w:color="auto" w:fill="auto"/>
            <w:noWrap/>
            <w:vAlign w:val="center"/>
          </w:tcPr>
          <w:p w14:paraId="39CDF5EC">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0CFA90D8">
            <w:pPr>
              <w:widowControl/>
              <w:jc w:val="center"/>
              <w:rPr>
                <w:rFonts w:ascii="宋体" w:hAnsi="宋体" w:cs="宋体"/>
                <w:kern w:val="0"/>
                <w:sz w:val="18"/>
                <w:szCs w:val="18"/>
              </w:rPr>
            </w:pPr>
            <w:r>
              <w:rPr>
                <w:rFonts w:hint="eastAsia" w:ascii="宋体" w:hAnsi="宋体" w:cs="宋体"/>
                <w:kern w:val="0"/>
                <w:sz w:val="18"/>
                <w:szCs w:val="18"/>
              </w:rPr>
              <w:t>2</w:t>
            </w:r>
          </w:p>
        </w:tc>
        <w:tc>
          <w:tcPr>
            <w:tcW w:w="946" w:type="dxa"/>
            <w:shd w:val="clear" w:color="auto" w:fill="auto"/>
            <w:noWrap/>
            <w:vAlign w:val="center"/>
          </w:tcPr>
          <w:p w14:paraId="2AB9148A">
            <w:pPr>
              <w:widowControl/>
              <w:jc w:val="center"/>
              <w:rPr>
                <w:rFonts w:ascii="宋体" w:hAnsi="宋体" w:cs="宋体"/>
                <w:kern w:val="0"/>
                <w:sz w:val="18"/>
                <w:szCs w:val="18"/>
              </w:rPr>
            </w:pPr>
            <w:r>
              <w:rPr>
                <w:rFonts w:hint="eastAsia" w:ascii="宋体" w:hAnsi="宋体" w:cs="宋体"/>
                <w:kern w:val="0"/>
                <w:sz w:val="18"/>
                <w:szCs w:val="18"/>
              </w:rPr>
              <w:t>1.5</w:t>
            </w:r>
          </w:p>
        </w:tc>
        <w:tc>
          <w:tcPr>
            <w:tcW w:w="854" w:type="dxa"/>
            <w:shd w:val="clear" w:color="auto" w:fill="auto"/>
            <w:noWrap/>
            <w:vAlign w:val="center"/>
          </w:tcPr>
          <w:p w14:paraId="4592A059">
            <w:pPr>
              <w:widowControl/>
              <w:jc w:val="center"/>
              <w:rPr>
                <w:rFonts w:ascii="宋体" w:hAnsi="宋体" w:cs="宋体"/>
                <w:kern w:val="0"/>
                <w:sz w:val="18"/>
                <w:szCs w:val="18"/>
              </w:rPr>
            </w:pPr>
            <w:r>
              <w:rPr>
                <w:rFonts w:hint="eastAsia" w:ascii="宋体" w:hAnsi="宋体" w:cs="宋体"/>
                <w:kern w:val="0"/>
                <w:sz w:val="18"/>
                <w:szCs w:val="18"/>
              </w:rPr>
              <w:t>0.5</w:t>
            </w:r>
          </w:p>
        </w:tc>
        <w:tc>
          <w:tcPr>
            <w:tcW w:w="1489" w:type="dxa"/>
            <w:vMerge w:val="restart"/>
            <w:shd w:val="clear" w:color="auto" w:fill="auto"/>
            <w:vAlign w:val="center"/>
          </w:tcPr>
          <w:p w14:paraId="7733596E">
            <w:pPr>
              <w:widowControl/>
              <w:jc w:val="center"/>
              <w:rPr>
                <w:rFonts w:ascii="宋体" w:hAnsi="宋体" w:cs="宋体"/>
                <w:kern w:val="0"/>
                <w:sz w:val="15"/>
                <w:szCs w:val="15"/>
              </w:rPr>
            </w:pPr>
            <w:r>
              <w:rPr>
                <w:rFonts w:hint="eastAsia" w:ascii="宋体" w:hAnsi="宋体" w:cs="宋体"/>
                <w:kern w:val="0"/>
                <w:sz w:val="15"/>
                <w:szCs w:val="15"/>
              </w:rPr>
              <w:t>铜都、阿旺、乌龙、汤丹、拖布卡、红土地、因民、舍块</w:t>
            </w:r>
          </w:p>
        </w:tc>
        <w:tc>
          <w:tcPr>
            <w:tcW w:w="577" w:type="dxa"/>
            <w:shd w:val="clear" w:color="auto" w:fill="auto"/>
            <w:noWrap/>
            <w:vAlign w:val="center"/>
          </w:tcPr>
          <w:p w14:paraId="0F328572">
            <w:pPr>
              <w:widowControl/>
              <w:jc w:val="center"/>
              <w:rPr>
                <w:rFonts w:ascii="宋体" w:hAnsi="宋体" w:cs="宋体"/>
                <w:kern w:val="0"/>
                <w:sz w:val="18"/>
                <w:szCs w:val="18"/>
              </w:rPr>
            </w:pPr>
          </w:p>
        </w:tc>
      </w:tr>
      <w:tr w14:paraId="448D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C3EBF14">
            <w:pPr>
              <w:widowControl/>
              <w:jc w:val="center"/>
              <w:rPr>
                <w:rFonts w:ascii="宋体" w:hAnsi="宋体" w:cs="宋体"/>
                <w:kern w:val="0"/>
                <w:sz w:val="18"/>
                <w:szCs w:val="18"/>
              </w:rPr>
            </w:pPr>
          </w:p>
        </w:tc>
        <w:tc>
          <w:tcPr>
            <w:tcW w:w="3659" w:type="dxa"/>
            <w:shd w:val="clear" w:color="auto" w:fill="auto"/>
            <w:noWrap/>
            <w:vAlign w:val="center"/>
          </w:tcPr>
          <w:p w14:paraId="34553C22">
            <w:pPr>
              <w:jc w:val="center"/>
              <w:rPr>
                <w:sz w:val="18"/>
                <w:szCs w:val="18"/>
              </w:rPr>
            </w:pPr>
            <w:r>
              <w:rPr>
                <w:rFonts w:hint="eastAsia"/>
                <w:sz w:val="18"/>
                <w:szCs w:val="18"/>
              </w:rPr>
              <w:t>国家光伏扶贫项目集中式电站</w:t>
            </w:r>
          </w:p>
        </w:tc>
        <w:tc>
          <w:tcPr>
            <w:tcW w:w="796" w:type="dxa"/>
            <w:shd w:val="clear" w:color="auto" w:fill="auto"/>
            <w:noWrap/>
            <w:vAlign w:val="center"/>
          </w:tcPr>
          <w:p w14:paraId="79106B07">
            <w:pPr>
              <w:jc w:val="center"/>
              <w:rPr>
                <w:sz w:val="18"/>
                <w:szCs w:val="18"/>
              </w:rPr>
            </w:pPr>
            <w:r>
              <w:rPr>
                <w:rFonts w:hint="eastAsia"/>
                <w:sz w:val="18"/>
                <w:szCs w:val="18"/>
              </w:rPr>
              <w:t>新建</w:t>
            </w:r>
          </w:p>
        </w:tc>
        <w:tc>
          <w:tcPr>
            <w:tcW w:w="1206" w:type="dxa"/>
            <w:shd w:val="clear" w:color="auto" w:fill="auto"/>
            <w:noWrap/>
            <w:vAlign w:val="center"/>
          </w:tcPr>
          <w:p w14:paraId="750A82FD">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2B2398E0">
            <w:pPr>
              <w:widowControl/>
              <w:jc w:val="center"/>
              <w:rPr>
                <w:rFonts w:ascii="宋体" w:hAnsi="宋体" w:cs="宋体"/>
                <w:kern w:val="0"/>
                <w:sz w:val="18"/>
                <w:szCs w:val="18"/>
              </w:rPr>
            </w:pPr>
            <w:r>
              <w:rPr>
                <w:rFonts w:hint="eastAsia" w:ascii="宋体" w:hAnsi="宋体" w:cs="宋体"/>
                <w:kern w:val="0"/>
                <w:sz w:val="18"/>
                <w:szCs w:val="18"/>
              </w:rPr>
              <w:t>2</w:t>
            </w:r>
          </w:p>
        </w:tc>
        <w:tc>
          <w:tcPr>
            <w:tcW w:w="946" w:type="dxa"/>
            <w:shd w:val="clear" w:color="auto" w:fill="auto"/>
            <w:noWrap/>
            <w:vAlign w:val="center"/>
          </w:tcPr>
          <w:p w14:paraId="764D4E61">
            <w:pPr>
              <w:widowControl/>
              <w:jc w:val="center"/>
              <w:rPr>
                <w:rFonts w:ascii="宋体" w:hAnsi="宋体" w:cs="宋体"/>
                <w:kern w:val="0"/>
                <w:sz w:val="18"/>
                <w:szCs w:val="18"/>
              </w:rPr>
            </w:pPr>
            <w:r>
              <w:rPr>
                <w:rFonts w:hint="eastAsia" w:ascii="宋体" w:hAnsi="宋体" w:cs="宋体"/>
                <w:kern w:val="0"/>
                <w:sz w:val="18"/>
                <w:szCs w:val="18"/>
              </w:rPr>
              <w:t>1.5</w:t>
            </w:r>
          </w:p>
        </w:tc>
        <w:tc>
          <w:tcPr>
            <w:tcW w:w="854" w:type="dxa"/>
            <w:shd w:val="clear" w:color="auto" w:fill="auto"/>
            <w:noWrap/>
            <w:vAlign w:val="center"/>
          </w:tcPr>
          <w:p w14:paraId="75F63494">
            <w:pPr>
              <w:widowControl/>
              <w:jc w:val="center"/>
              <w:rPr>
                <w:rFonts w:ascii="宋体" w:hAnsi="宋体" w:cs="宋体"/>
                <w:kern w:val="0"/>
                <w:sz w:val="18"/>
                <w:szCs w:val="18"/>
              </w:rPr>
            </w:pPr>
            <w:r>
              <w:rPr>
                <w:rFonts w:hint="eastAsia" w:ascii="宋体" w:hAnsi="宋体" w:cs="宋体"/>
                <w:kern w:val="0"/>
                <w:sz w:val="18"/>
                <w:szCs w:val="18"/>
              </w:rPr>
              <w:t>0.5</w:t>
            </w:r>
          </w:p>
        </w:tc>
        <w:tc>
          <w:tcPr>
            <w:tcW w:w="1489" w:type="dxa"/>
            <w:vMerge w:val="continue"/>
            <w:shd w:val="clear" w:color="auto" w:fill="auto"/>
            <w:vAlign w:val="center"/>
          </w:tcPr>
          <w:p w14:paraId="173F8856">
            <w:pPr>
              <w:widowControl/>
              <w:jc w:val="center"/>
              <w:rPr>
                <w:rFonts w:ascii="宋体" w:hAnsi="宋体" w:cs="宋体"/>
                <w:kern w:val="0"/>
                <w:sz w:val="15"/>
                <w:szCs w:val="15"/>
              </w:rPr>
            </w:pPr>
          </w:p>
        </w:tc>
        <w:tc>
          <w:tcPr>
            <w:tcW w:w="577" w:type="dxa"/>
            <w:shd w:val="clear" w:color="auto" w:fill="auto"/>
            <w:noWrap/>
            <w:vAlign w:val="center"/>
          </w:tcPr>
          <w:p w14:paraId="78B34889">
            <w:pPr>
              <w:widowControl/>
              <w:jc w:val="center"/>
              <w:rPr>
                <w:rFonts w:ascii="宋体" w:hAnsi="宋体" w:cs="宋体"/>
                <w:kern w:val="0"/>
                <w:sz w:val="18"/>
                <w:szCs w:val="18"/>
              </w:rPr>
            </w:pPr>
          </w:p>
        </w:tc>
      </w:tr>
      <w:tr w14:paraId="65A9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78912240">
            <w:pPr>
              <w:widowControl/>
              <w:jc w:val="center"/>
              <w:rPr>
                <w:rFonts w:ascii="宋体" w:hAnsi="宋体" w:cs="宋体"/>
                <w:kern w:val="0"/>
                <w:sz w:val="18"/>
                <w:szCs w:val="18"/>
              </w:rPr>
            </w:pPr>
          </w:p>
        </w:tc>
        <w:tc>
          <w:tcPr>
            <w:tcW w:w="3659" w:type="dxa"/>
            <w:shd w:val="clear" w:color="auto" w:fill="auto"/>
            <w:noWrap/>
            <w:vAlign w:val="center"/>
          </w:tcPr>
          <w:p w14:paraId="18DD19E5">
            <w:pPr>
              <w:jc w:val="center"/>
              <w:rPr>
                <w:sz w:val="18"/>
                <w:szCs w:val="18"/>
              </w:rPr>
            </w:pPr>
            <w:r>
              <w:rPr>
                <w:rFonts w:hint="eastAsia"/>
                <w:sz w:val="18"/>
                <w:szCs w:val="18"/>
              </w:rPr>
              <w:t>中石化块河加油站</w:t>
            </w:r>
          </w:p>
        </w:tc>
        <w:tc>
          <w:tcPr>
            <w:tcW w:w="796" w:type="dxa"/>
            <w:shd w:val="clear" w:color="auto" w:fill="auto"/>
            <w:noWrap/>
            <w:vAlign w:val="center"/>
          </w:tcPr>
          <w:p w14:paraId="4442C54D">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2FF26D3">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tcPr>
          <w:p w14:paraId="7262D522">
            <w:pPr>
              <w:jc w:val="center"/>
            </w:pPr>
            <w:r>
              <w:rPr>
                <w:rFonts w:hint="eastAsia" w:ascii="宋体" w:hAnsi="宋体" w:cs="宋体"/>
                <w:kern w:val="0"/>
                <w:sz w:val="18"/>
                <w:szCs w:val="18"/>
              </w:rPr>
              <w:t>0.4</w:t>
            </w:r>
          </w:p>
        </w:tc>
        <w:tc>
          <w:tcPr>
            <w:tcW w:w="946" w:type="dxa"/>
            <w:shd w:val="clear" w:color="auto" w:fill="auto"/>
            <w:noWrap/>
          </w:tcPr>
          <w:p w14:paraId="093BD0C5">
            <w:pPr>
              <w:jc w:val="center"/>
            </w:pPr>
            <w:r>
              <w:rPr>
                <w:rFonts w:hint="eastAsia" w:ascii="宋体" w:hAnsi="宋体" w:cs="宋体"/>
                <w:kern w:val="0"/>
                <w:sz w:val="18"/>
                <w:szCs w:val="18"/>
              </w:rPr>
              <w:t>0.4</w:t>
            </w:r>
          </w:p>
        </w:tc>
        <w:tc>
          <w:tcPr>
            <w:tcW w:w="854" w:type="dxa"/>
            <w:shd w:val="clear" w:color="auto" w:fill="auto"/>
            <w:noWrap/>
          </w:tcPr>
          <w:p w14:paraId="7F6F7F24">
            <w:pPr>
              <w:jc w:val="center"/>
            </w:pPr>
            <w:r>
              <w:rPr>
                <w:rFonts w:hint="eastAsia" w:ascii="宋体" w:hAnsi="宋体" w:cs="宋体"/>
                <w:kern w:val="0"/>
                <w:sz w:val="18"/>
                <w:szCs w:val="18"/>
              </w:rPr>
              <w:t>0.4</w:t>
            </w:r>
          </w:p>
        </w:tc>
        <w:tc>
          <w:tcPr>
            <w:tcW w:w="1489" w:type="dxa"/>
            <w:shd w:val="clear" w:color="auto" w:fill="auto"/>
            <w:vAlign w:val="center"/>
          </w:tcPr>
          <w:p w14:paraId="742677E0">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6D7155B4">
            <w:pPr>
              <w:widowControl/>
              <w:jc w:val="center"/>
              <w:rPr>
                <w:rFonts w:ascii="宋体" w:hAnsi="宋体" w:cs="宋体"/>
                <w:kern w:val="0"/>
                <w:sz w:val="18"/>
                <w:szCs w:val="18"/>
              </w:rPr>
            </w:pPr>
          </w:p>
        </w:tc>
      </w:tr>
      <w:tr w14:paraId="1F91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51DC291E">
            <w:pPr>
              <w:widowControl/>
              <w:jc w:val="center"/>
              <w:rPr>
                <w:rFonts w:ascii="宋体" w:hAnsi="宋体" w:cs="宋体"/>
                <w:kern w:val="0"/>
                <w:sz w:val="18"/>
                <w:szCs w:val="18"/>
              </w:rPr>
            </w:pPr>
          </w:p>
        </w:tc>
        <w:tc>
          <w:tcPr>
            <w:tcW w:w="3659" w:type="dxa"/>
            <w:shd w:val="clear" w:color="auto" w:fill="auto"/>
            <w:noWrap/>
            <w:vAlign w:val="center"/>
          </w:tcPr>
          <w:p w14:paraId="4E86C6BF">
            <w:pPr>
              <w:widowControl/>
              <w:jc w:val="center"/>
              <w:rPr>
                <w:rFonts w:ascii="宋体" w:hAnsi="宋体" w:cs="宋体"/>
                <w:kern w:val="0"/>
                <w:sz w:val="18"/>
                <w:szCs w:val="18"/>
              </w:rPr>
            </w:pPr>
            <w:r>
              <w:rPr>
                <w:rFonts w:hint="eastAsia" w:ascii="宋体" w:hAnsi="宋体" w:cs="宋体"/>
                <w:kern w:val="0"/>
                <w:sz w:val="18"/>
                <w:szCs w:val="18"/>
              </w:rPr>
              <w:t>拖布卡镇客运站</w:t>
            </w:r>
          </w:p>
        </w:tc>
        <w:tc>
          <w:tcPr>
            <w:tcW w:w="796" w:type="dxa"/>
            <w:shd w:val="clear" w:color="auto" w:fill="auto"/>
            <w:noWrap/>
            <w:vAlign w:val="center"/>
          </w:tcPr>
          <w:p w14:paraId="7D64DCB9">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38A4AD60">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6232E9D3">
            <w:pPr>
              <w:widowControl/>
              <w:jc w:val="center"/>
              <w:rPr>
                <w:rFonts w:ascii="宋体" w:hAnsi="宋体" w:cs="宋体"/>
                <w:kern w:val="0"/>
                <w:sz w:val="18"/>
                <w:szCs w:val="18"/>
              </w:rPr>
            </w:pPr>
            <w:r>
              <w:rPr>
                <w:rFonts w:hint="eastAsia" w:ascii="宋体" w:hAnsi="宋体" w:cs="宋体"/>
                <w:kern w:val="0"/>
                <w:sz w:val="18"/>
                <w:szCs w:val="18"/>
              </w:rPr>
              <w:t>0.24</w:t>
            </w:r>
          </w:p>
        </w:tc>
        <w:tc>
          <w:tcPr>
            <w:tcW w:w="946" w:type="dxa"/>
            <w:shd w:val="clear" w:color="auto" w:fill="auto"/>
            <w:noWrap/>
            <w:vAlign w:val="center"/>
          </w:tcPr>
          <w:p w14:paraId="304BE5EE">
            <w:pPr>
              <w:widowControl/>
              <w:jc w:val="center"/>
              <w:rPr>
                <w:rFonts w:ascii="宋体" w:hAnsi="宋体" w:cs="宋体"/>
                <w:kern w:val="0"/>
                <w:sz w:val="18"/>
                <w:szCs w:val="18"/>
              </w:rPr>
            </w:pPr>
            <w:r>
              <w:rPr>
                <w:rFonts w:hint="eastAsia" w:ascii="宋体" w:hAnsi="宋体" w:cs="宋体"/>
                <w:kern w:val="0"/>
                <w:sz w:val="18"/>
                <w:szCs w:val="18"/>
              </w:rPr>
              <w:t>0.24</w:t>
            </w:r>
          </w:p>
        </w:tc>
        <w:tc>
          <w:tcPr>
            <w:tcW w:w="854" w:type="dxa"/>
            <w:shd w:val="clear" w:color="auto" w:fill="auto"/>
            <w:noWrap/>
            <w:vAlign w:val="center"/>
          </w:tcPr>
          <w:p w14:paraId="0B7F0C39">
            <w:pPr>
              <w:widowControl/>
              <w:jc w:val="center"/>
              <w:rPr>
                <w:rFonts w:ascii="宋体" w:hAnsi="宋体" w:cs="宋体"/>
                <w:kern w:val="0"/>
                <w:sz w:val="18"/>
                <w:szCs w:val="18"/>
              </w:rPr>
            </w:pPr>
            <w:r>
              <w:rPr>
                <w:rFonts w:hint="eastAsia" w:ascii="宋体" w:hAnsi="宋体" w:cs="宋体"/>
                <w:kern w:val="0"/>
                <w:sz w:val="18"/>
                <w:szCs w:val="18"/>
              </w:rPr>
              <w:t>0.11</w:t>
            </w:r>
          </w:p>
        </w:tc>
        <w:tc>
          <w:tcPr>
            <w:tcW w:w="1489" w:type="dxa"/>
            <w:shd w:val="clear" w:color="auto" w:fill="auto"/>
            <w:vAlign w:val="center"/>
          </w:tcPr>
          <w:p w14:paraId="6DD5B63E">
            <w:pPr>
              <w:widowControl/>
              <w:jc w:val="center"/>
              <w:rPr>
                <w:rFonts w:ascii="宋体" w:hAnsi="宋体" w:cs="宋体"/>
                <w:kern w:val="0"/>
                <w:sz w:val="15"/>
                <w:szCs w:val="15"/>
              </w:rPr>
            </w:pPr>
            <w:r>
              <w:rPr>
                <w:rFonts w:hint="eastAsia" w:ascii="宋体" w:hAnsi="宋体" w:cs="宋体"/>
                <w:kern w:val="0"/>
                <w:sz w:val="15"/>
                <w:szCs w:val="15"/>
              </w:rPr>
              <w:t>拖布卡镇</w:t>
            </w:r>
          </w:p>
        </w:tc>
        <w:tc>
          <w:tcPr>
            <w:tcW w:w="577" w:type="dxa"/>
            <w:shd w:val="clear" w:color="auto" w:fill="auto"/>
            <w:noWrap/>
            <w:vAlign w:val="center"/>
          </w:tcPr>
          <w:p w14:paraId="6E38AB37">
            <w:pPr>
              <w:widowControl/>
              <w:jc w:val="center"/>
              <w:rPr>
                <w:rFonts w:ascii="宋体" w:hAnsi="宋体" w:cs="宋体"/>
                <w:kern w:val="0"/>
                <w:sz w:val="18"/>
                <w:szCs w:val="18"/>
              </w:rPr>
            </w:pPr>
          </w:p>
        </w:tc>
      </w:tr>
      <w:tr w14:paraId="46DD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AA2B1D7">
            <w:pPr>
              <w:widowControl/>
              <w:jc w:val="center"/>
              <w:rPr>
                <w:rFonts w:ascii="宋体" w:hAnsi="宋体" w:cs="宋体"/>
                <w:kern w:val="0"/>
                <w:sz w:val="18"/>
                <w:szCs w:val="18"/>
              </w:rPr>
            </w:pPr>
          </w:p>
        </w:tc>
        <w:tc>
          <w:tcPr>
            <w:tcW w:w="3659" w:type="dxa"/>
            <w:shd w:val="clear" w:color="auto" w:fill="auto"/>
            <w:noWrap/>
            <w:vAlign w:val="center"/>
          </w:tcPr>
          <w:p w14:paraId="18F6DF08">
            <w:pPr>
              <w:jc w:val="center"/>
              <w:rPr>
                <w:rFonts w:ascii="宋体" w:hAnsi="宋体" w:cs="宋体"/>
                <w:sz w:val="18"/>
                <w:szCs w:val="18"/>
              </w:rPr>
            </w:pPr>
            <w:r>
              <w:rPr>
                <w:rFonts w:hint="eastAsia"/>
                <w:sz w:val="18"/>
                <w:szCs w:val="18"/>
              </w:rPr>
              <w:t>昆明东川华润燃气站</w:t>
            </w:r>
          </w:p>
        </w:tc>
        <w:tc>
          <w:tcPr>
            <w:tcW w:w="796" w:type="dxa"/>
            <w:shd w:val="clear" w:color="auto" w:fill="auto"/>
            <w:noWrap/>
            <w:vAlign w:val="center"/>
          </w:tcPr>
          <w:p w14:paraId="5AC9CB13">
            <w:pPr>
              <w:jc w:val="center"/>
              <w:rPr>
                <w:rFonts w:ascii="宋体" w:hAnsi="宋体" w:cs="宋体"/>
                <w:sz w:val="18"/>
                <w:szCs w:val="18"/>
              </w:rPr>
            </w:pPr>
            <w:r>
              <w:rPr>
                <w:rFonts w:hint="eastAsia"/>
                <w:sz w:val="18"/>
                <w:szCs w:val="18"/>
              </w:rPr>
              <w:t>新建</w:t>
            </w:r>
          </w:p>
        </w:tc>
        <w:tc>
          <w:tcPr>
            <w:tcW w:w="1206" w:type="dxa"/>
            <w:shd w:val="clear" w:color="auto" w:fill="auto"/>
            <w:noWrap/>
            <w:vAlign w:val="center"/>
          </w:tcPr>
          <w:p w14:paraId="1BB9A635">
            <w:pPr>
              <w:widowControl/>
              <w:jc w:val="center"/>
              <w:rPr>
                <w:rFonts w:ascii="宋体" w:hAnsi="宋体" w:cs="宋体"/>
                <w:kern w:val="0"/>
                <w:sz w:val="18"/>
                <w:szCs w:val="18"/>
              </w:rPr>
            </w:pPr>
            <w:r>
              <w:rPr>
                <w:rFonts w:hint="eastAsia" w:ascii="宋体" w:hAnsi="宋体" w:cs="宋体"/>
                <w:kern w:val="0"/>
                <w:sz w:val="18"/>
                <w:szCs w:val="18"/>
              </w:rPr>
              <w:t>2018-2020</w:t>
            </w:r>
          </w:p>
        </w:tc>
        <w:tc>
          <w:tcPr>
            <w:tcW w:w="1026" w:type="dxa"/>
            <w:shd w:val="clear" w:color="auto" w:fill="auto"/>
            <w:noWrap/>
            <w:vAlign w:val="center"/>
          </w:tcPr>
          <w:p w14:paraId="13FF000A">
            <w:pPr>
              <w:widowControl/>
              <w:jc w:val="center"/>
              <w:rPr>
                <w:rFonts w:ascii="宋体" w:hAnsi="宋体" w:cs="宋体"/>
                <w:kern w:val="0"/>
                <w:sz w:val="18"/>
                <w:szCs w:val="18"/>
              </w:rPr>
            </w:pPr>
            <w:r>
              <w:rPr>
                <w:rFonts w:hint="eastAsia" w:ascii="宋体" w:hAnsi="宋体" w:cs="宋体"/>
                <w:kern w:val="0"/>
                <w:sz w:val="18"/>
                <w:szCs w:val="18"/>
              </w:rPr>
              <w:t>0.82</w:t>
            </w:r>
          </w:p>
        </w:tc>
        <w:tc>
          <w:tcPr>
            <w:tcW w:w="946" w:type="dxa"/>
            <w:shd w:val="clear" w:color="auto" w:fill="auto"/>
            <w:noWrap/>
            <w:vAlign w:val="center"/>
          </w:tcPr>
          <w:p w14:paraId="6903E8B2">
            <w:pPr>
              <w:widowControl/>
              <w:jc w:val="center"/>
              <w:rPr>
                <w:rFonts w:ascii="宋体" w:hAnsi="宋体" w:cs="宋体"/>
                <w:kern w:val="0"/>
                <w:sz w:val="18"/>
                <w:szCs w:val="18"/>
              </w:rPr>
            </w:pPr>
            <w:r>
              <w:rPr>
                <w:rFonts w:hint="eastAsia" w:ascii="宋体" w:hAnsi="宋体" w:cs="宋体"/>
                <w:kern w:val="0"/>
                <w:sz w:val="18"/>
                <w:szCs w:val="18"/>
              </w:rPr>
              <w:t>0.75</w:t>
            </w:r>
          </w:p>
        </w:tc>
        <w:tc>
          <w:tcPr>
            <w:tcW w:w="854" w:type="dxa"/>
            <w:shd w:val="clear" w:color="auto" w:fill="auto"/>
            <w:noWrap/>
            <w:vAlign w:val="center"/>
          </w:tcPr>
          <w:p w14:paraId="49366D04">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vAlign w:val="center"/>
          </w:tcPr>
          <w:p w14:paraId="63D3EE89">
            <w:pPr>
              <w:widowControl/>
              <w:jc w:val="center"/>
              <w:rPr>
                <w:rFonts w:ascii="宋体" w:hAnsi="宋体" w:cs="宋体"/>
                <w:kern w:val="0"/>
                <w:sz w:val="15"/>
                <w:szCs w:val="15"/>
              </w:rPr>
            </w:pPr>
            <w:r>
              <w:rPr>
                <w:rFonts w:hint="eastAsia" w:ascii="宋体" w:hAnsi="宋体" w:cs="宋体"/>
                <w:kern w:val="0"/>
                <w:sz w:val="15"/>
                <w:szCs w:val="15"/>
              </w:rPr>
              <w:t>铜都街道</w:t>
            </w:r>
          </w:p>
        </w:tc>
        <w:tc>
          <w:tcPr>
            <w:tcW w:w="577" w:type="dxa"/>
            <w:shd w:val="clear" w:color="auto" w:fill="auto"/>
            <w:noWrap/>
            <w:vAlign w:val="center"/>
          </w:tcPr>
          <w:p w14:paraId="5B51F6F0">
            <w:pPr>
              <w:widowControl/>
              <w:jc w:val="center"/>
              <w:rPr>
                <w:rFonts w:ascii="宋体" w:hAnsi="宋体" w:cs="宋体"/>
                <w:kern w:val="0"/>
                <w:sz w:val="18"/>
                <w:szCs w:val="18"/>
              </w:rPr>
            </w:pPr>
          </w:p>
        </w:tc>
      </w:tr>
      <w:tr w14:paraId="2FEB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623989AC">
            <w:pPr>
              <w:widowControl/>
              <w:jc w:val="center"/>
              <w:rPr>
                <w:rFonts w:ascii="宋体" w:hAnsi="宋体" w:cs="宋体"/>
                <w:kern w:val="0"/>
                <w:sz w:val="18"/>
                <w:szCs w:val="18"/>
              </w:rPr>
            </w:pPr>
          </w:p>
        </w:tc>
        <w:tc>
          <w:tcPr>
            <w:tcW w:w="3659" w:type="dxa"/>
            <w:shd w:val="clear" w:color="auto" w:fill="auto"/>
            <w:noWrap/>
            <w:vAlign w:val="center"/>
          </w:tcPr>
          <w:p w14:paraId="711F345E">
            <w:pPr>
              <w:widowControl/>
              <w:jc w:val="center"/>
              <w:rPr>
                <w:rFonts w:ascii="宋体" w:hAnsi="宋体" w:cs="宋体"/>
                <w:kern w:val="0"/>
                <w:sz w:val="18"/>
                <w:szCs w:val="18"/>
              </w:rPr>
            </w:pPr>
            <w:r>
              <w:rPr>
                <w:rFonts w:hint="eastAsia" w:ascii="宋体" w:hAnsi="宋体" w:cs="宋体"/>
                <w:kern w:val="0"/>
                <w:sz w:val="18"/>
                <w:szCs w:val="18"/>
              </w:rPr>
              <w:t>乌龙镇东吉温泉</w:t>
            </w:r>
          </w:p>
        </w:tc>
        <w:tc>
          <w:tcPr>
            <w:tcW w:w="796" w:type="dxa"/>
            <w:shd w:val="clear" w:color="auto" w:fill="auto"/>
            <w:noWrap/>
            <w:vAlign w:val="center"/>
          </w:tcPr>
          <w:p w14:paraId="7D4E4E5A">
            <w:pPr>
              <w:widowControl/>
              <w:jc w:val="center"/>
              <w:rPr>
                <w:rFonts w:ascii="宋体" w:hAnsi="宋体" w:cs="宋体"/>
                <w:kern w:val="0"/>
                <w:sz w:val="18"/>
                <w:szCs w:val="18"/>
              </w:rPr>
            </w:pPr>
            <w:r>
              <w:rPr>
                <w:rFonts w:hint="eastAsia" w:ascii="宋体" w:hAnsi="宋体" w:cs="宋体"/>
                <w:kern w:val="0"/>
                <w:sz w:val="18"/>
                <w:szCs w:val="18"/>
              </w:rPr>
              <w:t>新建</w:t>
            </w:r>
          </w:p>
        </w:tc>
        <w:tc>
          <w:tcPr>
            <w:tcW w:w="1206" w:type="dxa"/>
            <w:shd w:val="clear" w:color="auto" w:fill="auto"/>
            <w:noWrap/>
            <w:vAlign w:val="center"/>
          </w:tcPr>
          <w:p w14:paraId="62215FCA">
            <w:pPr>
              <w:widowControl/>
              <w:jc w:val="center"/>
              <w:rPr>
                <w:rFonts w:ascii="宋体" w:hAnsi="宋体" w:cs="宋体"/>
                <w:kern w:val="0"/>
                <w:sz w:val="18"/>
                <w:szCs w:val="18"/>
              </w:rPr>
            </w:pPr>
            <w:r>
              <w:rPr>
                <w:rFonts w:hint="eastAsia" w:ascii="宋体" w:hAnsi="宋体" w:cs="宋体"/>
                <w:kern w:val="0"/>
                <w:sz w:val="18"/>
                <w:szCs w:val="18"/>
              </w:rPr>
              <w:t>2015-2020</w:t>
            </w:r>
          </w:p>
        </w:tc>
        <w:tc>
          <w:tcPr>
            <w:tcW w:w="1026" w:type="dxa"/>
            <w:shd w:val="clear" w:color="auto" w:fill="auto"/>
            <w:noWrap/>
            <w:vAlign w:val="center"/>
          </w:tcPr>
          <w:p w14:paraId="0B4EACBB">
            <w:pPr>
              <w:widowControl/>
              <w:jc w:val="center"/>
              <w:rPr>
                <w:rFonts w:ascii="宋体" w:hAnsi="宋体" w:cs="宋体"/>
                <w:kern w:val="0"/>
                <w:sz w:val="18"/>
                <w:szCs w:val="18"/>
              </w:rPr>
            </w:pPr>
            <w:r>
              <w:rPr>
                <w:rFonts w:hint="eastAsia" w:ascii="宋体" w:hAnsi="宋体" w:cs="宋体"/>
                <w:kern w:val="0"/>
                <w:sz w:val="18"/>
                <w:szCs w:val="18"/>
              </w:rPr>
              <w:t>0.62</w:t>
            </w:r>
          </w:p>
        </w:tc>
        <w:tc>
          <w:tcPr>
            <w:tcW w:w="946" w:type="dxa"/>
            <w:shd w:val="clear" w:color="auto" w:fill="auto"/>
            <w:noWrap/>
            <w:vAlign w:val="center"/>
          </w:tcPr>
          <w:p w14:paraId="17DBBDD5">
            <w:pPr>
              <w:widowControl/>
              <w:jc w:val="center"/>
              <w:rPr>
                <w:rFonts w:ascii="宋体" w:hAnsi="宋体" w:cs="宋体"/>
                <w:kern w:val="0"/>
                <w:sz w:val="18"/>
                <w:szCs w:val="18"/>
              </w:rPr>
            </w:pPr>
            <w:r>
              <w:rPr>
                <w:rFonts w:hint="eastAsia" w:ascii="宋体" w:hAnsi="宋体" w:cs="宋体"/>
                <w:kern w:val="0"/>
                <w:sz w:val="18"/>
                <w:szCs w:val="18"/>
              </w:rPr>
              <w:t>0.62</w:t>
            </w:r>
          </w:p>
        </w:tc>
        <w:tc>
          <w:tcPr>
            <w:tcW w:w="854" w:type="dxa"/>
            <w:shd w:val="clear" w:color="auto" w:fill="auto"/>
            <w:noWrap/>
            <w:vAlign w:val="center"/>
          </w:tcPr>
          <w:p w14:paraId="58846EEB">
            <w:pPr>
              <w:widowControl/>
              <w:jc w:val="center"/>
              <w:rPr>
                <w:rFonts w:ascii="宋体" w:hAnsi="宋体" w:cs="宋体"/>
                <w:kern w:val="0"/>
                <w:sz w:val="18"/>
                <w:szCs w:val="18"/>
              </w:rPr>
            </w:pPr>
            <w:r>
              <w:rPr>
                <w:rFonts w:hint="eastAsia" w:ascii="宋体" w:hAnsi="宋体" w:cs="宋体"/>
                <w:kern w:val="0"/>
                <w:sz w:val="18"/>
                <w:szCs w:val="18"/>
              </w:rPr>
              <w:t>0</w:t>
            </w:r>
          </w:p>
        </w:tc>
        <w:tc>
          <w:tcPr>
            <w:tcW w:w="1489" w:type="dxa"/>
            <w:shd w:val="clear" w:color="auto" w:fill="auto"/>
            <w:vAlign w:val="center"/>
          </w:tcPr>
          <w:p w14:paraId="0903F269">
            <w:pPr>
              <w:widowControl/>
              <w:jc w:val="center"/>
              <w:rPr>
                <w:rFonts w:ascii="宋体" w:hAnsi="宋体" w:cs="宋体"/>
                <w:kern w:val="0"/>
                <w:sz w:val="15"/>
                <w:szCs w:val="15"/>
              </w:rPr>
            </w:pPr>
            <w:r>
              <w:rPr>
                <w:rFonts w:hint="eastAsia" w:ascii="宋体" w:hAnsi="宋体" w:cs="宋体"/>
                <w:kern w:val="0"/>
                <w:sz w:val="15"/>
                <w:szCs w:val="15"/>
              </w:rPr>
              <w:t>乌龙镇</w:t>
            </w:r>
          </w:p>
        </w:tc>
        <w:tc>
          <w:tcPr>
            <w:tcW w:w="577" w:type="dxa"/>
            <w:shd w:val="clear" w:color="auto" w:fill="auto"/>
            <w:noWrap/>
            <w:vAlign w:val="center"/>
          </w:tcPr>
          <w:p w14:paraId="6D2593FD">
            <w:pPr>
              <w:widowControl/>
              <w:jc w:val="center"/>
              <w:rPr>
                <w:rFonts w:ascii="宋体" w:hAnsi="宋体" w:cs="宋体"/>
                <w:kern w:val="0"/>
                <w:sz w:val="18"/>
                <w:szCs w:val="18"/>
              </w:rPr>
            </w:pPr>
          </w:p>
        </w:tc>
      </w:tr>
      <w:tr w14:paraId="7BF0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430359CB">
            <w:pPr>
              <w:widowControl/>
              <w:jc w:val="center"/>
              <w:rPr>
                <w:rFonts w:ascii="宋体" w:hAnsi="宋体" w:cs="宋体"/>
                <w:kern w:val="0"/>
                <w:sz w:val="18"/>
                <w:szCs w:val="18"/>
              </w:rPr>
            </w:pPr>
          </w:p>
        </w:tc>
        <w:tc>
          <w:tcPr>
            <w:tcW w:w="3659" w:type="dxa"/>
            <w:shd w:val="clear" w:color="auto" w:fill="auto"/>
            <w:noWrap/>
            <w:vAlign w:val="center"/>
          </w:tcPr>
          <w:p w14:paraId="2CB49845">
            <w:pPr>
              <w:widowControl/>
              <w:jc w:val="center"/>
              <w:rPr>
                <w:rFonts w:ascii="宋体" w:hAnsi="宋体" w:cs="宋体"/>
                <w:kern w:val="0"/>
                <w:sz w:val="18"/>
                <w:szCs w:val="18"/>
              </w:rPr>
            </w:pPr>
            <w:r>
              <w:rPr>
                <w:rFonts w:hint="eastAsia" w:ascii="宋体" w:hAnsi="宋体" w:cs="宋体"/>
                <w:kern w:val="0"/>
                <w:sz w:val="18"/>
                <w:szCs w:val="18"/>
              </w:rPr>
              <w:t>红土地居家养老中心</w:t>
            </w:r>
          </w:p>
        </w:tc>
        <w:tc>
          <w:tcPr>
            <w:tcW w:w="796" w:type="dxa"/>
            <w:shd w:val="clear" w:color="auto" w:fill="auto"/>
            <w:noWrap/>
            <w:vAlign w:val="center"/>
          </w:tcPr>
          <w:p w14:paraId="0DD61BD0">
            <w:pPr>
              <w:widowControl/>
              <w:jc w:val="center"/>
              <w:rPr>
                <w:rFonts w:ascii="宋体" w:hAnsi="宋体" w:cs="宋体"/>
                <w:kern w:val="0"/>
                <w:sz w:val="18"/>
                <w:szCs w:val="18"/>
              </w:rPr>
            </w:pPr>
            <w:r>
              <w:rPr>
                <w:rFonts w:hint="eastAsia" w:ascii="宋体" w:hAnsi="宋体" w:cs="宋体"/>
                <w:kern w:val="0"/>
                <w:sz w:val="18"/>
                <w:szCs w:val="18"/>
              </w:rPr>
              <w:t>新增</w:t>
            </w:r>
          </w:p>
        </w:tc>
        <w:tc>
          <w:tcPr>
            <w:tcW w:w="1206" w:type="dxa"/>
            <w:shd w:val="clear" w:color="auto" w:fill="auto"/>
            <w:noWrap/>
            <w:vAlign w:val="center"/>
          </w:tcPr>
          <w:p w14:paraId="2AE284EF">
            <w:pPr>
              <w:widowControl/>
              <w:jc w:val="center"/>
              <w:rPr>
                <w:rFonts w:ascii="宋体" w:hAnsi="宋体" w:cs="宋体"/>
                <w:kern w:val="0"/>
                <w:sz w:val="18"/>
                <w:szCs w:val="18"/>
              </w:rPr>
            </w:pPr>
            <w:r>
              <w:rPr>
                <w:rFonts w:hint="eastAsia" w:ascii="宋体" w:hAnsi="宋体" w:cs="宋体"/>
                <w:kern w:val="0"/>
                <w:sz w:val="18"/>
                <w:szCs w:val="18"/>
              </w:rPr>
              <w:t>2016-2020</w:t>
            </w:r>
          </w:p>
        </w:tc>
        <w:tc>
          <w:tcPr>
            <w:tcW w:w="1026" w:type="dxa"/>
            <w:shd w:val="clear" w:color="auto" w:fill="auto"/>
            <w:noWrap/>
            <w:vAlign w:val="center"/>
          </w:tcPr>
          <w:p w14:paraId="6970D209">
            <w:pPr>
              <w:widowControl/>
              <w:jc w:val="center"/>
              <w:rPr>
                <w:rFonts w:ascii="宋体" w:hAnsi="宋体" w:cs="宋体"/>
                <w:kern w:val="0"/>
                <w:sz w:val="18"/>
                <w:szCs w:val="18"/>
              </w:rPr>
            </w:pPr>
            <w:r>
              <w:rPr>
                <w:rFonts w:hint="eastAsia" w:ascii="宋体" w:hAnsi="宋体" w:cs="宋体"/>
                <w:kern w:val="0"/>
                <w:sz w:val="18"/>
                <w:szCs w:val="18"/>
              </w:rPr>
              <w:t xml:space="preserve">0.13 </w:t>
            </w:r>
          </w:p>
        </w:tc>
        <w:tc>
          <w:tcPr>
            <w:tcW w:w="946" w:type="dxa"/>
            <w:shd w:val="clear" w:color="auto" w:fill="auto"/>
            <w:noWrap/>
            <w:vAlign w:val="center"/>
          </w:tcPr>
          <w:p w14:paraId="6BD850BF">
            <w:pPr>
              <w:widowControl/>
              <w:jc w:val="center"/>
              <w:rPr>
                <w:rFonts w:ascii="宋体" w:hAnsi="宋体" w:cs="宋体"/>
                <w:kern w:val="0"/>
                <w:sz w:val="18"/>
                <w:szCs w:val="18"/>
              </w:rPr>
            </w:pPr>
            <w:r>
              <w:rPr>
                <w:rFonts w:hint="eastAsia" w:ascii="宋体" w:hAnsi="宋体" w:cs="宋体"/>
                <w:kern w:val="0"/>
                <w:sz w:val="18"/>
                <w:szCs w:val="18"/>
              </w:rPr>
              <w:t xml:space="preserve">0.13 </w:t>
            </w:r>
          </w:p>
        </w:tc>
        <w:tc>
          <w:tcPr>
            <w:tcW w:w="854" w:type="dxa"/>
            <w:shd w:val="clear" w:color="auto" w:fill="auto"/>
            <w:noWrap/>
            <w:vAlign w:val="center"/>
          </w:tcPr>
          <w:p w14:paraId="2C5BD865">
            <w:pPr>
              <w:widowControl/>
              <w:jc w:val="center"/>
              <w:rPr>
                <w:rFonts w:ascii="宋体" w:hAnsi="宋体" w:cs="宋体"/>
                <w:kern w:val="0"/>
                <w:sz w:val="18"/>
                <w:szCs w:val="18"/>
              </w:rPr>
            </w:pPr>
            <w:r>
              <w:rPr>
                <w:rFonts w:hint="eastAsia" w:ascii="宋体" w:hAnsi="宋体" w:cs="宋体"/>
                <w:kern w:val="0"/>
                <w:sz w:val="18"/>
                <w:szCs w:val="18"/>
              </w:rPr>
              <w:t xml:space="preserve">0.11 </w:t>
            </w:r>
          </w:p>
        </w:tc>
        <w:tc>
          <w:tcPr>
            <w:tcW w:w="1489" w:type="dxa"/>
            <w:shd w:val="clear" w:color="auto" w:fill="auto"/>
            <w:vAlign w:val="center"/>
          </w:tcPr>
          <w:p w14:paraId="3AD81020">
            <w:pPr>
              <w:widowControl/>
              <w:jc w:val="center"/>
              <w:rPr>
                <w:rFonts w:ascii="宋体" w:hAnsi="宋体" w:cs="宋体"/>
                <w:kern w:val="0"/>
                <w:sz w:val="18"/>
                <w:szCs w:val="18"/>
              </w:rPr>
            </w:pPr>
            <w:r>
              <w:rPr>
                <w:rFonts w:hint="eastAsia" w:ascii="宋体" w:hAnsi="宋体" w:cs="宋体"/>
                <w:kern w:val="0"/>
                <w:sz w:val="18"/>
                <w:szCs w:val="18"/>
              </w:rPr>
              <w:t>红土地镇</w:t>
            </w:r>
          </w:p>
        </w:tc>
        <w:tc>
          <w:tcPr>
            <w:tcW w:w="577" w:type="dxa"/>
            <w:shd w:val="clear" w:color="auto" w:fill="auto"/>
            <w:noWrap/>
            <w:vAlign w:val="center"/>
          </w:tcPr>
          <w:p w14:paraId="23C2CEFC">
            <w:pPr>
              <w:widowControl/>
              <w:jc w:val="center"/>
              <w:rPr>
                <w:rFonts w:ascii="宋体" w:hAnsi="宋体" w:cs="宋体"/>
                <w:kern w:val="0"/>
                <w:sz w:val="18"/>
                <w:szCs w:val="18"/>
              </w:rPr>
            </w:pPr>
          </w:p>
        </w:tc>
      </w:tr>
      <w:tr w14:paraId="2CA9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26" w:type="dxa"/>
            <w:vMerge w:val="continue"/>
            <w:vAlign w:val="center"/>
          </w:tcPr>
          <w:p w14:paraId="0716DE92">
            <w:pPr>
              <w:widowControl/>
              <w:jc w:val="center"/>
              <w:rPr>
                <w:rFonts w:ascii="宋体" w:hAnsi="宋体" w:cs="宋体"/>
                <w:kern w:val="0"/>
                <w:sz w:val="18"/>
                <w:szCs w:val="18"/>
              </w:rPr>
            </w:pPr>
          </w:p>
        </w:tc>
        <w:tc>
          <w:tcPr>
            <w:tcW w:w="3659" w:type="dxa"/>
            <w:shd w:val="clear" w:color="auto" w:fill="auto"/>
            <w:vAlign w:val="center"/>
          </w:tcPr>
          <w:p w14:paraId="199BAE07">
            <w:pPr>
              <w:widowControl/>
              <w:jc w:val="center"/>
              <w:rPr>
                <w:rFonts w:ascii="宋体" w:hAnsi="宋体" w:cs="宋体"/>
                <w:kern w:val="0"/>
                <w:sz w:val="18"/>
                <w:szCs w:val="18"/>
              </w:rPr>
            </w:pPr>
            <w:r>
              <w:rPr>
                <w:rFonts w:hint="eastAsia" w:ascii="宋体" w:hAnsi="宋体" w:cs="宋体"/>
                <w:kern w:val="0"/>
                <w:sz w:val="18"/>
                <w:szCs w:val="18"/>
              </w:rPr>
              <w:t>小计</w:t>
            </w:r>
          </w:p>
        </w:tc>
        <w:tc>
          <w:tcPr>
            <w:tcW w:w="796" w:type="dxa"/>
            <w:shd w:val="clear" w:color="auto" w:fill="auto"/>
            <w:noWrap/>
            <w:vAlign w:val="center"/>
          </w:tcPr>
          <w:p w14:paraId="3BEA85E6">
            <w:pPr>
              <w:widowControl/>
              <w:jc w:val="center"/>
              <w:rPr>
                <w:rFonts w:ascii="宋体" w:hAnsi="宋体" w:cs="宋体"/>
                <w:kern w:val="0"/>
                <w:sz w:val="18"/>
                <w:szCs w:val="18"/>
              </w:rPr>
            </w:pPr>
            <w:r>
              <w:rPr>
                <w:rFonts w:hint="eastAsia" w:ascii="宋体" w:hAnsi="宋体" w:cs="宋体"/>
                <w:kern w:val="0"/>
                <w:sz w:val="18"/>
                <w:szCs w:val="18"/>
              </w:rPr>
              <w:t>——</w:t>
            </w:r>
          </w:p>
        </w:tc>
        <w:tc>
          <w:tcPr>
            <w:tcW w:w="1206" w:type="dxa"/>
            <w:shd w:val="clear" w:color="auto" w:fill="auto"/>
            <w:noWrap/>
            <w:vAlign w:val="center"/>
          </w:tcPr>
          <w:p w14:paraId="35E105D2">
            <w:pPr>
              <w:jc w:val="center"/>
              <w:rPr>
                <w:rFonts w:ascii="宋体" w:hAnsi="宋体" w:cs="宋体"/>
                <w:kern w:val="0"/>
                <w:sz w:val="18"/>
                <w:szCs w:val="18"/>
              </w:rPr>
            </w:pPr>
            <w:r>
              <w:rPr>
                <w:rFonts w:hint="eastAsia" w:ascii="宋体" w:hAnsi="宋体" w:cs="宋体"/>
                <w:kern w:val="0"/>
                <w:sz w:val="18"/>
                <w:szCs w:val="18"/>
              </w:rPr>
              <w:t>——</w:t>
            </w:r>
          </w:p>
        </w:tc>
        <w:tc>
          <w:tcPr>
            <w:tcW w:w="1026" w:type="dxa"/>
            <w:shd w:val="clear" w:color="auto" w:fill="auto"/>
            <w:noWrap/>
            <w:vAlign w:val="center"/>
          </w:tcPr>
          <w:p w14:paraId="3C5D1B81">
            <w:pPr>
              <w:widowControl/>
              <w:jc w:val="center"/>
              <w:rPr>
                <w:rFonts w:ascii="宋体" w:hAnsi="宋体" w:cs="宋体"/>
                <w:kern w:val="0"/>
                <w:sz w:val="18"/>
                <w:szCs w:val="18"/>
              </w:rPr>
            </w:pPr>
            <w:r>
              <w:rPr>
                <w:rFonts w:hint="eastAsia" w:ascii="宋体" w:hAnsi="宋体" w:cs="宋体"/>
                <w:kern w:val="0"/>
                <w:sz w:val="18"/>
                <w:szCs w:val="18"/>
              </w:rPr>
              <w:t>52.3</w:t>
            </w:r>
          </w:p>
        </w:tc>
        <w:tc>
          <w:tcPr>
            <w:tcW w:w="946" w:type="dxa"/>
            <w:shd w:val="clear" w:color="auto" w:fill="auto"/>
            <w:noWrap/>
            <w:vAlign w:val="center"/>
          </w:tcPr>
          <w:p w14:paraId="14FC17B4">
            <w:pPr>
              <w:widowControl/>
              <w:jc w:val="center"/>
              <w:rPr>
                <w:rFonts w:ascii="宋体" w:hAnsi="宋体" w:cs="宋体"/>
                <w:kern w:val="0"/>
                <w:sz w:val="18"/>
                <w:szCs w:val="18"/>
              </w:rPr>
            </w:pPr>
            <w:r>
              <w:rPr>
                <w:rFonts w:hint="eastAsia" w:ascii="宋体" w:hAnsi="宋体" w:cs="宋体"/>
                <w:kern w:val="0"/>
                <w:sz w:val="18"/>
                <w:szCs w:val="18"/>
              </w:rPr>
              <w:t>45.14</w:t>
            </w:r>
          </w:p>
        </w:tc>
        <w:tc>
          <w:tcPr>
            <w:tcW w:w="854" w:type="dxa"/>
            <w:shd w:val="clear" w:color="auto" w:fill="auto"/>
            <w:noWrap/>
            <w:vAlign w:val="center"/>
          </w:tcPr>
          <w:p w14:paraId="6ED184FE">
            <w:pPr>
              <w:widowControl/>
              <w:jc w:val="center"/>
              <w:rPr>
                <w:rFonts w:ascii="宋体" w:hAnsi="宋体" w:cs="宋体"/>
                <w:kern w:val="0"/>
                <w:sz w:val="18"/>
                <w:szCs w:val="18"/>
              </w:rPr>
            </w:pPr>
            <w:r>
              <w:rPr>
                <w:rFonts w:hint="eastAsia" w:ascii="宋体" w:hAnsi="宋体" w:cs="宋体"/>
                <w:kern w:val="0"/>
                <w:sz w:val="18"/>
                <w:szCs w:val="18"/>
              </w:rPr>
              <w:t>7.13</w:t>
            </w:r>
          </w:p>
        </w:tc>
        <w:tc>
          <w:tcPr>
            <w:tcW w:w="1489" w:type="dxa"/>
            <w:shd w:val="clear" w:color="auto" w:fill="auto"/>
            <w:noWrap/>
            <w:vAlign w:val="center"/>
          </w:tcPr>
          <w:p w14:paraId="7A9BB6D1">
            <w:pPr>
              <w:widowControl/>
              <w:jc w:val="center"/>
              <w:rPr>
                <w:rFonts w:ascii="宋体" w:hAnsi="宋体" w:cs="宋体"/>
                <w:kern w:val="0"/>
                <w:sz w:val="15"/>
                <w:szCs w:val="15"/>
              </w:rPr>
            </w:pPr>
            <w:r>
              <w:rPr>
                <w:rFonts w:hint="eastAsia" w:ascii="宋体" w:hAnsi="宋体" w:cs="宋体"/>
                <w:kern w:val="0"/>
                <w:sz w:val="15"/>
                <w:szCs w:val="15"/>
              </w:rPr>
              <w:t>——</w:t>
            </w:r>
          </w:p>
        </w:tc>
        <w:tc>
          <w:tcPr>
            <w:tcW w:w="577" w:type="dxa"/>
            <w:shd w:val="clear" w:color="auto" w:fill="auto"/>
            <w:noWrap/>
            <w:vAlign w:val="center"/>
          </w:tcPr>
          <w:p w14:paraId="11218EA0">
            <w:pPr>
              <w:widowControl/>
              <w:jc w:val="center"/>
              <w:rPr>
                <w:rFonts w:ascii="宋体" w:hAnsi="宋体" w:cs="宋体"/>
                <w:kern w:val="0"/>
                <w:sz w:val="18"/>
                <w:szCs w:val="18"/>
              </w:rPr>
            </w:pPr>
          </w:p>
        </w:tc>
      </w:tr>
      <w:tr w14:paraId="7BE2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4285" w:type="dxa"/>
            <w:gridSpan w:val="2"/>
            <w:shd w:val="clear" w:color="auto" w:fill="auto"/>
            <w:noWrap/>
            <w:vAlign w:val="center"/>
          </w:tcPr>
          <w:p w14:paraId="434F0A42">
            <w:pPr>
              <w:widowControl/>
              <w:jc w:val="center"/>
              <w:rPr>
                <w:rFonts w:ascii="宋体" w:hAnsi="宋体" w:cs="宋体"/>
                <w:kern w:val="0"/>
                <w:sz w:val="18"/>
                <w:szCs w:val="18"/>
              </w:rPr>
            </w:pPr>
            <w:r>
              <w:rPr>
                <w:rFonts w:hint="eastAsia" w:ascii="宋体" w:hAnsi="宋体" w:cs="宋体"/>
                <w:kern w:val="0"/>
                <w:sz w:val="18"/>
                <w:szCs w:val="18"/>
              </w:rPr>
              <w:t>合计</w:t>
            </w:r>
          </w:p>
        </w:tc>
        <w:tc>
          <w:tcPr>
            <w:tcW w:w="796" w:type="dxa"/>
            <w:shd w:val="clear" w:color="auto" w:fill="auto"/>
            <w:noWrap/>
            <w:vAlign w:val="center"/>
          </w:tcPr>
          <w:p w14:paraId="38D5C929">
            <w:pPr>
              <w:widowControl/>
              <w:jc w:val="center"/>
              <w:rPr>
                <w:rFonts w:ascii="宋体" w:hAnsi="宋体" w:cs="宋体"/>
                <w:kern w:val="0"/>
                <w:sz w:val="18"/>
                <w:szCs w:val="18"/>
              </w:rPr>
            </w:pPr>
            <w:r>
              <w:rPr>
                <w:rFonts w:hint="eastAsia" w:ascii="宋体" w:hAnsi="宋体" w:cs="宋体"/>
                <w:kern w:val="0"/>
                <w:sz w:val="18"/>
                <w:szCs w:val="18"/>
              </w:rPr>
              <w:t>——</w:t>
            </w:r>
          </w:p>
        </w:tc>
        <w:tc>
          <w:tcPr>
            <w:tcW w:w="1206" w:type="dxa"/>
            <w:shd w:val="clear" w:color="auto" w:fill="auto"/>
            <w:noWrap/>
            <w:vAlign w:val="center"/>
          </w:tcPr>
          <w:p w14:paraId="758B39AE">
            <w:pPr>
              <w:jc w:val="center"/>
              <w:rPr>
                <w:rFonts w:ascii="宋体" w:hAnsi="宋体" w:cs="宋体"/>
                <w:kern w:val="0"/>
                <w:sz w:val="18"/>
                <w:szCs w:val="18"/>
              </w:rPr>
            </w:pPr>
            <w:r>
              <w:rPr>
                <w:rFonts w:hint="eastAsia" w:ascii="宋体" w:hAnsi="宋体" w:cs="宋体"/>
                <w:kern w:val="0"/>
                <w:sz w:val="18"/>
                <w:szCs w:val="18"/>
              </w:rPr>
              <w:t>——</w:t>
            </w:r>
          </w:p>
        </w:tc>
        <w:tc>
          <w:tcPr>
            <w:tcW w:w="1026" w:type="dxa"/>
            <w:shd w:val="clear" w:color="auto" w:fill="auto"/>
            <w:noWrap/>
            <w:vAlign w:val="center"/>
          </w:tcPr>
          <w:p w14:paraId="21EF2FA0">
            <w:pPr>
              <w:widowControl/>
              <w:jc w:val="center"/>
              <w:rPr>
                <w:rFonts w:ascii="宋体" w:hAnsi="宋体" w:cs="宋体"/>
                <w:kern w:val="0"/>
                <w:sz w:val="18"/>
                <w:szCs w:val="18"/>
              </w:rPr>
            </w:pPr>
            <w:r>
              <w:rPr>
                <w:rFonts w:hint="eastAsia" w:ascii="宋体" w:hAnsi="宋体" w:cs="宋体"/>
                <w:kern w:val="0"/>
                <w:sz w:val="18"/>
                <w:szCs w:val="18"/>
              </w:rPr>
              <w:t xml:space="preserve">2721.65 </w:t>
            </w:r>
          </w:p>
        </w:tc>
        <w:tc>
          <w:tcPr>
            <w:tcW w:w="946" w:type="dxa"/>
            <w:shd w:val="clear" w:color="auto" w:fill="auto"/>
            <w:noWrap/>
            <w:vAlign w:val="center"/>
          </w:tcPr>
          <w:p w14:paraId="1A23408C">
            <w:pPr>
              <w:widowControl/>
              <w:jc w:val="center"/>
              <w:rPr>
                <w:rFonts w:ascii="宋体" w:hAnsi="宋体" w:cs="宋体"/>
                <w:kern w:val="0"/>
                <w:sz w:val="18"/>
                <w:szCs w:val="18"/>
              </w:rPr>
            </w:pPr>
            <w:r>
              <w:rPr>
                <w:rFonts w:hint="eastAsia" w:ascii="宋体" w:hAnsi="宋体" w:cs="宋体"/>
                <w:kern w:val="0"/>
                <w:sz w:val="18"/>
                <w:szCs w:val="18"/>
              </w:rPr>
              <w:t xml:space="preserve">2597.93 </w:t>
            </w:r>
          </w:p>
        </w:tc>
        <w:tc>
          <w:tcPr>
            <w:tcW w:w="854" w:type="dxa"/>
            <w:shd w:val="clear" w:color="auto" w:fill="auto"/>
            <w:noWrap/>
            <w:vAlign w:val="center"/>
          </w:tcPr>
          <w:p w14:paraId="1605ECFE">
            <w:pPr>
              <w:widowControl/>
              <w:jc w:val="center"/>
              <w:rPr>
                <w:rFonts w:ascii="宋体" w:hAnsi="宋体" w:cs="宋体"/>
                <w:kern w:val="0"/>
                <w:sz w:val="18"/>
                <w:szCs w:val="18"/>
              </w:rPr>
            </w:pPr>
            <w:r>
              <w:rPr>
                <w:rFonts w:hint="eastAsia" w:ascii="宋体" w:hAnsi="宋体" w:cs="宋体"/>
                <w:kern w:val="0"/>
                <w:sz w:val="18"/>
                <w:szCs w:val="18"/>
              </w:rPr>
              <w:t xml:space="preserve">1324.59 </w:t>
            </w:r>
          </w:p>
        </w:tc>
        <w:tc>
          <w:tcPr>
            <w:tcW w:w="1489" w:type="dxa"/>
            <w:shd w:val="clear" w:color="auto" w:fill="auto"/>
            <w:noWrap/>
            <w:vAlign w:val="center"/>
          </w:tcPr>
          <w:p w14:paraId="2DA9334A">
            <w:pPr>
              <w:widowControl/>
              <w:jc w:val="center"/>
              <w:rPr>
                <w:rFonts w:ascii="宋体" w:hAnsi="宋体" w:cs="宋体"/>
                <w:kern w:val="0"/>
                <w:sz w:val="15"/>
                <w:szCs w:val="15"/>
              </w:rPr>
            </w:pPr>
            <w:r>
              <w:rPr>
                <w:rFonts w:hint="eastAsia" w:ascii="宋体" w:hAnsi="宋体" w:cs="宋体"/>
                <w:kern w:val="0"/>
                <w:sz w:val="15"/>
                <w:szCs w:val="15"/>
              </w:rPr>
              <w:t>——</w:t>
            </w:r>
          </w:p>
        </w:tc>
        <w:tc>
          <w:tcPr>
            <w:tcW w:w="577" w:type="dxa"/>
            <w:shd w:val="clear" w:color="auto" w:fill="auto"/>
            <w:noWrap/>
            <w:vAlign w:val="center"/>
          </w:tcPr>
          <w:p w14:paraId="0C62BC1C">
            <w:pPr>
              <w:widowControl/>
              <w:jc w:val="center"/>
              <w:rPr>
                <w:rFonts w:ascii="宋体" w:hAnsi="宋体" w:cs="宋体"/>
                <w:kern w:val="0"/>
                <w:sz w:val="18"/>
                <w:szCs w:val="18"/>
              </w:rPr>
            </w:pPr>
          </w:p>
        </w:tc>
      </w:tr>
    </w:tbl>
    <w:p w14:paraId="64721C3E">
      <w:pPr>
        <w:pStyle w:val="2"/>
        <w:spacing w:before="0" w:after="0" w:line="240" w:lineRule="auto"/>
        <w:jc w:val="center"/>
        <w:rPr>
          <w:rFonts w:ascii="黑体" w:eastAsia="黑体"/>
          <w:b w:val="0"/>
          <w:color w:val="000000"/>
          <w:sz w:val="28"/>
          <w:szCs w:val="28"/>
        </w:rPr>
      </w:pPr>
      <w:bookmarkStart w:id="183" w:name="_Toc491074927"/>
      <w:r>
        <w:rPr>
          <w:rFonts w:hint="eastAsia" w:ascii="黑体" w:eastAsia="黑体"/>
          <w:b w:val="0"/>
          <w:color w:val="000000"/>
          <w:sz w:val="28"/>
          <w:szCs w:val="28"/>
        </w:rPr>
        <w:t>附图</w:t>
      </w:r>
      <w:bookmarkEnd w:id="183"/>
    </w:p>
    <w:p w14:paraId="56B8ACED">
      <w:pPr>
        <w:jc w:val="left"/>
      </w:pPr>
      <w:r>
        <w:rPr>
          <w:rFonts w:hint="eastAsia"/>
        </w:rPr>
        <w:t>附图1  昆明市东川区重点建设项目用地布局图</w:t>
      </w:r>
    </w:p>
    <w:p w14:paraId="12806B87">
      <w:pPr>
        <w:wordWrap w:val="0"/>
        <w:jc w:val="left"/>
      </w:pPr>
      <w:r>
        <w:rPr>
          <w:rFonts w:hint="eastAsia"/>
        </w:rPr>
        <w:t>附图2  昆明市东川区土地利用总体规划图（2015-2020年）</w:t>
      </w:r>
    </w:p>
    <w:p w14:paraId="50A9D450">
      <w:pPr>
        <w:wordWrap w:val="0"/>
        <w:jc w:val="left"/>
      </w:pPr>
      <w:r>
        <w:rPr>
          <w:rFonts w:hint="eastAsia"/>
        </w:rPr>
        <w:t>附图3  昆明市东川区中心城区土地利用总体规划图（2015-2020年）</w:t>
      </w:r>
    </w:p>
    <w:sectPr>
      <w:pgSz w:w="11907" w:h="16839"/>
      <w:pgMar w:top="1440" w:right="1531" w:bottom="144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CA820">
    <w:pPr>
      <w:pStyle w:val="18"/>
      <w:framePr w:wrap="around" w:vAnchor="text" w:hAnchor="margin" w:xAlign="center" w:y="1"/>
      <w:ind w:firstLine="360"/>
      <w:rPr>
        <w:rStyle w:val="31"/>
      </w:rPr>
    </w:pPr>
    <w:r>
      <w:rPr>
        <w:rStyle w:val="31"/>
      </w:rPr>
      <w:fldChar w:fldCharType="begin"/>
    </w:r>
    <w:r>
      <w:rPr>
        <w:rStyle w:val="31"/>
      </w:rPr>
      <w:instrText xml:space="preserve">PAGE  </w:instrText>
    </w:r>
    <w:r>
      <w:rPr>
        <w:rStyle w:val="31"/>
      </w:rPr>
      <w:fldChar w:fldCharType="separate"/>
    </w:r>
    <w:r>
      <w:rPr>
        <w:rStyle w:val="31"/>
      </w:rPr>
      <w:t>101</w:t>
    </w:r>
    <w:r>
      <w:rPr>
        <w:rStyle w:val="31"/>
      </w:rPr>
      <w:fldChar w:fldCharType="end"/>
    </w:r>
  </w:p>
  <w:p w14:paraId="6D4BE836">
    <w:pPr>
      <w:pStyle w:val="18"/>
      <w:ind w:right="360" w:firstLine="360"/>
      <w:jc w:val="center"/>
      <w:rPr>
        <w:rStyle w:val="3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68611">
    <w:pPr>
      <w:pStyle w:val="18"/>
      <w:framePr w:wrap="around" w:vAnchor="text" w:hAnchor="margin" w:xAlign="center" w:y="1"/>
      <w:ind w:firstLine="360"/>
      <w:rPr>
        <w:rStyle w:val="31"/>
      </w:rPr>
    </w:pPr>
    <w:r>
      <w:rPr>
        <w:rStyle w:val="31"/>
      </w:rPr>
      <w:fldChar w:fldCharType="begin"/>
    </w:r>
    <w:r>
      <w:rPr>
        <w:rStyle w:val="31"/>
      </w:rPr>
      <w:instrText xml:space="preserve">PAGE  </w:instrText>
    </w:r>
    <w:r>
      <w:rPr>
        <w:rStyle w:val="31"/>
      </w:rPr>
      <w:fldChar w:fldCharType="end"/>
    </w:r>
  </w:p>
  <w:p w14:paraId="4FF207D7">
    <w:pPr>
      <w:pStyle w:val="18"/>
      <w:ind w:right="360" w:firstLine="360"/>
      <w:rPr>
        <w:rStyle w:val="31"/>
      </w:rPr>
    </w:pPr>
  </w:p>
  <w:p w14:paraId="64C0709F">
    <w:pPr>
      <w:pStyle w:val="18"/>
      <w:ind w:firstLine="360"/>
      <w:rPr>
        <w:rStyle w:val="31"/>
      </w:rPr>
    </w:pPr>
  </w:p>
  <w:p w14:paraId="7A5F612F">
    <w:pPr>
      <w:pStyle w:val="18"/>
      <w:ind w:firstLine="360"/>
      <w:rPr>
        <w:rStyle w:val="31"/>
      </w:rPr>
    </w:pPr>
  </w:p>
  <w:p w14:paraId="567B8CCE">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DDEDD">
    <w:pPr>
      <w:pStyle w:val="18"/>
      <w:ind w:firstLine="360"/>
    </w:pPr>
  </w:p>
  <w:p w14:paraId="05B12B6F">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745B2">
    <w:pPr>
      <w:pStyle w:val="18"/>
      <w:framePr w:wrap="around" w:vAnchor="text" w:hAnchor="margin" w:xAlign="center" w:y="1"/>
      <w:rPr>
        <w:rStyle w:val="31"/>
      </w:rPr>
    </w:pPr>
    <w:r>
      <w:rPr>
        <w:rStyle w:val="31"/>
      </w:rPr>
      <w:fldChar w:fldCharType="begin"/>
    </w:r>
    <w:r>
      <w:rPr>
        <w:rStyle w:val="31"/>
      </w:rPr>
      <w:instrText xml:space="preserve">PAGE  </w:instrText>
    </w:r>
    <w:r>
      <w:rPr>
        <w:rStyle w:val="31"/>
      </w:rPr>
      <w:fldChar w:fldCharType="end"/>
    </w:r>
  </w:p>
  <w:p w14:paraId="304126D0">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2DE1B">
    <w:pPr>
      <w:pStyle w:val="19"/>
      <w:ind w:firstLine="0" w:firstLineChars="0"/>
      <w:jc w:val="right"/>
    </w:pPr>
    <w:r>
      <w:rPr>
        <w:rFonts w:hint="eastAsia"/>
      </w:rPr>
      <w:t>东川区土地利用总体规划（2010-2020年）调整完善方案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B51B6">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81875">
    <w:pPr>
      <w:pStyle w:val="19"/>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69"/>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68"/>
      <w:suff w:val="nothing"/>
      <w:lvlText w:val="%1.%2　"/>
      <w:lvlJc w:val="left"/>
      <w:pPr>
        <w:ind w:left="993"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70"/>
      <w:suff w:val="nothing"/>
      <w:lvlText w:val="%1.%2.%3　"/>
      <w:lvlJc w:val="left"/>
      <w:pPr>
        <w:ind w:left="426"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74"/>
      <w:suff w:val="nothing"/>
      <w:lvlText w:val="%1.%2.%3.%4.%5　"/>
      <w:lvlJc w:val="left"/>
      <w:pPr>
        <w:ind w:left="0" w:firstLine="0"/>
      </w:pPr>
      <w:rPr>
        <w:rFonts w:hint="eastAsia" w:ascii="黑体" w:hAnsi="Times New Roman" w:eastAsia="黑体"/>
        <w:b w:val="0"/>
        <w:i w:val="0"/>
        <w:sz w:val="21"/>
      </w:rPr>
    </w:lvl>
    <w:lvl w:ilvl="5" w:tentative="0">
      <w:start w:val="1"/>
      <w:numFmt w:val="decimal"/>
      <w:pStyle w:val="75"/>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C5917C3"/>
    <w:multiLevelType w:val="multilevel"/>
    <w:tmpl w:val="2C5917C3"/>
    <w:lvl w:ilvl="0" w:tentative="0">
      <w:start w:val="1"/>
      <w:numFmt w:val="none"/>
      <w:pStyle w:val="71"/>
      <w:suff w:val="nothing"/>
      <w:lvlText w:val="%1——"/>
      <w:lvlJc w:val="left"/>
      <w:pPr>
        <w:ind w:left="833" w:hanging="408"/>
      </w:pPr>
      <w:rPr>
        <w:rFonts w:hint="eastAsia"/>
      </w:rPr>
    </w:lvl>
    <w:lvl w:ilvl="1" w:tentative="0">
      <w:start w:val="1"/>
      <w:numFmt w:val="bullet"/>
      <w:pStyle w:val="72"/>
      <w:lvlText w:val=""/>
      <w:lvlJc w:val="left"/>
      <w:pPr>
        <w:tabs>
          <w:tab w:val="left" w:pos="760"/>
        </w:tabs>
        <w:ind w:left="1264" w:hanging="413"/>
      </w:pPr>
      <w:rPr>
        <w:rFonts w:hint="default" w:ascii="Symbol" w:hAnsi="Symbol"/>
        <w:color w:val="auto"/>
      </w:rPr>
    </w:lvl>
    <w:lvl w:ilvl="2" w:tentative="0">
      <w:start w:val="1"/>
      <w:numFmt w:val="bullet"/>
      <w:pStyle w:val="76"/>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53401B"/>
    <w:rsid w:val="0000046F"/>
    <w:rsid w:val="0000106B"/>
    <w:rsid w:val="00001BA5"/>
    <w:rsid w:val="0000294B"/>
    <w:rsid w:val="00002BA6"/>
    <w:rsid w:val="00003443"/>
    <w:rsid w:val="00003854"/>
    <w:rsid w:val="00003DB4"/>
    <w:rsid w:val="00004E97"/>
    <w:rsid w:val="000057EC"/>
    <w:rsid w:val="00005AA6"/>
    <w:rsid w:val="00005FB0"/>
    <w:rsid w:val="0000618F"/>
    <w:rsid w:val="000071A4"/>
    <w:rsid w:val="0000765E"/>
    <w:rsid w:val="00007707"/>
    <w:rsid w:val="00007E7F"/>
    <w:rsid w:val="000106B9"/>
    <w:rsid w:val="0001075A"/>
    <w:rsid w:val="00010D46"/>
    <w:rsid w:val="00010E73"/>
    <w:rsid w:val="000113E5"/>
    <w:rsid w:val="000118B7"/>
    <w:rsid w:val="000118C9"/>
    <w:rsid w:val="0001249B"/>
    <w:rsid w:val="000128B2"/>
    <w:rsid w:val="00012B9F"/>
    <w:rsid w:val="00013621"/>
    <w:rsid w:val="00013AF5"/>
    <w:rsid w:val="00013EDA"/>
    <w:rsid w:val="0001459B"/>
    <w:rsid w:val="00014B10"/>
    <w:rsid w:val="00014D10"/>
    <w:rsid w:val="00014D70"/>
    <w:rsid w:val="00014DD2"/>
    <w:rsid w:val="00014EE3"/>
    <w:rsid w:val="00015360"/>
    <w:rsid w:val="00015AC2"/>
    <w:rsid w:val="00016412"/>
    <w:rsid w:val="00016ADA"/>
    <w:rsid w:val="00016DEF"/>
    <w:rsid w:val="000170B2"/>
    <w:rsid w:val="00017302"/>
    <w:rsid w:val="00017955"/>
    <w:rsid w:val="000179D2"/>
    <w:rsid w:val="000200AB"/>
    <w:rsid w:val="000202A6"/>
    <w:rsid w:val="000206A9"/>
    <w:rsid w:val="000206BE"/>
    <w:rsid w:val="000207AA"/>
    <w:rsid w:val="00020E44"/>
    <w:rsid w:val="00021093"/>
    <w:rsid w:val="000217B6"/>
    <w:rsid w:val="00021A8B"/>
    <w:rsid w:val="0002346B"/>
    <w:rsid w:val="00024AF4"/>
    <w:rsid w:val="00024C5B"/>
    <w:rsid w:val="00024D32"/>
    <w:rsid w:val="0002539D"/>
    <w:rsid w:val="00025EBB"/>
    <w:rsid w:val="0002699A"/>
    <w:rsid w:val="00026C46"/>
    <w:rsid w:val="00027B84"/>
    <w:rsid w:val="000315BD"/>
    <w:rsid w:val="00032154"/>
    <w:rsid w:val="00033C36"/>
    <w:rsid w:val="00033CC9"/>
    <w:rsid w:val="00034CB4"/>
    <w:rsid w:val="000351BD"/>
    <w:rsid w:val="00035861"/>
    <w:rsid w:val="000358D3"/>
    <w:rsid w:val="000358E8"/>
    <w:rsid w:val="00035FF4"/>
    <w:rsid w:val="00037955"/>
    <w:rsid w:val="00037C3A"/>
    <w:rsid w:val="00037F67"/>
    <w:rsid w:val="00037FBF"/>
    <w:rsid w:val="00040403"/>
    <w:rsid w:val="00040724"/>
    <w:rsid w:val="00040799"/>
    <w:rsid w:val="00040945"/>
    <w:rsid w:val="00040BAB"/>
    <w:rsid w:val="00040F55"/>
    <w:rsid w:val="000413F8"/>
    <w:rsid w:val="000415EC"/>
    <w:rsid w:val="00041C63"/>
    <w:rsid w:val="00041F80"/>
    <w:rsid w:val="000421B3"/>
    <w:rsid w:val="00042A58"/>
    <w:rsid w:val="00043218"/>
    <w:rsid w:val="00043B27"/>
    <w:rsid w:val="000444EB"/>
    <w:rsid w:val="00044914"/>
    <w:rsid w:val="00044BC0"/>
    <w:rsid w:val="00045175"/>
    <w:rsid w:val="0004541F"/>
    <w:rsid w:val="00047063"/>
    <w:rsid w:val="00047232"/>
    <w:rsid w:val="00047244"/>
    <w:rsid w:val="00047ECF"/>
    <w:rsid w:val="00050FD4"/>
    <w:rsid w:val="00050FFC"/>
    <w:rsid w:val="0005112B"/>
    <w:rsid w:val="00051514"/>
    <w:rsid w:val="000517B6"/>
    <w:rsid w:val="00051DC6"/>
    <w:rsid w:val="00052490"/>
    <w:rsid w:val="00052D3B"/>
    <w:rsid w:val="00053762"/>
    <w:rsid w:val="0005436A"/>
    <w:rsid w:val="00054395"/>
    <w:rsid w:val="000551B8"/>
    <w:rsid w:val="000555E0"/>
    <w:rsid w:val="0005565A"/>
    <w:rsid w:val="00055CEA"/>
    <w:rsid w:val="00056274"/>
    <w:rsid w:val="00056DA7"/>
    <w:rsid w:val="00057B93"/>
    <w:rsid w:val="00057DE7"/>
    <w:rsid w:val="00060ACE"/>
    <w:rsid w:val="00060CEE"/>
    <w:rsid w:val="000611AB"/>
    <w:rsid w:val="00061807"/>
    <w:rsid w:val="000620F8"/>
    <w:rsid w:val="000630C9"/>
    <w:rsid w:val="00065A22"/>
    <w:rsid w:val="00065A3B"/>
    <w:rsid w:val="00065F70"/>
    <w:rsid w:val="0006723D"/>
    <w:rsid w:val="00067674"/>
    <w:rsid w:val="00067DCA"/>
    <w:rsid w:val="000712AA"/>
    <w:rsid w:val="00071392"/>
    <w:rsid w:val="00071EF6"/>
    <w:rsid w:val="0007335E"/>
    <w:rsid w:val="00073CE6"/>
    <w:rsid w:val="00073FA0"/>
    <w:rsid w:val="00074522"/>
    <w:rsid w:val="00074A57"/>
    <w:rsid w:val="00074CE7"/>
    <w:rsid w:val="00075151"/>
    <w:rsid w:val="00075248"/>
    <w:rsid w:val="00075842"/>
    <w:rsid w:val="00077DD7"/>
    <w:rsid w:val="00080E90"/>
    <w:rsid w:val="00081BEF"/>
    <w:rsid w:val="00081ECC"/>
    <w:rsid w:val="00081FC0"/>
    <w:rsid w:val="00082276"/>
    <w:rsid w:val="00082D58"/>
    <w:rsid w:val="00083A38"/>
    <w:rsid w:val="00083FFB"/>
    <w:rsid w:val="00085A0C"/>
    <w:rsid w:val="00085A2D"/>
    <w:rsid w:val="000863AC"/>
    <w:rsid w:val="000868DE"/>
    <w:rsid w:val="00086B57"/>
    <w:rsid w:val="0009031C"/>
    <w:rsid w:val="000917D3"/>
    <w:rsid w:val="00091D70"/>
    <w:rsid w:val="00092599"/>
    <w:rsid w:val="00092836"/>
    <w:rsid w:val="00092891"/>
    <w:rsid w:val="00092ED5"/>
    <w:rsid w:val="00093655"/>
    <w:rsid w:val="00094314"/>
    <w:rsid w:val="00095C9D"/>
    <w:rsid w:val="00095E06"/>
    <w:rsid w:val="00096897"/>
    <w:rsid w:val="00097069"/>
    <w:rsid w:val="00097719"/>
    <w:rsid w:val="00097BE1"/>
    <w:rsid w:val="000A0BBD"/>
    <w:rsid w:val="000A0E18"/>
    <w:rsid w:val="000A140D"/>
    <w:rsid w:val="000A1CAF"/>
    <w:rsid w:val="000A1FFD"/>
    <w:rsid w:val="000A2BFD"/>
    <w:rsid w:val="000A2C7A"/>
    <w:rsid w:val="000A31DF"/>
    <w:rsid w:val="000A3E76"/>
    <w:rsid w:val="000A4188"/>
    <w:rsid w:val="000A435E"/>
    <w:rsid w:val="000A4F49"/>
    <w:rsid w:val="000A5C3C"/>
    <w:rsid w:val="000A6398"/>
    <w:rsid w:val="000A6A96"/>
    <w:rsid w:val="000B07F6"/>
    <w:rsid w:val="000B23D6"/>
    <w:rsid w:val="000B2F24"/>
    <w:rsid w:val="000B3575"/>
    <w:rsid w:val="000B3BC9"/>
    <w:rsid w:val="000B3CA3"/>
    <w:rsid w:val="000B3E3B"/>
    <w:rsid w:val="000B3F59"/>
    <w:rsid w:val="000B5FEA"/>
    <w:rsid w:val="000B630B"/>
    <w:rsid w:val="000B633D"/>
    <w:rsid w:val="000B7537"/>
    <w:rsid w:val="000B75F6"/>
    <w:rsid w:val="000B7A8E"/>
    <w:rsid w:val="000B7F17"/>
    <w:rsid w:val="000C06AA"/>
    <w:rsid w:val="000C0996"/>
    <w:rsid w:val="000C23D5"/>
    <w:rsid w:val="000C27D6"/>
    <w:rsid w:val="000C2B67"/>
    <w:rsid w:val="000C2DAB"/>
    <w:rsid w:val="000C2F84"/>
    <w:rsid w:val="000C3210"/>
    <w:rsid w:val="000C3488"/>
    <w:rsid w:val="000C3B1C"/>
    <w:rsid w:val="000C50CC"/>
    <w:rsid w:val="000C5D1B"/>
    <w:rsid w:val="000C6072"/>
    <w:rsid w:val="000C61A4"/>
    <w:rsid w:val="000C7226"/>
    <w:rsid w:val="000C759F"/>
    <w:rsid w:val="000C791F"/>
    <w:rsid w:val="000D0380"/>
    <w:rsid w:val="000D05AE"/>
    <w:rsid w:val="000D1C3B"/>
    <w:rsid w:val="000D278E"/>
    <w:rsid w:val="000D2F3B"/>
    <w:rsid w:val="000D2FD7"/>
    <w:rsid w:val="000D37DC"/>
    <w:rsid w:val="000D3B25"/>
    <w:rsid w:val="000D450E"/>
    <w:rsid w:val="000D463A"/>
    <w:rsid w:val="000D54DB"/>
    <w:rsid w:val="000D55ED"/>
    <w:rsid w:val="000D58D0"/>
    <w:rsid w:val="000D66C8"/>
    <w:rsid w:val="000D6752"/>
    <w:rsid w:val="000D78D7"/>
    <w:rsid w:val="000D7C3B"/>
    <w:rsid w:val="000D7D4A"/>
    <w:rsid w:val="000E0FFC"/>
    <w:rsid w:val="000E12B3"/>
    <w:rsid w:val="000E40ED"/>
    <w:rsid w:val="000E49EE"/>
    <w:rsid w:val="000E4D6F"/>
    <w:rsid w:val="000E60C6"/>
    <w:rsid w:val="000E6441"/>
    <w:rsid w:val="000E74F4"/>
    <w:rsid w:val="000E7A63"/>
    <w:rsid w:val="000F04B1"/>
    <w:rsid w:val="000F1494"/>
    <w:rsid w:val="000F1E2D"/>
    <w:rsid w:val="000F21E2"/>
    <w:rsid w:val="000F2C93"/>
    <w:rsid w:val="000F354C"/>
    <w:rsid w:val="000F3E38"/>
    <w:rsid w:val="000F414C"/>
    <w:rsid w:val="000F5322"/>
    <w:rsid w:val="000F5A04"/>
    <w:rsid w:val="000F5BD2"/>
    <w:rsid w:val="000F607A"/>
    <w:rsid w:val="000F6991"/>
    <w:rsid w:val="00100445"/>
    <w:rsid w:val="001004B3"/>
    <w:rsid w:val="001004C6"/>
    <w:rsid w:val="001007A5"/>
    <w:rsid w:val="00100824"/>
    <w:rsid w:val="0010184D"/>
    <w:rsid w:val="001019DD"/>
    <w:rsid w:val="00101C04"/>
    <w:rsid w:val="00101F45"/>
    <w:rsid w:val="00101FDE"/>
    <w:rsid w:val="00102B9A"/>
    <w:rsid w:val="00102D57"/>
    <w:rsid w:val="00103FD6"/>
    <w:rsid w:val="00104DFD"/>
    <w:rsid w:val="00104F30"/>
    <w:rsid w:val="001050E1"/>
    <w:rsid w:val="00105185"/>
    <w:rsid w:val="00105E7F"/>
    <w:rsid w:val="00106438"/>
    <w:rsid w:val="00106645"/>
    <w:rsid w:val="00107273"/>
    <w:rsid w:val="00110D27"/>
    <w:rsid w:val="001111B0"/>
    <w:rsid w:val="0011313E"/>
    <w:rsid w:val="0011380F"/>
    <w:rsid w:val="00113ABA"/>
    <w:rsid w:val="00113C4B"/>
    <w:rsid w:val="00113F0C"/>
    <w:rsid w:val="00114B93"/>
    <w:rsid w:val="00114BB2"/>
    <w:rsid w:val="00115B3E"/>
    <w:rsid w:val="00115BE1"/>
    <w:rsid w:val="00115C45"/>
    <w:rsid w:val="00115DBB"/>
    <w:rsid w:val="001166D2"/>
    <w:rsid w:val="0011685F"/>
    <w:rsid w:val="00116B8D"/>
    <w:rsid w:val="00117412"/>
    <w:rsid w:val="0011746F"/>
    <w:rsid w:val="0012024A"/>
    <w:rsid w:val="001212B0"/>
    <w:rsid w:val="00121420"/>
    <w:rsid w:val="001220E5"/>
    <w:rsid w:val="001224C0"/>
    <w:rsid w:val="00123202"/>
    <w:rsid w:val="00123DD9"/>
    <w:rsid w:val="00124191"/>
    <w:rsid w:val="00125B62"/>
    <w:rsid w:val="00125C27"/>
    <w:rsid w:val="001266BC"/>
    <w:rsid w:val="00126CAC"/>
    <w:rsid w:val="00127175"/>
    <w:rsid w:val="00127286"/>
    <w:rsid w:val="001273AC"/>
    <w:rsid w:val="00127E9D"/>
    <w:rsid w:val="0013252B"/>
    <w:rsid w:val="001326EB"/>
    <w:rsid w:val="00133078"/>
    <w:rsid w:val="00133773"/>
    <w:rsid w:val="00133ADC"/>
    <w:rsid w:val="00133F79"/>
    <w:rsid w:val="00134358"/>
    <w:rsid w:val="001353BC"/>
    <w:rsid w:val="00135AE3"/>
    <w:rsid w:val="00135D03"/>
    <w:rsid w:val="00135E6C"/>
    <w:rsid w:val="00135F5D"/>
    <w:rsid w:val="001360FB"/>
    <w:rsid w:val="0013682D"/>
    <w:rsid w:val="00136C0D"/>
    <w:rsid w:val="00137404"/>
    <w:rsid w:val="001375AE"/>
    <w:rsid w:val="0014051F"/>
    <w:rsid w:val="001409AE"/>
    <w:rsid w:val="00140BB1"/>
    <w:rsid w:val="00140BDD"/>
    <w:rsid w:val="0014142C"/>
    <w:rsid w:val="00141DE9"/>
    <w:rsid w:val="001422CA"/>
    <w:rsid w:val="00143874"/>
    <w:rsid w:val="00143FEA"/>
    <w:rsid w:val="00144A21"/>
    <w:rsid w:val="00144B98"/>
    <w:rsid w:val="0014511C"/>
    <w:rsid w:val="001453C5"/>
    <w:rsid w:val="0014540A"/>
    <w:rsid w:val="00145856"/>
    <w:rsid w:val="0014589C"/>
    <w:rsid w:val="00145CAE"/>
    <w:rsid w:val="00145D5A"/>
    <w:rsid w:val="001467F6"/>
    <w:rsid w:val="0014685E"/>
    <w:rsid w:val="0014703E"/>
    <w:rsid w:val="001507CD"/>
    <w:rsid w:val="001508ED"/>
    <w:rsid w:val="0015113E"/>
    <w:rsid w:val="00151185"/>
    <w:rsid w:val="00151604"/>
    <w:rsid w:val="001526B1"/>
    <w:rsid w:val="00152961"/>
    <w:rsid w:val="0015326B"/>
    <w:rsid w:val="00153685"/>
    <w:rsid w:val="00153C6F"/>
    <w:rsid w:val="00156027"/>
    <w:rsid w:val="0015676F"/>
    <w:rsid w:val="001567B1"/>
    <w:rsid w:val="001569CF"/>
    <w:rsid w:val="00156AF5"/>
    <w:rsid w:val="00156EB7"/>
    <w:rsid w:val="0016005D"/>
    <w:rsid w:val="00160822"/>
    <w:rsid w:val="00163093"/>
    <w:rsid w:val="001642BA"/>
    <w:rsid w:val="00165336"/>
    <w:rsid w:val="00165C80"/>
    <w:rsid w:val="0016604D"/>
    <w:rsid w:val="001662AC"/>
    <w:rsid w:val="00166472"/>
    <w:rsid w:val="00166671"/>
    <w:rsid w:val="00166D07"/>
    <w:rsid w:val="0016746D"/>
    <w:rsid w:val="0016799B"/>
    <w:rsid w:val="00167EF6"/>
    <w:rsid w:val="001705BE"/>
    <w:rsid w:val="001708C0"/>
    <w:rsid w:val="00170DA6"/>
    <w:rsid w:val="001711F3"/>
    <w:rsid w:val="00173199"/>
    <w:rsid w:val="00173319"/>
    <w:rsid w:val="00173A6F"/>
    <w:rsid w:val="00174802"/>
    <w:rsid w:val="00174976"/>
    <w:rsid w:val="00174BCF"/>
    <w:rsid w:val="00174C67"/>
    <w:rsid w:val="00175DDD"/>
    <w:rsid w:val="00175EE4"/>
    <w:rsid w:val="0017627A"/>
    <w:rsid w:val="001768C2"/>
    <w:rsid w:val="00177E16"/>
    <w:rsid w:val="00180079"/>
    <w:rsid w:val="00180104"/>
    <w:rsid w:val="00183E52"/>
    <w:rsid w:val="00183FFA"/>
    <w:rsid w:val="00184035"/>
    <w:rsid w:val="00185688"/>
    <w:rsid w:val="0018587B"/>
    <w:rsid w:val="00185E81"/>
    <w:rsid w:val="0018632C"/>
    <w:rsid w:val="00186555"/>
    <w:rsid w:val="0018694F"/>
    <w:rsid w:val="001872E9"/>
    <w:rsid w:val="001909BE"/>
    <w:rsid w:val="00190D42"/>
    <w:rsid w:val="0019176B"/>
    <w:rsid w:val="00192573"/>
    <w:rsid w:val="00192732"/>
    <w:rsid w:val="00192A5F"/>
    <w:rsid w:val="001934CA"/>
    <w:rsid w:val="00193AB4"/>
    <w:rsid w:val="00194C68"/>
    <w:rsid w:val="00194D8C"/>
    <w:rsid w:val="00194F2E"/>
    <w:rsid w:val="00195028"/>
    <w:rsid w:val="00195B43"/>
    <w:rsid w:val="001964FC"/>
    <w:rsid w:val="001966B8"/>
    <w:rsid w:val="00196CD2"/>
    <w:rsid w:val="001970FE"/>
    <w:rsid w:val="00197AC5"/>
    <w:rsid w:val="00197D4D"/>
    <w:rsid w:val="00197ECE"/>
    <w:rsid w:val="001A009E"/>
    <w:rsid w:val="001A00A8"/>
    <w:rsid w:val="001A030D"/>
    <w:rsid w:val="001A0E44"/>
    <w:rsid w:val="001A0E90"/>
    <w:rsid w:val="001A0FE9"/>
    <w:rsid w:val="001A1814"/>
    <w:rsid w:val="001A1981"/>
    <w:rsid w:val="001A1C3C"/>
    <w:rsid w:val="001A1CE9"/>
    <w:rsid w:val="001A2329"/>
    <w:rsid w:val="001A2E73"/>
    <w:rsid w:val="001A3BBD"/>
    <w:rsid w:val="001A5215"/>
    <w:rsid w:val="001A5757"/>
    <w:rsid w:val="001A58B1"/>
    <w:rsid w:val="001A6803"/>
    <w:rsid w:val="001A7709"/>
    <w:rsid w:val="001B0268"/>
    <w:rsid w:val="001B0509"/>
    <w:rsid w:val="001B1125"/>
    <w:rsid w:val="001B15C0"/>
    <w:rsid w:val="001B168E"/>
    <w:rsid w:val="001B2197"/>
    <w:rsid w:val="001B2531"/>
    <w:rsid w:val="001B25AA"/>
    <w:rsid w:val="001B274F"/>
    <w:rsid w:val="001B4674"/>
    <w:rsid w:val="001B4C2B"/>
    <w:rsid w:val="001B4C4C"/>
    <w:rsid w:val="001B5C83"/>
    <w:rsid w:val="001B5E60"/>
    <w:rsid w:val="001B6D5F"/>
    <w:rsid w:val="001C12F9"/>
    <w:rsid w:val="001C29F3"/>
    <w:rsid w:val="001C353B"/>
    <w:rsid w:val="001C3549"/>
    <w:rsid w:val="001C36FE"/>
    <w:rsid w:val="001C48B6"/>
    <w:rsid w:val="001C50EC"/>
    <w:rsid w:val="001C5739"/>
    <w:rsid w:val="001C5926"/>
    <w:rsid w:val="001C69C9"/>
    <w:rsid w:val="001C6A32"/>
    <w:rsid w:val="001C79EA"/>
    <w:rsid w:val="001C7A5C"/>
    <w:rsid w:val="001C7A6C"/>
    <w:rsid w:val="001C7E82"/>
    <w:rsid w:val="001C7ECF"/>
    <w:rsid w:val="001D07A1"/>
    <w:rsid w:val="001D3287"/>
    <w:rsid w:val="001D3880"/>
    <w:rsid w:val="001D3A3E"/>
    <w:rsid w:val="001D3BBC"/>
    <w:rsid w:val="001D3CBE"/>
    <w:rsid w:val="001D43AB"/>
    <w:rsid w:val="001D4B8C"/>
    <w:rsid w:val="001D51DE"/>
    <w:rsid w:val="001D652C"/>
    <w:rsid w:val="001D66C8"/>
    <w:rsid w:val="001D697F"/>
    <w:rsid w:val="001D770B"/>
    <w:rsid w:val="001E006E"/>
    <w:rsid w:val="001E0756"/>
    <w:rsid w:val="001E09DE"/>
    <w:rsid w:val="001E1A43"/>
    <w:rsid w:val="001E23C3"/>
    <w:rsid w:val="001E259E"/>
    <w:rsid w:val="001E2E90"/>
    <w:rsid w:val="001E3BA1"/>
    <w:rsid w:val="001E41FE"/>
    <w:rsid w:val="001E49FD"/>
    <w:rsid w:val="001E5547"/>
    <w:rsid w:val="001E5730"/>
    <w:rsid w:val="001E5CCA"/>
    <w:rsid w:val="001E66AF"/>
    <w:rsid w:val="001E781B"/>
    <w:rsid w:val="001E79A3"/>
    <w:rsid w:val="001E7F95"/>
    <w:rsid w:val="001F0100"/>
    <w:rsid w:val="001F073F"/>
    <w:rsid w:val="001F0AC9"/>
    <w:rsid w:val="001F196D"/>
    <w:rsid w:val="001F1C65"/>
    <w:rsid w:val="001F1DF2"/>
    <w:rsid w:val="001F1F16"/>
    <w:rsid w:val="001F229B"/>
    <w:rsid w:val="001F3977"/>
    <w:rsid w:val="001F3ACB"/>
    <w:rsid w:val="001F4378"/>
    <w:rsid w:val="001F5320"/>
    <w:rsid w:val="001F5E54"/>
    <w:rsid w:val="001F61C6"/>
    <w:rsid w:val="001F6264"/>
    <w:rsid w:val="001F6D0F"/>
    <w:rsid w:val="001F6F9A"/>
    <w:rsid w:val="00200452"/>
    <w:rsid w:val="00201307"/>
    <w:rsid w:val="002020AE"/>
    <w:rsid w:val="002021ED"/>
    <w:rsid w:val="0020275B"/>
    <w:rsid w:val="002039C6"/>
    <w:rsid w:val="002039C9"/>
    <w:rsid w:val="002041C4"/>
    <w:rsid w:val="00204775"/>
    <w:rsid w:val="00204812"/>
    <w:rsid w:val="00204ADB"/>
    <w:rsid w:val="002052DF"/>
    <w:rsid w:val="00205412"/>
    <w:rsid w:val="00205CC9"/>
    <w:rsid w:val="00205D15"/>
    <w:rsid w:val="0020652F"/>
    <w:rsid w:val="002069D4"/>
    <w:rsid w:val="00206D58"/>
    <w:rsid w:val="00207105"/>
    <w:rsid w:val="00207542"/>
    <w:rsid w:val="00207B8A"/>
    <w:rsid w:val="00210CA8"/>
    <w:rsid w:val="002112D4"/>
    <w:rsid w:val="002112D9"/>
    <w:rsid w:val="002113A1"/>
    <w:rsid w:val="002115C8"/>
    <w:rsid w:val="00211C9A"/>
    <w:rsid w:val="00211D1D"/>
    <w:rsid w:val="00211F83"/>
    <w:rsid w:val="0021227D"/>
    <w:rsid w:val="00212619"/>
    <w:rsid w:val="002126F3"/>
    <w:rsid w:val="00212A73"/>
    <w:rsid w:val="00212B70"/>
    <w:rsid w:val="00214345"/>
    <w:rsid w:val="0021479F"/>
    <w:rsid w:val="00214C26"/>
    <w:rsid w:val="00215278"/>
    <w:rsid w:val="002157D1"/>
    <w:rsid w:val="00215D96"/>
    <w:rsid w:val="00216199"/>
    <w:rsid w:val="0021682E"/>
    <w:rsid w:val="002169DD"/>
    <w:rsid w:val="00216AD3"/>
    <w:rsid w:val="00216C1D"/>
    <w:rsid w:val="00217F8C"/>
    <w:rsid w:val="002201AD"/>
    <w:rsid w:val="002202AC"/>
    <w:rsid w:val="00220E6F"/>
    <w:rsid w:val="00221FC0"/>
    <w:rsid w:val="0022264F"/>
    <w:rsid w:val="00222728"/>
    <w:rsid w:val="002229AC"/>
    <w:rsid w:val="00222A00"/>
    <w:rsid w:val="00223B96"/>
    <w:rsid w:val="00224609"/>
    <w:rsid w:val="002246D3"/>
    <w:rsid w:val="0022478E"/>
    <w:rsid w:val="00224A4C"/>
    <w:rsid w:val="00224C83"/>
    <w:rsid w:val="00224F87"/>
    <w:rsid w:val="00225FC4"/>
    <w:rsid w:val="00226ADD"/>
    <w:rsid w:val="002271FF"/>
    <w:rsid w:val="002275B6"/>
    <w:rsid w:val="00231167"/>
    <w:rsid w:val="00231261"/>
    <w:rsid w:val="002318DB"/>
    <w:rsid w:val="00232454"/>
    <w:rsid w:val="0023334F"/>
    <w:rsid w:val="00233F2D"/>
    <w:rsid w:val="002341FB"/>
    <w:rsid w:val="002345CA"/>
    <w:rsid w:val="00234638"/>
    <w:rsid w:val="0023468F"/>
    <w:rsid w:val="002346AF"/>
    <w:rsid w:val="00235E83"/>
    <w:rsid w:val="00236063"/>
    <w:rsid w:val="002362BC"/>
    <w:rsid w:val="00236742"/>
    <w:rsid w:val="00236B95"/>
    <w:rsid w:val="00237897"/>
    <w:rsid w:val="00237BC6"/>
    <w:rsid w:val="0024064E"/>
    <w:rsid w:val="0024151D"/>
    <w:rsid w:val="0024247F"/>
    <w:rsid w:val="00242629"/>
    <w:rsid w:val="00242748"/>
    <w:rsid w:val="00242ABE"/>
    <w:rsid w:val="002437C3"/>
    <w:rsid w:val="002439DB"/>
    <w:rsid w:val="002445ED"/>
    <w:rsid w:val="00244E7E"/>
    <w:rsid w:val="00244EDC"/>
    <w:rsid w:val="0024523E"/>
    <w:rsid w:val="002456C0"/>
    <w:rsid w:val="00245868"/>
    <w:rsid w:val="002459A0"/>
    <w:rsid w:val="00246805"/>
    <w:rsid w:val="0024686D"/>
    <w:rsid w:val="00247745"/>
    <w:rsid w:val="00247BA6"/>
    <w:rsid w:val="00250434"/>
    <w:rsid w:val="00250501"/>
    <w:rsid w:val="0025069F"/>
    <w:rsid w:val="0025101F"/>
    <w:rsid w:val="00251DE4"/>
    <w:rsid w:val="00252390"/>
    <w:rsid w:val="00252601"/>
    <w:rsid w:val="00253450"/>
    <w:rsid w:val="002544AD"/>
    <w:rsid w:val="0025481C"/>
    <w:rsid w:val="002552C5"/>
    <w:rsid w:val="0025558E"/>
    <w:rsid w:val="002556CA"/>
    <w:rsid w:val="00255899"/>
    <w:rsid w:val="00255CF8"/>
    <w:rsid w:val="002572CA"/>
    <w:rsid w:val="0025758C"/>
    <w:rsid w:val="00260F73"/>
    <w:rsid w:val="00261704"/>
    <w:rsid w:val="00261B74"/>
    <w:rsid w:val="00261B9D"/>
    <w:rsid w:val="002625C2"/>
    <w:rsid w:val="002637BC"/>
    <w:rsid w:val="00263D39"/>
    <w:rsid w:val="00263DDF"/>
    <w:rsid w:val="00264115"/>
    <w:rsid w:val="0026441F"/>
    <w:rsid w:val="00264530"/>
    <w:rsid w:val="00264545"/>
    <w:rsid w:val="00264E8A"/>
    <w:rsid w:val="0026652F"/>
    <w:rsid w:val="002667CF"/>
    <w:rsid w:val="00266B96"/>
    <w:rsid w:val="00266C45"/>
    <w:rsid w:val="00267487"/>
    <w:rsid w:val="00267CCF"/>
    <w:rsid w:val="00267CDA"/>
    <w:rsid w:val="0027014C"/>
    <w:rsid w:val="00270611"/>
    <w:rsid w:val="002711DA"/>
    <w:rsid w:val="00271799"/>
    <w:rsid w:val="0027197D"/>
    <w:rsid w:val="00271A14"/>
    <w:rsid w:val="00271CA8"/>
    <w:rsid w:val="00272FA9"/>
    <w:rsid w:val="00273987"/>
    <w:rsid w:val="00274115"/>
    <w:rsid w:val="00274419"/>
    <w:rsid w:val="00275683"/>
    <w:rsid w:val="0028040D"/>
    <w:rsid w:val="00280B79"/>
    <w:rsid w:val="0028160A"/>
    <w:rsid w:val="00281F11"/>
    <w:rsid w:val="002828C5"/>
    <w:rsid w:val="00283604"/>
    <w:rsid w:val="0028363E"/>
    <w:rsid w:val="00284092"/>
    <w:rsid w:val="002849DA"/>
    <w:rsid w:val="00284F57"/>
    <w:rsid w:val="0028588C"/>
    <w:rsid w:val="00285CAE"/>
    <w:rsid w:val="002861D1"/>
    <w:rsid w:val="0028640E"/>
    <w:rsid w:val="00286444"/>
    <w:rsid w:val="00286FA9"/>
    <w:rsid w:val="00287C6F"/>
    <w:rsid w:val="00287E39"/>
    <w:rsid w:val="00290DC5"/>
    <w:rsid w:val="00290F75"/>
    <w:rsid w:val="002916E7"/>
    <w:rsid w:val="00291942"/>
    <w:rsid w:val="00293DE7"/>
    <w:rsid w:val="00294E59"/>
    <w:rsid w:val="00295543"/>
    <w:rsid w:val="00295834"/>
    <w:rsid w:val="002959FE"/>
    <w:rsid w:val="00296B52"/>
    <w:rsid w:val="00296F53"/>
    <w:rsid w:val="00297D06"/>
    <w:rsid w:val="002A0476"/>
    <w:rsid w:val="002A1C79"/>
    <w:rsid w:val="002A1DE4"/>
    <w:rsid w:val="002A25D0"/>
    <w:rsid w:val="002A39F2"/>
    <w:rsid w:val="002A3BF2"/>
    <w:rsid w:val="002A486D"/>
    <w:rsid w:val="002A4B98"/>
    <w:rsid w:val="002A53E9"/>
    <w:rsid w:val="002A6072"/>
    <w:rsid w:val="002A6606"/>
    <w:rsid w:val="002A6765"/>
    <w:rsid w:val="002A6BD9"/>
    <w:rsid w:val="002A6C65"/>
    <w:rsid w:val="002A6CF3"/>
    <w:rsid w:val="002A706C"/>
    <w:rsid w:val="002B02DE"/>
    <w:rsid w:val="002B0334"/>
    <w:rsid w:val="002B08C4"/>
    <w:rsid w:val="002B08D7"/>
    <w:rsid w:val="002B0F2C"/>
    <w:rsid w:val="002B293D"/>
    <w:rsid w:val="002B3CC0"/>
    <w:rsid w:val="002B496A"/>
    <w:rsid w:val="002B4A9E"/>
    <w:rsid w:val="002B608D"/>
    <w:rsid w:val="002B64CF"/>
    <w:rsid w:val="002B6890"/>
    <w:rsid w:val="002B69FB"/>
    <w:rsid w:val="002B6A76"/>
    <w:rsid w:val="002B6B70"/>
    <w:rsid w:val="002B6FA1"/>
    <w:rsid w:val="002B73A3"/>
    <w:rsid w:val="002B748D"/>
    <w:rsid w:val="002B7F3A"/>
    <w:rsid w:val="002C01AE"/>
    <w:rsid w:val="002C0370"/>
    <w:rsid w:val="002C3940"/>
    <w:rsid w:val="002C41F4"/>
    <w:rsid w:val="002C4D35"/>
    <w:rsid w:val="002C5EE3"/>
    <w:rsid w:val="002C6306"/>
    <w:rsid w:val="002C7295"/>
    <w:rsid w:val="002C751D"/>
    <w:rsid w:val="002C7655"/>
    <w:rsid w:val="002D065A"/>
    <w:rsid w:val="002D08E1"/>
    <w:rsid w:val="002D124C"/>
    <w:rsid w:val="002D18E9"/>
    <w:rsid w:val="002D1A95"/>
    <w:rsid w:val="002D23CA"/>
    <w:rsid w:val="002D2710"/>
    <w:rsid w:val="002D2B2F"/>
    <w:rsid w:val="002D2FA4"/>
    <w:rsid w:val="002D36C5"/>
    <w:rsid w:val="002D4694"/>
    <w:rsid w:val="002D4767"/>
    <w:rsid w:val="002D4D9B"/>
    <w:rsid w:val="002D5EEE"/>
    <w:rsid w:val="002D71C5"/>
    <w:rsid w:val="002D78BD"/>
    <w:rsid w:val="002D7A60"/>
    <w:rsid w:val="002D7A8C"/>
    <w:rsid w:val="002E0A2C"/>
    <w:rsid w:val="002E1B38"/>
    <w:rsid w:val="002E22B9"/>
    <w:rsid w:val="002E270C"/>
    <w:rsid w:val="002E3B18"/>
    <w:rsid w:val="002E429D"/>
    <w:rsid w:val="002E5010"/>
    <w:rsid w:val="002E53D4"/>
    <w:rsid w:val="002E59D5"/>
    <w:rsid w:val="002E6311"/>
    <w:rsid w:val="002E64B1"/>
    <w:rsid w:val="002E6B03"/>
    <w:rsid w:val="002E6EE1"/>
    <w:rsid w:val="002E7A17"/>
    <w:rsid w:val="002E7EF1"/>
    <w:rsid w:val="002F0CC5"/>
    <w:rsid w:val="002F1043"/>
    <w:rsid w:val="002F1137"/>
    <w:rsid w:val="002F12DF"/>
    <w:rsid w:val="002F15B8"/>
    <w:rsid w:val="002F1C47"/>
    <w:rsid w:val="002F1CCE"/>
    <w:rsid w:val="002F1DA6"/>
    <w:rsid w:val="002F24F5"/>
    <w:rsid w:val="002F2701"/>
    <w:rsid w:val="002F2BD4"/>
    <w:rsid w:val="002F2E6E"/>
    <w:rsid w:val="002F381F"/>
    <w:rsid w:val="002F3D71"/>
    <w:rsid w:val="002F3DFB"/>
    <w:rsid w:val="002F3E70"/>
    <w:rsid w:val="002F409D"/>
    <w:rsid w:val="002F51C4"/>
    <w:rsid w:val="002F60D4"/>
    <w:rsid w:val="002F62C2"/>
    <w:rsid w:val="002F65F4"/>
    <w:rsid w:val="002F7160"/>
    <w:rsid w:val="002F7224"/>
    <w:rsid w:val="002F72BE"/>
    <w:rsid w:val="002F7574"/>
    <w:rsid w:val="002F7D0C"/>
    <w:rsid w:val="002F7E61"/>
    <w:rsid w:val="003003A7"/>
    <w:rsid w:val="003009A1"/>
    <w:rsid w:val="0030166D"/>
    <w:rsid w:val="0030184C"/>
    <w:rsid w:val="0030193B"/>
    <w:rsid w:val="00301C95"/>
    <w:rsid w:val="00301D72"/>
    <w:rsid w:val="00302AD9"/>
    <w:rsid w:val="0030354B"/>
    <w:rsid w:val="0030378D"/>
    <w:rsid w:val="00304653"/>
    <w:rsid w:val="00304863"/>
    <w:rsid w:val="0030566E"/>
    <w:rsid w:val="00305998"/>
    <w:rsid w:val="00305DBD"/>
    <w:rsid w:val="00305F84"/>
    <w:rsid w:val="00305FA6"/>
    <w:rsid w:val="003063FC"/>
    <w:rsid w:val="00306514"/>
    <w:rsid w:val="00306633"/>
    <w:rsid w:val="00306A08"/>
    <w:rsid w:val="00310261"/>
    <w:rsid w:val="00310280"/>
    <w:rsid w:val="0031054B"/>
    <w:rsid w:val="003110E2"/>
    <w:rsid w:val="00311105"/>
    <w:rsid w:val="00311A37"/>
    <w:rsid w:val="0031233D"/>
    <w:rsid w:val="00312943"/>
    <w:rsid w:val="00312CCE"/>
    <w:rsid w:val="00314163"/>
    <w:rsid w:val="00315B09"/>
    <w:rsid w:val="00315DDE"/>
    <w:rsid w:val="0031608D"/>
    <w:rsid w:val="00316336"/>
    <w:rsid w:val="00316625"/>
    <w:rsid w:val="00316FA1"/>
    <w:rsid w:val="00320160"/>
    <w:rsid w:val="00320519"/>
    <w:rsid w:val="00320DEA"/>
    <w:rsid w:val="00321460"/>
    <w:rsid w:val="00321867"/>
    <w:rsid w:val="00321A47"/>
    <w:rsid w:val="00321C99"/>
    <w:rsid w:val="00321E16"/>
    <w:rsid w:val="003227B0"/>
    <w:rsid w:val="00323BE9"/>
    <w:rsid w:val="003246FB"/>
    <w:rsid w:val="00325B1B"/>
    <w:rsid w:val="00326275"/>
    <w:rsid w:val="003276A8"/>
    <w:rsid w:val="00327BAD"/>
    <w:rsid w:val="003308C1"/>
    <w:rsid w:val="00331D68"/>
    <w:rsid w:val="003324A9"/>
    <w:rsid w:val="0033428B"/>
    <w:rsid w:val="00334B4E"/>
    <w:rsid w:val="0033550A"/>
    <w:rsid w:val="0033688A"/>
    <w:rsid w:val="00336F6E"/>
    <w:rsid w:val="00337735"/>
    <w:rsid w:val="00337860"/>
    <w:rsid w:val="00340572"/>
    <w:rsid w:val="00340628"/>
    <w:rsid w:val="00340B21"/>
    <w:rsid w:val="00340B27"/>
    <w:rsid w:val="0034136A"/>
    <w:rsid w:val="003416DA"/>
    <w:rsid w:val="003420E3"/>
    <w:rsid w:val="00342918"/>
    <w:rsid w:val="003433F9"/>
    <w:rsid w:val="00343426"/>
    <w:rsid w:val="00343C6A"/>
    <w:rsid w:val="00344285"/>
    <w:rsid w:val="003442D4"/>
    <w:rsid w:val="0034550A"/>
    <w:rsid w:val="003456A7"/>
    <w:rsid w:val="00345B07"/>
    <w:rsid w:val="00346069"/>
    <w:rsid w:val="00346579"/>
    <w:rsid w:val="00347AC9"/>
    <w:rsid w:val="00347AE0"/>
    <w:rsid w:val="0035007B"/>
    <w:rsid w:val="0035022D"/>
    <w:rsid w:val="003503D4"/>
    <w:rsid w:val="00350711"/>
    <w:rsid w:val="00351D76"/>
    <w:rsid w:val="00352E2E"/>
    <w:rsid w:val="00353689"/>
    <w:rsid w:val="003546B4"/>
    <w:rsid w:val="00354BD8"/>
    <w:rsid w:val="0035504A"/>
    <w:rsid w:val="00355C40"/>
    <w:rsid w:val="00356689"/>
    <w:rsid w:val="003602A9"/>
    <w:rsid w:val="003605BD"/>
    <w:rsid w:val="00360804"/>
    <w:rsid w:val="00360BF8"/>
    <w:rsid w:val="003611F9"/>
    <w:rsid w:val="00361A0A"/>
    <w:rsid w:val="003623A4"/>
    <w:rsid w:val="00362950"/>
    <w:rsid w:val="0036312D"/>
    <w:rsid w:val="00363AB9"/>
    <w:rsid w:val="003653D5"/>
    <w:rsid w:val="003656EB"/>
    <w:rsid w:val="0036577C"/>
    <w:rsid w:val="00365C64"/>
    <w:rsid w:val="00365E48"/>
    <w:rsid w:val="003702A3"/>
    <w:rsid w:val="00371036"/>
    <w:rsid w:val="0037173B"/>
    <w:rsid w:val="00371795"/>
    <w:rsid w:val="00372149"/>
    <w:rsid w:val="00372DB4"/>
    <w:rsid w:val="00372E9A"/>
    <w:rsid w:val="00373364"/>
    <w:rsid w:val="003733F6"/>
    <w:rsid w:val="003736A8"/>
    <w:rsid w:val="00373804"/>
    <w:rsid w:val="00373824"/>
    <w:rsid w:val="003739AB"/>
    <w:rsid w:val="00373E10"/>
    <w:rsid w:val="003749E3"/>
    <w:rsid w:val="003756B6"/>
    <w:rsid w:val="00376247"/>
    <w:rsid w:val="00376A03"/>
    <w:rsid w:val="003774EB"/>
    <w:rsid w:val="00377E4F"/>
    <w:rsid w:val="00377F1C"/>
    <w:rsid w:val="00380F07"/>
    <w:rsid w:val="0038110C"/>
    <w:rsid w:val="00381324"/>
    <w:rsid w:val="00381A54"/>
    <w:rsid w:val="00381EAA"/>
    <w:rsid w:val="0038229E"/>
    <w:rsid w:val="00382850"/>
    <w:rsid w:val="00382D13"/>
    <w:rsid w:val="00384EBA"/>
    <w:rsid w:val="0038599D"/>
    <w:rsid w:val="00385FCB"/>
    <w:rsid w:val="00386090"/>
    <w:rsid w:val="00386698"/>
    <w:rsid w:val="003868E9"/>
    <w:rsid w:val="00386ADB"/>
    <w:rsid w:val="00387128"/>
    <w:rsid w:val="00387503"/>
    <w:rsid w:val="003875CF"/>
    <w:rsid w:val="00387DE4"/>
    <w:rsid w:val="003901A0"/>
    <w:rsid w:val="003905A9"/>
    <w:rsid w:val="003920B2"/>
    <w:rsid w:val="00392C2F"/>
    <w:rsid w:val="00393025"/>
    <w:rsid w:val="003935DE"/>
    <w:rsid w:val="003937FF"/>
    <w:rsid w:val="00393B72"/>
    <w:rsid w:val="00393E8B"/>
    <w:rsid w:val="00393EAA"/>
    <w:rsid w:val="00395C31"/>
    <w:rsid w:val="00395D20"/>
    <w:rsid w:val="003966B7"/>
    <w:rsid w:val="003966EC"/>
    <w:rsid w:val="003967EC"/>
    <w:rsid w:val="00396882"/>
    <w:rsid w:val="003A133B"/>
    <w:rsid w:val="003A2619"/>
    <w:rsid w:val="003A2A68"/>
    <w:rsid w:val="003A2CE6"/>
    <w:rsid w:val="003A315F"/>
    <w:rsid w:val="003A345D"/>
    <w:rsid w:val="003A3C9E"/>
    <w:rsid w:val="003A4922"/>
    <w:rsid w:val="003A4F43"/>
    <w:rsid w:val="003A625C"/>
    <w:rsid w:val="003A6595"/>
    <w:rsid w:val="003A672F"/>
    <w:rsid w:val="003A7CE3"/>
    <w:rsid w:val="003B0589"/>
    <w:rsid w:val="003B0D9A"/>
    <w:rsid w:val="003B1B2B"/>
    <w:rsid w:val="003B1E5D"/>
    <w:rsid w:val="003B2A60"/>
    <w:rsid w:val="003B3BDA"/>
    <w:rsid w:val="003B461C"/>
    <w:rsid w:val="003B4794"/>
    <w:rsid w:val="003B4835"/>
    <w:rsid w:val="003B517A"/>
    <w:rsid w:val="003B5C5E"/>
    <w:rsid w:val="003B5CE0"/>
    <w:rsid w:val="003B7C91"/>
    <w:rsid w:val="003B7E23"/>
    <w:rsid w:val="003B7EF2"/>
    <w:rsid w:val="003C104F"/>
    <w:rsid w:val="003C1509"/>
    <w:rsid w:val="003C18B6"/>
    <w:rsid w:val="003C1AFD"/>
    <w:rsid w:val="003C1DF7"/>
    <w:rsid w:val="003C2A9D"/>
    <w:rsid w:val="003C2FC5"/>
    <w:rsid w:val="003C4F35"/>
    <w:rsid w:val="003C52E7"/>
    <w:rsid w:val="003C5AF7"/>
    <w:rsid w:val="003C67E6"/>
    <w:rsid w:val="003C6EC6"/>
    <w:rsid w:val="003C7165"/>
    <w:rsid w:val="003C7B26"/>
    <w:rsid w:val="003C7E25"/>
    <w:rsid w:val="003D02CA"/>
    <w:rsid w:val="003D1749"/>
    <w:rsid w:val="003D1A21"/>
    <w:rsid w:val="003D1B7F"/>
    <w:rsid w:val="003D2F4E"/>
    <w:rsid w:val="003D3D20"/>
    <w:rsid w:val="003D4D7E"/>
    <w:rsid w:val="003D6129"/>
    <w:rsid w:val="003D668D"/>
    <w:rsid w:val="003D6CFC"/>
    <w:rsid w:val="003D752A"/>
    <w:rsid w:val="003D773C"/>
    <w:rsid w:val="003D7CB1"/>
    <w:rsid w:val="003E0B45"/>
    <w:rsid w:val="003E0BE0"/>
    <w:rsid w:val="003E0C2F"/>
    <w:rsid w:val="003E0E6C"/>
    <w:rsid w:val="003E0EFB"/>
    <w:rsid w:val="003E126D"/>
    <w:rsid w:val="003E1B72"/>
    <w:rsid w:val="003E2CB5"/>
    <w:rsid w:val="003E2D42"/>
    <w:rsid w:val="003E2FD6"/>
    <w:rsid w:val="003E3079"/>
    <w:rsid w:val="003E3300"/>
    <w:rsid w:val="003E4827"/>
    <w:rsid w:val="003E4EF6"/>
    <w:rsid w:val="003E5452"/>
    <w:rsid w:val="003E591D"/>
    <w:rsid w:val="003E5A09"/>
    <w:rsid w:val="003E5C78"/>
    <w:rsid w:val="003E73DD"/>
    <w:rsid w:val="003E7DA5"/>
    <w:rsid w:val="003F1172"/>
    <w:rsid w:val="003F12B9"/>
    <w:rsid w:val="003F1632"/>
    <w:rsid w:val="003F17DF"/>
    <w:rsid w:val="003F1A3D"/>
    <w:rsid w:val="003F2140"/>
    <w:rsid w:val="003F31A6"/>
    <w:rsid w:val="003F32F2"/>
    <w:rsid w:val="003F44BB"/>
    <w:rsid w:val="003F463B"/>
    <w:rsid w:val="003F4993"/>
    <w:rsid w:val="003F4CB8"/>
    <w:rsid w:val="003F6223"/>
    <w:rsid w:val="003F6FAF"/>
    <w:rsid w:val="003F72BC"/>
    <w:rsid w:val="003F72F4"/>
    <w:rsid w:val="003F754D"/>
    <w:rsid w:val="003F77D3"/>
    <w:rsid w:val="003F7D02"/>
    <w:rsid w:val="004014FF"/>
    <w:rsid w:val="0040168E"/>
    <w:rsid w:val="00401CA1"/>
    <w:rsid w:val="004024D5"/>
    <w:rsid w:val="0040251F"/>
    <w:rsid w:val="00402DF4"/>
    <w:rsid w:val="00403029"/>
    <w:rsid w:val="00403ECE"/>
    <w:rsid w:val="00403F53"/>
    <w:rsid w:val="00404702"/>
    <w:rsid w:val="00404E58"/>
    <w:rsid w:val="0040527E"/>
    <w:rsid w:val="00405480"/>
    <w:rsid w:val="004058C8"/>
    <w:rsid w:val="00405E18"/>
    <w:rsid w:val="0040667A"/>
    <w:rsid w:val="0040673D"/>
    <w:rsid w:val="0040737C"/>
    <w:rsid w:val="0040786C"/>
    <w:rsid w:val="00411E0D"/>
    <w:rsid w:val="004121E3"/>
    <w:rsid w:val="00412215"/>
    <w:rsid w:val="004124F2"/>
    <w:rsid w:val="004129AC"/>
    <w:rsid w:val="00412F67"/>
    <w:rsid w:val="00413548"/>
    <w:rsid w:val="004144E1"/>
    <w:rsid w:val="00415D04"/>
    <w:rsid w:val="00416982"/>
    <w:rsid w:val="0041705B"/>
    <w:rsid w:val="00417635"/>
    <w:rsid w:val="00420150"/>
    <w:rsid w:val="00420A3B"/>
    <w:rsid w:val="00421638"/>
    <w:rsid w:val="004218EA"/>
    <w:rsid w:val="00422C4F"/>
    <w:rsid w:val="00422CC6"/>
    <w:rsid w:val="0042437D"/>
    <w:rsid w:val="004243B7"/>
    <w:rsid w:val="00424704"/>
    <w:rsid w:val="00424A7A"/>
    <w:rsid w:val="00424D70"/>
    <w:rsid w:val="0042501C"/>
    <w:rsid w:val="00425222"/>
    <w:rsid w:val="004252D6"/>
    <w:rsid w:val="0042691B"/>
    <w:rsid w:val="00427834"/>
    <w:rsid w:val="00430106"/>
    <w:rsid w:val="00430E4E"/>
    <w:rsid w:val="00431034"/>
    <w:rsid w:val="00432384"/>
    <w:rsid w:val="004325C0"/>
    <w:rsid w:val="0043444D"/>
    <w:rsid w:val="00434C4F"/>
    <w:rsid w:val="0043554B"/>
    <w:rsid w:val="00435765"/>
    <w:rsid w:val="00435A6F"/>
    <w:rsid w:val="00435E70"/>
    <w:rsid w:val="004360B0"/>
    <w:rsid w:val="00436D27"/>
    <w:rsid w:val="004370E4"/>
    <w:rsid w:val="004372C2"/>
    <w:rsid w:val="004406F3"/>
    <w:rsid w:val="00441AFB"/>
    <w:rsid w:val="0044206A"/>
    <w:rsid w:val="00442E14"/>
    <w:rsid w:val="00443823"/>
    <w:rsid w:val="00443BDE"/>
    <w:rsid w:val="00443D59"/>
    <w:rsid w:val="004458E7"/>
    <w:rsid w:val="004461FA"/>
    <w:rsid w:val="00446F39"/>
    <w:rsid w:val="00447105"/>
    <w:rsid w:val="00447257"/>
    <w:rsid w:val="00447E74"/>
    <w:rsid w:val="00447F70"/>
    <w:rsid w:val="004502A2"/>
    <w:rsid w:val="00450812"/>
    <w:rsid w:val="004517B7"/>
    <w:rsid w:val="00451A31"/>
    <w:rsid w:val="0045255E"/>
    <w:rsid w:val="0045366D"/>
    <w:rsid w:val="0045401B"/>
    <w:rsid w:val="00454C9D"/>
    <w:rsid w:val="00455D45"/>
    <w:rsid w:val="004564B0"/>
    <w:rsid w:val="004568E2"/>
    <w:rsid w:val="0045701B"/>
    <w:rsid w:val="0045736A"/>
    <w:rsid w:val="004576CF"/>
    <w:rsid w:val="00457D02"/>
    <w:rsid w:val="00460131"/>
    <w:rsid w:val="00460B2C"/>
    <w:rsid w:val="00461A0B"/>
    <w:rsid w:val="00461DEE"/>
    <w:rsid w:val="00461F46"/>
    <w:rsid w:val="004626E1"/>
    <w:rsid w:val="00462D56"/>
    <w:rsid w:val="00462E16"/>
    <w:rsid w:val="00463A84"/>
    <w:rsid w:val="00463B6E"/>
    <w:rsid w:val="00463BE8"/>
    <w:rsid w:val="00463E43"/>
    <w:rsid w:val="00465470"/>
    <w:rsid w:val="004654FD"/>
    <w:rsid w:val="00465EDC"/>
    <w:rsid w:val="004660E4"/>
    <w:rsid w:val="00466380"/>
    <w:rsid w:val="004667CD"/>
    <w:rsid w:val="00467255"/>
    <w:rsid w:val="00467413"/>
    <w:rsid w:val="0047070B"/>
    <w:rsid w:val="00471E37"/>
    <w:rsid w:val="00472039"/>
    <w:rsid w:val="00472338"/>
    <w:rsid w:val="00472B7A"/>
    <w:rsid w:val="004732D8"/>
    <w:rsid w:val="00473C0A"/>
    <w:rsid w:val="0047431E"/>
    <w:rsid w:val="004750C7"/>
    <w:rsid w:val="004751A4"/>
    <w:rsid w:val="00475448"/>
    <w:rsid w:val="0047689C"/>
    <w:rsid w:val="004768EB"/>
    <w:rsid w:val="00476BE8"/>
    <w:rsid w:val="00477268"/>
    <w:rsid w:val="00477792"/>
    <w:rsid w:val="0048001F"/>
    <w:rsid w:val="00480441"/>
    <w:rsid w:val="0048151F"/>
    <w:rsid w:val="00481E89"/>
    <w:rsid w:val="0048283D"/>
    <w:rsid w:val="0048287F"/>
    <w:rsid w:val="00482F11"/>
    <w:rsid w:val="00483296"/>
    <w:rsid w:val="00483BC1"/>
    <w:rsid w:val="00483DA1"/>
    <w:rsid w:val="00484CAB"/>
    <w:rsid w:val="0048553C"/>
    <w:rsid w:val="00485E99"/>
    <w:rsid w:val="004870A2"/>
    <w:rsid w:val="00487891"/>
    <w:rsid w:val="00487CC0"/>
    <w:rsid w:val="00490593"/>
    <w:rsid w:val="00490DFE"/>
    <w:rsid w:val="00491AF2"/>
    <w:rsid w:val="00491FAC"/>
    <w:rsid w:val="00491FFC"/>
    <w:rsid w:val="004921D6"/>
    <w:rsid w:val="004929EC"/>
    <w:rsid w:val="00492C02"/>
    <w:rsid w:val="00492DA8"/>
    <w:rsid w:val="00493782"/>
    <w:rsid w:val="00494848"/>
    <w:rsid w:val="00494F6C"/>
    <w:rsid w:val="0049560C"/>
    <w:rsid w:val="00496871"/>
    <w:rsid w:val="00496D58"/>
    <w:rsid w:val="004976A0"/>
    <w:rsid w:val="004976B7"/>
    <w:rsid w:val="00497D2D"/>
    <w:rsid w:val="004A0032"/>
    <w:rsid w:val="004A0448"/>
    <w:rsid w:val="004A0D01"/>
    <w:rsid w:val="004A0D78"/>
    <w:rsid w:val="004A0F21"/>
    <w:rsid w:val="004A101D"/>
    <w:rsid w:val="004A22E4"/>
    <w:rsid w:val="004A240C"/>
    <w:rsid w:val="004A2EDB"/>
    <w:rsid w:val="004A3415"/>
    <w:rsid w:val="004A356B"/>
    <w:rsid w:val="004A423C"/>
    <w:rsid w:val="004A460A"/>
    <w:rsid w:val="004A4FBB"/>
    <w:rsid w:val="004A5FE7"/>
    <w:rsid w:val="004A756E"/>
    <w:rsid w:val="004B0D79"/>
    <w:rsid w:val="004B0EEC"/>
    <w:rsid w:val="004B1DFE"/>
    <w:rsid w:val="004B2651"/>
    <w:rsid w:val="004B4E8C"/>
    <w:rsid w:val="004B508F"/>
    <w:rsid w:val="004B50FB"/>
    <w:rsid w:val="004B5E6C"/>
    <w:rsid w:val="004B6268"/>
    <w:rsid w:val="004B73E2"/>
    <w:rsid w:val="004B757E"/>
    <w:rsid w:val="004B7B8E"/>
    <w:rsid w:val="004B7E27"/>
    <w:rsid w:val="004C0460"/>
    <w:rsid w:val="004C17E0"/>
    <w:rsid w:val="004C1B7A"/>
    <w:rsid w:val="004C1B7C"/>
    <w:rsid w:val="004C1C12"/>
    <w:rsid w:val="004C1E22"/>
    <w:rsid w:val="004C21E5"/>
    <w:rsid w:val="004C28A8"/>
    <w:rsid w:val="004C2CFB"/>
    <w:rsid w:val="004C3574"/>
    <w:rsid w:val="004C3DC9"/>
    <w:rsid w:val="004C4256"/>
    <w:rsid w:val="004C47AA"/>
    <w:rsid w:val="004C4EFE"/>
    <w:rsid w:val="004C5BAC"/>
    <w:rsid w:val="004C69F9"/>
    <w:rsid w:val="004C7874"/>
    <w:rsid w:val="004C7EAB"/>
    <w:rsid w:val="004D06F0"/>
    <w:rsid w:val="004D10EB"/>
    <w:rsid w:val="004D1BB5"/>
    <w:rsid w:val="004D27D2"/>
    <w:rsid w:val="004D387A"/>
    <w:rsid w:val="004D45E9"/>
    <w:rsid w:val="004D5047"/>
    <w:rsid w:val="004D5183"/>
    <w:rsid w:val="004D5631"/>
    <w:rsid w:val="004E0270"/>
    <w:rsid w:val="004E086C"/>
    <w:rsid w:val="004E13F3"/>
    <w:rsid w:val="004E1CD6"/>
    <w:rsid w:val="004E21C1"/>
    <w:rsid w:val="004E25BC"/>
    <w:rsid w:val="004E3FE3"/>
    <w:rsid w:val="004E4151"/>
    <w:rsid w:val="004E42BA"/>
    <w:rsid w:val="004E5A32"/>
    <w:rsid w:val="004E5B0A"/>
    <w:rsid w:val="004E5CD0"/>
    <w:rsid w:val="004E5F30"/>
    <w:rsid w:val="004E601B"/>
    <w:rsid w:val="004E6480"/>
    <w:rsid w:val="004E64B0"/>
    <w:rsid w:val="004E665D"/>
    <w:rsid w:val="004E6B37"/>
    <w:rsid w:val="004E6DC5"/>
    <w:rsid w:val="004E6FB8"/>
    <w:rsid w:val="004E7CD4"/>
    <w:rsid w:val="004E7E7F"/>
    <w:rsid w:val="004F0875"/>
    <w:rsid w:val="004F1866"/>
    <w:rsid w:val="004F23BF"/>
    <w:rsid w:val="004F2488"/>
    <w:rsid w:val="004F268D"/>
    <w:rsid w:val="004F3AEE"/>
    <w:rsid w:val="004F3CE1"/>
    <w:rsid w:val="004F4291"/>
    <w:rsid w:val="004F553F"/>
    <w:rsid w:val="004F5BB0"/>
    <w:rsid w:val="004F5E4D"/>
    <w:rsid w:val="004F60EF"/>
    <w:rsid w:val="004F611E"/>
    <w:rsid w:val="004F645C"/>
    <w:rsid w:val="004F656B"/>
    <w:rsid w:val="004F6C29"/>
    <w:rsid w:val="00500C85"/>
    <w:rsid w:val="00500DD8"/>
    <w:rsid w:val="00501581"/>
    <w:rsid w:val="00501A0D"/>
    <w:rsid w:val="005032BA"/>
    <w:rsid w:val="00503499"/>
    <w:rsid w:val="00503682"/>
    <w:rsid w:val="00504B6A"/>
    <w:rsid w:val="00505072"/>
    <w:rsid w:val="00505E93"/>
    <w:rsid w:val="005069E3"/>
    <w:rsid w:val="005069FA"/>
    <w:rsid w:val="00506FFA"/>
    <w:rsid w:val="00510743"/>
    <w:rsid w:val="005107B0"/>
    <w:rsid w:val="00510951"/>
    <w:rsid w:val="00510B05"/>
    <w:rsid w:val="00510DB1"/>
    <w:rsid w:val="00510EC7"/>
    <w:rsid w:val="0051108C"/>
    <w:rsid w:val="0051171B"/>
    <w:rsid w:val="005117D6"/>
    <w:rsid w:val="00511A89"/>
    <w:rsid w:val="00511E85"/>
    <w:rsid w:val="0051267B"/>
    <w:rsid w:val="005131A1"/>
    <w:rsid w:val="00513D4C"/>
    <w:rsid w:val="00513FED"/>
    <w:rsid w:val="00514D5C"/>
    <w:rsid w:val="00515718"/>
    <w:rsid w:val="0051652E"/>
    <w:rsid w:val="00516F1A"/>
    <w:rsid w:val="005172EB"/>
    <w:rsid w:val="005203AE"/>
    <w:rsid w:val="00520954"/>
    <w:rsid w:val="00521135"/>
    <w:rsid w:val="00522FE3"/>
    <w:rsid w:val="005230E7"/>
    <w:rsid w:val="0052398E"/>
    <w:rsid w:val="00523B8A"/>
    <w:rsid w:val="00524052"/>
    <w:rsid w:val="0052463C"/>
    <w:rsid w:val="00525271"/>
    <w:rsid w:val="0052549F"/>
    <w:rsid w:val="00525F3B"/>
    <w:rsid w:val="005266B4"/>
    <w:rsid w:val="00526BA3"/>
    <w:rsid w:val="00527A53"/>
    <w:rsid w:val="00527A82"/>
    <w:rsid w:val="00527FD3"/>
    <w:rsid w:val="00531203"/>
    <w:rsid w:val="0053153D"/>
    <w:rsid w:val="00531F59"/>
    <w:rsid w:val="00533230"/>
    <w:rsid w:val="0053342F"/>
    <w:rsid w:val="0053399E"/>
    <w:rsid w:val="00533C71"/>
    <w:rsid w:val="00533ED1"/>
    <w:rsid w:val="0053401B"/>
    <w:rsid w:val="00534819"/>
    <w:rsid w:val="0053518C"/>
    <w:rsid w:val="0053590D"/>
    <w:rsid w:val="00536194"/>
    <w:rsid w:val="00536A94"/>
    <w:rsid w:val="005372F3"/>
    <w:rsid w:val="005376F4"/>
    <w:rsid w:val="00540715"/>
    <w:rsid w:val="00541107"/>
    <w:rsid w:val="0054112F"/>
    <w:rsid w:val="0054186E"/>
    <w:rsid w:val="0054247D"/>
    <w:rsid w:val="00543564"/>
    <w:rsid w:val="00543AC5"/>
    <w:rsid w:val="005443F8"/>
    <w:rsid w:val="0054442C"/>
    <w:rsid w:val="00544DE1"/>
    <w:rsid w:val="00546285"/>
    <w:rsid w:val="00546901"/>
    <w:rsid w:val="00547240"/>
    <w:rsid w:val="0054729A"/>
    <w:rsid w:val="00547325"/>
    <w:rsid w:val="00547527"/>
    <w:rsid w:val="005475AC"/>
    <w:rsid w:val="00547823"/>
    <w:rsid w:val="00547E86"/>
    <w:rsid w:val="00547F10"/>
    <w:rsid w:val="00550C14"/>
    <w:rsid w:val="005516E8"/>
    <w:rsid w:val="00551F05"/>
    <w:rsid w:val="00552763"/>
    <w:rsid w:val="00553841"/>
    <w:rsid w:val="00553B0E"/>
    <w:rsid w:val="00553CAA"/>
    <w:rsid w:val="005545FF"/>
    <w:rsid w:val="00554830"/>
    <w:rsid w:val="00555D82"/>
    <w:rsid w:val="00556822"/>
    <w:rsid w:val="00556AFA"/>
    <w:rsid w:val="005578C1"/>
    <w:rsid w:val="0056037B"/>
    <w:rsid w:val="00560B88"/>
    <w:rsid w:val="00561886"/>
    <w:rsid w:val="00561B8F"/>
    <w:rsid w:val="00561CEE"/>
    <w:rsid w:val="005626FA"/>
    <w:rsid w:val="00562F20"/>
    <w:rsid w:val="005637BC"/>
    <w:rsid w:val="00563993"/>
    <w:rsid w:val="0056516C"/>
    <w:rsid w:val="00565279"/>
    <w:rsid w:val="005652E5"/>
    <w:rsid w:val="00565618"/>
    <w:rsid w:val="00565750"/>
    <w:rsid w:val="005657E2"/>
    <w:rsid w:val="00565818"/>
    <w:rsid w:val="005665DF"/>
    <w:rsid w:val="00566831"/>
    <w:rsid w:val="00567171"/>
    <w:rsid w:val="005676C6"/>
    <w:rsid w:val="00567B23"/>
    <w:rsid w:val="00567B33"/>
    <w:rsid w:val="00570178"/>
    <w:rsid w:val="0057035F"/>
    <w:rsid w:val="00570701"/>
    <w:rsid w:val="00570C76"/>
    <w:rsid w:val="00570D8A"/>
    <w:rsid w:val="005714A0"/>
    <w:rsid w:val="005715D6"/>
    <w:rsid w:val="005716A9"/>
    <w:rsid w:val="0057198E"/>
    <w:rsid w:val="00571B25"/>
    <w:rsid w:val="00571D25"/>
    <w:rsid w:val="005721BE"/>
    <w:rsid w:val="005721E2"/>
    <w:rsid w:val="005733F2"/>
    <w:rsid w:val="005738E3"/>
    <w:rsid w:val="00574363"/>
    <w:rsid w:val="00574799"/>
    <w:rsid w:val="005747B0"/>
    <w:rsid w:val="00574A1F"/>
    <w:rsid w:val="00574B0F"/>
    <w:rsid w:val="005750E3"/>
    <w:rsid w:val="00575966"/>
    <w:rsid w:val="00575E8F"/>
    <w:rsid w:val="00576146"/>
    <w:rsid w:val="00576150"/>
    <w:rsid w:val="00576434"/>
    <w:rsid w:val="00576797"/>
    <w:rsid w:val="00576AAA"/>
    <w:rsid w:val="00576CA4"/>
    <w:rsid w:val="005772FB"/>
    <w:rsid w:val="005806D3"/>
    <w:rsid w:val="005830D2"/>
    <w:rsid w:val="005838E8"/>
    <w:rsid w:val="0058436F"/>
    <w:rsid w:val="005845EE"/>
    <w:rsid w:val="0058477D"/>
    <w:rsid w:val="00586604"/>
    <w:rsid w:val="00587449"/>
    <w:rsid w:val="00587DDB"/>
    <w:rsid w:val="005913A3"/>
    <w:rsid w:val="005914B3"/>
    <w:rsid w:val="00593D99"/>
    <w:rsid w:val="00594B17"/>
    <w:rsid w:val="00594BA0"/>
    <w:rsid w:val="00594ECD"/>
    <w:rsid w:val="00595837"/>
    <w:rsid w:val="00595C36"/>
    <w:rsid w:val="0059628E"/>
    <w:rsid w:val="005979D7"/>
    <w:rsid w:val="00597DD6"/>
    <w:rsid w:val="005A1AD7"/>
    <w:rsid w:val="005A1B51"/>
    <w:rsid w:val="005A230C"/>
    <w:rsid w:val="005A28E9"/>
    <w:rsid w:val="005A322A"/>
    <w:rsid w:val="005A395D"/>
    <w:rsid w:val="005A3E43"/>
    <w:rsid w:val="005A3ED5"/>
    <w:rsid w:val="005A45DF"/>
    <w:rsid w:val="005A6D9A"/>
    <w:rsid w:val="005A6EE3"/>
    <w:rsid w:val="005A73E4"/>
    <w:rsid w:val="005A7AC7"/>
    <w:rsid w:val="005B06CB"/>
    <w:rsid w:val="005B0A8A"/>
    <w:rsid w:val="005B1351"/>
    <w:rsid w:val="005B160A"/>
    <w:rsid w:val="005B17A5"/>
    <w:rsid w:val="005B1809"/>
    <w:rsid w:val="005B2404"/>
    <w:rsid w:val="005B34BB"/>
    <w:rsid w:val="005B38FB"/>
    <w:rsid w:val="005B4305"/>
    <w:rsid w:val="005B4BED"/>
    <w:rsid w:val="005B5142"/>
    <w:rsid w:val="005B55EC"/>
    <w:rsid w:val="005B5DFE"/>
    <w:rsid w:val="005B6427"/>
    <w:rsid w:val="005C0C42"/>
    <w:rsid w:val="005C113C"/>
    <w:rsid w:val="005C12F2"/>
    <w:rsid w:val="005C26E0"/>
    <w:rsid w:val="005C287B"/>
    <w:rsid w:val="005C3C92"/>
    <w:rsid w:val="005C3CAF"/>
    <w:rsid w:val="005C4861"/>
    <w:rsid w:val="005C54CF"/>
    <w:rsid w:val="005C554D"/>
    <w:rsid w:val="005C5B72"/>
    <w:rsid w:val="005C5B89"/>
    <w:rsid w:val="005C6B03"/>
    <w:rsid w:val="005C6ED0"/>
    <w:rsid w:val="005D00B8"/>
    <w:rsid w:val="005D0255"/>
    <w:rsid w:val="005D0281"/>
    <w:rsid w:val="005D1A2B"/>
    <w:rsid w:val="005D1CA3"/>
    <w:rsid w:val="005D1FFB"/>
    <w:rsid w:val="005D21A6"/>
    <w:rsid w:val="005D25DD"/>
    <w:rsid w:val="005D28C6"/>
    <w:rsid w:val="005D2DA3"/>
    <w:rsid w:val="005D36A9"/>
    <w:rsid w:val="005D3CA1"/>
    <w:rsid w:val="005D3FE4"/>
    <w:rsid w:val="005D4403"/>
    <w:rsid w:val="005D4667"/>
    <w:rsid w:val="005D4932"/>
    <w:rsid w:val="005D50DE"/>
    <w:rsid w:val="005D528C"/>
    <w:rsid w:val="005D60BC"/>
    <w:rsid w:val="005D6503"/>
    <w:rsid w:val="005D6D51"/>
    <w:rsid w:val="005D7638"/>
    <w:rsid w:val="005E02E3"/>
    <w:rsid w:val="005E05F9"/>
    <w:rsid w:val="005E06D0"/>
    <w:rsid w:val="005E09CC"/>
    <w:rsid w:val="005E143A"/>
    <w:rsid w:val="005E1C34"/>
    <w:rsid w:val="005E1D57"/>
    <w:rsid w:val="005E1FC4"/>
    <w:rsid w:val="005E2055"/>
    <w:rsid w:val="005E2697"/>
    <w:rsid w:val="005E3ACD"/>
    <w:rsid w:val="005E493F"/>
    <w:rsid w:val="005E49CC"/>
    <w:rsid w:val="005E4B5D"/>
    <w:rsid w:val="005E5FD6"/>
    <w:rsid w:val="005E60EC"/>
    <w:rsid w:val="005E695C"/>
    <w:rsid w:val="005E73FA"/>
    <w:rsid w:val="005E78EB"/>
    <w:rsid w:val="005E7AC1"/>
    <w:rsid w:val="005F16A5"/>
    <w:rsid w:val="005F3403"/>
    <w:rsid w:val="005F36BF"/>
    <w:rsid w:val="005F38CE"/>
    <w:rsid w:val="005F391F"/>
    <w:rsid w:val="005F434A"/>
    <w:rsid w:val="005F455C"/>
    <w:rsid w:val="005F51D6"/>
    <w:rsid w:val="005F53F3"/>
    <w:rsid w:val="005F6412"/>
    <w:rsid w:val="005F65D5"/>
    <w:rsid w:val="005F6639"/>
    <w:rsid w:val="005F6A4D"/>
    <w:rsid w:val="005F6B4D"/>
    <w:rsid w:val="005F74FD"/>
    <w:rsid w:val="005F781A"/>
    <w:rsid w:val="00600C3F"/>
    <w:rsid w:val="00601653"/>
    <w:rsid w:val="00601FED"/>
    <w:rsid w:val="00602CF9"/>
    <w:rsid w:val="00602E68"/>
    <w:rsid w:val="00603172"/>
    <w:rsid w:val="00603397"/>
    <w:rsid w:val="0060349A"/>
    <w:rsid w:val="00603793"/>
    <w:rsid w:val="0060423C"/>
    <w:rsid w:val="00604DC0"/>
    <w:rsid w:val="006056FF"/>
    <w:rsid w:val="006068AB"/>
    <w:rsid w:val="006068C3"/>
    <w:rsid w:val="00606C05"/>
    <w:rsid w:val="00607531"/>
    <w:rsid w:val="006101DE"/>
    <w:rsid w:val="00610ED4"/>
    <w:rsid w:val="0061225C"/>
    <w:rsid w:val="006123D7"/>
    <w:rsid w:val="0061249E"/>
    <w:rsid w:val="00614E8C"/>
    <w:rsid w:val="0061551F"/>
    <w:rsid w:val="00615A36"/>
    <w:rsid w:val="00616389"/>
    <w:rsid w:val="00616E7A"/>
    <w:rsid w:val="006172F3"/>
    <w:rsid w:val="00617856"/>
    <w:rsid w:val="006179AE"/>
    <w:rsid w:val="00620108"/>
    <w:rsid w:val="006219E7"/>
    <w:rsid w:val="00621E59"/>
    <w:rsid w:val="00623427"/>
    <w:rsid w:val="00623AAD"/>
    <w:rsid w:val="00624173"/>
    <w:rsid w:val="00624355"/>
    <w:rsid w:val="00625160"/>
    <w:rsid w:val="00625FAA"/>
    <w:rsid w:val="006260CE"/>
    <w:rsid w:val="00627453"/>
    <w:rsid w:val="0063074B"/>
    <w:rsid w:val="0063076D"/>
    <w:rsid w:val="00630A93"/>
    <w:rsid w:val="006313FF"/>
    <w:rsid w:val="00631B68"/>
    <w:rsid w:val="006320C6"/>
    <w:rsid w:val="00632602"/>
    <w:rsid w:val="006326F7"/>
    <w:rsid w:val="00633069"/>
    <w:rsid w:val="00633E32"/>
    <w:rsid w:val="00634835"/>
    <w:rsid w:val="006348EE"/>
    <w:rsid w:val="00635422"/>
    <w:rsid w:val="00636359"/>
    <w:rsid w:val="006363A5"/>
    <w:rsid w:val="00636420"/>
    <w:rsid w:val="006372FB"/>
    <w:rsid w:val="006374AC"/>
    <w:rsid w:val="006374D5"/>
    <w:rsid w:val="00637888"/>
    <w:rsid w:val="00637DF3"/>
    <w:rsid w:val="0064041E"/>
    <w:rsid w:val="00640896"/>
    <w:rsid w:val="006419DD"/>
    <w:rsid w:val="00642065"/>
    <w:rsid w:val="006421D2"/>
    <w:rsid w:val="006422E9"/>
    <w:rsid w:val="0064268E"/>
    <w:rsid w:val="00642EA6"/>
    <w:rsid w:val="0064319C"/>
    <w:rsid w:val="006433C2"/>
    <w:rsid w:val="00644772"/>
    <w:rsid w:val="00644D55"/>
    <w:rsid w:val="00644E60"/>
    <w:rsid w:val="00644F2C"/>
    <w:rsid w:val="0064511A"/>
    <w:rsid w:val="00645398"/>
    <w:rsid w:val="0064580F"/>
    <w:rsid w:val="0064589D"/>
    <w:rsid w:val="006466FB"/>
    <w:rsid w:val="006468EF"/>
    <w:rsid w:val="006475B4"/>
    <w:rsid w:val="00647691"/>
    <w:rsid w:val="006477A3"/>
    <w:rsid w:val="00647CE4"/>
    <w:rsid w:val="00647E62"/>
    <w:rsid w:val="006504B8"/>
    <w:rsid w:val="00650643"/>
    <w:rsid w:val="006506DE"/>
    <w:rsid w:val="00650722"/>
    <w:rsid w:val="0065135B"/>
    <w:rsid w:val="006515A0"/>
    <w:rsid w:val="006515E9"/>
    <w:rsid w:val="0065168B"/>
    <w:rsid w:val="006523E0"/>
    <w:rsid w:val="006525D1"/>
    <w:rsid w:val="00652A35"/>
    <w:rsid w:val="00653715"/>
    <w:rsid w:val="00654684"/>
    <w:rsid w:val="0065523E"/>
    <w:rsid w:val="006557DC"/>
    <w:rsid w:val="00656168"/>
    <w:rsid w:val="00656237"/>
    <w:rsid w:val="006563FB"/>
    <w:rsid w:val="0065647E"/>
    <w:rsid w:val="00657565"/>
    <w:rsid w:val="00657ACB"/>
    <w:rsid w:val="00662061"/>
    <w:rsid w:val="00662455"/>
    <w:rsid w:val="00662967"/>
    <w:rsid w:val="0066299C"/>
    <w:rsid w:val="00663572"/>
    <w:rsid w:val="00663843"/>
    <w:rsid w:val="00663E78"/>
    <w:rsid w:val="006641C5"/>
    <w:rsid w:val="006645D4"/>
    <w:rsid w:val="006649C6"/>
    <w:rsid w:val="00664FF8"/>
    <w:rsid w:val="00665CD8"/>
    <w:rsid w:val="00670EF3"/>
    <w:rsid w:val="0067105B"/>
    <w:rsid w:val="006711EE"/>
    <w:rsid w:val="00672113"/>
    <w:rsid w:val="0067263D"/>
    <w:rsid w:val="00672C35"/>
    <w:rsid w:val="006735A7"/>
    <w:rsid w:val="00673ED4"/>
    <w:rsid w:val="006748CC"/>
    <w:rsid w:val="00675146"/>
    <w:rsid w:val="006758B6"/>
    <w:rsid w:val="006765C4"/>
    <w:rsid w:val="00676C03"/>
    <w:rsid w:val="00677095"/>
    <w:rsid w:val="00677528"/>
    <w:rsid w:val="0067762D"/>
    <w:rsid w:val="00677936"/>
    <w:rsid w:val="0067795C"/>
    <w:rsid w:val="006802CA"/>
    <w:rsid w:val="006809DA"/>
    <w:rsid w:val="00680C9C"/>
    <w:rsid w:val="00680CE0"/>
    <w:rsid w:val="0068123A"/>
    <w:rsid w:val="00681C29"/>
    <w:rsid w:val="00682568"/>
    <w:rsid w:val="006828D2"/>
    <w:rsid w:val="00683749"/>
    <w:rsid w:val="00683AA8"/>
    <w:rsid w:val="00683B89"/>
    <w:rsid w:val="0068402A"/>
    <w:rsid w:val="00685010"/>
    <w:rsid w:val="006854C2"/>
    <w:rsid w:val="006857B8"/>
    <w:rsid w:val="0068637D"/>
    <w:rsid w:val="00687095"/>
    <w:rsid w:val="00687291"/>
    <w:rsid w:val="00687352"/>
    <w:rsid w:val="006900F1"/>
    <w:rsid w:val="0069044A"/>
    <w:rsid w:val="0069116C"/>
    <w:rsid w:val="00691607"/>
    <w:rsid w:val="00691B39"/>
    <w:rsid w:val="00691EC8"/>
    <w:rsid w:val="0069237C"/>
    <w:rsid w:val="0069489A"/>
    <w:rsid w:val="0069585E"/>
    <w:rsid w:val="00695D76"/>
    <w:rsid w:val="00696689"/>
    <w:rsid w:val="00696A98"/>
    <w:rsid w:val="0069739C"/>
    <w:rsid w:val="006A0EC7"/>
    <w:rsid w:val="006A19E6"/>
    <w:rsid w:val="006A23EC"/>
    <w:rsid w:val="006A2FF5"/>
    <w:rsid w:val="006A3587"/>
    <w:rsid w:val="006A39F4"/>
    <w:rsid w:val="006A442C"/>
    <w:rsid w:val="006A488B"/>
    <w:rsid w:val="006A4AC0"/>
    <w:rsid w:val="006A4E51"/>
    <w:rsid w:val="006A5FD8"/>
    <w:rsid w:val="006A684B"/>
    <w:rsid w:val="006A6F51"/>
    <w:rsid w:val="006A6FC6"/>
    <w:rsid w:val="006A7553"/>
    <w:rsid w:val="006B0308"/>
    <w:rsid w:val="006B0C9A"/>
    <w:rsid w:val="006B13A7"/>
    <w:rsid w:val="006B14A3"/>
    <w:rsid w:val="006B1883"/>
    <w:rsid w:val="006B19C2"/>
    <w:rsid w:val="006B31DE"/>
    <w:rsid w:val="006B3242"/>
    <w:rsid w:val="006B3BBC"/>
    <w:rsid w:val="006B44ED"/>
    <w:rsid w:val="006B4996"/>
    <w:rsid w:val="006B4A35"/>
    <w:rsid w:val="006B4B93"/>
    <w:rsid w:val="006B4C0D"/>
    <w:rsid w:val="006B5244"/>
    <w:rsid w:val="006B52FE"/>
    <w:rsid w:val="006B5F05"/>
    <w:rsid w:val="006B60DE"/>
    <w:rsid w:val="006B779E"/>
    <w:rsid w:val="006C05C2"/>
    <w:rsid w:val="006C0E53"/>
    <w:rsid w:val="006C12C1"/>
    <w:rsid w:val="006C210D"/>
    <w:rsid w:val="006C281B"/>
    <w:rsid w:val="006C2D1C"/>
    <w:rsid w:val="006C2D93"/>
    <w:rsid w:val="006C38C5"/>
    <w:rsid w:val="006C39CB"/>
    <w:rsid w:val="006C3B69"/>
    <w:rsid w:val="006C3BBA"/>
    <w:rsid w:val="006C4351"/>
    <w:rsid w:val="006C4538"/>
    <w:rsid w:val="006C5652"/>
    <w:rsid w:val="006C5673"/>
    <w:rsid w:val="006C68D7"/>
    <w:rsid w:val="006D03E1"/>
    <w:rsid w:val="006D05A9"/>
    <w:rsid w:val="006D0E39"/>
    <w:rsid w:val="006D2AFF"/>
    <w:rsid w:val="006D2FC9"/>
    <w:rsid w:val="006D3418"/>
    <w:rsid w:val="006D4FE8"/>
    <w:rsid w:val="006D5040"/>
    <w:rsid w:val="006D585B"/>
    <w:rsid w:val="006D6016"/>
    <w:rsid w:val="006D702C"/>
    <w:rsid w:val="006E0BEB"/>
    <w:rsid w:val="006E11B5"/>
    <w:rsid w:val="006E14E1"/>
    <w:rsid w:val="006E1554"/>
    <w:rsid w:val="006E167B"/>
    <w:rsid w:val="006E17A5"/>
    <w:rsid w:val="006E1CBA"/>
    <w:rsid w:val="006E263C"/>
    <w:rsid w:val="006E3B88"/>
    <w:rsid w:val="006E47E3"/>
    <w:rsid w:val="006E4A2F"/>
    <w:rsid w:val="006E4B53"/>
    <w:rsid w:val="006E4CD6"/>
    <w:rsid w:val="006E4D82"/>
    <w:rsid w:val="006E5635"/>
    <w:rsid w:val="006E56A2"/>
    <w:rsid w:val="006E5ABC"/>
    <w:rsid w:val="006E5ABD"/>
    <w:rsid w:val="006E5D00"/>
    <w:rsid w:val="006E5E3E"/>
    <w:rsid w:val="006E68EB"/>
    <w:rsid w:val="006E6C32"/>
    <w:rsid w:val="006F0453"/>
    <w:rsid w:val="006F08B6"/>
    <w:rsid w:val="006F1042"/>
    <w:rsid w:val="006F17B6"/>
    <w:rsid w:val="006F17C9"/>
    <w:rsid w:val="006F190F"/>
    <w:rsid w:val="006F1D1B"/>
    <w:rsid w:val="006F292C"/>
    <w:rsid w:val="006F3FC5"/>
    <w:rsid w:val="006F4615"/>
    <w:rsid w:val="006F467D"/>
    <w:rsid w:val="006F4D66"/>
    <w:rsid w:val="006F501D"/>
    <w:rsid w:val="006F519E"/>
    <w:rsid w:val="006F53AC"/>
    <w:rsid w:val="006F583D"/>
    <w:rsid w:val="006F59E1"/>
    <w:rsid w:val="006F70DE"/>
    <w:rsid w:val="00700F1E"/>
    <w:rsid w:val="0070130D"/>
    <w:rsid w:val="00701E01"/>
    <w:rsid w:val="0070259B"/>
    <w:rsid w:val="007036B4"/>
    <w:rsid w:val="00703ABD"/>
    <w:rsid w:val="0070401C"/>
    <w:rsid w:val="0070426C"/>
    <w:rsid w:val="00704663"/>
    <w:rsid w:val="00705456"/>
    <w:rsid w:val="00705A03"/>
    <w:rsid w:val="00705D39"/>
    <w:rsid w:val="0070672B"/>
    <w:rsid w:val="007069A7"/>
    <w:rsid w:val="00707AB9"/>
    <w:rsid w:val="00710450"/>
    <w:rsid w:val="007104A0"/>
    <w:rsid w:val="00710B1D"/>
    <w:rsid w:val="007111B9"/>
    <w:rsid w:val="0071130F"/>
    <w:rsid w:val="0071138D"/>
    <w:rsid w:val="007118B5"/>
    <w:rsid w:val="0071247E"/>
    <w:rsid w:val="0071302C"/>
    <w:rsid w:val="00713E64"/>
    <w:rsid w:val="00714726"/>
    <w:rsid w:val="00714737"/>
    <w:rsid w:val="00714C72"/>
    <w:rsid w:val="00715139"/>
    <w:rsid w:val="00715F38"/>
    <w:rsid w:val="00715F45"/>
    <w:rsid w:val="0071615A"/>
    <w:rsid w:val="007169DC"/>
    <w:rsid w:val="007208CD"/>
    <w:rsid w:val="0072305F"/>
    <w:rsid w:val="00723279"/>
    <w:rsid w:val="007232DF"/>
    <w:rsid w:val="00723583"/>
    <w:rsid w:val="0072364D"/>
    <w:rsid w:val="00723868"/>
    <w:rsid w:val="007242CE"/>
    <w:rsid w:val="00724721"/>
    <w:rsid w:val="00725194"/>
    <w:rsid w:val="00725464"/>
    <w:rsid w:val="007265B9"/>
    <w:rsid w:val="007267FF"/>
    <w:rsid w:val="007270A6"/>
    <w:rsid w:val="007275A9"/>
    <w:rsid w:val="00727795"/>
    <w:rsid w:val="0073016E"/>
    <w:rsid w:val="00730D0E"/>
    <w:rsid w:val="007327AD"/>
    <w:rsid w:val="00733793"/>
    <w:rsid w:val="00733A5B"/>
    <w:rsid w:val="00733E58"/>
    <w:rsid w:val="00735133"/>
    <w:rsid w:val="0073537A"/>
    <w:rsid w:val="00735BD2"/>
    <w:rsid w:val="0073617E"/>
    <w:rsid w:val="007373BF"/>
    <w:rsid w:val="0073764A"/>
    <w:rsid w:val="00737652"/>
    <w:rsid w:val="007378FC"/>
    <w:rsid w:val="00737991"/>
    <w:rsid w:val="00737D0D"/>
    <w:rsid w:val="00737DB5"/>
    <w:rsid w:val="00737DDC"/>
    <w:rsid w:val="00740B5B"/>
    <w:rsid w:val="00740FCB"/>
    <w:rsid w:val="00741963"/>
    <w:rsid w:val="00741B62"/>
    <w:rsid w:val="0074239B"/>
    <w:rsid w:val="007425E5"/>
    <w:rsid w:val="00743686"/>
    <w:rsid w:val="00743F3D"/>
    <w:rsid w:val="007448AB"/>
    <w:rsid w:val="0074589F"/>
    <w:rsid w:val="007459C5"/>
    <w:rsid w:val="00745F52"/>
    <w:rsid w:val="007470A7"/>
    <w:rsid w:val="007472B9"/>
    <w:rsid w:val="00747FC5"/>
    <w:rsid w:val="007501B2"/>
    <w:rsid w:val="007504E1"/>
    <w:rsid w:val="00750C86"/>
    <w:rsid w:val="00750E4D"/>
    <w:rsid w:val="00750FEA"/>
    <w:rsid w:val="007524A6"/>
    <w:rsid w:val="00752C7A"/>
    <w:rsid w:val="00752F8B"/>
    <w:rsid w:val="00753131"/>
    <w:rsid w:val="00753D6A"/>
    <w:rsid w:val="00753E2A"/>
    <w:rsid w:val="00754558"/>
    <w:rsid w:val="00754A76"/>
    <w:rsid w:val="007554D3"/>
    <w:rsid w:val="00755939"/>
    <w:rsid w:val="00755E6E"/>
    <w:rsid w:val="00757816"/>
    <w:rsid w:val="00757962"/>
    <w:rsid w:val="00760598"/>
    <w:rsid w:val="00760A88"/>
    <w:rsid w:val="0076187A"/>
    <w:rsid w:val="00762701"/>
    <w:rsid w:val="007632D3"/>
    <w:rsid w:val="007633D6"/>
    <w:rsid w:val="007646C9"/>
    <w:rsid w:val="007647B9"/>
    <w:rsid w:val="007648C2"/>
    <w:rsid w:val="00765217"/>
    <w:rsid w:val="0076535E"/>
    <w:rsid w:val="007659A0"/>
    <w:rsid w:val="00765EEB"/>
    <w:rsid w:val="00766410"/>
    <w:rsid w:val="00766468"/>
    <w:rsid w:val="0076704A"/>
    <w:rsid w:val="00767B65"/>
    <w:rsid w:val="00767CE5"/>
    <w:rsid w:val="00767F73"/>
    <w:rsid w:val="007706C6"/>
    <w:rsid w:val="00770A58"/>
    <w:rsid w:val="00772047"/>
    <w:rsid w:val="0077287C"/>
    <w:rsid w:val="00772A75"/>
    <w:rsid w:val="007730DC"/>
    <w:rsid w:val="007732B7"/>
    <w:rsid w:val="00773D9F"/>
    <w:rsid w:val="00774AB6"/>
    <w:rsid w:val="007751D6"/>
    <w:rsid w:val="007765D9"/>
    <w:rsid w:val="00776770"/>
    <w:rsid w:val="00776779"/>
    <w:rsid w:val="00776BDC"/>
    <w:rsid w:val="007776E1"/>
    <w:rsid w:val="00777A48"/>
    <w:rsid w:val="00777FD8"/>
    <w:rsid w:val="0078012D"/>
    <w:rsid w:val="00780B05"/>
    <w:rsid w:val="00780E12"/>
    <w:rsid w:val="007816D1"/>
    <w:rsid w:val="0078273E"/>
    <w:rsid w:val="007832FF"/>
    <w:rsid w:val="00783CA2"/>
    <w:rsid w:val="00783F5E"/>
    <w:rsid w:val="007847AB"/>
    <w:rsid w:val="00784D08"/>
    <w:rsid w:val="00785116"/>
    <w:rsid w:val="00785EA6"/>
    <w:rsid w:val="00786627"/>
    <w:rsid w:val="00786844"/>
    <w:rsid w:val="007868B5"/>
    <w:rsid w:val="007869F1"/>
    <w:rsid w:val="00787239"/>
    <w:rsid w:val="00790DD2"/>
    <w:rsid w:val="007918CB"/>
    <w:rsid w:val="00791CF6"/>
    <w:rsid w:val="00791F08"/>
    <w:rsid w:val="00791F56"/>
    <w:rsid w:val="007924F3"/>
    <w:rsid w:val="00792AD3"/>
    <w:rsid w:val="00792FFB"/>
    <w:rsid w:val="00793B73"/>
    <w:rsid w:val="00794284"/>
    <w:rsid w:val="007945ED"/>
    <w:rsid w:val="007948BF"/>
    <w:rsid w:val="00795797"/>
    <w:rsid w:val="00795C1B"/>
    <w:rsid w:val="0079609B"/>
    <w:rsid w:val="00796530"/>
    <w:rsid w:val="00796F84"/>
    <w:rsid w:val="00796FFD"/>
    <w:rsid w:val="007A048B"/>
    <w:rsid w:val="007A04CD"/>
    <w:rsid w:val="007A0B46"/>
    <w:rsid w:val="007A1234"/>
    <w:rsid w:val="007A15F7"/>
    <w:rsid w:val="007A2235"/>
    <w:rsid w:val="007A25B0"/>
    <w:rsid w:val="007A31B8"/>
    <w:rsid w:val="007A35F7"/>
    <w:rsid w:val="007A38E9"/>
    <w:rsid w:val="007A3ABB"/>
    <w:rsid w:val="007A5C19"/>
    <w:rsid w:val="007A6799"/>
    <w:rsid w:val="007A6887"/>
    <w:rsid w:val="007A6A26"/>
    <w:rsid w:val="007B057A"/>
    <w:rsid w:val="007B07D0"/>
    <w:rsid w:val="007B07D8"/>
    <w:rsid w:val="007B0CDB"/>
    <w:rsid w:val="007B11EA"/>
    <w:rsid w:val="007B1288"/>
    <w:rsid w:val="007B157F"/>
    <w:rsid w:val="007B1C99"/>
    <w:rsid w:val="007B2378"/>
    <w:rsid w:val="007B260D"/>
    <w:rsid w:val="007B2C71"/>
    <w:rsid w:val="007B33FC"/>
    <w:rsid w:val="007B345D"/>
    <w:rsid w:val="007B3542"/>
    <w:rsid w:val="007B36BC"/>
    <w:rsid w:val="007B373B"/>
    <w:rsid w:val="007B46D9"/>
    <w:rsid w:val="007B530B"/>
    <w:rsid w:val="007B53E4"/>
    <w:rsid w:val="007B548D"/>
    <w:rsid w:val="007B5E7A"/>
    <w:rsid w:val="007B61EA"/>
    <w:rsid w:val="007B6948"/>
    <w:rsid w:val="007B6F83"/>
    <w:rsid w:val="007C022D"/>
    <w:rsid w:val="007C0A84"/>
    <w:rsid w:val="007C0EE1"/>
    <w:rsid w:val="007C0FF2"/>
    <w:rsid w:val="007C12B5"/>
    <w:rsid w:val="007C1CD1"/>
    <w:rsid w:val="007C1DB5"/>
    <w:rsid w:val="007C28D7"/>
    <w:rsid w:val="007C2EF7"/>
    <w:rsid w:val="007C32CD"/>
    <w:rsid w:val="007C3373"/>
    <w:rsid w:val="007C49FB"/>
    <w:rsid w:val="007C4C59"/>
    <w:rsid w:val="007C5498"/>
    <w:rsid w:val="007C586A"/>
    <w:rsid w:val="007C623B"/>
    <w:rsid w:val="007C63C8"/>
    <w:rsid w:val="007C6EA5"/>
    <w:rsid w:val="007C6FCB"/>
    <w:rsid w:val="007C7878"/>
    <w:rsid w:val="007D1549"/>
    <w:rsid w:val="007D192D"/>
    <w:rsid w:val="007D1AFE"/>
    <w:rsid w:val="007D1CE0"/>
    <w:rsid w:val="007D2660"/>
    <w:rsid w:val="007D2C6D"/>
    <w:rsid w:val="007D370B"/>
    <w:rsid w:val="007D3A96"/>
    <w:rsid w:val="007D3BAC"/>
    <w:rsid w:val="007D53CD"/>
    <w:rsid w:val="007D658E"/>
    <w:rsid w:val="007D65D2"/>
    <w:rsid w:val="007D6FB7"/>
    <w:rsid w:val="007D7543"/>
    <w:rsid w:val="007D7853"/>
    <w:rsid w:val="007D7D02"/>
    <w:rsid w:val="007E09B6"/>
    <w:rsid w:val="007E1AE3"/>
    <w:rsid w:val="007E2227"/>
    <w:rsid w:val="007E2B2B"/>
    <w:rsid w:val="007E2BF3"/>
    <w:rsid w:val="007E3B86"/>
    <w:rsid w:val="007E3C63"/>
    <w:rsid w:val="007E4185"/>
    <w:rsid w:val="007E44E6"/>
    <w:rsid w:val="007E49E7"/>
    <w:rsid w:val="007E4E41"/>
    <w:rsid w:val="007E4F01"/>
    <w:rsid w:val="007E4FA6"/>
    <w:rsid w:val="007E5151"/>
    <w:rsid w:val="007E529F"/>
    <w:rsid w:val="007E5DA3"/>
    <w:rsid w:val="007E5E63"/>
    <w:rsid w:val="007E69CA"/>
    <w:rsid w:val="007E708F"/>
    <w:rsid w:val="007E7E6F"/>
    <w:rsid w:val="007F04F6"/>
    <w:rsid w:val="007F07BB"/>
    <w:rsid w:val="007F144E"/>
    <w:rsid w:val="007F3201"/>
    <w:rsid w:val="007F3585"/>
    <w:rsid w:val="007F4585"/>
    <w:rsid w:val="007F460C"/>
    <w:rsid w:val="007F47BE"/>
    <w:rsid w:val="007F5006"/>
    <w:rsid w:val="007F57AD"/>
    <w:rsid w:val="007F585C"/>
    <w:rsid w:val="007F6AC0"/>
    <w:rsid w:val="007F6D15"/>
    <w:rsid w:val="007F7A82"/>
    <w:rsid w:val="008007A4"/>
    <w:rsid w:val="0080149E"/>
    <w:rsid w:val="008015F3"/>
    <w:rsid w:val="008018AE"/>
    <w:rsid w:val="00802017"/>
    <w:rsid w:val="008025BA"/>
    <w:rsid w:val="00802A46"/>
    <w:rsid w:val="00802B75"/>
    <w:rsid w:val="00802DBA"/>
    <w:rsid w:val="00803D22"/>
    <w:rsid w:val="008041C0"/>
    <w:rsid w:val="0080427E"/>
    <w:rsid w:val="00804799"/>
    <w:rsid w:val="00805841"/>
    <w:rsid w:val="00806339"/>
    <w:rsid w:val="0080643A"/>
    <w:rsid w:val="008066CB"/>
    <w:rsid w:val="00806735"/>
    <w:rsid w:val="00806C1F"/>
    <w:rsid w:val="00806DB4"/>
    <w:rsid w:val="00810266"/>
    <w:rsid w:val="00810509"/>
    <w:rsid w:val="00811216"/>
    <w:rsid w:val="00811467"/>
    <w:rsid w:val="00811A19"/>
    <w:rsid w:val="00812F67"/>
    <w:rsid w:val="00813F48"/>
    <w:rsid w:val="00814718"/>
    <w:rsid w:val="0081484D"/>
    <w:rsid w:val="00814992"/>
    <w:rsid w:val="00815A6A"/>
    <w:rsid w:val="00815AA3"/>
    <w:rsid w:val="008170BD"/>
    <w:rsid w:val="008175B4"/>
    <w:rsid w:val="00817A20"/>
    <w:rsid w:val="00817E43"/>
    <w:rsid w:val="0082007C"/>
    <w:rsid w:val="00820267"/>
    <w:rsid w:val="00820702"/>
    <w:rsid w:val="00820C7B"/>
    <w:rsid w:val="00820DD3"/>
    <w:rsid w:val="008212BA"/>
    <w:rsid w:val="00821899"/>
    <w:rsid w:val="00821941"/>
    <w:rsid w:val="0082267B"/>
    <w:rsid w:val="00823687"/>
    <w:rsid w:val="0082369B"/>
    <w:rsid w:val="00823B21"/>
    <w:rsid w:val="00824326"/>
    <w:rsid w:val="00824700"/>
    <w:rsid w:val="0082489E"/>
    <w:rsid w:val="00825ACF"/>
    <w:rsid w:val="00825B48"/>
    <w:rsid w:val="0082735B"/>
    <w:rsid w:val="00827748"/>
    <w:rsid w:val="00827BB2"/>
    <w:rsid w:val="00827F4D"/>
    <w:rsid w:val="00830BAF"/>
    <w:rsid w:val="008311B5"/>
    <w:rsid w:val="008311D5"/>
    <w:rsid w:val="00831346"/>
    <w:rsid w:val="00831944"/>
    <w:rsid w:val="00831AF5"/>
    <w:rsid w:val="00832718"/>
    <w:rsid w:val="00832A3D"/>
    <w:rsid w:val="00832AD6"/>
    <w:rsid w:val="0083308B"/>
    <w:rsid w:val="008335D4"/>
    <w:rsid w:val="00833635"/>
    <w:rsid w:val="00834557"/>
    <w:rsid w:val="00834709"/>
    <w:rsid w:val="0083482B"/>
    <w:rsid w:val="00834C0A"/>
    <w:rsid w:val="0083594C"/>
    <w:rsid w:val="00835CE7"/>
    <w:rsid w:val="008360DF"/>
    <w:rsid w:val="008363FD"/>
    <w:rsid w:val="008365AD"/>
    <w:rsid w:val="00840702"/>
    <w:rsid w:val="00840C97"/>
    <w:rsid w:val="008417E6"/>
    <w:rsid w:val="00841EE3"/>
    <w:rsid w:val="008421A9"/>
    <w:rsid w:val="00844828"/>
    <w:rsid w:val="00844DDA"/>
    <w:rsid w:val="008452C3"/>
    <w:rsid w:val="00845562"/>
    <w:rsid w:val="0084571C"/>
    <w:rsid w:val="00845C2C"/>
    <w:rsid w:val="008468FF"/>
    <w:rsid w:val="00846AB0"/>
    <w:rsid w:val="008471AE"/>
    <w:rsid w:val="00847488"/>
    <w:rsid w:val="00850357"/>
    <w:rsid w:val="008508D3"/>
    <w:rsid w:val="00851CE2"/>
    <w:rsid w:val="0085250B"/>
    <w:rsid w:val="008526D1"/>
    <w:rsid w:val="0085284B"/>
    <w:rsid w:val="00852A31"/>
    <w:rsid w:val="00853F19"/>
    <w:rsid w:val="008549CF"/>
    <w:rsid w:val="00855068"/>
    <w:rsid w:val="00855208"/>
    <w:rsid w:val="00856134"/>
    <w:rsid w:val="0085660A"/>
    <w:rsid w:val="008605EB"/>
    <w:rsid w:val="008617D9"/>
    <w:rsid w:val="00861FA8"/>
    <w:rsid w:val="00862500"/>
    <w:rsid w:val="008628C0"/>
    <w:rsid w:val="00862AEE"/>
    <w:rsid w:val="00862D6D"/>
    <w:rsid w:val="00862EE4"/>
    <w:rsid w:val="00862EF3"/>
    <w:rsid w:val="00863043"/>
    <w:rsid w:val="00863D9E"/>
    <w:rsid w:val="00863F30"/>
    <w:rsid w:val="00864FAF"/>
    <w:rsid w:val="00867B33"/>
    <w:rsid w:val="00870D66"/>
    <w:rsid w:val="00871FAC"/>
    <w:rsid w:val="00872A4F"/>
    <w:rsid w:val="0087311B"/>
    <w:rsid w:val="00873470"/>
    <w:rsid w:val="00873B3A"/>
    <w:rsid w:val="00874189"/>
    <w:rsid w:val="00874CEF"/>
    <w:rsid w:val="008753D0"/>
    <w:rsid w:val="00875FA5"/>
    <w:rsid w:val="00876094"/>
    <w:rsid w:val="008762E5"/>
    <w:rsid w:val="0087757A"/>
    <w:rsid w:val="00877B28"/>
    <w:rsid w:val="00877F58"/>
    <w:rsid w:val="008805D2"/>
    <w:rsid w:val="008806CE"/>
    <w:rsid w:val="00881325"/>
    <w:rsid w:val="008815BE"/>
    <w:rsid w:val="00882068"/>
    <w:rsid w:val="008828C4"/>
    <w:rsid w:val="0088344B"/>
    <w:rsid w:val="00883B04"/>
    <w:rsid w:val="008848F6"/>
    <w:rsid w:val="00884FE4"/>
    <w:rsid w:val="00885B1D"/>
    <w:rsid w:val="00886072"/>
    <w:rsid w:val="008875AE"/>
    <w:rsid w:val="0089027D"/>
    <w:rsid w:val="00891754"/>
    <w:rsid w:val="00891934"/>
    <w:rsid w:val="0089219C"/>
    <w:rsid w:val="008922FF"/>
    <w:rsid w:val="008923AC"/>
    <w:rsid w:val="008935D1"/>
    <w:rsid w:val="00893CFC"/>
    <w:rsid w:val="0089412D"/>
    <w:rsid w:val="00894189"/>
    <w:rsid w:val="0089476C"/>
    <w:rsid w:val="0089484A"/>
    <w:rsid w:val="00895125"/>
    <w:rsid w:val="00895AC0"/>
    <w:rsid w:val="008960CF"/>
    <w:rsid w:val="00896445"/>
    <w:rsid w:val="00896479"/>
    <w:rsid w:val="008968E9"/>
    <w:rsid w:val="0089719D"/>
    <w:rsid w:val="00897569"/>
    <w:rsid w:val="008A15C7"/>
    <w:rsid w:val="008A2432"/>
    <w:rsid w:val="008A26C2"/>
    <w:rsid w:val="008A2977"/>
    <w:rsid w:val="008A330D"/>
    <w:rsid w:val="008A3476"/>
    <w:rsid w:val="008A3BBB"/>
    <w:rsid w:val="008A3E96"/>
    <w:rsid w:val="008A4EE0"/>
    <w:rsid w:val="008A56E4"/>
    <w:rsid w:val="008A5F70"/>
    <w:rsid w:val="008A60C8"/>
    <w:rsid w:val="008A68A7"/>
    <w:rsid w:val="008A6E99"/>
    <w:rsid w:val="008A6FC0"/>
    <w:rsid w:val="008B04DB"/>
    <w:rsid w:val="008B06D6"/>
    <w:rsid w:val="008B0A52"/>
    <w:rsid w:val="008B1A96"/>
    <w:rsid w:val="008B1DCE"/>
    <w:rsid w:val="008B1F21"/>
    <w:rsid w:val="008B2665"/>
    <w:rsid w:val="008B2E7B"/>
    <w:rsid w:val="008B366A"/>
    <w:rsid w:val="008B3DE8"/>
    <w:rsid w:val="008B45DB"/>
    <w:rsid w:val="008B4779"/>
    <w:rsid w:val="008B4884"/>
    <w:rsid w:val="008B4909"/>
    <w:rsid w:val="008B4A60"/>
    <w:rsid w:val="008B4B9B"/>
    <w:rsid w:val="008B4EBA"/>
    <w:rsid w:val="008B682C"/>
    <w:rsid w:val="008B6836"/>
    <w:rsid w:val="008B68AA"/>
    <w:rsid w:val="008B744B"/>
    <w:rsid w:val="008C0175"/>
    <w:rsid w:val="008C0766"/>
    <w:rsid w:val="008C0FCC"/>
    <w:rsid w:val="008C16FF"/>
    <w:rsid w:val="008C1AD4"/>
    <w:rsid w:val="008C1D0D"/>
    <w:rsid w:val="008C2C14"/>
    <w:rsid w:val="008C2D8B"/>
    <w:rsid w:val="008C38EA"/>
    <w:rsid w:val="008C3BD9"/>
    <w:rsid w:val="008C472F"/>
    <w:rsid w:val="008C485C"/>
    <w:rsid w:val="008C55CA"/>
    <w:rsid w:val="008C5849"/>
    <w:rsid w:val="008C59F5"/>
    <w:rsid w:val="008C65FB"/>
    <w:rsid w:val="008C6E9F"/>
    <w:rsid w:val="008C7330"/>
    <w:rsid w:val="008C74F5"/>
    <w:rsid w:val="008C7B1E"/>
    <w:rsid w:val="008C7CAD"/>
    <w:rsid w:val="008D05BD"/>
    <w:rsid w:val="008D093A"/>
    <w:rsid w:val="008D09A6"/>
    <w:rsid w:val="008D0C0E"/>
    <w:rsid w:val="008D0C78"/>
    <w:rsid w:val="008D12F2"/>
    <w:rsid w:val="008D1848"/>
    <w:rsid w:val="008D2176"/>
    <w:rsid w:val="008D2BC7"/>
    <w:rsid w:val="008D2D92"/>
    <w:rsid w:val="008D4252"/>
    <w:rsid w:val="008D6335"/>
    <w:rsid w:val="008D63E0"/>
    <w:rsid w:val="008D6996"/>
    <w:rsid w:val="008D6AE7"/>
    <w:rsid w:val="008D7401"/>
    <w:rsid w:val="008D74A9"/>
    <w:rsid w:val="008E0084"/>
    <w:rsid w:val="008E04AD"/>
    <w:rsid w:val="008E09CA"/>
    <w:rsid w:val="008E0A9C"/>
    <w:rsid w:val="008E0B0C"/>
    <w:rsid w:val="008E0F80"/>
    <w:rsid w:val="008E16FD"/>
    <w:rsid w:val="008E37A6"/>
    <w:rsid w:val="008E3ABD"/>
    <w:rsid w:val="008E3B63"/>
    <w:rsid w:val="008E4030"/>
    <w:rsid w:val="008E44AC"/>
    <w:rsid w:val="008E461A"/>
    <w:rsid w:val="008E4C8D"/>
    <w:rsid w:val="008E5829"/>
    <w:rsid w:val="008E5A5D"/>
    <w:rsid w:val="008E63FD"/>
    <w:rsid w:val="008E74D2"/>
    <w:rsid w:val="008E763E"/>
    <w:rsid w:val="008E7902"/>
    <w:rsid w:val="008E7A30"/>
    <w:rsid w:val="008F09E1"/>
    <w:rsid w:val="008F10E6"/>
    <w:rsid w:val="008F1389"/>
    <w:rsid w:val="008F2F42"/>
    <w:rsid w:val="008F3590"/>
    <w:rsid w:val="008F38FC"/>
    <w:rsid w:val="008F4466"/>
    <w:rsid w:val="008F458D"/>
    <w:rsid w:val="008F6214"/>
    <w:rsid w:val="008F6655"/>
    <w:rsid w:val="008F6810"/>
    <w:rsid w:val="00900C04"/>
    <w:rsid w:val="00900F5C"/>
    <w:rsid w:val="0090157E"/>
    <w:rsid w:val="009019F6"/>
    <w:rsid w:val="0090212E"/>
    <w:rsid w:val="0090307B"/>
    <w:rsid w:val="00903107"/>
    <w:rsid w:val="009034B1"/>
    <w:rsid w:val="009035B0"/>
    <w:rsid w:val="0090397F"/>
    <w:rsid w:val="009042E7"/>
    <w:rsid w:val="009054B2"/>
    <w:rsid w:val="00905F4B"/>
    <w:rsid w:val="009076E2"/>
    <w:rsid w:val="00910342"/>
    <w:rsid w:val="0091076F"/>
    <w:rsid w:val="00910E23"/>
    <w:rsid w:val="00910EB3"/>
    <w:rsid w:val="0091126A"/>
    <w:rsid w:val="009116E5"/>
    <w:rsid w:val="009119D8"/>
    <w:rsid w:val="00911D62"/>
    <w:rsid w:val="00913145"/>
    <w:rsid w:val="009132A1"/>
    <w:rsid w:val="0091347E"/>
    <w:rsid w:val="0091525B"/>
    <w:rsid w:val="00915D1E"/>
    <w:rsid w:val="00916060"/>
    <w:rsid w:val="009175FA"/>
    <w:rsid w:val="009179A9"/>
    <w:rsid w:val="009201EA"/>
    <w:rsid w:val="0092029C"/>
    <w:rsid w:val="00920625"/>
    <w:rsid w:val="00920AD7"/>
    <w:rsid w:val="00921ED7"/>
    <w:rsid w:val="00922F62"/>
    <w:rsid w:val="00923552"/>
    <w:rsid w:val="009238D0"/>
    <w:rsid w:val="0092447A"/>
    <w:rsid w:val="00924A65"/>
    <w:rsid w:val="0092511F"/>
    <w:rsid w:val="0092716A"/>
    <w:rsid w:val="00927226"/>
    <w:rsid w:val="009274A8"/>
    <w:rsid w:val="00927926"/>
    <w:rsid w:val="00927D4C"/>
    <w:rsid w:val="009310A7"/>
    <w:rsid w:val="00931DC2"/>
    <w:rsid w:val="00932D18"/>
    <w:rsid w:val="0093419B"/>
    <w:rsid w:val="00934874"/>
    <w:rsid w:val="0093648D"/>
    <w:rsid w:val="009364A4"/>
    <w:rsid w:val="00936E67"/>
    <w:rsid w:val="00936E7B"/>
    <w:rsid w:val="00937C73"/>
    <w:rsid w:val="00937D22"/>
    <w:rsid w:val="00940358"/>
    <w:rsid w:val="009405B7"/>
    <w:rsid w:val="009409D5"/>
    <w:rsid w:val="00940F5C"/>
    <w:rsid w:val="00940F9D"/>
    <w:rsid w:val="00941BB1"/>
    <w:rsid w:val="00941CCB"/>
    <w:rsid w:val="00942208"/>
    <w:rsid w:val="00942DB8"/>
    <w:rsid w:val="00942E3D"/>
    <w:rsid w:val="0094362D"/>
    <w:rsid w:val="00943A30"/>
    <w:rsid w:val="00943EAA"/>
    <w:rsid w:val="0094402E"/>
    <w:rsid w:val="00944139"/>
    <w:rsid w:val="00944167"/>
    <w:rsid w:val="00944792"/>
    <w:rsid w:val="00946574"/>
    <w:rsid w:val="009467F7"/>
    <w:rsid w:val="00947286"/>
    <w:rsid w:val="0095004D"/>
    <w:rsid w:val="00951DCB"/>
    <w:rsid w:val="00952A5A"/>
    <w:rsid w:val="00952EDA"/>
    <w:rsid w:val="00953405"/>
    <w:rsid w:val="009538E7"/>
    <w:rsid w:val="009546A2"/>
    <w:rsid w:val="00956374"/>
    <w:rsid w:val="00956492"/>
    <w:rsid w:val="0095660E"/>
    <w:rsid w:val="00956DAB"/>
    <w:rsid w:val="00957255"/>
    <w:rsid w:val="00957402"/>
    <w:rsid w:val="009577FC"/>
    <w:rsid w:val="00960A8F"/>
    <w:rsid w:val="00960BB6"/>
    <w:rsid w:val="00960D23"/>
    <w:rsid w:val="009612EE"/>
    <w:rsid w:val="00961557"/>
    <w:rsid w:val="00961A3E"/>
    <w:rsid w:val="00961A4D"/>
    <w:rsid w:val="0096228D"/>
    <w:rsid w:val="00962334"/>
    <w:rsid w:val="00962A02"/>
    <w:rsid w:val="0096303D"/>
    <w:rsid w:val="009635FD"/>
    <w:rsid w:val="0096435E"/>
    <w:rsid w:val="00964E17"/>
    <w:rsid w:val="00965CC0"/>
    <w:rsid w:val="00965CE0"/>
    <w:rsid w:val="009662A8"/>
    <w:rsid w:val="00966943"/>
    <w:rsid w:val="009674ED"/>
    <w:rsid w:val="00967934"/>
    <w:rsid w:val="00972004"/>
    <w:rsid w:val="00972346"/>
    <w:rsid w:val="00972C0C"/>
    <w:rsid w:val="00972F1B"/>
    <w:rsid w:val="009730CF"/>
    <w:rsid w:val="009735DF"/>
    <w:rsid w:val="00973611"/>
    <w:rsid w:val="009747CB"/>
    <w:rsid w:val="00975070"/>
    <w:rsid w:val="00975408"/>
    <w:rsid w:val="00975782"/>
    <w:rsid w:val="00975A89"/>
    <w:rsid w:val="00975AFB"/>
    <w:rsid w:val="00975F63"/>
    <w:rsid w:val="00976198"/>
    <w:rsid w:val="00976C09"/>
    <w:rsid w:val="00976FDE"/>
    <w:rsid w:val="0098055C"/>
    <w:rsid w:val="0098060F"/>
    <w:rsid w:val="0098063E"/>
    <w:rsid w:val="00980C4C"/>
    <w:rsid w:val="00981610"/>
    <w:rsid w:val="00981619"/>
    <w:rsid w:val="00981927"/>
    <w:rsid w:val="00981E80"/>
    <w:rsid w:val="009821C7"/>
    <w:rsid w:val="009844B6"/>
    <w:rsid w:val="00984603"/>
    <w:rsid w:val="0098466C"/>
    <w:rsid w:val="00984F24"/>
    <w:rsid w:val="00985BB1"/>
    <w:rsid w:val="00986756"/>
    <w:rsid w:val="00986984"/>
    <w:rsid w:val="009901CE"/>
    <w:rsid w:val="00990346"/>
    <w:rsid w:val="00990694"/>
    <w:rsid w:val="00991ABC"/>
    <w:rsid w:val="00991B5B"/>
    <w:rsid w:val="009920CA"/>
    <w:rsid w:val="0099222D"/>
    <w:rsid w:val="00992A8D"/>
    <w:rsid w:val="00993521"/>
    <w:rsid w:val="009938B2"/>
    <w:rsid w:val="00993C23"/>
    <w:rsid w:val="009943F9"/>
    <w:rsid w:val="00995FB9"/>
    <w:rsid w:val="00995FEC"/>
    <w:rsid w:val="00996649"/>
    <w:rsid w:val="0099701F"/>
    <w:rsid w:val="00997578"/>
    <w:rsid w:val="009A0C75"/>
    <w:rsid w:val="009A1299"/>
    <w:rsid w:val="009A15DF"/>
    <w:rsid w:val="009A1B92"/>
    <w:rsid w:val="009A2411"/>
    <w:rsid w:val="009A27A0"/>
    <w:rsid w:val="009A32F9"/>
    <w:rsid w:val="009A335B"/>
    <w:rsid w:val="009A3707"/>
    <w:rsid w:val="009A37AC"/>
    <w:rsid w:val="009A3E77"/>
    <w:rsid w:val="009A4092"/>
    <w:rsid w:val="009A40BC"/>
    <w:rsid w:val="009A59B2"/>
    <w:rsid w:val="009A5A12"/>
    <w:rsid w:val="009A6D31"/>
    <w:rsid w:val="009A7442"/>
    <w:rsid w:val="009B002B"/>
    <w:rsid w:val="009B02A1"/>
    <w:rsid w:val="009B02D7"/>
    <w:rsid w:val="009B0E5C"/>
    <w:rsid w:val="009B2044"/>
    <w:rsid w:val="009B2416"/>
    <w:rsid w:val="009B2986"/>
    <w:rsid w:val="009B32FD"/>
    <w:rsid w:val="009B369F"/>
    <w:rsid w:val="009B3840"/>
    <w:rsid w:val="009B390C"/>
    <w:rsid w:val="009B3F7D"/>
    <w:rsid w:val="009B486E"/>
    <w:rsid w:val="009C060B"/>
    <w:rsid w:val="009C06CA"/>
    <w:rsid w:val="009C23A1"/>
    <w:rsid w:val="009C2632"/>
    <w:rsid w:val="009C26A3"/>
    <w:rsid w:val="009C2CDB"/>
    <w:rsid w:val="009C3B5A"/>
    <w:rsid w:val="009C42F2"/>
    <w:rsid w:val="009C4337"/>
    <w:rsid w:val="009C4590"/>
    <w:rsid w:val="009C4912"/>
    <w:rsid w:val="009C52C4"/>
    <w:rsid w:val="009C584B"/>
    <w:rsid w:val="009C5FAA"/>
    <w:rsid w:val="009C6D30"/>
    <w:rsid w:val="009C707D"/>
    <w:rsid w:val="009C7572"/>
    <w:rsid w:val="009C77F9"/>
    <w:rsid w:val="009C7FAC"/>
    <w:rsid w:val="009D08E5"/>
    <w:rsid w:val="009D1256"/>
    <w:rsid w:val="009D130C"/>
    <w:rsid w:val="009D1F67"/>
    <w:rsid w:val="009D2CC3"/>
    <w:rsid w:val="009D393C"/>
    <w:rsid w:val="009D3F8B"/>
    <w:rsid w:val="009D480E"/>
    <w:rsid w:val="009D4FF4"/>
    <w:rsid w:val="009D596F"/>
    <w:rsid w:val="009D64B3"/>
    <w:rsid w:val="009D75DA"/>
    <w:rsid w:val="009D7CBB"/>
    <w:rsid w:val="009D7E19"/>
    <w:rsid w:val="009E0BCE"/>
    <w:rsid w:val="009E0F2A"/>
    <w:rsid w:val="009E10F0"/>
    <w:rsid w:val="009E1203"/>
    <w:rsid w:val="009E1975"/>
    <w:rsid w:val="009E1C1D"/>
    <w:rsid w:val="009E27EF"/>
    <w:rsid w:val="009E3DA3"/>
    <w:rsid w:val="009E45AC"/>
    <w:rsid w:val="009E4702"/>
    <w:rsid w:val="009E4E30"/>
    <w:rsid w:val="009E51B2"/>
    <w:rsid w:val="009E5723"/>
    <w:rsid w:val="009E669B"/>
    <w:rsid w:val="009E6EAD"/>
    <w:rsid w:val="009E7A03"/>
    <w:rsid w:val="009E7C68"/>
    <w:rsid w:val="009F0511"/>
    <w:rsid w:val="009F0B00"/>
    <w:rsid w:val="009F0BD8"/>
    <w:rsid w:val="009F1051"/>
    <w:rsid w:val="009F11EE"/>
    <w:rsid w:val="009F14F0"/>
    <w:rsid w:val="009F2586"/>
    <w:rsid w:val="009F2595"/>
    <w:rsid w:val="009F26D2"/>
    <w:rsid w:val="009F2C16"/>
    <w:rsid w:val="009F2D70"/>
    <w:rsid w:val="009F32C4"/>
    <w:rsid w:val="009F35C7"/>
    <w:rsid w:val="009F3687"/>
    <w:rsid w:val="009F3CAF"/>
    <w:rsid w:val="009F42D4"/>
    <w:rsid w:val="009F4F68"/>
    <w:rsid w:val="009F586D"/>
    <w:rsid w:val="009F627F"/>
    <w:rsid w:val="009F6C1A"/>
    <w:rsid w:val="009F7261"/>
    <w:rsid w:val="00A0059B"/>
    <w:rsid w:val="00A00970"/>
    <w:rsid w:val="00A017D8"/>
    <w:rsid w:val="00A01941"/>
    <w:rsid w:val="00A021D7"/>
    <w:rsid w:val="00A022D4"/>
    <w:rsid w:val="00A0304B"/>
    <w:rsid w:val="00A035D4"/>
    <w:rsid w:val="00A037B7"/>
    <w:rsid w:val="00A03C34"/>
    <w:rsid w:val="00A03EFE"/>
    <w:rsid w:val="00A04354"/>
    <w:rsid w:val="00A047B2"/>
    <w:rsid w:val="00A04DD7"/>
    <w:rsid w:val="00A04E8C"/>
    <w:rsid w:val="00A04EB9"/>
    <w:rsid w:val="00A0520C"/>
    <w:rsid w:val="00A060CB"/>
    <w:rsid w:val="00A06BA7"/>
    <w:rsid w:val="00A06CB1"/>
    <w:rsid w:val="00A06E38"/>
    <w:rsid w:val="00A06FFA"/>
    <w:rsid w:val="00A07143"/>
    <w:rsid w:val="00A07847"/>
    <w:rsid w:val="00A10460"/>
    <w:rsid w:val="00A10A96"/>
    <w:rsid w:val="00A10B3B"/>
    <w:rsid w:val="00A11C20"/>
    <w:rsid w:val="00A12532"/>
    <w:rsid w:val="00A13D4A"/>
    <w:rsid w:val="00A14D3F"/>
    <w:rsid w:val="00A15922"/>
    <w:rsid w:val="00A174B1"/>
    <w:rsid w:val="00A20BFD"/>
    <w:rsid w:val="00A21EAC"/>
    <w:rsid w:val="00A221B9"/>
    <w:rsid w:val="00A229A3"/>
    <w:rsid w:val="00A22C28"/>
    <w:rsid w:val="00A234A0"/>
    <w:rsid w:val="00A23500"/>
    <w:rsid w:val="00A2387C"/>
    <w:rsid w:val="00A23A2E"/>
    <w:rsid w:val="00A24C62"/>
    <w:rsid w:val="00A24F71"/>
    <w:rsid w:val="00A25006"/>
    <w:rsid w:val="00A25C2E"/>
    <w:rsid w:val="00A263AA"/>
    <w:rsid w:val="00A268D2"/>
    <w:rsid w:val="00A27C3D"/>
    <w:rsid w:val="00A30491"/>
    <w:rsid w:val="00A31061"/>
    <w:rsid w:val="00A3129F"/>
    <w:rsid w:val="00A33741"/>
    <w:rsid w:val="00A337A7"/>
    <w:rsid w:val="00A340E8"/>
    <w:rsid w:val="00A34583"/>
    <w:rsid w:val="00A34F88"/>
    <w:rsid w:val="00A3526D"/>
    <w:rsid w:val="00A35337"/>
    <w:rsid w:val="00A356EF"/>
    <w:rsid w:val="00A357E5"/>
    <w:rsid w:val="00A35A90"/>
    <w:rsid w:val="00A36628"/>
    <w:rsid w:val="00A3686A"/>
    <w:rsid w:val="00A3738E"/>
    <w:rsid w:val="00A37E03"/>
    <w:rsid w:val="00A400BC"/>
    <w:rsid w:val="00A40AF3"/>
    <w:rsid w:val="00A40BEA"/>
    <w:rsid w:val="00A418CE"/>
    <w:rsid w:val="00A41E30"/>
    <w:rsid w:val="00A4310A"/>
    <w:rsid w:val="00A43654"/>
    <w:rsid w:val="00A43C71"/>
    <w:rsid w:val="00A4493F"/>
    <w:rsid w:val="00A44D41"/>
    <w:rsid w:val="00A452B9"/>
    <w:rsid w:val="00A50844"/>
    <w:rsid w:val="00A50D53"/>
    <w:rsid w:val="00A50EA7"/>
    <w:rsid w:val="00A51EBE"/>
    <w:rsid w:val="00A52B27"/>
    <w:rsid w:val="00A52B79"/>
    <w:rsid w:val="00A52F6B"/>
    <w:rsid w:val="00A531D0"/>
    <w:rsid w:val="00A53BF1"/>
    <w:rsid w:val="00A53E2F"/>
    <w:rsid w:val="00A542EB"/>
    <w:rsid w:val="00A54326"/>
    <w:rsid w:val="00A5480D"/>
    <w:rsid w:val="00A54940"/>
    <w:rsid w:val="00A54D68"/>
    <w:rsid w:val="00A554F2"/>
    <w:rsid w:val="00A55A1A"/>
    <w:rsid w:val="00A564A2"/>
    <w:rsid w:val="00A56851"/>
    <w:rsid w:val="00A56B16"/>
    <w:rsid w:val="00A56B48"/>
    <w:rsid w:val="00A576B2"/>
    <w:rsid w:val="00A60248"/>
    <w:rsid w:val="00A609F2"/>
    <w:rsid w:val="00A61F0F"/>
    <w:rsid w:val="00A6317D"/>
    <w:rsid w:val="00A63ADB"/>
    <w:rsid w:val="00A6413B"/>
    <w:rsid w:val="00A64604"/>
    <w:rsid w:val="00A64DF4"/>
    <w:rsid w:val="00A64FCE"/>
    <w:rsid w:val="00A65312"/>
    <w:rsid w:val="00A667B9"/>
    <w:rsid w:val="00A66825"/>
    <w:rsid w:val="00A669FB"/>
    <w:rsid w:val="00A672F7"/>
    <w:rsid w:val="00A708BC"/>
    <w:rsid w:val="00A70E55"/>
    <w:rsid w:val="00A71472"/>
    <w:rsid w:val="00A71DFE"/>
    <w:rsid w:val="00A71F95"/>
    <w:rsid w:val="00A7252A"/>
    <w:rsid w:val="00A7393E"/>
    <w:rsid w:val="00A7458B"/>
    <w:rsid w:val="00A7470C"/>
    <w:rsid w:val="00A7508D"/>
    <w:rsid w:val="00A75C27"/>
    <w:rsid w:val="00A75E00"/>
    <w:rsid w:val="00A7673D"/>
    <w:rsid w:val="00A76780"/>
    <w:rsid w:val="00A76D04"/>
    <w:rsid w:val="00A778E6"/>
    <w:rsid w:val="00A77954"/>
    <w:rsid w:val="00A77C08"/>
    <w:rsid w:val="00A77DBA"/>
    <w:rsid w:val="00A80316"/>
    <w:rsid w:val="00A80949"/>
    <w:rsid w:val="00A80BB1"/>
    <w:rsid w:val="00A80DD2"/>
    <w:rsid w:val="00A8238A"/>
    <w:rsid w:val="00A830D5"/>
    <w:rsid w:val="00A841C5"/>
    <w:rsid w:val="00A84F0C"/>
    <w:rsid w:val="00A84F81"/>
    <w:rsid w:val="00A85664"/>
    <w:rsid w:val="00A85A11"/>
    <w:rsid w:val="00A85F0E"/>
    <w:rsid w:val="00A861F4"/>
    <w:rsid w:val="00A86C88"/>
    <w:rsid w:val="00A86D80"/>
    <w:rsid w:val="00A8756D"/>
    <w:rsid w:val="00A90411"/>
    <w:rsid w:val="00A90E0A"/>
    <w:rsid w:val="00A91EDC"/>
    <w:rsid w:val="00A9262F"/>
    <w:rsid w:val="00A93D4D"/>
    <w:rsid w:val="00A9439D"/>
    <w:rsid w:val="00A9484C"/>
    <w:rsid w:val="00A95874"/>
    <w:rsid w:val="00A96029"/>
    <w:rsid w:val="00A967EA"/>
    <w:rsid w:val="00A96893"/>
    <w:rsid w:val="00A96EBB"/>
    <w:rsid w:val="00A9741E"/>
    <w:rsid w:val="00A97ABB"/>
    <w:rsid w:val="00AA01C0"/>
    <w:rsid w:val="00AA10B8"/>
    <w:rsid w:val="00AA11FE"/>
    <w:rsid w:val="00AA1309"/>
    <w:rsid w:val="00AA1D6E"/>
    <w:rsid w:val="00AA288B"/>
    <w:rsid w:val="00AA2F37"/>
    <w:rsid w:val="00AA3A10"/>
    <w:rsid w:val="00AA43BB"/>
    <w:rsid w:val="00AA4F00"/>
    <w:rsid w:val="00AA623D"/>
    <w:rsid w:val="00AA6C8F"/>
    <w:rsid w:val="00AA7C2A"/>
    <w:rsid w:val="00AA7CF7"/>
    <w:rsid w:val="00AB0736"/>
    <w:rsid w:val="00AB1208"/>
    <w:rsid w:val="00AB1364"/>
    <w:rsid w:val="00AB186D"/>
    <w:rsid w:val="00AB24B6"/>
    <w:rsid w:val="00AB24FD"/>
    <w:rsid w:val="00AB29C0"/>
    <w:rsid w:val="00AB2D5D"/>
    <w:rsid w:val="00AB35A3"/>
    <w:rsid w:val="00AB3883"/>
    <w:rsid w:val="00AB3CB4"/>
    <w:rsid w:val="00AB41EB"/>
    <w:rsid w:val="00AB4343"/>
    <w:rsid w:val="00AB5A1D"/>
    <w:rsid w:val="00AB61E5"/>
    <w:rsid w:val="00AB6D41"/>
    <w:rsid w:val="00AB71BE"/>
    <w:rsid w:val="00AB75B7"/>
    <w:rsid w:val="00AB76B2"/>
    <w:rsid w:val="00AB76B9"/>
    <w:rsid w:val="00AC0E38"/>
    <w:rsid w:val="00AC1232"/>
    <w:rsid w:val="00AC238C"/>
    <w:rsid w:val="00AC2F83"/>
    <w:rsid w:val="00AC339E"/>
    <w:rsid w:val="00AC35BB"/>
    <w:rsid w:val="00AC4067"/>
    <w:rsid w:val="00AC4305"/>
    <w:rsid w:val="00AC4616"/>
    <w:rsid w:val="00AC4C5C"/>
    <w:rsid w:val="00AC4E6C"/>
    <w:rsid w:val="00AC5748"/>
    <w:rsid w:val="00AC6A6E"/>
    <w:rsid w:val="00AC6E34"/>
    <w:rsid w:val="00AD1088"/>
    <w:rsid w:val="00AD1E52"/>
    <w:rsid w:val="00AD25E9"/>
    <w:rsid w:val="00AD28E8"/>
    <w:rsid w:val="00AD3BFC"/>
    <w:rsid w:val="00AD3D15"/>
    <w:rsid w:val="00AD41C2"/>
    <w:rsid w:val="00AD42C2"/>
    <w:rsid w:val="00AD44A5"/>
    <w:rsid w:val="00AD44A8"/>
    <w:rsid w:val="00AD547C"/>
    <w:rsid w:val="00AD589B"/>
    <w:rsid w:val="00AD5C10"/>
    <w:rsid w:val="00AD5F87"/>
    <w:rsid w:val="00AD6140"/>
    <w:rsid w:val="00AD6277"/>
    <w:rsid w:val="00AD7278"/>
    <w:rsid w:val="00AD78A4"/>
    <w:rsid w:val="00AD7AA2"/>
    <w:rsid w:val="00AD7DBF"/>
    <w:rsid w:val="00AE0253"/>
    <w:rsid w:val="00AE04F3"/>
    <w:rsid w:val="00AE0795"/>
    <w:rsid w:val="00AE0C8A"/>
    <w:rsid w:val="00AE0D81"/>
    <w:rsid w:val="00AE2023"/>
    <w:rsid w:val="00AE2893"/>
    <w:rsid w:val="00AE2ADC"/>
    <w:rsid w:val="00AE4653"/>
    <w:rsid w:val="00AE4C08"/>
    <w:rsid w:val="00AE4E18"/>
    <w:rsid w:val="00AE577F"/>
    <w:rsid w:val="00AE6681"/>
    <w:rsid w:val="00AF08B9"/>
    <w:rsid w:val="00AF0EBF"/>
    <w:rsid w:val="00AF112D"/>
    <w:rsid w:val="00AF21AD"/>
    <w:rsid w:val="00AF2533"/>
    <w:rsid w:val="00AF3458"/>
    <w:rsid w:val="00AF35BC"/>
    <w:rsid w:val="00AF399E"/>
    <w:rsid w:val="00AF3CDB"/>
    <w:rsid w:val="00AF3F2C"/>
    <w:rsid w:val="00AF4425"/>
    <w:rsid w:val="00AF4551"/>
    <w:rsid w:val="00AF5371"/>
    <w:rsid w:val="00AF5ACD"/>
    <w:rsid w:val="00AF5C38"/>
    <w:rsid w:val="00AF5F54"/>
    <w:rsid w:val="00AF63E5"/>
    <w:rsid w:val="00AF7BFC"/>
    <w:rsid w:val="00AF7D48"/>
    <w:rsid w:val="00B00E1B"/>
    <w:rsid w:val="00B0169F"/>
    <w:rsid w:val="00B0198D"/>
    <w:rsid w:val="00B0249F"/>
    <w:rsid w:val="00B0293F"/>
    <w:rsid w:val="00B02FBA"/>
    <w:rsid w:val="00B03CEA"/>
    <w:rsid w:val="00B040F7"/>
    <w:rsid w:val="00B0484A"/>
    <w:rsid w:val="00B05B6A"/>
    <w:rsid w:val="00B074E2"/>
    <w:rsid w:val="00B078BB"/>
    <w:rsid w:val="00B07CDA"/>
    <w:rsid w:val="00B10078"/>
    <w:rsid w:val="00B10089"/>
    <w:rsid w:val="00B100E5"/>
    <w:rsid w:val="00B10133"/>
    <w:rsid w:val="00B10950"/>
    <w:rsid w:val="00B10D02"/>
    <w:rsid w:val="00B1133B"/>
    <w:rsid w:val="00B11930"/>
    <w:rsid w:val="00B11E6E"/>
    <w:rsid w:val="00B12819"/>
    <w:rsid w:val="00B12AB4"/>
    <w:rsid w:val="00B12D78"/>
    <w:rsid w:val="00B13CB6"/>
    <w:rsid w:val="00B143DA"/>
    <w:rsid w:val="00B14517"/>
    <w:rsid w:val="00B15284"/>
    <w:rsid w:val="00B152C8"/>
    <w:rsid w:val="00B15C55"/>
    <w:rsid w:val="00B1625D"/>
    <w:rsid w:val="00B1693D"/>
    <w:rsid w:val="00B16961"/>
    <w:rsid w:val="00B16C08"/>
    <w:rsid w:val="00B16CDB"/>
    <w:rsid w:val="00B16F44"/>
    <w:rsid w:val="00B172E2"/>
    <w:rsid w:val="00B178E2"/>
    <w:rsid w:val="00B20EE4"/>
    <w:rsid w:val="00B22245"/>
    <w:rsid w:val="00B228DB"/>
    <w:rsid w:val="00B2353D"/>
    <w:rsid w:val="00B236CE"/>
    <w:rsid w:val="00B237C3"/>
    <w:rsid w:val="00B23933"/>
    <w:rsid w:val="00B23E2B"/>
    <w:rsid w:val="00B245CC"/>
    <w:rsid w:val="00B24865"/>
    <w:rsid w:val="00B24910"/>
    <w:rsid w:val="00B25B8C"/>
    <w:rsid w:val="00B26149"/>
    <w:rsid w:val="00B26735"/>
    <w:rsid w:val="00B275DF"/>
    <w:rsid w:val="00B27935"/>
    <w:rsid w:val="00B27D55"/>
    <w:rsid w:val="00B30524"/>
    <w:rsid w:val="00B30DA8"/>
    <w:rsid w:val="00B31CC9"/>
    <w:rsid w:val="00B3224B"/>
    <w:rsid w:val="00B329A4"/>
    <w:rsid w:val="00B32A47"/>
    <w:rsid w:val="00B32F5E"/>
    <w:rsid w:val="00B33E4F"/>
    <w:rsid w:val="00B34272"/>
    <w:rsid w:val="00B34523"/>
    <w:rsid w:val="00B3493E"/>
    <w:rsid w:val="00B356DB"/>
    <w:rsid w:val="00B35F12"/>
    <w:rsid w:val="00B36CCE"/>
    <w:rsid w:val="00B36E2A"/>
    <w:rsid w:val="00B370CF"/>
    <w:rsid w:val="00B37277"/>
    <w:rsid w:val="00B37428"/>
    <w:rsid w:val="00B37777"/>
    <w:rsid w:val="00B40083"/>
    <w:rsid w:val="00B40207"/>
    <w:rsid w:val="00B40F75"/>
    <w:rsid w:val="00B44232"/>
    <w:rsid w:val="00B44461"/>
    <w:rsid w:val="00B44FD0"/>
    <w:rsid w:val="00B4513D"/>
    <w:rsid w:val="00B452AD"/>
    <w:rsid w:val="00B45ECB"/>
    <w:rsid w:val="00B468A4"/>
    <w:rsid w:val="00B46CD7"/>
    <w:rsid w:val="00B4707A"/>
    <w:rsid w:val="00B47FBD"/>
    <w:rsid w:val="00B47FC9"/>
    <w:rsid w:val="00B500F1"/>
    <w:rsid w:val="00B50129"/>
    <w:rsid w:val="00B50A84"/>
    <w:rsid w:val="00B51067"/>
    <w:rsid w:val="00B52EB0"/>
    <w:rsid w:val="00B530A6"/>
    <w:rsid w:val="00B538D1"/>
    <w:rsid w:val="00B54407"/>
    <w:rsid w:val="00B5570A"/>
    <w:rsid w:val="00B567E8"/>
    <w:rsid w:val="00B569F4"/>
    <w:rsid w:val="00B60391"/>
    <w:rsid w:val="00B61593"/>
    <w:rsid w:val="00B615F3"/>
    <w:rsid w:val="00B61622"/>
    <w:rsid w:val="00B61B50"/>
    <w:rsid w:val="00B62FD6"/>
    <w:rsid w:val="00B631AA"/>
    <w:rsid w:val="00B6390E"/>
    <w:rsid w:val="00B64315"/>
    <w:rsid w:val="00B6443A"/>
    <w:rsid w:val="00B64740"/>
    <w:rsid w:val="00B65D72"/>
    <w:rsid w:val="00B65E5F"/>
    <w:rsid w:val="00B6644D"/>
    <w:rsid w:val="00B666DC"/>
    <w:rsid w:val="00B66B23"/>
    <w:rsid w:val="00B66D21"/>
    <w:rsid w:val="00B6715D"/>
    <w:rsid w:val="00B701F7"/>
    <w:rsid w:val="00B70865"/>
    <w:rsid w:val="00B717AA"/>
    <w:rsid w:val="00B71C1A"/>
    <w:rsid w:val="00B72F1D"/>
    <w:rsid w:val="00B733D6"/>
    <w:rsid w:val="00B73ABF"/>
    <w:rsid w:val="00B73CA7"/>
    <w:rsid w:val="00B73E04"/>
    <w:rsid w:val="00B74785"/>
    <w:rsid w:val="00B759BC"/>
    <w:rsid w:val="00B75F1D"/>
    <w:rsid w:val="00B7615E"/>
    <w:rsid w:val="00B7621E"/>
    <w:rsid w:val="00B7641E"/>
    <w:rsid w:val="00B7668D"/>
    <w:rsid w:val="00B76916"/>
    <w:rsid w:val="00B77114"/>
    <w:rsid w:val="00B77D17"/>
    <w:rsid w:val="00B802F2"/>
    <w:rsid w:val="00B8060F"/>
    <w:rsid w:val="00B80EBC"/>
    <w:rsid w:val="00B811A5"/>
    <w:rsid w:val="00B81461"/>
    <w:rsid w:val="00B8171B"/>
    <w:rsid w:val="00B825CF"/>
    <w:rsid w:val="00B83670"/>
    <w:rsid w:val="00B83DD2"/>
    <w:rsid w:val="00B84909"/>
    <w:rsid w:val="00B850AE"/>
    <w:rsid w:val="00B853B4"/>
    <w:rsid w:val="00B85EB1"/>
    <w:rsid w:val="00B863DB"/>
    <w:rsid w:val="00B87E45"/>
    <w:rsid w:val="00B90336"/>
    <w:rsid w:val="00B91152"/>
    <w:rsid w:val="00B9131D"/>
    <w:rsid w:val="00B922BA"/>
    <w:rsid w:val="00B9345B"/>
    <w:rsid w:val="00B975C6"/>
    <w:rsid w:val="00B979A4"/>
    <w:rsid w:val="00B97CCA"/>
    <w:rsid w:val="00BA02A8"/>
    <w:rsid w:val="00BA0E2F"/>
    <w:rsid w:val="00BA0F81"/>
    <w:rsid w:val="00BA101C"/>
    <w:rsid w:val="00BA14CD"/>
    <w:rsid w:val="00BA2030"/>
    <w:rsid w:val="00BA21A4"/>
    <w:rsid w:val="00BA283D"/>
    <w:rsid w:val="00BA28EB"/>
    <w:rsid w:val="00BA2B5A"/>
    <w:rsid w:val="00BA2C35"/>
    <w:rsid w:val="00BA35DF"/>
    <w:rsid w:val="00BA369F"/>
    <w:rsid w:val="00BA462F"/>
    <w:rsid w:val="00BA476A"/>
    <w:rsid w:val="00BA5023"/>
    <w:rsid w:val="00BA50FB"/>
    <w:rsid w:val="00BA5CE1"/>
    <w:rsid w:val="00BA646F"/>
    <w:rsid w:val="00BA73E1"/>
    <w:rsid w:val="00BA7409"/>
    <w:rsid w:val="00BA77BC"/>
    <w:rsid w:val="00BA7FB9"/>
    <w:rsid w:val="00BB06E8"/>
    <w:rsid w:val="00BB141F"/>
    <w:rsid w:val="00BB1C43"/>
    <w:rsid w:val="00BB1F4E"/>
    <w:rsid w:val="00BB2261"/>
    <w:rsid w:val="00BB28CE"/>
    <w:rsid w:val="00BB3440"/>
    <w:rsid w:val="00BB3C12"/>
    <w:rsid w:val="00BB3EBE"/>
    <w:rsid w:val="00BB50FC"/>
    <w:rsid w:val="00BB5268"/>
    <w:rsid w:val="00BB5C6E"/>
    <w:rsid w:val="00BB63E7"/>
    <w:rsid w:val="00BB67C8"/>
    <w:rsid w:val="00BB732D"/>
    <w:rsid w:val="00BB7389"/>
    <w:rsid w:val="00BB7D35"/>
    <w:rsid w:val="00BC1C9E"/>
    <w:rsid w:val="00BC1EDC"/>
    <w:rsid w:val="00BC3D61"/>
    <w:rsid w:val="00BC4078"/>
    <w:rsid w:val="00BC4107"/>
    <w:rsid w:val="00BC45F1"/>
    <w:rsid w:val="00BC5A18"/>
    <w:rsid w:val="00BC5A61"/>
    <w:rsid w:val="00BC5DAC"/>
    <w:rsid w:val="00BC612B"/>
    <w:rsid w:val="00BC632D"/>
    <w:rsid w:val="00BC65FF"/>
    <w:rsid w:val="00BC6A30"/>
    <w:rsid w:val="00BC753B"/>
    <w:rsid w:val="00BC7CAB"/>
    <w:rsid w:val="00BC7EBC"/>
    <w:rsid w:val="00BC7F8B"/>
    <w:rsid w:val="00BD0629"/>
    <w:rsid w:val="00BD0C10"/>
    <w:rsid w:val="00BD0CA2"/>
    <w:rsid w:val="00BD14E8"/>
    <w:rsid w:val="00BD1B75"/>
    <w:rsid w:val="00BD31ED"/>
    <w:rsid w:val="00BD324A"/>
    <w:rsid w:val="00BD3495"/>
    <w:rsid w:val="00BD41CE"/>
    <w:rsid w:val="00BD44E4"/>
    <w:rsid w:val="00BD50BD"/>
    <w:rsid w:val="00BD5168"/>
    <w:rsid w:val="00BD5719"/>
    <w:rsid w:val="00BD64FE"/>
    <w:rsid w:val="00BD6589"/>
    <w:rsid w:val="00BD6A06"/>
    <w:rsid w:val="00BD6B09"/>
    <w:rsid w:val="00BD6F81"/>
    <w:rsid w:val="00BD704B"/>
    <w:rsid w:val="00BE0153"/>
    <w:rsid w:val="00BE04D1"/>
    <w:rsid w:val="00BE0E76"/>
    <w:rsid w:val="00BE1961"/>
    <w:rsid w:val="00BE27EA"/>
    <w:rsid w:val="00BE2C71"/>
    <w:rsid w:val="00BE3626"/>
    <w:rsid w:val="00BE3E61"/>
    <w:rsid w:val="00BE4618"/>
    <w:rsid w:val="00BE4EA1"/>
    <w:rsid w:val="00BE5064"/>
    <w:rsid w:val="00BE5196"/>
    <w:rsid w:val="00BE5561"/>
    <w:rsid w:val="00BE5BE6"/>
    <w:rsid w:val="00BE5DA4"/>
    <w:rsid w:val="00BE63D6"/>
    <w:rsid w:val="00BE6D92"/>
    <w:rsid w:val="00BE7272"/>
    <w:rsid w:val="00BE790A"/>
    <w:rsid w:val="00BE7BC9"/>
    <w:rsid w:val="00BE7D9C"/>
    <w:rsid w:val="00BF066C"/>
    <w:rsid w:val="00BF082D"/>
    <w:rsid w:val="00BF0890"/>
    <w:rsid w:val="00BF132A"/>
    <w:rsid w:val="00BF180F"/>
    <w:rsid w:val="00BF1B2A"/>
    <w:rsid w:val="00BF2647"/>
    <w:rsid w:val="00BF2899"/>
    <w:rsid w:val="00BF2B13"/>
    <w:rsid w:val="00BF3B20"/>
    <w:rsid w:val="00BF3F00"/>
    <w:rsid w:val="00BF4887"/>
    <w:rsid w:val="00BF4DA6"/>
    <w:rsid w:val="00BF4E46"/>
    <w:rsid w:val="00BF53F9"/>
    <w:rsid w:val="00BF5DAD"/>
    <w:rsid w:val="00BF5F34"/>
    <w:rsid w:val="00BF622A"/>
    <w:rsid w:val="00BF6479"/>
    <w:rsid w:val="00BF68F1"/>
    <w:rsid w:val="00C001B7"/>
    <w:rsid w:val="00C00258"/>
    <w:rsid w:val="00C002BB"/>
    <w:rsid w:val="00C00715"/>
    <w:rsid w:val="00C013D3"/>
    <w:rsid w:val="00C02A7B"/>
    <w:rsid w:val="00C02EF9"/>
    <w:rsid w:val="00C04C38"/>
    <w:rsid w:val="00C04CA3"/>
    <w:rsid w:val="00C04EA1"/>
    <w:rsid w:val="00C04F1E"/>
    <w:rsid w:val="00C055D4"/>
    <w:rsid w:val="00C057D7"/>
    <w:rsid w:val="00C0593B"/>
    <w:rsid w:val="00C06C78"/>
    <w:rsid w:val="00C06D35"/>
    <w:rsid w:val="00C06E4F"/>
    <w:rsid w:val="00C071DD"/>
    <w:rsid w:val="00C072EA"/>
    <w:rsid w:val="00C0790F"/>
    <w:rsid w:val="00C105A5"/>
    <w:rsid w:val="00C107EF"/>
    <w:rsid w:val="00C1091B"/>
    <w:rsid w:val="00C10A8E"/>
    <w:rsid w:val="00C1154B"/>
    <w:rsid w:val="00C117EB"/>
    <w:rsid w:val="00C118EC"/>
    <w:rsid w:val="00C123D9"/>
    <w:rsid w:val="00C13042"/>
    <w:rsid w:val="00C1308C"/>
    <w:rsid w:val="00C1347A"/>
    <w:rsid w:val="00C13884"/>
    <w:rsid w:val="00C1395D"/>
    <w:rsid w:val="00C141BD"/>
    <w:rsid w:val="00C14A95"/>
    <w:rsid w:val="00C1548A"/>
    <w:rsid w:val="00C158EE"/>
    <w:rsid w:val="00C15B44"/>
    <w:rsid w:val="00C15D6E"/>
    <w:rsid w:val="00C167DC"/>
    <w:rsid w:val="00C16C1C"/>
    <w:rsid w:val="00C17062"/>
    <w:rsid w:val="00C17C2C"/>
    <w:rsid w:val="00C17FF3"/>
    <w:rsid w:val="00C20D80"/>
    <w:rsid w:val="00C215B2"/>
    <w:rsid w:val="00C2168B"/>
    <w:rsid w:val="00C21844"/>
    <w:rsid w:val="00C21D4B"/>
    <w:rsid w:val="00C221B7"/>
    <w:rsid w:val="00C227D4"/>
    <w:rsid w:val="00C22D05"/>
    <w:rsid w:val="00C231DB"/>
    <w:rsid w:val="00C2348D"/>
    <w:rsid w:val="00C23659"/>
    <w:rsid w:val="00C2388E"/>
    <w:rsid w:val="00C23AF8"/>
    <w:rsid w:val="00C243A2"/>
    <w:rsid w:val="00C24CC2"/>
    <w:rsid w:val="00C258C3"/>
    <w:rsid w:val="00C259C9"/>
    <w:rsid w:val="00C25CD1"/>
    <w:rsid w:val="00C25DDD"/>
    <w:rsid w:val="00C2603D"/>
    <w:rsid w:val="00C26404"/>
    <w:rsid w:val="00C2673C"/>
    <w:rsid w:val="00C30F0A"/>
    <w:rsid w:val="00C311FB"/>
    <w:rsid w:val="00C31396"/>
    <w:rsid w:val="00C3160F"/>
    <w:rsid w:val="00C317FE"/>
    <w:rsid w:val="00C32189"/>
    <w:rsid w:val="00C328A5"/>
    <w:rsid w:val="00C32CE7"/>
    <w:rsid w:val="00C33D3A"/>
    <w:rsid w:val="00C33E5A"/>
    <w:rsid w:val="00C3515C"/>
    <w:rsid w:val="00C352FC"/>
    <w:rsid w:val="00C40708"/>
    <w:rsid w:val="00C4078E"/>
    <w:rsid w:val="00C41476"/>
    <w:rsid w:val="00C41E7E"/>
    <w:rsid w:val="00C422BE"/>
    <w:rsid w:val="00C42437"/>
    <w:rsid w:val="00C42833"/>
    <w:rsid w:val="00C428C2"/>
    <w:rsid w:val="00C429B4"/>
    <w:rsid w:val="00C430D7"/>
    <w:rsid w:val="00C4330F"/>
    <w:rsid w:val="00C436E0"/>
    <w:rsid w:val="00C44124"/>
    <w:rsid w:val="00C444F2"/>
    <w:rsid w:val="00C44636"/>
    <w:rsid w:val="00C44642"/>
    <w:rsid w:val="00C44F84"/>
    <w:rsid w:val="00C452E9"/>
    <w:rsid w:val="00C456EC"/>
    <w:rsid w:val="00C465D1"/>
    <w:rsid w:val="00C46858"/>
    <w:rsid w:val="00C500C4"/>
    <w:rsid w:val="00C501E5"/>
    <w:rsid w:val="00C50261"/>
    <w:rsid w:val="00C50D60"/>
    <w:rsid w:val="00C5152E"/>
    <w:rsid w:val="00C51B32"/>
    <w:rsid w:val="00C52302"/>
    <w:rsid w:val="00C52E92"/>
    <w:rsid w:val="00C53528"/>
    <w:rsid w:val="00C535B1"/>
    <w:rsid w:val="00C53C14"/>
    <w:rsid w:val="00C53CA4"/>
    <w:rsid w:val="00C5478E"/>
    <w:rsid w:val="00C54BB7"/>
    <w:rsid w:val="00C54D19"/>
    <w:rsid w:val="00C54D57"/>
    <w:rsid w:val="00C54DC4"/>
    <w:rsid w:val="00C54F34"/>
    <w:rsid w:val="00C55010"/>
    <w:rsid w:val="00C551C9"/>
    <w:rsid w:val="00C551EB"/>
    <w:rsid w:val="00C55485"/>
    <w:rsid w:val="00C56441"/>
    <w:rsid w:val="00C56FAD"/>
    <w:rsid w:val="00C5703E"/>
    <w:rsid w:val="00C57C6D"/>
    <w:rsid w:val="00C60255"/>
    <w:rsid w:val="00C61685"/>
    <w:rsid w:val="00C61697"/>
    <w:rsid w:val="00C617DE"/>
    <w:rsid w:val="00C61AEB"/>
    <w:rsid w:val="00C61BA3"/>
    <w:rsid w:val="00C61FAB"/>
    <w:rsid w:val="00C6215A"/>
    <w:rsid w:val="00C62692"/>
    <w:rsid w:val="00C627DE"/>
    <w:rsid w:val="00C62DC2"/>
    <w:rsid w:val="00C632B2"/>
    <w:rsid w:val="00C6473F"/>
    <w:rsid w:val="00C64876"/>
    <w:rsid w:val="00C6538F"/>
    <w:rsid w:val="00C654F9"/>
    <w:rsid w:val="00C65785"/>
    <w:rsid w:val="00C65FBD"/>
    <w:rsid w:val="00C6698C"/>
    <w:rsid w:val="00C66CB6"/>
    <w:rsid w:val="00C676D5"/>
    <w:rsid w:val="00C67EFC"/>
    <w:rsid w:val="00C703EE"/>
    <w:rsid w:val="00C70940"/>
    <w:rsid w:val="00C7177D"/>
    <w:rsid w:val="00C71CB8"/>
    <w:rsid w:val="00C71D37"/>
    <w:rsid w:val="00C745B5"/>
    <w:rsid w:val="00C74661"/>
    <w:rsid w:val="00C759E1"/>
    <w:rsid w:val="00C76B08"/>
    <w:rsid w:val="00C76BAD"/>
    <w:rsid w:val="00C76C4A"/>
    <w:rsid w:val="00C80A8F"/>
    <w:rsid w:val="00C80EBC"/>
    <w:rsid w:val="00C81352"/>
    <w:rsid w:val="00C82F93"/>
    <w:rsid w:val="00C82FBC"/>
    <w:rsid w:val="00C839C3"/>
    <w:rsid w:val="00C83A4B"/>
    <w:rsid w:val="00C843B9"/>
    <w:rsid w:val="00C84AA5"/>
    <w:rsid w:val="00C859B2"/>
    <w:rsid w:val="00C85D8F"/>
    <w:rsid w:val="00C864A6"/>
    <w:rsid w:val="00C86698"/>
    <w:rsid w:val="00C86961"/>
    <w:rsid w:val="00C86A05"/>
    <w:rsid w:val="00C86A2D"/>
    <w:rsid w:val="00C86EAD"/>
    <w:rsid w:val="00C8781A"/>
    <w:rsid w:val="00C87A42"/>
    <w:rsid w:val="00C90746"/>
    <w:rsid w:val="00C91518"/>
    <w:rsid w:val="00C91CE4"/>
    <w:rsid w:val="00C91FC6"/>
    <w:rsid w:val="00C92851"/>
    <w:rsid w:val="00C92B01"/>
    <w:rsid w:val="00C92EE3"/>
    <w:rsid w:val="00C92FC2"/>
    <w:rsid w:val="00C93447"/>
    <w:rsid w:val="00C935F0"/>
    <w:rsid w:val="00C93B96"/>
    <w:rsid w:val="00C9497A"/>
    <w:rsid w:val="00C94C20"/>
    <w:rsid w:val="00C958E4"/>
    <w:rsid w:val="00C95C78"/>
    <w:rsid w:val="00CA015C"/>
    <w:rsid w:val="00CA05EA"/>
    <w:rsid w:val="00CA1510"/>
    <w:rsid w:val="00CA2BE8"/>
    <w:rsid w:val="00CA345C"/>
    <w:rsid w:val="00CA606B"/>
    <w:rsid w:val="00CA61DE"/>
    <w:rsid w:val="00CA7FAD"/>
    <w:rsid w:val="00CB0286"/>
    <w:rsid w:val="00CB0530"/>
    <w:rsid w:val="00CB062D"/>
    <w:rsid w:val="00CB1CA6"/>
    <w:rsid w:val="00CB40B7"/>
    <w:rsid w:val="00CB529B"/>
    <w:rsid w:val="00CB6572"/>
    <w:rsid w:val="00CB763F"/>
    <w:rsid w:val="00CB7676"/>
    <w:rsid w:val="00CC0A96"/>
    <w:rsid w:val="00CC0EF6"/>
    <w:rsid w:val="00CC151B"/>
    <w:rsid w:val="00CC18AD"/>
    <w:rsid w:val="00CC18E8"/>
    <w:rsid w:val="00CC2731"/>
    <w:rsid w:val="00CC40E7"/>
    <w:rsid w:val="00CC416D"/>
    <w:rsid w:val="00CC441D"/>
    <w:rsid w:val="00CC48D5"/>
    <w:rsid w:val="00CC49C3"/>
    <w:rsid w:val="00CC4BDE"/>
    <w:rsid w:val="00CC4D1F"/>
    <w:rsid w:val="00CC5840"/>
    <w:rsid w:val="00CC5A8E"/>
    <w:rsid w:val="00CC627C"/>
    <w:rsid w:val="00CC7C46"/>
    <w:rsid w:val="00CD0181"/>
    <w:rsid w:val="00CD0BAF"/>
    <w:rsid w:val="00CD13FD"/>
    <w:rsid w:val="00CD2A61"/>
    <w:rsid w:val="00CD2AD4"/>
    <w:rsid w:val="00CD3038"/>
    <w:rsid w:val="00CD3691"/>
    <w:rsid w:val="00CD4B6F"/>
    <w:rsid w:val="00CD4E63"/>
    <w:rsid w:val="00CD5567"/>
    <w:rsid w:val="00CD57CC"/>
    <w:rsid w:val="00CD591B"/>
    <w:rsid w:val="00CD6788"/>
    <w:rsid w:val="00CD6916"/>
    <w:rsid w:val="00CD6A15"/>
    <w:rsid w:val="00CE0646"/>
    <w:rsid w:val="00CE0AC6"/>
    <w:rsid w:val="00CE0C71"/>
    <w:rsid w:val="00CE0CDA"/>
    <w:rsid w:val="00CE16A7"/>
    <w:rsid w:val="00CE1B4C"/>
    <w:rsid w:val="00CE242C"/>
    <w:rsid w:val="00CE2651"/>
    <w:rsid w:val="00CE2F0C"/>
    <w:rsid w:val="00CE3A1F"/>
    <w:rsid w:val="00CE42AD"/>
    <w:rsid w:val="00CE6E16"/>
    <w:rsid w:val="00CE7BB8"/>
    <w:rsid w:val="00CE7BD4"/>
    <w:rsid w:val="00CF073A"/>
    <w:rsid w:val="00CF0908"/>
    <w:rsid w:val="00CF142D"/>
    <w:rsid w:val="00CF156D"/>
    <w:rsid w:val="00CF1A46"/>
    <w:rsid w:val="00CF20CC"/>
    <w:rsid w:val="00CF2E19"/>
    <w:rsid w:val="00CF34A3"/>
    <w:rsid w:val="00CF3B5C"/>
    <w:rsid w:val="00CF3D0D"/>
    <w:rsid w:val="00CF4934"/>
    <w:rsid w:val="00CF4DF2"/>
    <w:rsid w:val="00CF51F1"/>
    <w:rsid w:val="00CF5AFB"/>
    <w:rsid w:val="00CF5DC5"/>
    <w:rsid w:val="00CF5E8B"/>
    <w:rsid w:val="00CF5EA1"/>
    <w:rsid w:val="00CF60D4"/>
    <w:rsid w:val="00CF656D"/>
    <w:rsid w:val="00CF6859"/>
    <w:rsid w:val="00CF6A15"/>
    <w:rsid w:val="00CF6E06"/>
    <w:rsid w:val="00CF72D6"/>
    <w:rsid w:val="00CF7796"/>
    <w:rsid w:val="00CF7A2B"/>
    <w:rsid w:val="00CF7E45"/>
    <w:rsid w:val="00D00D66"/>
    <w:rsid w:val="00D015D3"/>
    <w:rsid w:val="00D016C1"/>
    <w:rsid w:val="00D01ED8"/>
    <w:rsid w:val="00D02701"/>
    <w:rsid w:val="00D02AD3"/>
    <w:rsid w:val="00D036E8"/>
    <w:rsid w:val="00D03727"/>
    <w:rsid w:val="00D0373E"/>
    <w:rsid w:val="00D0484A"/>
    <w:rsid w:val="00D04F45"/>
    <w:rsid w:val="00D060A7"/>
    <w:rsid w:val="00D06429"/>
    <w:rsid w:val="00D06809"/>
    <w:rsid w:val="00D06D7D"/>
    <w:rsid w:val="00D07CF4"/>
    <w:rsid w:val="00D10168"/>
    <w:rsid w:val="00D10196"/>
    <w:rsid w:val="00D10515"/>
    <w:rsid w:val="00D10988"/>
    <w:rsid w:val="00D10C73"/>
    <w:rsid w:val="00D10D9E"/>
    <w:rsid w:val="00D11835"/>
    <w:rsid w:val="00D11B0F"/>
    <w:rsid w:val="00D13680"/>
    <w:rsid w:val="00D13948"/>
    <w:rsid w:val="00D139D7"/>
    <w:rsid w:val="00D15077"/>
    <w:rsid w:val="00D15283"/>
    <w:rsid w:val="00D1599E"/>
    <w:rsid w:val="00D15F8F"/>
    <w:rsid w:val="00D17334"/>
    <w:rsid w:val="00D17C23"/>
    <w:rsid w:val="00D2089C"/>
    <w:rsid w:val="00D20DA5"/>
    <w:rsid w:val="00D21D2E"/>
    <w:rsid w:val="00D22418"/>
    <w:rsid w:val="00D22B57"/>
    <w:rsid w:val="00D2309D"/>
    <w:rsid w:val="00D23A0C"/>
    <w:rsid w:val="00D24102"/>
    <w:rsid w:val="00D24F42"/>
    <w:rsid w:val="00D2511A"/>
    <w:rsid w:val="00D25646"/>
    <w:rsid w:val="00D25A03"/>
    <w:rsid w:val="00D2648A"/>
    <w:rsid w:val="00D265E9"/>
    <w:rsid w:val="00D26C88"/>
    <w:rsid w:val="00D27CA2"/>
    <w:rsid w:val="00D27FB0"/>
    <w:rsid w:val="00D3016E"/>
    <w:rsid w:val="00D310F7"/>
    <w:rsid w:val="00D311FB"/>
    <w:rsid w:val="00D317D5"/>
    <w:rsid w:val="00D32052"/>
    <w:rsid w:val="00D322F8"/>
    <w:rsid w:val="00D3303C"/>
    <w:rsid w:val="00D33D94"/>
    <w:rsid w:val="00D346B0"/>
    <w:rsid w:val="00D3497E"/>
    <w:rsid w:val="00D35AA8"/>
    <w:rsid w:val="00D368FE"/>
    <w:rsid w:val="00D36C8D"/>
    <w:rsid w:val="00D37417"/>
    <w:rsid w:val="00D401E8"/>
    <w:rsid w:val="00D40C85"/>
    <w:rsid w:val="00D41290"/>
    <w:rsid w:val="00D41DBD"/>
    <w:rsid w:val="00D42BE1"/>
    <w:rsid w:val="00D42FA8"/>
    <w:rsid w:val="00D4360A"/>
    <w:rsid w:val="00D438A2"/>
    <w:rsid w:val="00D439D4"/>
    <w:rsid w:val="00D4415E"/>
    <w:rsid w:val="00D44C1A"/>
    <w:rsid w:val="00D45400"/>
    <w:rsid w:val="00D45E66"/>
    <w:rsid w:val="00D46120"/>
    <w:rsid w:val="00D46D78"/>
    <w:rsid w:val="00D470B9"/>
    <w:rsid w:val="00D508A7"/>
    <w:rsid w:val="00D50DDD"/>
    <w:rsid w:val="00D51321"/>
    <w:rsid w:val="00D5182B"/>
    <w:rsid w:val="00D52880"/>
    <w:rsid w:val="00D5315A"/>
    <w:rsid w:val="00D535C5"/>
    <w:rsid w:val="00D5368C"/>
    <w:rsid w:val="00D5396E"/>
    <w:rsid w:val="00D54AB1"/>
    <w:rsid w:val="00D54B38"/>
    <w:rsid w:val="00D54E31"/>
    <w:rsid w:val="00D57346"/>
    <w:rsid w:val="00D57C2A"/>
    <w:rsid w:val="00D60648"/>
    <w:rsid w:val="00D60845"/>
    <w:rsid w:val="00D6121C"/>
    <w:rsid w:val="00D62135"/>
    <w:rsid w:val="00D6269F"/>
    <w:rsid w:val="00D626AC"/>
    <w:rsid w:val="00D628FC"/>
    <w:rsid w:val="00D64001"/>
    <w:rsid w:val="00D641C6"/>
    <w:rsid w:val="00D6431C"/>
    <w:rsid w:val="00D644A1"/>
    <w:rsid w:val="00D65081"/>
    <w:rsid w:val="00D6593C"/>
    <w:rsid w:val="00D65AD4"/>
    <w:rsid w:val="00D65AE6"/>
    <w:rsid w:val="00D668F9"/>
    <w:rsid w:val="00D66E39"/>
    <w:rsid w:val="00D66EEC"/>
    <w:rsid w:val="00D67A89"/>
    <w:rsid w:val="00D711F9"/>
    <w:rsid w:val="00D7130F"/>
    <w:rsid w:val="00D7147B"/>
    <w:rsid w:val="00D72F36"/>
    <w:rsid w:val="00D731EC"/>
    <w:rsid w:val="00D738CA"/>
    <w:rsid w:val="00D73C60"/>
    <w:rsid w:val="00D73F67"/>
    <w:rsid w:val="00D741C7"/>
    <w:rsid w:val="00D7452C"/>
    <w:rsid w:val="00D74CC3"/>
    <w:rsid w:val="00D75138"/>
    <w:rsid w:val="00D75623"/>
    <w:rsid w:val="00D75894"/>
    <w:rsid w:val="00D75E74"/>
    <w:rsid w:val="00D76A30"/>
    <w:rsid w:val="00D81F58"/>
    <w:rsid w:val="00D820D5"/>
    <w:rsid w:val="00D827F8"/>
    <w:rsid w:val="00D82A0E"/>
    <w:rsid w:val="00D82EAB"/>
    <w:rsid w:val="00D8364F"/>
    <w:rsid w:val="00D8461C"/>
    <w:rsid w:val="00D858F6"/>
    <w:rsid w:val="00D8639C"/>
    <w:rsid w:val="00D86AB7"/>
    <w:rsid w:val="00D86D6F"/>
    <w:rsid w:val="00D90302"/>
    <w:rsid w:val="00D90853"/>
    <w:rsid w:val="00D90F94"/>
    <w:rsid w:val="00D90FA9"/>
    <w:rsid w:val="00D91485"/>
    <w:rsid w:val="00D9188C"/>
    <w:rsid w:val="00D918BE"/>
    <w:rsid w:val="00D91C34"/>
    <w:rsid w:val="00D92B9C"/>
    <w:rsid w:val="00D92EA8"/>
    <w:rsid w:val="00D9356F"/>
    <w:rsid w:val="00D936FA"/>
    <w:rsid w:val="00D93B7C"/>
    <w:rsid w:val="00D942C3"/>
    <w:rsid w:val="00D9454D"/>
    <w:rsid w:val="00D95211"/>
    <w:rsid w:val="00D95518"/>
    <w:rsid w:val="00D95E99"/>
    <w:rsid w:val="00D96202"/>
    <w:rsid w:val="00DA009C"/>
    <w:rsid w:val="00DA19C1"/>
    <w:rsid w:val="00DA2DAD"/>
    <w:rsid w:val="00DA348D"/>
    <w:rsid w:val="00DA3993"/>
    <w:rsid w:val="00DA4239"/>
    <w:rsid w:val="00DA47ED"/>
    <w:rsid w:val="00DA47F6"/>
    <w:rsid w:val="00DA4E51"/>
    <w:rsid w:val="00DA5899"/>
    <w:rsid w:val="00DA5EF8"/>
    <w:rsid w:val="00DA6481"/>
    <w:rsid w:val="00DA6B80"/>
    <w:rsid w:val="00DA6BFE"/>
    <w:rsid w:val="00DB1215"/>
    <w:rsid w:val="00DB186C"/>
    <w:rsid w:val="00DB1EAF"/>
    <w:rsid w:val="00DB2CCB"/>
    <w:rsid w:val="00DB3A80"/>
    <w:rsid w:val="00DB51C1"/>
    <w:rsid w:val="00DB5D97"/>
    <w:rsid w:val="00DB74DE"/>
    <w:rsid w:val="00DB7689"/>
    <w:rsid w:val="00DB770D"/>
    <w:rsid w:val="00DB7AFB"/>
    <w:rsid w:val="00DC0661"/>
    <w:rsid w:val="00DC0D08"/>
    <w:rsid w:val="00DC20DB"/>
    <w:rsid w:val="00DC2186"/>
    <w:rsid w:val="00DC31E0"/>
    <w:rsid w:val="00DC325F"/>
    <w:rsid w:val="00DC33D7"/>
    <w:rsid w:val="00DC3B71"/>
    <w:rsid w:val="00DC3BAC"/>
    <w:rsid w:val="00DC593F"/>
    <w:rsid w:val="00DC5C0D"/>
    <w:rsid w:val="00DC6053"/>
    <w:rsid w:val="00DC6110"/>
    <w:rsid w:val="00DC6787"/>
    <w:rsid w:val="00DC6D0D"/>
    <w:rsid w:val="00DC6EF7"/>
    <w:rsid w:val="00DC7594"/>
    <w:rsid w:val="00DC7CBA"/>
    <w:rsid w:val="00DD021C"/>
    <w:rsid w:val="00DD046D"/>
    <w:rsid w:val="00DD0C8A"/>
    <w:rsid w:val="00DD0D9F"/>
    <w:rsid w:val="00DD1464"/>
    <w:rsid w:val="00DD1973"/>
    <w:rsid w:val="00DD1A3E"/>
    <w:rsid w:val="00DD2A28"/>
    <w:rsid w:val="00DD3349"/>
    <w:rsid w:val="00DD38B9"/>
    <w:rsid w:val="00DD412B"/>
    <w:rsid w:val="00DD4166"/>
    <w:rsid w:val="00DD41B0"/>
    <w:rsid w:val="00DD468A"/>
    <w:rsid w:val="00DD4AF2"/>
    <w:rsid w:val="00DD6429"/>
    <w:rsid w:val="00DD64E7"/>
    <w:rsid w:val="00DD6526"/>
    <w:rsid w:val="00DD78E0"/>
    <w:rsid w:val="00DD7E3A"/>
    <w:rsid w:val="00DD7F0B"/>
    <w:rsid w:val="00DE00A9"/>
    <w:rsid w:val="00DE00F6"/>
    <w:rsid w:val="00DE0ADC"/>
    <w:rsid w:val="00DE10C3"/>
    <w:rsid w:val="00DE1168"/>
    <w:rsid w:val="00DE22B9"/>
    <w:rsid w:val="00DE23E3"/>
    <w:rsid w:val="00DE2486"/>
    <w:rsid w:val="00DE2D21"/>
    <w:rsid w:val="00DE3678"/>
    <w:rsid w:val="00DE395F"/>
    <w:rsid w:val="00DE3E33"/>
    <w:rsid w:val="00DE3EAA"/>
    <w:rsid w:val="00DE4593"/>
    <w:rsid w:val="00DE5055"/>
    <w:rsid w:val="00DE50B6"/>
    <w:rsid w:val="00DE785B"/>
    <w:rsid w:val="00DE78CD"/>
    <w:rsid w:val="00DF0080"/>
    <w:rsid w:val="00DF044B"/>
    <w:rsid w:val="00DF06E3"/>
    <w:rsid w:val="00DF0F3C"/>
    <w:rsid w:val="00DF1607"/>
    <w:rsid w:val="00DF16D7"/>
    <w:rsid w:val="00DF1774"/>
    <w:rsid w:val="00DF1F22"/>
    <w:rsid w:val="00DF2964"/>
    <w:rsid w:val="00DF2E91"/>
    <w:rsid w:val="00DF2F2C"/>
    <w:rsid w:val="00DF3691"/>
    <w:rsid w:val="00DF4CBF"/>
    <w:rsid w:val="00DF512D"/>
    <w:rsid w:val="00DF51AB"/>
    <w:rsid w:val="00DF5E28"/>
    <w:rsid w:val="00DF60D9"/>
    <w:rsid w:val="00DF6490"/>
    <w:rsid w:val="00DF6DC0"/>
    <w:rsid w:val="00DF6E18"/>
    <w:rsid w:val="00DF7849"/>
    <w:rsid w:val="00DF7BDC"/>
    <w:rsid w:val="00DF7C4A"/>
    <w:rsid w:val="00E00331"/>
    <w:rsid w:val="00E00C63"/>
    <w:rsid w:val="00E02B33"/>
    <w:rsid w:val="00E030F4"/>
    <w:rsid w:val="00E03DFF"/>
    <w:rsid w:val="00E04017"/>
    <w:rsid w:val="00E04641"/>
    <w:rsid w:val="00E04754"/>
    <w:rsid w:val="00E04AA6"/>
    <w:rsid w:val="00E04C0F"/>
    <w:rsid w:val="00E053C3"/>
    <w:rsid w:val="00E05943"/>
    <w:rsid w:val="00E05AA8"/>
    <w:rsid w:val="00E06313"/>
    <w:rsid w:val="00E065FE"/>
    <w:rsid w:val="00E06A7D"/>
    <w:rsid w:val="00E077D6"/>
    <w:rsid w:val="00E1010D"/>
    <w:rsid w:val="00E1020E"/>
    <w:rsid w:val="00E114B6"/>
    <w:rsid w:val="00E123E3"/>
    <w:rsid w:val="00E12CCD"/>
    <w:rsid w:val="00E13022"/>
    <w:rsid w:val="00E14594"/>
    <w:rsid w:val="00E14BB4"/>
    <w:rsid w:val="00E1679E"/>
    <w:rsid w:val="00E16BD8"/>
    <w:rsid w:val="00E170E4"/>
    <w:rsid w:val="00E17C8F"/>
    <w:rsid w:val="00E20E67"/>
    <w:rsid w:val="00E20F2C"/>
    <w:rsid w:val="00E21E1F"/>
    <w:rsid w:val="00E2379D"/>
    <w:rsid w:val="00E237C4"/>
    <w:rsid w:val="00E23B46"/>
    <w:rsid w:val="00E23F2A"/>
    <w:rsid w:val="00E24129"/>
    <w:rsid w:val="00E24587"/>
    <w:rsid w:val="00E2494C"/>
    <w:rsid w:val="00E24E17"/>
    <w:rsid w:val="00E25065"/>
    <w:rsid w:val="00E252AF"/>
    <w:rsid w:val="00E254AC"/>
    <w:rsid w:val="00E25552"/>
    <w:rsid w:val="00E2574C"/>
    <w:rsid w:val="00E25ED7"/>
    <w:rsid w:val="00E27DD6"/>
    <w:rsid w:val="00E30709"/>
    <w:rsid w:val="00E30935"/>
    <w:rsid w:val="00E30937"/>
    <w:rsid w:val="00E31972"/>
    <w:rsid w:val="00E31978"/>
    <w:rsid w:val="00E31C31"/>
    <w:rsid w:val="00E320E5"/>
    <w:rsid w:val="00E32F7C"/>
    <w:rsid w:val="00E33817"/>
    <w:rsid w:val="00E3389D"/>
    <w:rsid w:val="00E33959"/>
    <w:rsid w:val="00E34AE5"/>
    <w:rsid w:val="00E34C21"/>
    <w:rsid w:val="00E351F7"/>
    <w:rsid w:val="00E351FB"/>
    <w:rsid w:val="00E37088"/>
    <w:rsid w:val="00E409BE"/>
    <w:rsid w:val="00E4165E"/>
    <w:rsid w:val="00E41BEF"/>
    <w:rsid w:val="00E41EA3"/>
    <w:rsid w:val="00E42671"/>
    <w:rsid w:val="00E42EA1"/>
    <w:rsid w:val="00E4358D"/>
    <w:rsid w:val="00E43C9D"/>
    <w:rsid w:val="00E43D59"/>
    <w:rsid w:val="00E43F4D"/>
    <w:rsid w:val="00E44769"/>
    <w:rsid w:val="00E449CE"/>
    <w:rsid w:val="00E452B8"/>
    <w:rsid w:val="00E46029"/>
    <w:rsid w:val="00E46204"/>
    <w:rsid w:val="00E4669A"/>
    <w:rsid w:val="00E46B2D"/>
    <w:rsid w:val="00E46E79"/>
    <w:rsid w:val="00E46FB0"/>
    <w:rsid w:val="00E47619"/>
    <w:rsid w:val="00E4796F"/>
    <w:rsid w:val="00E50FF3"/>
    <w:rsid w:val="00E510C7"/>
    <w:rsid w:val="00E51493"/>
    <w:rsid w:val="00E51F4E"/>
    <w:rsid w:val="00E5251C"/>
    <w:rsid w:val="00E52559"/>
    <w:rsid w:val="00E5261C"/>
    <w:rsid w:val="00E5262E"/>
    <w:rsid w:val="00E537E0"/>
    <w:rsid w:val="00E53E74"/>
    <w:rsid w:val="00E541E4"/>
    <w:rsid w:val="00E5435C"/>
    <w:rsid w:val="00E5522B"/>
    <w:rsid w:val="00E552B0"/>
    <w:rsid w:val="00E55D34"/>
    <w:rsid w:val="00E5728A"/>
    <w:rsid w:val="00E5741A"/>
    <w:rsid w:val="00E603A5"/>
    <w:rsid w:val="00E603A9"/>
    <w:rsid w:val="00E60A02"/>
    <w:rsid w:val="00E610AA"/>
    <w:rsid w:val="00E61826"/>
    <w:rsid w:val="00E6223C"/>
    <w:rsid w:val="00E63D1E"/>
    <w:rsid w:val="00E640AE"/>
    <w:rsid w:val="00E6467D"/>
    <w:rsid w:val="00E64BEF"/>
    <w:rsid w:val="00E65B1F"/>
    <w:rsid w:val="00E6665A"/>
    <w:rsid w:val="00E672CA"/>
    <w:rsid w:val="00E67395"/>
    <w:rsid w:val="00E67C73"/>
    <w:rsid w:val="00E7000C"/>
    <w:rsid w:val="00E7028C"/>
    <w:rsid w:val="00E707FA"/>
    <w:rsid w:val="00E70C0A"/>
    <w:rsid w:val="00E714FE"/>
    <w:rsid w:val="00E726E2"/>
    <w:rsid w:val="00E72D0B"/>
    <w:rsid w:val="00E72E62"/>
    <w:rsid w:val="00E72FE9"/>
    <w:rsid w:val="00E73A37"/>
    <w:rsid w:val="00E74037"/>
    <w:rsid w:val="00E75479"/>
    <w:rsid w:val="00E75705"/>
    <w:rsid w:val="00E7582E"/>
    <w:rsid w:val="00E75915"/>
    <w:rsid w:val="00E763FD"/>
    <w:rsid w:val="00E801C7"/>
    <w:rsid w:val="00E80200"/>
    <w:rsid w:val="00E81641"/>
    <w:rsid w:val="00E82A3B"/>
    <w:rsid w:val="00E83196"/>
    <w:rsid w:val="00E8329C"/>
    <w:rsid w:val="00E8379B"/>
    <w:rsid w:val="00E83C75"/>
    <w:rsid w:val="00E83F00"/>
    <w:rsid w:val="00E83FBC"/>
    <w:rsid w:val="00E85098"/>
    <w:rsid w:val="00E854BC"/>
    <w:rsid w:val="00E855A8"/>
    <w:rsid w:val="00E857B9"/>
    <w:rsid w:val="00E86830"/>
    <w:rsid w:val="00E86FED"/>
    <w:rsid w:val="00E87484"/>
    <w:rsid w:val="00E877B8"/>
    <w:rsid w:val="00E90AFD"/>
    <w:rsid w:val="00E90BC4"/>
    <w:rsid w:val="00E9105D"/>
    <w:rsid w:val="00E914E9"/>
    <w:rsid w:val="00E918CE"/>
    <w:rsid w:val="00E920F2"/>
    <w:rsid w:val="00E92705"/>
    <w:rsid w:val="00E92E0A"/>
    <w:rsid w:val="00E9362C"/>
    <w:rsid w:val="00E94901"/>
    <w:rsid w:val="00E95040"/>
    <w:rsid w:val="00E95A82"/>
    <w:rsid w:val="00E95CD9"/>
    <w:rsid w:val="00E96B22"/>
    <w:rsid w:val="00E9705A"/>
    <w:rsid w:val="00EA050D"/>
    <w:rsid w:val="00EA08B0"/>
    <w:rsid w:val="00EA0ED2"/>
    <w:rsid w:val="00EA136E"/>
    <w:rsid w:val="00EA18E0"/>
    <w:rsid w:val="00EA227A"/>
    <w:rsid w:val="00EA2508"/>
    <w:rsid w:val="00EA2655"/>
    <w:rsid w:val="00EA35A6"/>
    <w:rsid w:val="00EA3709"/>
    <w:rsid w:val="00EA3D76"/>
    <w:rsid w:val="00EA432F"/>
    <w:rsid w:val="00EA4605"/>
    <w:rsid w:val="00EA595D"/>
    <w:rsid w:val="00EA6A74"/>
    <w:rsid w:val="00EA74C6"/>
    <w:rsid w:val="00EB230D"/>
    <w:rsid w:val="00EB28BB"/>
    <w:rsid w:val="00EB31C4"/>
    <w:rsid w:val="00EB3AAB"/>
    <w:rsid w:val="00EB58C6"/>
    <w:rsid w:val="00EB5F1D"/>
    <w:rsid w:val="00EB60EC"/>
    <w:rsid w:val="00EB63B2"/>
    <w:rsid w:val="00EB66F6"/>
    <w:rsid w:val="00EB692A"/>
    <w:rsid w:val="00EB6CDF"/>
    <w:rsid w:val="00EB6E88"/>
    <w:rsid w:val="00EB70E3"/>
    <w:rsid w:val="00EB79AD"/>
    <w:rsid w:val="00EB7CCB"/>
    <w:rsid w:val="00EB7F69"/>
    <w:rsid w:val="00EC1AC3"/>
    <w:rsid w:val="00EC2A03"/>
    <w:rsid w:val="00EC30BE"/>
    <w:rsid w:val="00EC3831"/>
    <w:rsid w:val="00EC3B96"/>
    <w:rsid w:val="00EC3FE9"/>
    <w:rsid w:val="00EC4D88"/>
    <w:rsid w:val="00EC4DE6"/>
    <w:rsid w:val="00EC52AB"/>
    <w:rsid w:val="00EC5310"/>
    <w:rsid w:val="00EC535A"/>
    <w:rsid w:val="00EC5686"/>
    <w:rsid w:val="00EC5BDC"/>
    <w:rsid w:val="00EC606A"/>
    <w:rsid w:val="00EC6A71"/>
    <w:rsid w:val="00EC7331"/>
    <w:rsid w:val="00EC775E"/>
    <w:rsid w:val="00EC7B42"/>
    <w:rsid w:val="00ED04EF"/>
    <w:rsid w:val="00ED1088"/>
    <w:rsid w:val="00ED1B2A"/>
    <w:rsid w:val="00ED1F6B"/>
    <w:rsid w:val="00ED2203"/>
    <w:rsid w:val="00ED22CD"/>
    <w:rsid w:val="00ED3511"/>
    <w:rsid w:val="00ED3852"/>
    <w:rsid w:val="00ED454F"/>
    <w:rsid w:val="00ED4925"/>
    <w:rsid w:val="00ED49BB"/>
    <w:rsid w:val="00ED4B06"/>
    <w:rsid w:val="00ED500D"/>
    <w:rsid w:val="00ED54B8"/>
    <w:rsid w:val="00ED5557"/>
    <w:rsid w:val="00ED5713"/>
    <w:rsid w:val="00ED578F"/>
    <w:rsid w:val="00ED5E03"/>
    <w:rsid w:val="00ED6262"/>
    <w:rsid w:val="00ED664F"/>
    <w:rsid w:val="00ED758D"/>
    <w:rsid w:val="00ED77D4"/>
    <w:rsid w:val="00ED7A02"/>
    <w:rsid w:val="00EE093F"/>
    <w:rsid w:val="00EE0E32"/>
    <w:rsid w:val="00EE0FD7"/>
    <w:rsid w:val="00EE1D28"/>
    <w:rsid w:val="00EE20DA"/>
    <w:rsid w:val="00EE2E67"/>
    <w:rsid w:val="00EE3492"/>
    <w:rsid w:val="00EE37C9"/>
    <w:rsid w:val="00EE3CFF"/>
    <w:rsid w:val="00EE4034"/>
    <w:rsid w:val="00EE4ADC"/>
    <w:rsid w:val="00EE4E12"/>
    <w:rsid w:val="00EE5ACD"/>
    <w:rsid w:val="00EE5E76"/>
    <w:rsid w:val="00EE5F4B"/>
    <w:rsid w:val="00EE64A0"/>
    <w:rsid w:val="00EE6621"/>
    <w:rsid w:val="00EE669B"/>
    <w:rsid w:val="00EF0340"/>
    <w:rsid w:val="00EF094A"/>
    <w:rsid w:val="00EF0B00"/>
    <w:rsid w:val="00EF14E9"/>
    <w:rsid w:val="00EF2198"/>
    <w:rsid w:val="00EF2302"/>
    <w:rsid w:val="00EF2DE8"/>
    <w:rsid w:val="00EF2F81"/>
    <w:rsid w:val="00EF3460"/>
    <w:rsid w:val="00EF3BAB"/>
    <w:rsid w:val="00EF434F"/>
    <w:rsid w:val="00EF460F"/>
    <w:rsid w:val="00EF4D7E"/>
    <w:rsid w:val="00EF514A"/>
    <w:rsid w:val="00EF67AA"/>
    <w:rsid w:val="00EF6FFB"/>
    <w:rsid w:val="00EF7000"/>
    <w:rsid w:val="00EF7007"/>
    <w:rsid w:val="00EF78F6"/>
    <w:rsid w:val="00F007B5"/>
    <w:rsid w:val="00F00B9F"/>
    <w:rsid w:val="00F0142F"/>
    <w:rsid w:val="00F0184F"/>
    <w:rsid w:val="00F01AB6"/>
    <w:rsid w:val="00F02781"/>
    <w:rsid w:val="00F0279D"/>
    <w:rsid w:val="00F027C6"/>
    <w:rsid w:val="00F02BB0"/>
    <w:rsid w:val="00F02D46"/>
    <w:rsid w:val="00F03563"/>
    <w:rsid w:val="00F03C1B"/>
    <w:rsid w:val="00F03D5C"/>
    <w:rsid w:val="00F043EB"/>
    <w:rsid w:val="00F04617"/>
    <w:rsid w:val="00F04A3C"/>
    <w:rsid w:val="00F04BA5"/>
    <w:rsid w:val="00F04ED4"/>
    <w:rsid w:val="00F05066"/>
    <w:rsid w:val="00F056AD"/>
    <w:rsid w:val="00F05930"/>
    <w:rsid w:val="00F06946"/>
    <w:rsid w:val="00F0696A"/>
    <w:rsid w:val="00F06F01"/>
    <w:rsid w:val="00F0760C"/>
    <w:rsid w:val="00F10076"/>
    <w:rsid w:val="00F1028C"/>
    <w:rsid w:val="00F102DA"/>
    <w:rsid w:val="00F10979"/>
    <w:rsid w:val="00F113F3"/>
    <w:rsid w:val="00F118D5"/>
    <w:rsid w:val="00F12513"/>
    <w:rsid w:val="00F132B9"/>
    <w:rsid w:val="00F13437"/>
    <w:rsid w:val="00F13778"/>
    <w:rsid w:val="00F1390A"/>
    <w:rsid w:val="00F13F9F"/>
    <w:rsid w:val="00F13FEE"/>
    <w:rsid w:val="00F14181"/>
    <w:rsid w:val="00F147ED"/>
    <w:rsid w:val="00F14B37"/>
    <w:rsid w:val="00F15AB5"/>
    <w:rsid w:val="00F162F8"/>
    <w:rsid w:val="00F16ADD"/>
    <w:rsid w:val="00F16B22"/>
    <w:rsid w:val="00F17109"/>
    <w:rsid w:val="00F1717B"/>
    <w:rsid w:val="00F17476"/>
    <w:rsid w:val="00F20241"/>
    <w:rsid w:val="00F20A8E"/>
    <w:rsid w:val="00F20E4C"/>
    <w:rsid w:val="00F20FF5"/>
    <w:rsid w:val="00F21084"/>
    <w:rsid w:val="00F2141B"/>
    <w:rsid w:val="00F2160F"/>
    <w:rsid w:val="00F216E7"/>
    <w:rsid w:val="00F23EC0"/>
    <w:rsid w:val="00F2432E"/>
    <w:rsid w:val="00F243D0"/>
    <w:rsid w:val="00F24F06"/>
    <w:rsid w:val="00F24FE3"/>
    <w:rsid w:val="00F25263"/>
    <w:rsid w:val="00F25999"/>
    <w:rsid w:val="00F26094"/>
    <w:rsid w:val="00F268DB"/>
    <w:rsid w:val="00F26A37"/>
    <w:rsid w:val="00F27274"/>
    <w:rsid w:val="00F273CC"/>
    <w:rsid w:val="00F2774E"/>
    <w:rsid w:val="00F27A7E"/>
    <w:rsid w:val="00F3023A"/>
    <w:rsid w:val="00F30B62"/>
    <w:rsid w:val="00F30E3A"/>
    <w:rsid w:val="00F30E52"/>
    <w:rsid w:val="00F31EDB"/>
    <w:rsid w:val="00F320EA"/>
    <w:rsid w:val="00F325D5"/>
    <w:rsid w:val="00F32772"/>
    <w:rsid w:val="00F327FA"/>
    <w:rsid w:val="00F32B64"/>
    <w:rsid w:val="00F32CCA"/>
    <w:rsid w:val="00F339DB"/>
    <w:rsid w:val="00F3555B"/>
    <w:rsid w:val="00F35598"/>
    <w:rsid w:val="00F35C62"/>
    <w:rsid w:val="00F36F4D"/>
    <w:rsid w:val="00F37262"/>
    <w:rsid w:val="00F375BC"/>
    <w:rsid w:val="00F37DA3"/>
    <w:rsid w:val="00F37DAB"/>
    <w:rsid w:val="00F37EFA"/>
    <w:rsid w:val="00F37FE8"/>
    <w:rsid w:val="00F40865"/>
    <w:rsid w:val="00F41170"/>
    <w:rsid w:val="00F41B1D"/>
    <w:rsid w:val="00F4200C"/>
    <w:rsid w:val="00F42023"/>
    <w:rsid w:val="00F43451"/>
    <w:rsid w:val="00F442F8"/>
    <w:rsid w:val="00F444CB"/>
    <w:rsid w:val="00F4490A"/>
    <w:rsid w:val="00F45029"/>
    <w:rsid w:val="00F451C3"/>
    <w:rsid w:val="00F45C7E"/>
    <w:rsid w:val="00F45DB5"/>
    <w:rsid w:val="00F46F4E"/>
    <w:rsid w:val="00F47025"/>
    <w:rsid w:val="00F4741E"/>
    <w:rsid w:val="00F47E46"/>
    <w:rsid w:val="00F50845"/>
    <w:rsid w:val="00F51411"/>
    <w:rsid w:val="00F51611"/>
    <w:rsid w:val="00F51FCE"/>
    <w:rsid w:val="00F520DC"/>
    <w:rsid w:val="00F523EF"/>
    <w:rsid w:val="00F524AF"/>
    <w:rsid w:val="00F5259E"/>
    <w:rsid w:val="00F52E3B"/>
    <w:rsid w:val="00F530C5"/>
    <w:rsid w:val="00F5327C"/>
    <w:rsid w:val="00F5474B"/>
    <w:rsid w:val="00F55672"/>
    <w:rsid w:val="00F559ED"/>
    <w:rsid w:val="00F55CEC"/>
    <w:rsid w:val="00F56051"/>
    <w:rsid w:val="00F56053"/>
    <w:rsid w:val="00F56EDB"/>
    <w:rsid w:val="00F57B8E"/>
    <w:rsid w:val="00F57C0C"/>
    <w:rsid w:val="00F600EE"/>
    <w:rsid w:val="00F60273"/>
    <w:rsid w:val="00F6037D"/>
    <w:rsid w:val="00F60FD3"/>
    <w:rsid w:val="00F61877"/>
    <w:rsid w:val="00F62CFB"/>
    <w:rsid w:val="00F63100"/>
    <w:rsid w:val="00F643A8"/>
    <w:rsid w:val="00F648A9"/>
    <w:rsid w:val="00F65C57"/>
    <w:rsid w:val="00F65FA4"/>
    <w:rsid w:val="00F666CD"/>
    <w:rsid w:val="00F674D4"/>
    <w:rsid w:val="00F700C4"/>
    <w:rsid w:val="00F70E53"/>
    <w:rsid w:val="00F70F26"/>
    <w:rsid w:val="00F718B0"/>
    <w:rsid w:val="00F72A8E"/>
    <w:rsid w:val="00F72D73"/>
    <w:rsid w:val="00F73C28"/>
    <w:rsid w:val="00F73FE5"/>
    <w:rsid w:val="00F74A0A"/>
    <w:rsid w:val="00F75313"/>
    <w:rsid w:val="00F75CAB"/>
    <w:rsid w:val="00F77450"/>
    <w:rsid w:val="00F77B6F"/>
    <w:rsid w:val="00F806D0"/>
    <w:rsid w:val="00F8159F"/>
    <w:rsid w:val="00F81CD1"/>
    <w:rsid w:val="00F823B6"/>
    <w:rsid w:val="00F82976"/>
    <w:rsid w:val="00F82C1E"/>
    <w:rsid w:val="00F82CF5"/>
    <w:rsid w:val="00F83031"/>
    <w:rsid w:val="00F8303C"/>
    <w:rsid w:val="00F83367"/>
    <w:rsid w:val="00F83574"/>
    <w:rsid w:val="00F83F49"/>
    <w:rsid w:val="00F83F96"/>
    <w:rsid w:val="00F8462B"/>
    <w:rsid w:val="00F84AE9"/>
    <w:rsid w:val="00F84D03"/>
    <w:rsid w:val="00F85A76"/>
    <w:rsid w:val="00F860BF"/>
    <w:rsid w:val="00F8796F"/>
    <w:rsid w:val="00F90404"/>
    <w:rsid w:val="00F9050A"/>
    <w:rsid w:val="00F91808"/>
    <w:rsid w:val="00F925D8"/>
    <w:rsid w:val="00F92D45"/>
    <w:rsid w:val="00F92E06"/>
    <w:rsid w:val="00F93FE8"/>
    <w:rsid w:val="00F94119"/>
    <w:rsid w:val="00F94BF6"/>
    <w:rsid w:val="00F969BE"/>
    <w:rsid w:val="00F97196"/>
    <w:rsid w:val="00FA0409"/>
    <w:rsid w:val="00FA1B78"/>
    <w:rsid w:val="00FA1F45"/>
    <w:rsid w:val="00FA2AD5"/>
    <w:rsid w:val="00FA32D2"/>
    <w:rsid w:val="00FA330A"/>
    <w:rsid w:val="00FA3EC6"/>
    <w:rsid w:val="00FA434D"/>
    <w:rsid w:val="00FA5648"/>
    <w:rsid w:val="00FA589A"/>
    <w:rsid w:val="00FA592C"/>
    <w:rsid w:val="00FA6337"/>
    <w:rsid w:val="00FA6A5D"/>
    <w:rsid w:val="00FA6FE7"/>
    <w:rsid w:val="00FA7617"/>
    <w:rsid w:val="00FB0B14"/>
    <w:rsid w:val="00FB1B67"/>
    <w:rsid w:val="00FB1E2E"/>
    <w:rsid w:val="00FB2985"/>
    <w:rsid w:val="00FB30E0"/>
    <w:rsid w:val="00FB3491"/>
    <w:rsid w:val="00FB3737"/>
    <w:rsid w:val="00FB4269"/>
    <w:rsid w:val="00FB438B"/>
    <w:rsid w:val="00FB4B86"/>
    <w:rsid w:val="00FB4CC9"/>
    <w:rsid w:val="00FB4D8A"/>
    <w:rsid w:val="00FB6084"/>
    <w:rsid w:val="00FB6735"/>
    <w:rsid w:val="00FB690A"/>
    <w:rsid w:val="00FC002F"/>
    <w:rsid w:val="00FC07A4"/>
    <w:rsid w:val="00FC12D2"/>
    <w:rsid w:val="00FC13C4"/>
    <w:rsid w:val="00FC260F"/>
    <w:rsid w:val="00FC269A"/>
    <w:rsid w:val="00FC316B"/>
    <w:rsid w:val="00FC3E69"/>
    <w:rsid w:val="00FC45DA"/>
    <w:rsid w:val="00FC4CA9"/>
    <w:rsid w:val="00FC4CF9"/>
    <w:rsid w:val="00FC671E"/>
    <w:rsid w:val="00FC6F26"/>
    <w:rsid w:val="00FC739E"/>
    <w:rsid w:val="00FC7717"/>
    <w:rsid w:val="00FD06B8"/>
    <w:rsid w:val="00FD0C97"/>
    <w:rsid w:val="00FD105C"/>
    <w:rsid w:val="00FD1AC1"/>
    <w:rsid w:val="00FD1F38"/>
    <w:rsid w:val="00FD20A3"/>
    <w:rsid w:val="00FD241F"/>
    <w:rsid w:val="00FD34FD"/>
    <w:rsid w:val="00FD3C28"/>
    <w:rsid w:val="00FD3E20"/>
    <w:rsid w:val="00FD40C9"/>
    <w:rsid w:val="00FD468B"/>
    <w:rsid w:val="00FD585F"/>
    <w:rsid w:val="00FD59D2"/>
    <w:rsid w:val="00FD5CB6"/>
    <w:rsid w:val="00FD5F9B"/>
    <w:rsid w:val="00FD6777"/>
    <w:rsid w:val="00FD6AF0"/>
    <w:rsid w:val="00FD6D07"/>
    <w:rsid w:val="00FD7154"/>
    <w:rsid w:val="00FD7E5B"/>
    <w:rsid w:val="00FE14EA"/>
    <w:rsid w:val="00FE15DD"/>
    <w:rsid w:val="00FE1607"/>
    <w:rsid w:val="00FE16B8"/>
    <w:rsid w:val="00FE1811"/>
    <w:rsid w:val="00FE3191"/>
    <w:rsid w:val="00FE3294"/>
    <w:rsid w:val="00FE3584"/>
    <w:rsid w:val="00FE38B6"/>
    <w:rsid w:val="00FE3DA9"/>
    <w:rsid w:val="00FE429E"/>
    <w:rsid w:val="00FE54D0"/>
    <w:rsid w:val="00FE589E"/>
    <w:rsid w:val="00FE60AC"/>
    <w:rsid w:val="00FE6D48"/>
    <w:rsid w:val="00FE6E98"/>
    <w:rsid w:val="00FE7BD2"/>
    <w:rsid w:val="00FF03CE"/>
    <w:rsid w:val="00FF06DB"/>
    <w:rsid w:val="00FF070D"/>
    <w:rsid w:val="00FF0DC4"/>
    <w:rsid w:val="00FF1075"/>
    <w:rsid w:val="00FF12AC"/>
    <w:rsid w:val="00FF229B"/>
    <w:rsid w:val="00FF2CF9"/>
    <w:rsid w:val="00FF40FD"/>
    <w:rsid w:val="00FF41BF"/>
    <w:rsid w:val="00FF4810"/>
    <w:rsid w:val="00FF49D4"/>
    <w:rsid w:val="00FF65F3"/>
    <w:rsid w:val="00FF7E72"/>
    <w:rsid w:val="269F1FCC"/>
    <w:rsid w:val="6AAD3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qFormat/>
    <w:uiPriority w:val="9"/>
    <w:pPr>
      <w:keepNext/>
      <w:keepLines/>
      <w:spacing w:before="260" w:after="260" w:line="416" w:lineRule="auto"/>
      <w:outlineLvl w:val="2"/>
    </w:pPr>
    <w:rPr>
      <w:b/>
      <w:bCs/>
      <w:sz w:val="32"/>
      <w:szCs w:val="32"/>
    </w:rPr>
  </w:style>
  <w:style w:type="paragraph" w:styleId="5">
    <w:name w:val="heading 4"/>
    <w:basedOn w:val="1"/>
    <w:next w:val="1"/>
    <w:link w:val="38"/>
    <w:qFormat/>
    <w:uiPriority w:val="0"/>
    <w:pPr>
      <w:keepNext/>
      <w:keepLines/>
      <w:spacing w:before="280" w:after="290" w:line="376" w:lineRule="auto"/>
      <w:outlineLvl w:val="3"/>
    </w:pPr>
    <w:rPr>
      <w:rFonts w:ascii="Arial" w:hAnsi="Arial" w:eastAsia="黑体"/>
      <w:b/>
      <w:bCs/>
      <w:sz w:val="28"/>
      <w:szCs w:val="28"/>
    </w:rPr>
  </w:style>
  <w:style w:type="character" w:default="1" w:styleId="30">
    <w:name w:val="Default Paragraph Font"/>
    <w:semiHidden/>
    <w:unhideWhenUsed/>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260"/>
      <w:jc w:val="left"/>
    </w:pPr>
    <w:rPr>
      <w:sz w:val="18"/>
      <w:szCs w:val="18"/>
    </w:rPr>
  </w:style>
  <w:style w:type="paragraph" w:styleId="7">
    <w:name w:val="Document Map"/>
    <w:basedOn w:val="1"/>
    <w:link w:val="59"/>
    <w:qFormat/>
    <w:uiPriority w:val="99"/>
    <w:pPr>
      <w:shd w:val="clear" w:color="auto" w:fill="000080"/>
    </w:pPr>
  </w:style>
  <w:style w:type="paragraph" w:styleId="8">
    <w:name w:val="annotation text"/>
    <w:basedOn w:val="1"/>
    <w:link w:val="85"/>
    <w:unhideWhenUsed/>
    <w:qFormat/>
    <w:uiPriority w:val="99"/>
    <w:pPr>
      <w:jc w:val="left"/>
    </w:pPr>
    <w:rPr>
      <w:szCs w:val="22"/>
    </w:rPr>
  </w:style>
  <w:style w:type="paragraph" w:styleId="9">
    <w:name w:val="Body Text Indent"/>
    <w:basedOn w:val="1"/>
    <w:link w:val="66"/>
    <w:qFormat/>
    <w:uiPriority w:val="0"/>
    <w:pPr>
      <w:adjustRightInd w:val="0"/>
      <w:snapToGrid w:val="0"/>
      <w:spacing w:line="360" w:lineRule="auto"/>
      <w:ind w:firstLine="540"/>
    </w:pPr>
    <w:rPr>
      <w:rFonts w:ascii="Calibri" w:hAnsi="Calibri"/>
      <w:sz w:val="28"/>
      <w:szCs w:val="28"/>
    </w:rPr>
  </w:style>
  <w:style w:type="paragraph" w:styleId="10">
    <w:name w:val="Block Text"/>
    <w:basedOn w:val="1"/>
    <w:qFormat/>
    <w:uiPriority w:val="0"/>
    <w:pPr>
      <w:ind w:left="279" w:leftChars="133" w:right="-2" w:firstLine="560" w:firstLineChars="200"/>
    </w:pPr>
    <w:rPr>
      <w:sz w:val="28"/>
    </w:rPr>
  </w:style>
  <w:style w:type="paragraph" w:styleId="11">
    <w:name w:val="toc 5"/>
    <w:basedOn w:val="1"/>
    <w:next w:val="1"/>
    <w:qFormat/>
    <w:uiPriority w:val="39"/>
    <w:pPr>
      <w:ind w:left="840"/>
      <w:jc w:val="left"/>
    </w:pPr>
    <w:rPr>
      <w:sz w:val="18"/>
      <w:szCs w:val="18"/>
    </w:rPr>
  </w:style>
  <w:style w:type="paragraph" w:styleId="12">
    <w:name w:val="toc 3"/>
    <w:basedOn w:val="1"/>
    <w:next w:val="1"/>
    <w:qFormat/>
    <w:uiPriority w:val="39"/>
    <w:pPr>
      <w:tabs>
        <w:tab w:val="right" w:leader="dot" w:pos="9061"/>
      </w:tabs>
      <w:ind w:left="420"/>
      <w:jc w:val="left"/>
    </w:pPr>
    <w:rPr>
      <w:rFonts w:ascii="黑体" w:hAnsi="黑体" w:eastAsia="黑体"/>
      <w:iCs/>
      <w:sz w:val="20"/>
      <w:szCs w:val="20"/>
    </w:rPr>
  </w:style>
  <w:style w:type="paragraph" w:styleId="13">
    <w:name w:val="Plain Text"/>
    <w:basedOn w:val="1"/>
    <w:link w:val="60"/>
    <w:qFormat/>
    <w:uiPriority w:val="0"/>
    <w:pPr>
      <w:adjustRightInd w:val="0"/>
      <w:spacing w:line="360" w:lineRule="atLeast"/>
      <w:textAlignment w:val="baseline"/>
    </w:pPr>
    <w:rPr>
      <w:rFonts w:ascii="Arial" w:hAnsi="Arial" w:eastAsia="黑体"/>
      <w:b/>
      <w:bCs/>
      <w:kern w:val="0"/>
      <w:sz w:val="32"/>
      <w:szCs w:val="32"/>
    </w:rPr>
  </w:style>
  <w:style w:type="paragraph" w:styleId="14">
    <w:name w:val="toc 8"/>
    <w:basedOn w:val="1"/>
    <w:next w:val="1"/>
    <w:qFormat/>
    <w:uiPriority w:val="39"/>
    <w:pPr>
      <w:ind w:left="1470"/>
      <w:jc w:val="left"/>
    </w:pPr>
    <w:rPr>
      <w:sz w:val="18"/>
      <w:szCs w:val="18"/>
    </w:rPr>
  </w:style>
  <w:style w:type="paragraph" w:styleId="15">
    <w:name w:val="Date"/>
    <w:basedOn w:val="1"/>
    <w:next w:val="1"/>
    <w:link w:val="80"/>
    <w:unhideWhenUsed/>
    <w:qFormat/>
    <w:uiPriority w:val="99"/>
    <w:pPr>
      <w:ind w:left="100" w:leftChars="2500"/>
    </w:pPr>
    <w:rPr>
      <w:szCs w:val="22"/>
    </w:rPr>
  </w:style>
  <w:style w:type="paragraph" w:styleId="16">
    <w:name w:val="Body Text Indent 2"/>
    <w:basedOn w:val="1"/>
    <w:link w:val="65"/>
    <w:qFormat/>
    <w:uiPriority w:val="0"/>
    <w:pPr>
      <w:ind w:firstLine="538" w:firstLineChars="192"/>
    </w:pPr>
    <w:rPr>
      <w:rFonts w:ascii="Calibri" w:hAnsi="Calibri"/>
      <w:sz w:val="28"/>
      <w:szCs w:val="22"/>
    </w:rPr>
  </w:style>
  <w:style w:type="paragraph" w:styleId="17">
    <w:name w:val="Balloon Text"/>
    <w:basedOn w:val="1"/>
    <w:link w:val="81"/>
    <w:unhideWhenUsed/>
    <w:qFormat/>
    <w:uiPriority w:val="99"/>
    <w:rPr>
      <w:sz w:val="18"/>
      <w:szCs w:val="18"/>
    </w:rPr>
  </w:style>
  <w:style w:type="paragraph" w:styleId="18">
    <w:name w:val="footer"/>
    <w:basedOn w:val="1"/>
    <w:link w:val="40"/>
    <w:qFormat/>
    <w:uiPriority w:val="99"/>
    <w:pPr>
      <w:tabs>
        <w:tab w:val="center" w:pos="4153"/>
        <w:tab w:val="right" w:pos="8306"/>
      </w:tabs>
      <w:snapToGrid w:val="0"/>
      <w:jc w:val="left"/>
    </w:pPr>
    <w:rPr>
      <w:sz w:val="18"/>
      <w:szCs w:val="18"/>
    </w:rPr>
  </w:style>
  <w:style w:type="paragraph" w:styleId="19">
    <w:name w:val="header"/>
    <w:basedOn w:val="1"/>
    <w:link w:val="43"/>
    <w:qFormat/>
    <w:uiPriority w:val="99"/>
    <w:pPr>
      <w:widowControl/>
      <w:pBdr>
        <w:bottom w:val="single" w:color="auto" w:sz="6" w:space="1"/>
      </w:pBdr>
      <w:tabs>
        <w:tab w:val="center" w:pos="4153"/>
        <w:tab w:val="right" w:pos="8306"/>
      </w:tabs>
      <w:snapToGrid w:val="0"/>
      <w:ind w:firstLine="200" w:firstLineChars="200"/>
      <w:jc w:val="center"/>
    </w:pPr>
    <w:rPr>
      <w:sz w:val="18"/>
      <w:szCs w:val="18"/>
    </w:rPr>
  </w:style>
  <w:style w:type="paragraph" w:styleId="20">
    <w:name w:val="toc 1"/>
    <w:basedOn w:val="1"/>
    <w:next w:val="1"/>
    <w:qFormat/>
    <w:uiPriority w:val="39"/>
    <w:pPr>
      <w:tabs>
        <w:tab w:val="right" w:leader="dot" w:pos="9061"/>
      </w:tabs>
      <w:spacing w:before="120" w:after="120"/>
      <w:jc w:val="left"/>
    </w:pPr>
    <w:rPr>
      <w:rFonts w:ascii="黑体" w:eastAsia="黑体"/>
      <w:bCs/>
      <w:caps/>
      <w:sz w:val="24"/>
    </w:rPr>
  </w:style>
  <w:style w:type="paragraph" w:styleId="21">
    <w:name w:val="toc 4"/>
    <w:basedOn w:val="1"/>
    <w:next w:val="1"/>
    <w:qFormat/>
    <w:uiPriority w:val="39"/>
    <w:pPr>
      <w:ind w:left="630"/>
      <w:jc w:val="left"/>
    </w:pPr>
    <w:rPr>
      <w:sz w:val="18"/>
      <w:szCs w:val="18"/>
    </w:rPr>
  </w:style>
  <w:style w:type="paragraph" w:styleId="22">
    <w:name w:val="toc 6"/>
    <w:basedOn w:val="1"/>
    <w:next w:val="1"/>
    <w:qFormat/>
    <w:uiPriority w:val="39"/>
    <w:pPr>
      <w:ind w:left="1050"/>
      <w:jc w:val="left"/>
    </w:pPr>
    <w:rPr>
      <w:sz w:val="18"/>
      <w:szCs w:val="18"/>
    </w:rPr>
  </w:style>
  <w:style w:type="paragraph" w:styleId="23">
    <w:name w:val="toc 2"/>
    <w:basedOn w:val="1"/>
    <w:next w:val="1"/>
    <w:qFormat/>
    <w:uiPriority w:val="39"/>
    <w:pPr>
      <w:tabs>
        <w:tab w:val="right" w:leader="dot" w:pos="9061"/>
      </w:tabs>
      <w:ind w:left="210"/>
      <w:jc w:val="left"/>
    </w:pPr>
    <w:rPr>
      <w:rFonts w:ascii="宋体" w:hAnsi="宋体"/>
      <w:smallCaps/>
      <w:szCs w:val="21"/>
    </w:rPr>
  </w:style>
  <w:style w:type="paragraph" w:styleId="24">
    <w:name w:val="toc 9"/>
    <w:basedOn w:val="1"/>
    <w:next w:val="1"/>
    <w:qFormat/>
    <w:uiPriority w:val="39"/>
    <w:pPr>
      <w:ind w:left="1680"/>
      <w:jc w:val="left"/>
    </w:pPr>
    <w:rPr>
      <w:sz w:val="18"/>
      <w:szCs w:val="18"/>
    </w:rPr>
  </w:style>
  <w:style w:type="paragraph" w:styleId="25">
    <w:name w:val="Normal (Web)"/>
    <w:basedOn w:val="1"/>
    <w:unhideWhenUsed/>
    <w:qFormat/>
    <w:uiPriority w:val="99"/>
    <w:pPr>
      <w:widowControl/>
      <w:jc w:val="left"/>
    </w:pPr>
    <w:rPr>
      <w:rFonts w:ascii="Arial" w:hAnsi="Arial" w:cs="Arial"/>
      <w:kern w:val="0"/>
      <w:sz w:val="24"/>
    </w:rPr>
  </w:style>
  <w:style w:type="paragraph" w:styleId="26">
    <w:name w:val="annotation subject"/>
    <w:basedOn w:val="8"/>
    <w:next w:val="8"/>
    <w:link w:val="86"/>
    <w:unhideWhenUsed/>
    <w:qFormat/>
    <w:uiPriority w:val="99"/>
    <w:rPr>
      <w:b/>
      <w:bCs/>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9">
    <w:name w:val="Table Theme"/>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page number"/>
    <w:basedOn w:val="30"/>
    <w:qFormat/>
    <w:uiPriority w:val="0"/>
  </w:style>
  <w:style w:type="character" w:styleId="32">
    <w:name w:val="FollowedHyperlink"/>
    <w:unhideWhenUsed/>
    <w:qFormat/>
    <w:uiPriority w:val="99"/>
    <w:rPr>
      <w:color w:val="800080"/>
      <w:u w:val="single"/>
    </w:rPr>
  </w:style>
  <w:style w:type="character" w:styleId="33">
    <w:name w:val="Hyperlink"/>
    <w:qFormat/>
    <w:uiPriority w:val="99"/>
    <w:rPr>
      <w:color w:val="0000FF"/>
      <w:u w:val="single"/>
    </w:rPr>
  </w:style>
  <w:style w:type="character" w:styleId="34">
    <w:name w:val="annotation reference"/>
    <w:unhideWhenUsed/>
    <w:qFormat/>
    <w:uiPriority w:val="99"/>
    <w:rPr>
      <w:sz w:val="21"/>
      <w:szCs w:val="21"/>
    </w:rPr>
  </w:style>
  <w:style w:type="character" w:customStyle="1" w:styleId="35">
    <w:name w:val="标题 1 Char"/>
    <w:link w:val="2"/>
    <w:qFormat/>
    <w:uiPriority w:val="9"/>
    <w:rPr>
      <w:rFonts w:eastAsia="宋体"/>
      <w:b/>
      <w:bCs/>
      <w:kern w:val="44"/>
      <w:sz w:val="44"/>
      <w:szCs w:val="44"/>
      <w:lang w:val="en-US" w:eastAsia="zh-CN" w:bidi="ar-SA"/>
    </w:rPr>
  </w:style>
  <w:style w:type="character" w:customStyle="1" w:styleId="36">
    <w:name w:val="标题 2 Char"/>
    <w:link w:val="3"/>
    <w:qFormat/>
    <w:uiPriority w:val="0"/>
    <w:rPr>
      <w:rFonts w:ascii="Arial" w:hAnsi="Arial" w:eastAsia="黑体"/>
      <w:b/>
      <w:bCs/>
      <w:kern w:val="2"/>
      <w:sz w:val="32"/>
      <w:szCs w:val="32"/>
      <w:lang w:val="en-US" w:eastAsia="zh-CN" w:bidi="ar-SA"/>
    </w:rPr>
  </w:style>
  <w:style w:type="character" w:customStyle="1" w:styleId="37">
    <w:name w:val="标题 3 Char1"/>
    <w:link w:val="4"/>
    <w:qFormat/>
    <w:uiPriority w:val="9"/>
    <w:rPr>
      <w:rFonts w:eastAsia="宋体"/>
      <w:b/>
      <w:bCs/>
      <w:kern w:val="2"/>
      <w:sz w:val="32"/>
      <w:szCs w:val="32"/>
      <w:lang w:val="en-US" w:eastAsia="zh-CN" w:bidi="ar-SA"/>
    </w:rPr>
  </w:style>
  <w:style w:type="character" w:customStyle="1" w:styleId="38">
    <w:name w:val="标题 4 Char"/>
    <w:link w:val="5"/>
    <w:qFormat/>
    <w:uiPriority w:val="0"/>
    <w:rPr>
      <w:rFonts w:ascii="Arial" w:hAnsi="Arial" w:eastAsia="黑体"/>
      <w:b/>
      <w:bCs/>
      <w:kern w:val="2"/>
      <w:sz w:val="28"/>
      <w:szCs w:val="28"/>
    </w:rPr>
  </w:style>
  <w:style w:type="paragraph" w:customStyle="1" w:styleId="39">
    <w:name w:val="Char2 Char Char Char Char Char Char Char Char1 Char"/>
    <w:basedOn w:val="1"/>
    <w:qFormat/>
    <w:uiPriority w:val="0"/>
    <w:rPr>
      <w:rFonts w:ascii="宋体" w:hAnsi="宋体" w:cs="Courier New"/>
      <w:sz w:val="32"/>
      <w:szCs w:val="32"/>
    </w:rPr>
  </w:style>
  <w:style w:type="character" w:customStyle="1" w:styleId="40">
    <w:name w:val="页脚 Char"/>
    <w:link w:val="18"/>
    <w:qFormat/>
    <w:uiPriority w:val="99"/>
    <w:rPr>
      <w:rFonts w:eastAsia="宋体"/>
      <w:kern w:val="2"/>
      <w:sz w:val="18"/>
      <w:szCs w:val="18"/>
      <w:lang w:val="en-US" w:eastAsia="zh-CN" w:bidi="ar-SA"/>
    </w:rPr>
  </w:style>
  <w:style w:type="paragraph" w:customStyle="1" w:styleId="41">
    <w:name w:val="样式 样式 样式 样式 样式 正文文本缩进 + 四号 段后: 0 磅 + 首行缩进:  2 字符 行距: 1.5 倍行距 + 首..."/>
    <w:basedOn w:val="1"/>
    <w:qFormat/>
    <w:uiPriority w:val="0"/>
    <w:pPr>
      <w:spacing w:line="400" w:lineRule="exact"/>
      <w:ind w:firstLine="200" w:firstLineChars="200"/>
    </w:pPr>
    <w:rPr>
      <w:szCs w:val="20"/>
    </w:rPr>
  </w:style>
  <w:style w:type="paragraph" w:customStyle="1" w:styleId="42">
    <w:name w:val="表格"/>
    <w:basedOn w:val="1"/>
    <w:qFormat/>
    <w:uiPriority w:val="0"/>
    <w:pPr>
      <w:widowControl/>
      <w:jc w:val="center"/>
    </w:pPr>
    <w:rPr>
      <w:rFonts w:ascii="宋体" w:hAnsi="宋体"/>
      <w:snapToGrid w:val="0"/>
      <w:color w:val="000000"/>
      <w:kern w:val="0"/>
      <w:szCs w:val="20"/>
    </w:rPr>
  </w:style>
  <w:style w:type="character" w:customStyle="1" w:styleId="43">
    <w:name w:val="页眉 Char"/>
    <w:link w:val="19"/>
    <w:qFormat/>
    <w:uiPriority w:val="99"/>
    <w:rPr>
      <w:kern w:val="2"/>
      <w:sz w:val="18"/>
      <w:szCs w:val="18"/>
    </w:rPr>
  </w:style>
  <w:style w:type="paragraph" w:customStyle="1" w:styleId="44">
    <w:name w:val="表标题"/>
    <w:basedOn w:val="1"/>
    <w:link w:val="45"/>
    <w:qFormat/>
    <w:uiPriority w:val="0"/>
    <w:pPr>
      <w:widowControl/>
      <w:spacing w:beforeLines="50"/>
      <w:jc w:val="center"/>
      <w:outlineLvl w:val="4"/>
    </w:pPr>
    <w:rPr>
      <w:b/>
    </w:rPr>
  </w:style>
  <w:style w:type="character" w:customStyle="1" w:styleId="45">
    <w:name w:val="表标题 Char"/>
    <w:link w:val="44"/>
    <w:qFormat/>
    <w:uiPriority w:val="0"/>
    <w:rPr>
      <w:rFonts w:eastAsia="宋体"/>
      <w:b/>
      <w:kern w:val="2"/>
      <w:sz w:val="21"/>
      <w:szCs w:val="24"/>
      <w:lang w:val="en-US" w:eastAsia="zh-CN" w:bidi="ar-SA"/>
    </w:rPr>
  </w:style>
  <w:style w:type="paragraph" w:customStyle="1" w:styleId="46">
    <w:name w:val="单位"/>
    <w:basedOn w:val="1"/>
    <w:link w:val="47"/>
    <w:qFormat/>
    <w:uiPriority w:val="0"/>
    <w:pPr>
      <w:widowControl/>
      <w:jc w:val="right"/>
    </w:pPr>
  </w:style>
  <w:style w:type="character" w:customStyle="1" w:styleId="47">
    <w:name w:val="单位 Char"/>
    <w:link w:val="46"/>
    <w:qFormat/>
    <w:uiPriority w:val="0"/>
    <w:rPr>
      <w:rFonts w:eastAsia="宋体"/>
      <w:kern w:val="2"/>
      <w:sz w:val="21"/>
      <w:szCs w:val="24"/>
      <w:lang w:val="en-US" w:eastAsia="zh-CN" w:bidi="ar-SA"/>
    </w:rPr>
  </w:style>
  <w:style w:type="paragraph" w:customStyle="1" w:styleId="48">
    <w:name w:val="正文1"/>
    <w:basedOn w:val="1"/>
    <w:link w:val="49"/>
    <w:qFormat/>
    <w:uiPriority w:val="0"/>
    <w:pPr>
      <w:spacing w:line="360" w:lineRule="auto"/>
      <w:ind w:firstLine="454"/>
    </w:pPr>
    <w:rPr>
      <w:rFonts w:cs="宋体"/>
      <w:sz w:val="24"/>
      <w:szCs w:val="20"/>
    </w:rPr>
  </w:style>
  <w:style w:type="character" w:customStyle="1" w:styleId="49">
    <w:name w:val="正文1 Char"/>
    <w:link w:val="48"/>
    <w:qFormat/>
    <w:uiPriority w:val="0"/>
    <w:rPr>
      <w:rFonts w:eastAsia="宋体" w:cs="宋体"/>
      <w:kern w:val="2"/>
      <w:sz w:val="24"/>
      <w:lang w:val="en-US" w:eastAsia="zh-CN" w:bidi="ar-SA"/>
    </w:rPr>
  </w:style>
  <w:style w:type="paragraph" w:customStyle="1" w:styleId="50">
    <w:name w:val="样式 标题 2 + 黑体 小三"/>
    <w:basedOn w:val="3"/>
    <w:link w:val="51"/>
    <w:qFormat/>
    <w:uiPriority w:val="0"/>
    <w:pPr>
      <w:spacing w:before="120" w:after="120" w:line="360" w:lineRule="auto"/>
    </w:pPr>
    <w:rPr>
      <w:rFonts w:ascii="黑体" w:hAnsi="黑体"/>
      <w:sz w:val="28"/>
    </w:rPr>
  </w:style>
  <w:style w:type="character" w:customStyle="1" w:styleId="51">
    <w:name w:val="样式 标题 2 + 黑体 小三 Char"/>
    <w:link w:val="50"/>
    <w:qFormat/>
    <w:uiPriority w:val="0"/>
    <w:rPr>
      <w:rFonts w:ascii="黑体" w:hAnsi="黑体" w:eastAsia="黑体"/>
      <w:b/>
      <w:bCs/>
      <w:kern w:val="2"/>
      <w:sz w:val="28"/>
      <w:szCs w:val="32"/>
      <w:lang w:val="en-US" w:eastAsia="zh-CN" w:bidi="ar-SA"/>
    </w:rPr>
  </w:style>
  <w:style w:type="paragraph" w:customStyle="1" w:styleId="52">
    <w:name w:val="样式 标题 2 + 黑体 小三 黑色"/>
    <w:basedOn w:val="3"/>
    <w:link w:val="53"/>
    <w:qFormat/>
    <w:uiPriority w:val="0"/>
    <w:pPr>
      <w:spacing w:before="120" w:after="120" w:line="360" w:lineRule="auto"/>
    </w:pPr>
    <w:rPr>
      <w:rFonts w:ascii="黑体" w:hAnsi="黑体"/>
      <w:color w:val="000000"/>
      <w:sz w:val="28"/>
    </w:rPr>
  </w:style>
  <w:style w:type="character" w:customStyle="1" w:styleId="53">
    <w:name w:val="样式 标题 2 + 黑体 小三 黑色 Char"/>
    <w:link w:val="52"/>
    <w:qFormat/>
    <w:uiPriority w:val="0"/>
    <w:rPr>
      <w:rFonts w:ascii="黑体" w:hAnsi="黑体" w:eastAsia="黑体"/>
      <w:b/>
      <w:bCs/>
      <w:color w:val="000000"/>
      <w:kern w:val="2"/>
      <w:sz w:val="28"/>
      <w:szCs w:val="32"/>
      <w:lang w:val="en-US" w:eastAsia="zh-CN" w:bidi="ar-SA"/>
    </w:rPr>
  </w:style>
  <w:style w:type="paragraph" w:customStyle="1" w:styleId="54">
    <w:name w:val="Char2 Char Char Char Char Char Char Char Char1 Char1"/>
    <w:basedOn w:val="1"/>
    <w:qFormat/>
    <w:uiPriority w:val="0"/>
    <w:rPr>
      <w:rFonts w:ascii="宋体" w:hAnsi="宋体" w:cs="Courier New"/>
      <w:sz w:val="32"/>
      <w:szCs w:val="32"/>
    </w:rPr>
  </w:style>
  <w:style w:type="paragraph" w:customStyle="1" w:styleId="55">
    <w:name w:val="Char"/>
    <w:basedOn w:val="1"/>
    <w:qFormat/>
    <w:uiPriority w:val="0"/>
    <w:rPr>
      <w:rFonts w:ascii="宋体" w:hAnsi="宋体" w:cs="Courier New"/>
      <w:sz w:val="32"/>
      <w:szCs w:val="32"/>
    </w:rPr>
  </w:style>
  <w:style w:type="character" w:customStyle="1" w:styleId="56">
    <w:name w:val="正文格式"/>
    <w:qFormat/>
    <w:uiPriority w:val="0"/>
    <w:rPr>
      <w:rFonts w:ascii="Times New Roman" w:hAnsi="Times New Roman" w:eastAsia="宋体" w:cs="宋体"/>
      <w:kern w:val="2"/>
      <w:sz w:val="24"/>
      <w:lang w:val="en-US" w:eastAsia="zh-CN" w:bidi="ar-SA"/>
    </w:rPr>
  </w:style>
  <w:style w:type="character" w:customStyle="1" w:styleId="57">
    <w:name w:val="Heading 3 Char"/>
    <w:qFormat/>
    <w:locked/>
    <w:uiPriority w:val="0"/>
    <w:rPr>
      <w:rFonts w:eastAsia="宋体" w:cs="Times New Roman"/>
      <w:b/>
      <w:bCs/>
      <w:kern w:val="2"/>
      <w:sz w:val="32"/>
      <w:szCs w:val="32"/>
      <w:lang w:val="en-US" w:eastAsia="zh-CN" w:bidi="ar-SA"/>
    </w:rPr>
  </w:style>
  <w:style w:type="paragraph" w:customStyle="1" w:styleId="58">
    <w:name w:val="样式 标题 4 + 首行缩进:  2 字符"/>
    <w:basedOn w:val="5"/>
    <w:next w:val="1"/>
    <w:qFormat/>
    <w:uiPriority w:val="0"/>
    <w:pPr>
      <w:spacing w:before="120" w:after="120" w:line="240" w:lineRule="auto"/>
      <w:ind w:firstLine="480" w:firstLineChars="200"/>
    </w:pPr>
    <w:rPr>
      <w:rFonts w:cs="宋体"/>
      <w:b w:val="0"/>
      <w:bCs w:val="0"/>
      <w:szCs w:val="20"/>
    </w:rPr>
  </w:style>
  <w:style w:type="character" w:customStyle="1" w:styleId="59">
    <w:name w:val="文档结构图 Char"/>
    <w:link w:val="7"/>
    <w:qFormat/>
    <w:uiPriority w:val="99"/>
    <w:rPr>
      <w:kern w:val="2"/>
      <w:sz w:val="21"/>
      <w:szCs w:val="24"/>
      <w:shd w:val="clear" w:color="auto" w:fill="000080"/>
    </w:rPr>
  </w:style>
  <w:style w:type="character" w:customStyle="1" w:styleId="60">
    <w:name w:val="纯文本 Char"/>
    <w:link w:val="13"/>
    <w:qFormat/>
    <w:uiPriority w:val="0"/>
    <w:rPr>
      <w:rFonts w:ascii="Arial" w:hAnsi="Arial" w:eastAsia="黑体" w:cs="Times New Roman"/>
      <w:b/>
      <w:bCs/>
      <w:sz w:val="32"/>
      <w:szCs w:val="32"/>
    </w:rPr>
  </w:style>
  <w:style w:type="character" w:customStyle="1" w:styleId="61">
    <w:name w:val="Char Char"/>
    <w:qFormat/>
    <w:uiPriority w:val="0"/>
    <w:rPr>
      <w:rFonts w:ascii="Times New Roman" w:hAnsi="Times New Roman" w:eastAsia="宋体" w:cs="Times New Roman"/>
      <w:b/>
      <w:bCs/>
      <w:sz w:val="32"/>
      <w:szCs w:val="32"/>
    </w:rPr>
  </w:style>
  <w:style w:type="paragraph" w:customStyle="1" w:styleId="62">
    <w:name w:val="Char11"/>
    <w:basedOn w:val="1"/>
    <w:qFormat/>
    <w:uiPriority w:val="0"/>
    <w:rPr>
      <w:rFonts w:ascii="宋体" w:hAnsi="宋体" w:cs="Courier New"/>
      <w:sz w:val="32"/>
      <w:szCs w:val="32"/>
    </w:rPr>
  </w:style>
  <w:style w:type="character" w:customStyle="1" w:styleId="63">
    <w:name w:val="Heading 2 Char"/>
    <w:qFormat/>
    <w:locked/>
    <w:uiPriority w:val="0"/>
    <w:rPr>
      <w:rFonts w:ascii="Arial" w:hAnsi="Arial" w:eastAsia="黑体"/>
      <w:b/>
      <w:bCs/>
      <w:kern w:val="2"/>
      <w:sz w:val="32"/>
      <w:szCs w:val="32"/>
      <w:lang w:val="en-US" w:eastAsia="zh-CN" w:bidi="ar-SA"/>
    </w:rPr>
  </w:style>
  <w:style w:type="paragraph" w:customStyle="1" w:styleId="64">
    <w:name w:val="Char1"/>
    <w:basedOn w:val="1"/>
    <w:qFormat/>
    <w:uiPriority w:val="0"/>
    <w:rPr>
      <w:szCs w:val="20"/>
    </w:rPr>
  </w:style>
  <w:style w:type="character" w:customStyle="1" w:styleId="65">
    <w:name w:val="正文文本缩进 2 Char"/>
    <w:link w:val="16"/>
    <w:qFormat/>
    <w:uiPriority w:val="0"/>
    <w:rPr>
      <w:rFonts w:ascii="Calibri" w:hAnsi="Calibri"/>
      <w:kern w:val="2"/>
      <w:sz w:val="28"/>
      <w:szCs w:val="22"/>
    </w:rPr>
  </w:style>
  <w:style w:type="character" w:customStyle="1" w:styleId="66">
    <w:name w:val="正文文本缩进 Char"/>
    <w:link w:val="9"/>
    <w:qFormat/>
    <w:uiPriority w:val="0"/>
    <w:rPr>
      <w:rFonts w:ascii="Calibri" w:hAnsi="Calibri"/>
      <w:kern w:val="2"/>
      <w:sz w:val="28"/>
      <w:szCs w:val="28"/>
    </w:rPr>
  </w:style>
  <w:style w:type="character" w:customStyle="1" w:styleId="67">
    <w:name w:val="标题 2 Char1"/>
    <w:qFormat/>
    <w:uiPriority w:val="9"/>
    <w:rPr>
      <w:rFonts w:ascii="Arial" w:hAnsi="Arial" w:eastAsia="黑体"/>
      <w:b/>
      <w:bCs/>
      <w:kern w:val="2"/>
      <w:sz w:val="32"/>
      <w:szCs w:val="32"/>
      <w:lang w:val="en-US" w:eastAsia="zh-CN" w:bidi="ar-SA"/>
    </w:rPr>
  </w:style>
  <w:style w:type="paragraph" w:customStyle="1" w:styleId="68">
    <w:name w:val="一级条标题"/>
    <w:next w:val="1"/>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69">
    <w:name w:val="章标题"/>
    <w:next w:val="1"/>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70">
    <w:name w:val="二级条标题"/>
    <w:basedOn w:val="68"/>
    <w:next w:val="1"/>
    <w:qFormat/>
    <w:uiPriority w:val="0"/>
    <w:pPr>
      <w:numPr>
        <w:ilvl w:val="2"/>
      </w:numPr>
      <w:spacing w:before="50" w:after="50"/>
      <w:ind w:left="0"/>
      <w:outlineLvl w:val="3"/>
    </w:pPr>
  </w:style>
  <w:style w:type="paragraph" w:customStyle="1" w:styleId="71">
    <w:name w:val="列项——（一级）"/>
    <w:qFormat/>
    <w:uiPriority w:val="0"/>
    <w:pPr>
      <w:widowControl w:val="0"/>
      <w:numPr>
        <w:ilvl w:val="0"/>
        <w:numId w:val="2"/>
      </w:numPr>
      <w:jc w:val="both"/>
    </w:pPr>
    <w:rPr>
      <w:rFonts w:ascii="宋体" w:hAnsi="Times New Roman" w:eastAsia="宋体" w:cs="Times New Roman"/>
      <w:sz w:val="21"/>
      <w:lang w:val="en-US" w:eastAsia="zh-CN" w:bidi="ar-SA"/>
    </w:rPr>
  </w:style>
  <w:style w:type="paragraph" w:customStyle="1" w:styleId="72">
    <w:name w:val="列项●（二级）"/>
    <w:qFormat/>
    <w:uiPriority w:val="0"/>
    <w:pPr>
      <w:numPr>
        <w:ilvl w:val="1"/>
        <w:numId w:val="2"/>
      </w:numPr>
      <w:tabs>
        <w:tab w:val="left" w:pos="840"/>
      </w:tabs>
      <w:jc w:val="both"/>
    </w:pPr>
    <w:rPr>
      <w:rFonts w:ascii="宋体" w:hAnsi="Times New Roman" w:eastAsia="宋体" w:cs="Times New Roman"/>
      <w:sz w:val="21"/>
      <w:lang w:val="en-US" w:eastAsia="zh-CN" w:bidi="ar-SA"/>
    </w:rPr>
  </w:style>
  <w:style w:type="paragraph" w:customStyle="1" w:styleId="73">
    <w:name w:val="三级条标题"/>
    <w:basedOn w:val="70"/>
    <w:next w:val="1"/>
    <w:qFormat/>
    <w:uiPriority w:val="0"/>
    <w:pPr>
      <w:numPr>
        <w:ilvl w:val="0"/>
        <w:numId w:val="0"/>
      </w:numPr>
      <w:outlineLvl w:val="4"/>
    </w:pPr>
  </w:style>
  <w:style w:type="paragraph" w:customStyle="1" w:styleId="74">
    <w:name w:val="四级条标题"/>
    <w:basedOn w:val="73"/>
    <w:next w:val="1"/>
    <w:qFormat/>
    <w:uiPriority w:val="0"/>
    <w:pPr>
      <w:numPr>
        <w:ilvl w:val="4"/>
        <w:numId w:val="1"/>
      </w:numPr>
      <w:outlineLvl w:val="5"/>
    </w:pPr>
  </w:style>
  <w:style w:type="paragraph" w:customStyle="1" w:styleId="75">
    <w:name w:val="五级条标题"/>
    <w:basedOn w:val="74"/>
    <w:next w:val="1"/>
    <w:qFormat/>
    <w:uiPriority w:val="0"/>
    <w:pPr>
      <w:numPr>
        <w:ilvl w:val="5"/>
      </w:numPr>
      <w:outlineLvl w:val="6"/>
    </w:pPr>
  </w:style>
  <w:style w:type="paragraph" w:customStyle="1" w:styleId="76">
    <w:name w:val="列项◆（三级）"/>
    <w:basedOn w:val="1"/>
    <w:qFormat/>
    <w:uiPriority w:val="0"/>
    <w:pPr>
      <w:numPr>
        <w:ilvl w:val="2"/>
        <w:numId w:val="2"/>
      </w:numPr>
    </w:pPr>
    <w:rPr>
      <w:rFonts w:ascii="宋体"/>
      <w:szCs w:val="21"/>
    </w:rPr>
  </w:style>
  <w:style w:type="paragraph" w:customStyle="1" w:styleId="77">
    <w:name w:val="默认段落字体 Para Char Char Char Char Char Char Char Char Char1 Char Char Char Char Char Char Char Char Char Char"/>
    <w:basedOn w:val="1"/>
    <w:qFormat/>
    <w:uiPriority w:val="0"/>
    <w:pPr>
      <w:snapToGrid w:val="0"/>
      <w:spacing w:line="360" w:lineRule="auto"/>
      <w:ind w:firstLine="200" w:firstLineChars="200"/>
    </w:pPr>
  </w:style>
  <w:style w:type="paragraph" w:styleId="78">
    <w:name w:val="List Paragraph"/>
    <w:basedOn w:val="1"/>
    <w:qFormat/>
    <w:uiPriority w:val="34"/>
    <w:pPr>
      <w:ind w:firstLine="420" w:firstLineChars="200"/>
    </w:pPr>
    <w:rPr>
      <w:rFonts w:ascii="Calibri" w:hAnsi="Calibri"/>
      <w:szCs w:val="22"/>
    </w:rPr>
  </w:style>
  <w:style w:type="paragraph" w:customStyle="1" w:styleId="79">
    <w:name w:val="Char Char Char Char"/>
    <w:basedOn w:val="1"/>
    <w:semiHidden/>
    <w:qFormat/>
    <w:uiPriority w:val="0"/>
  </w:style>
  <w:style w:type="character" w:customStyle="1" w:styleId="80">
    <w:name w:val="日期 Char"/>
    <w:link w:val="15"/>
    <w:qFormat/>
    <w:uiPriority w:val="99"/>
    <w:rPr>
      <w:kern w:val="2"/>
      <w:sz w:val="21"/>
      <w:szCs w:val="22"/>
    </w:rPr>
  </w:style>
  <w:style w:type="character" w:customStyle="1" w:styleId="81">
    <w:name w:val="批注框文本 Char"/>
    <w:link w:val="17"/>
    <w:qFormat/>
    <w:uiPriority w:val="99"/>
    <w:rPr>
      <w:kern w:val="2"/>
      <w:sz w:val="18"/>
      <w:szCs w:val="18"/>
    </w:rPr>
  </w:style>
  <w:style w:type="character" w:customStyle="1" w:styleId="82">
    <w:name w:val="日期 Char1"/>
    <w:qFormat/>
    <w:uiPriority w:val="0"/>
    <w:rPr>
      <w:kern w:val="2"/>
      <w:sz w:val="21"/>
      <w:szCs w:val="24"/>
    </w:rPr>
  </w:style>
  <w:style w:type="character" w:customStyle="1" w:styleId="83">
    <w:name w:val="批注框文本 Char1"/>
    <w:qFormat/>
    <w:uiPriority w:val="0"/>
    <w:rPr>
      <w:kern w:val="2"/>
      <w:sz w:val="18"/>
      <w:szCs w:val="18"/>
    </w:rPr>
  </w:style>
  <w:style w:type="paragraph" w:customStyle="1" w:styleId="84">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85">
    <w:name w:val="批注文字 Char"/>
    <w:link w:val="8"/>
    <w:qFormat/>
    <w:uiPriority w:val="99"/>
    <w:rPr>
      <w:kern w:val="2"/>
      <w:sz w:val="21"/>
      <w:szCs w:val="22"/>
    </w:rPr>
  </w:style>
  <w:style w:type="character" w:customStyle="1" w:styleId="86">
    <w:name w:val="批注主题 Char"/>
    <w:link w:val="26"/>
    <w:qFormat/>
    <w:uiPriority w:val="99"/>
    <w:rPr>
      <w:b/>
      <w:bCs/>
      <w:kern w:val="2"/>
      <w:sz w:val="21"/>
      <w:szCs w:val="22"/>
    </w:rPr>
  </w:style>
  <w:style w:type="paragraph" w:customStyle="1" w:styleId="87">
    <w:name w:val="样式 华文中宋 小四"/>
    <w:basedOn w:val="1"/>
    <w:qFormat/>
    <w:uiPriority w:val="0"/>
    <w:pPr>
      <w:spacing w:line="360" w:lineRule="auto"/>
      <w:ind w:firstLine="554" w:firstLineChars="198"/>
    </w:pPr>
    <w:rPr>
      <w:rFonts w:ascii="宋体" w:hAnsi="宋体"/>
      <w:sz w:val="28"/>
      <w:szCs w:val="28"/>
    </w:rPr>
  </w:style>
  <w:style w:type="paragraph" w:customStyle="1" w:styleId="8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89">
    <w:name w:val="xl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90">
    <w:name w:val="xl66"/>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9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3">
    <w:name w:val="xl6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4">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5">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6">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7">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FFFF"/>
      <w:kern w:val="0"/>
      <w:sz w:val="18"/>
      <w:szCs w:val="18"/>
    </w:rPr>
  </w:style>
  <w:style w:type="paragraph" w:customStyle="1" w:styleId="9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10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01">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2">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3">
    <w:name w:val="xl7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4">
    <w:name w:val="xl80"/>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5">
    <w:name w:val="xl8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6">
    <w:name w:val="xl82"/>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7">
    <w:name w:val="xl83"/>
    <w:basedOn w:val="1"/>
    <w:qFormat/>
    <w:uiPriority w:val="0"/>
    <w:pPr>
      <w:widowControl/>
      <w:pBdr>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8">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09">
    <w:name w:val="xl8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0">
    <w:name w:val="xl86"/>
    <w:basedOn w:val="1"/>
    <w:qFormat/>
    <w:uiPriority w:val="0"/>
    <w:pPr>
      <w:widowControl/>
      <w:pBdr>
        <w:top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1">
    <w:name w:val="xl87"/>
    <w:basedOn w:val="1"/>
    <w:qFormat/>
    <w:uiPriority w:val="0"/>
    <w:pPr>
      <w:widowControl/>
      <w:spacing w:before="100" w:beforeAutospacing="1" w:after="100" w:afterAutospacing="1"/>
      <w:jc w:val="center"/>
    </w:pPr>
    <w:rPr>
      <w:rFonts w:ascii="宋体" w:hAnsi="宋体" w:cs="宋体"/>
      <w:color w:val="000000"/>
      <w:kern w:val="0"/>
      <w:sz w:val="18"/>
      <w:szCs w:val="18"/>
    </w:rPr>
  </w:style>
  <w:style w:type="paragraph" w:customStyle="1" w:styleId="112">
    <w:name w:val="xl88"/>
    <w:basedOn w:val="1"/>
    <w:qFormat/>
    <w:uiPriority w:val="0"/>
    <w:pPr>
      <w:widowControl/>
      <w:pBdr>
        <w:bottom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4">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5">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6">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7">
    <w:name w:val="表格标题"/>
    <w:basedOn w:val="1"/>
    <w:link w:val="118"/>
    <w:qFormat/>
    <w:uiPriority w:val="0"/>
    <w:pPr>
      <w:tabs>
        <w:tab w:val="left" w:pos="1860"/>
      </w:tabs>
      <w:spacing w:line="360" w:lineRule="auto"/>
      <w:ind w:firstLine="560" w:firstLineChars="200"/>
      <w:jc w:val="center"/>
    </w:pPr>
    <w:rPr>
      <w:rFonts w:ascii="宋体" w:hAnsi="宋体"/>
      <w:b/>
      <w:sz w:val="24"/>
      <w:szCs w:val="28"/>
    </w:rPr>
  </w:style>
  <w:style w:type="character" w:customStyle="1" w:styleId="118">
    <w:name w:val="表格标题 Char"/>
    <w:link w:val="117"/>
    <w:qFormat/>
    <w:uiPriority w:val="0"/>
    <w:rPr>
      <w:rFonts w:ascii="宋体" w:hAnsi="宋体"/>
      <w:b/>
      <w:kern w:val="2"/>
      <w:sz w:val="24"/>
      <w:szCs w:val="28"/>
    </w:rPr>
  </w:style>
  <w:style w:type="paragraph" w:customStyle="1" w:styleId="119">
    <w:name w:val="font6"/>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F227F-FF17-4682-BCA1-8AB20764B7C7}">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105</Pages>
  <Words>56831</Words>
  <Characters>79880</Characters>
  <Lines>669</Lines>
  <Paragraphs>188</Paragraphs>
  <TotalTime>1247</TotalTime>
  <ScaleCrop>false</ScaleCrop>
  <LinksUpToDate>false</LinksUpToDate>
  <CharactersWithSpaces>82775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2017-08-17T01:30:00Z</dcterms:created>
  <dc:creator>MC SYSTEM</dc:creator>
  <cp:lastModifiedBy>听潮</cp:lastModifiedBy>
  <cp:lastPrinted>2017-09-15T05:40:00Z</cp:lastPrinted>
  <dcterms:modified xsi:type="dcterms:W3CDTF">2024-08-07T02:22:36Z</dcterms:modified>
  <dc:title>东川区土地利用总体规划大纲</dc:title>
  <cp:revision>294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11B91AD745ED493F88EC66B70B615427</vt:lpwstr>
  </property>
</Properties>
</file>