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textAlignment w:val="auto"/>
        <w:rPr>
          <w:rFonts w:hint="eastAsia" w:eastAsia="方正小标宋简体"/>
          <w:color w:val="auto"/>
          <w:sz w:val="44"/>
          <w:szCs w:val="44"/>
          <w:lang w:eastAsia="zh-CN"/>
        </w:rPr>
      </w:pPr>
      <w:r>
        <w:rPr>
          <w:rFonts w:eastAsia="方正小标宋简体"/>
          <w:color w:val="auto"/>
          <w:sz w:val="44"/>
          <w:szCs w:val="44"/>
        </w:rPr>
        <w:t>东川区</w:t>
      </w:r>
      <w:r>
        <w:rPr>
          <w:rFonts w:hint="eastAsia" w:eastAsia="方正小标宋简体"/>
          <w:color w:val="auto"/>
          <w:sz w:val="44"/>
          <w:szCs w:val="44"/>
          <w:lang w:eastAsia="zh-CN"/>
        </w:rPr>
        <w:t>村级集体经济收益</w:t>
      </w:r>
      <w:r>
        <w:rPr>
          <w:rFonts w:eastAsia="方正小标宋简体"/>
          <w:color w:val="auto"/>
          <w:sz w:val="44"/>
          <w:szCs w:val="44"/>
        </w:rPr>
        <w:t>分配管理办法</w:t>
      </w:r>
      <w:r>
        <w:rPr>
          <w:rFonts w:hint="eastAsia" w:eastAsia="方正小标宋简体"/>
          <w:color w:val="auto"/>
          <w:sz w:val="44"/>
          <w:szCs w:val="44"/>
          <w:lang w:eastAsia="zh-CN"/>
        </w:rPr>
        <w:t>（</w:t>
      </w:r>
      <w:r>
        <w:rPr>
          <w:rFonts w:hint="eastAsia" w:eastAsia="方正小标宋简体"/>
          <w:color w:val="auto"/>
          <w:sz w:val="44"/>
          <w:szCs w:val="44"/>
          <w:lang w:val="en-US" w:eastAsia="zh-CN"/>
        </w:rPr>
        <w:t>试行</w:t>
      </w:r>
      <w:r>
        <w:rPr>
          <w:rFonts w:hint="eastAsia" w:eastAsia="方正小标宋简体"/>
          <w:color w:val="auto"/>
          <w:sz w:val="44"/>
          <w:szCs w:val="44"/>
          <w:lang w:eastAsia="zh-CN"/>
        </w:rPr>
        <w:t>）</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征求意见</w:t>
      </w:r>
      <w:r>
        <w:rPr>
          <w:rFonts w:hint="eastAsia" w:ascii="仿宋_GB2312" w:hAnsi="仿宋_GB2312" w:eastAsia="仿宋_GB2312" w:cs="仿宋_GB2312"/>
          <w:color w:val="auto"/>
          <w:sz w:val="32"/>
          <w:szCs w:val="32"/>
        </w:rPr>
        <w:t>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eastAsia" w:ascii="黑体" w:hAnsi="黑体" w:eastAsia="黑体" w:cs="黑体"/>
          <w:b w:val="0"/>
          <w:bCs w:val="0"/>
          <w:color w:val="auto"/>
          <w:kern w:val="2"/>
          <w:sz w:val="32"/>
          <w:szCs w:val="32"/>
          <w:lang w:val="en-US" w:eastAsia="zh-CN" w:bidi="ar-SA"/>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rightChars="0"/>
        <w:jc w:val="center"/>
        <w:textAlignment w:val="auto"/>
        <w:outlineLvl w:val="9"/>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 xml:space="preserve">第一条 </w:t>
      </w:r>
      <w:r>
        <w:rPr>
          <w:rFonts w:hint="eastAsia" w:ascii="仿宋_GB2312" w:hAnsi="仿宋_GB2312" w:eastAsia="仿宋_GB2312" w:cs="仿宋_GB2312"/>
          <w:color w:val="auto"/>
          <w:kern w:val="2"/>
          <w:sz w:val="32"/>
          <w:szCs w:val="32"/>
          <w:lang w:val="en-US" w:eastAsia="zh-CN" w:bidi="ar-SA"/>
        </w:rPr>
        <w:t>为指导好东川区村级集体经济收益的管理使用，进一步加强监管、规范运行，保障村集体经济组织及其成员和村（社区）“两委”的合法权益，促进村集体经济健康发展，增强农村基层党组织的自我保障和服务群众能力，进一步加强和规范村级集体经济收益分配管理，根据《中共中央 国务院关于稳步推进农村集体产权制度改革的意见》、《农业农村部关于印发〈农村集体经济组织示范章程（试行）〉的通知》（农政改发〔2020〕5号）、《财政部 农业农村部关于印发〈农村集体经济组织财务制度〉的通知》（财农〔2021〕121号）、《中共云南省委组织部 云南省财政厅 云南省农业农村厅关于印发〈云南省扶持壮大村级集体经济强村工程项目管理办法（试行）〉的通知》（云组发〔2020 〕19号）、《云南省加强村干部管理激励若干规定（试行）》、《中共昆明市东川区委办公室关于印发〈东川区加强村干部管理激励办法（试行）〉的通知》（东办通〔2022〕24号）精神，结合我区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 xml:space="preserve">第二条  </w:t>
      </w:r>
      <w:r>
        <w:rPr>
          <w:rFonts w:hint="eastAsia" w:ascii="仿宋_GB2312" w:hAnsi="仿宋_GB2312" w:eastAsia="仿宋_GB2312" w:cs="仿宋_GB2312"/>
          <w:color w:val="auto"/>
          <w:kern w:val="2"/>
          <w:sz w:val="32"/>
          <w:szCs w:val="32"/>
          <w:lang w:val="en-US" w:eastAsia="zh-CN" w:bidi="ar-SA"/>
        </w:rPr>
        <w:t>本办法所称农村集体经济组织，是指具有土地发包权，履行管理集体资产、开发集体资源职责，且经农业农村部门登记赋码的经济主体。包括行政村（社区）、村民小组股份经济合作社。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第三条 </w:t>
      </w:r>
      <w:r>
        <w:rPr>
          <w:rFonts w:hint="eastAsia"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本办法所称村集体经济收益，是指农村集体经济组织使用财政资金和自有资产资源，通过生产销售、提供服务、投资收益、让渡集体资产资源使用权等形成的经济利益总流入，扣除当年的经营管理成本后的结余，再加上年度未分配收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jc w:val="center"/>
        <w:textAlignment w:val="auto"/>
        <w:outlineLvl w:val="9"/>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分配原则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 xml:space="preserve">第四条 </w:t>
      </w:r>
      <w:r>
        <w:rPr>
          <w:rFonts w:hint="eastAsia"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坚持依法依规管理原则。严格按照有关法律法规要求，科学合理制定收益分配方案，规范分配程序，维护和保障农村集体经济组织成员的合法权益，统筹兼顾妥善处理好各方利益。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 xml:space="preserve">第五条  </w:t>
      </w:r>
      <w:r>
        <w:rPr>
          <w:rFonts w:hint="eastAsia" w:ascii="仿宋_GB2312" w:hAnsi="仿宋_GB2312" w:eastAsia="仿宋_GB2312" w:cs="仿宋_GB2312"/>
          <w:color w:val="auto"/>
          <w:kern w:val="2"/>
          <w:sz w:val="32"/>
          <w:szCs w:val="32"/>
          <w:lang w:val="en-US" w:eastAsia="zh-CN" w:bidi="ar-SA"/>
        </w:rPr>
        <w:t>坚持科学民主决策原则。坚持农村基层党组织的领导核心地位，尊重群众意见充分发挥群众主体作用，规范履行民主程序，实行民主决策、民主管理，接受民主监督及时向全体成员公开收益分配方案、分配结果，确保收益分配各个环节程序规范，分配公平、公正、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 xml:space="preserve">第六条  </w:t>
      </w:r>
      <w:r>
        <w:rPr>
          <w:rFonts w:hint="eastAsia" w:ascii="仿宋_GB2312" w:hAnsi="仿宋_GB2312" w:eastAsia="仿宋_GB2312" w:cs="仿宋_GB2312"/>
          <w:color w:val="auto"/>
          <w:kern w:val="2"/>
          <w:sz w:val="32"/>
          <w:szCs w:val="32"/>
          <w:lang w:val="en-US" w:eastAsia="zh-CN" w:bidi="ar-SA"/>
        </w:rPr>
        <w:t>坚持效益决定分配原则。坚持分配与积累并重、服务与发展并行，既注重扩大再生产，又不断增加集体积累。年度收益分配依据当年本集体经济组织开展生产经营和管理活动取得的收益，严格实行量入为出，确定合理的分配比例，优先用于发展生产、公益事业、集体福利和扶弱济困</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严禁举债搞公益、发福利、分配、分红；严禁私分集体资产；严禁因区划调整、班子换届等因素搞突击分配。年度亏损未弥补前不得进行收益分配。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 xml:space="preserve">第七条  </w:t>
      </w:r>
      <w:r>
        <w:rPr>
          <w:rFonts w:hint="eastAsia" w:ascii="仿宋_GB2312" w:hAnsi="仿宋_GB2312" w:eastAsia="仿宋_GB2312" w:cs="仿宋_GB2312"/>
          <w:color w:val="auto"/>
          <w:kern w:val="2"/>
          <w:sz w:val="32"/>
          <w:szCs w:val="32"/>
          <w:lang w:val="en-US" w:eastAsia="zh-CN" w:bidi="ar-SA"/>
        </w:rPr>
        <w:t>坚持激励促进发展原则。把发展壮大村级集体经济成效与激励经营管理人员挂钩，充分调动村级集体经济组织成员的积极性，引导村(社区)干部、经济“能人”积极参与集体经济发展，激发村级集体经济发展活力，持续推动村级集体经济收益稳步增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黑体" w:hAnsi="黑体" w:eastAsia="黑体" w:cs="黑体"/>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第三章 分配内容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 xml:space="preserve">第八条 </w:t>
      </w:r>
      <w:r>
        <w:rPr>
          <w:rFonts w:hint="eastAsia" w:ascii="仿宋_GB2312" w:hAnsi="仿宋_GB2312" w:eastAsia="仿宋_GB2312" w:cs="仿宋_GB2312"/>
          <w:color w:val="auto"/>
          <w:kern w:val="2"/>
          <w:sz w:val="32"/>
          <w:szCs w:val="32"/>
          <w:lang w:val="en-US" w:eastAsia="zh-CN" w:bidi="ar-SA"/>
        </w:rPr>
        <w:t>村级集体经济收益主要用于：村级组织运转经费、公益金、公积金、村集体经济组织成员分红、村组干部集体经济创收奖励。</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sz w:val="32"/>
          <w:szCs w:val="32"/>
          <w:lang w:eastAsia="zh-CN"/>
        </w:rPr>
        <w:t>（一）</w:t>
      </w:r>
      <w:r>
        <w:rPr>
          <w:rFonts w:eastAsia="楷体_GB2312"/>
          <w:color w:val="auto"/>
          <w:sz w:val="32"/>
          <w:szCs w:val="32"/>
        </w:rPr>
        <w:t>村级组织运转经费。</w:t>
      </w:r>
      <w:r>
        <w:rPr>
          <w:rFonts w:hint="eastAsia" w:ascii="仿宋_GB2312" w:hAnsi="仿宋_GB2312" w:eastAsia="仿宋_GB2312" w:cs="仿宋_GB2312"/>
          <w:color w:val="auto"/>
          <w:kern w:val="2"/>
          <w:sz w:val="32"/>
          <w:szCs w:val="32"/>
          <w:lang w:val="en-US" w:eastAsia="zh-CN" w:bidi="ar-SA"/>
        </w:rPr>
        <w:t>主要用于补充村级集体经济组织机构运转支出（如：办公、会议、学习培训、财务管理等有关村级集体经济组织运行管理经费）。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公积金。</w:t>
      </w:r>
      <w:r>
        <w:rPr>
          <w:rFonts w:hint="eastAsia" w:ascii="仿宋_GB2312" w:hAnsi="仿宋_GB2312" w:eastAsia="仿宋_GB2312" w:cs="仿宋_GB2312"/>
          <w:color w:val="auto"/>
          <w:kern w:val="2"/>
          <w:sz w:val="32"/>
          <w:szCs w:val="32"/>
          <w:lang w:val="en-US" w:eastAsia="zh-CN" w:bidi="ar-SA"/>
        </w:rPr>
        <w:t>主要用于弥补经济组织运营亏损，维护集体经济项目资产，盘活闲置资源，扩大再生产和风险防控，特别是对群众广泛参与、辐射带动作用强的项目优先列支。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公益</w:t>
      </w:r>
      <w:r>
        <w:rPr>
          <w:rFonts w:hint="eastAsia" w:ascii="楷体_GB2312" w:hAnsi="楷体_GB2312" w:eastAsia="楷体_GB2312" w:cs="楷体_GB2312"/>
          <w:color w:val="auto"/>
          <w:sz w:val="32"/>
          <w:szCs w:val="32"/>
          <w:lang w:val="en-US" w:eastAsia="zh-CN"/>
        </w:rPr>
        <w:t>金。</w:t>
      </w:r>
      <w:r>
        <w:rPr>
          <w:rFonts w:hint="eastAsia" w:ascii="仿宋_GB2312" w:hAnsi="仿宋_GB2312" w:eastAsia="仿宋_GB2312" w:cs="仿宋_GB2312"/>
          <w:color w:val="auto"/>
          <w:kern w:val="2"/>
          <w:sz w:val="32"/>
          <w:szCs w:val="32"/>
          <w:lang w:val="en-US" w:eastAsia="zh-CN" w:bidi="ar-SA"/>
        </w:rPr>
        <w:t>主要用于公共事务管理和发展公益事业，包括：乡村建设、人居环境改善、改善民生、公共安全、文体活动以及帮扶困难党员、困难群众，资助贫困学生和奖励优秀学生等方面支出。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提取的公益金中必须有一定比例用于本村低收入人群的帮扶工作（主要是本村脱贫人口和监测对象中收入最低的20％群体，</w:t>
      </w:r>
      <w:r>
        <w:rPr>
          <w:rFonts w:hint="default" w:ascii="仿宋_GB2312" w:hAnsi="仿宋_GB2312" w:eastAsia="仿宋_GB2312" w:cs="仿宋_GB2312"/>
          <w:color w:val="auto"/>
          <w:kern w:val="2"/>
          <w:sz w:val="32"/>
          <w:szCs w:val="32"/>
          <w:lang w:val="en-US" w:eastAsia="zh-CN" w:bidi="ar-SA"/>
        </w:rPr>
        <w:t>具体</w:t>
      </w:r>
      <w:r>
        <w:rPr>
          <w:rFonts w:hint="eastAsia" w:ascii="仿宋_GB2312" w:hAnsi="仿宋_GB2312" w:eastAsia="仿宋_GB2312" w:cs="仿宋_GB2312"/>
          <w:color w:val="auto"/>
          <w:kern w:val="2"/>
          <w:sz w:val="32"/>
          <w:szCs w:val="32"/>
          <w:lang w:val="en-US" w:eastAsia="zh-CN" w:bidi="ar-SA"/>
        </w:rPr>
        <w:t>对象</w:t>
      </w:r>
      <w:r>
        <w:rPr>
          <w:rFonts w:hint="default" w:ascii="仿宋_GB2312" w:hAnsi="仿宋_GB2312" w:eastAsia="仿宋_GB2312" w:cs="仿宋_GB2312"/>
          <w:color w:val="auto"/>
          <w:kern w:val="2"/>
          <w:sz w:val="32"/>
          <w:szCs w:val="32"/>
          <w:lang w:val="en-US" w:eastAsia="zh-CN" w:bidi="ar-SA"/>
        </w:rPr>
        <w:t>和标准由各村社区根据实际情况确定</w:t>
      </w:r>
      <w:r>
        <w:rPr>
          <w:rFonts w:hint="eastAsia" w:ascii="仿宋_GB2312" w:hAnsi="仿宋_GB2312" w:eastAsia="仿宋_GB2312" w:cs="仿宋_GB2312"/>
          <w:color w:val="auto"/>
          <w:kern w:val="2"/>
          <w:sz w:val="32"/>
          <w:szCs w:val="32"/>
          <w:lang w:val="en-US" w:eastAsia="zh-CN" w:bidi="ar-SA"/>
        </w:rPr>
        <w:t>），坚决守住不发生规模性返贫的底线。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kern w:val="2"/>
          <w:sz w:val="32"/>
          <w:szCs w:val="32"/>
          <w:lang w:val="en-US" w:eastAsia="zh-CN" w:bidi="ar-SA"/>
        </w:rPr>
        <w:t>村集体经济组织成员分红</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kern w:val="2"/>
          <w:sz w:val="32"/>
          <w:szCs w:val="32"/>
          <w:lang w:val="en-US" w:eastAsia="zh-CN" w:bidi="ar-SA"/>
        </w:rPr>
        <w:t>村集体收益达到一定规模，可以以股份红利的形式向全体集体经济组织成员（股东）分配，集体经济组织成员由各村（社区）集体经济组织按照相关程序自行确定。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kern w:val="2"/>
          <w:sz w:val="32"/>
          <w:szCs w:val="32"/>
          <w:lang w:val="en-US" w:eastAsia="zh-CN" w:bidi="ar-SA"/>
        </w:rPr>
        <w:t>村组干部集体经济创收奖励</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kern w:val="2"/>
          <w:sz w:val="32"/>
          <w:szCs w:val="32"/>
          <w:lang w:val="en-US" w:eastAsia="zh-CN" w:bidi="ar-SA"/>
        </w:rPr>
        <w:t>主要用于激励在发展村级集体经济中作出贡献的村（社区）干部，激励干事创业热情。补助奖励对象为村（社区）“两委”成员、村民监督委员会成员、村民小组长、村民小组党支部书记、群团组织负责人、《云南省加强村干部管理激励若干规定（试行）》文件中规定的其他人员。对乡村CEO或集体经济组织聘用人员的奖励纳入集体经济组织成本核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pacing w:line="560" w:lineRule="exact"/>
        <w:ind w:right="0" w:rightChars="0"/>
        <w:jc w:val="center"/>
        <w:textAlignment w:val="auto"/>
        <w:rPr>
          <w:rFonts w:hint="eastAsia" w:ascii="黑体" w:hAnsi="黑体" w:eastAsia="黑体" w:cs="黑体"/>
          <w:color w:val="auto"/>
          <w:spacing w:val="22"/>
          <w:sz w:val="32"/>
          <w:szCs w:val="32"/>
        </w:rPr>
      </w:pPr>
      <w:r>
        <w:rPr>
          <w:rFonts w:hint="eastAsia" w:ascii="黑体" w:hAnsi="黑体" w:eastAsia="黑体" w:cs="黑体"/>
          <w:color w:val="auto"/>
          <w:spacing w:val="22"/>
          <w:sz w:val="32"/>
          <w:szCs w:val="32"/>
          <w:lang w:val="en-US" w:eastAsia="zh-CN"/>
        </w:rPr>
        <w:t xml:space="preserve">第四章 </w:t>
      </w:r>
      <w:r>
        <w:rPr>
          <w:rFonts w:hint="eastAsia" w:ascii="黑体" w:hAnsi="黑体" w:eastAsia="黑体" w:cs="黑体"/>
          <w:color w:val="auto"/>
          <w:spacing w:val="22"/>
          <w:sz w:val="32"/>
          <w:szCs w:val="32"/>
        </w:rPr>
        <w:t>分配范围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728"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22"/>
          <w:sz w:val="32"/>
          <w:szCs w:val="32"/>
          <w:lang w:val="en-US" w:eastAsia="zh-CN"/>
        </w:rPr>
        <w:t xml:space="preserve">第九条 </w:t>
      </w:r>
      <w:r>
        <w:rPr>
          <w:rFonts w:hint="eastAsia" w:ascii="仿宋_GB2312" w:hAnsi="仿宋_GB2312" w:eastAsia="仿宋_GB2312" w:cs="仿宋_GB2312"/>
          <w:color w:val="auto"/>
          <w:kern w:val="2"/>
          <w:sz w:val="32"/>
          <w:szCs w:val="32"/>
          <w:lang w:val="en-US" w:eastAsia="zh-CN" w:bidi="ar-SA"/>
        </w:rPr>
        <w:t>可分配收益范围。在一个会计年度内（1月1日至12月31日），经营收益、投资收益、入股分红、服务性收益、资产租赁所得、资源发包收益以及其他按规定可以纳入年度收益分配的收入，扣除当年的经营管理成本、缴纳税费等各项支出后剩余的部分，再加上上年度未分配收益。一次性或集中收取的集体资产租赁、资源发包等收入，应分摊到各个受益年度进行分配；当年收取出租、上交、入股等收入超过一年收益期的，按收益期限平均分摊至各年度。村集体经营性收入具体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w:t>
      </w:r>
      <w:r>
        <w:rPr>
          <w:rFonts w:hint="eastAsia" w:ascii="仿宋_GB2312" w:hAnsi="仿宋_GB2312" w:eastAsia="仿宋_GB2312" w:cs="仿宋_GB2312"/>
          <w:color w:val="auto"/>
          <w:kern w:val="2"/>
          <w:sz w:val="32"/>
          <w:szCs w:val="32"/>
          <w:lang w:val="en-US" w:eastAsia="zh-CN" w:bidi="ar-SA"/>
        </w:rPr>
        <w:t>村集体经济组织开展各项生产、服务等经营活动取得的收入，包括产品物资销售收入、出租收入、劳务收入等；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w:t>
      </w:r>
      <w:r>
        <w:rPr>
          <w:rFonts w:hint="eastAsia" w:ascii="仿宋_GB2312" w:hAnsi="仿宋_GB2312" w:eastAsia="仿宋_GB2312" w:cs="仿宋_GB2312"/>
          <w:color w:val="auto"/>
          <w:kern w:val="2"/>
          <w:sz w:val="32"/>
          <w:szCs w:val="32"/>
          <w:lang w:val="en-US" w:eastAsia="zh-CN" w:bidi="ar-SA"/>
        </w:rPr>
        <w:t>农户和其他单位因承包集体耕地、林地、果园、鱼塘等上交的承包金以及集体办企业上交的利润等；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（三）</w:t>
      </w:r>
      <w:r>
        <w:rPr>
          <w:rFonts w:hint="eastAsia" w:ascii="仿宋_GB2312" w:hAnsi="仿宋_GB2312" w:eastAsia="仿宋_GB2312" w:cs="仿宋_GB2312"/>
          <w:color w:val="auto"/>
          <w:kern w:val="2"/>
          <w:sz w:val="32"/>
          <w:szCs w:val="32"/>
          <w:lang w:val="en-US" w:eastAsia="zh-CN" w:bidi="ar-SA"/>
        </w:rPr>
        <w:t>村集体以土地、资金等入股市场主体取得的收益等；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（四）</w:t>
      </w:r>
      <w:r>
        <w:rPr>
          <w:rFonts w:hint="eastAsia" w:ascii="仿宋_GB2312" w:hAnsi="仿宋_GB2312" w:eastAsia="仿宋_GB2312" w:cs="仿宋_GB2312"/>
          <w:color w:val="auto"/>
          <w:kern w:val="2"/>
          <w:sz w:val="32"/>
          <w:szCs w:val="32"/>
          <w:lang w:val="en-US" w:eastAsia="zh-CN" w:bidi="ar-SA"/>
        </w:rPr>
        <w:t>其他未明确收益项目是否纳入统计由各乡镇（街道）和行业主管部门结合实际指导确定。</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16"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19"/>
          <w:position w:val="1"/>
          <w:sz w:val="32"/>
          <w:szCs w:val="32"/>
          <w:lang w:val="en-US" w:eastAsia="zh-CN"/>
        </w:rPr>
        <w:t xml:space="preserve">第十条 </w:t>
      </w:r>
      <w:r>
        <w:rPr>
          <w:rFonts w:hint="eastAsia" w:ascii="仿宋_GB2312" w:hAnsi="仿宋_GB2312" w:eastAsia="仿宋_GB2312" w:cs="仿宋_GB2312"/>
          <w:color w:val="auto"/>
          <w:kern w:val="2"/>
          <w:sz w:val="32"/>
          <w:szCs w:val="32"/>
          <w:lang w:val="en-US" w:eastAsia="zh-CN" w:bidi="ar-SA"/>
        </w:rPr>
        <w:t>不可分配收益范围。政府专款补助及政府部门投入的具有专项或特定用途的款项；社会团体、他人捐赠的财物；归农村集体经济组织所有，可以量化为集体成员持有的股份，但不得纳入年度收益直接分配的；留归集体的土地补偿费应直接列入公积金和公益金，不得作为集体收益进行分配；集体建设用地出让、出租收益应充分考虑以后年度收入的持续稳定，不得全额在当年分配。各村（社区）光伏发电收益、公益林补助等国家和省、市、区、乡镇（街道）各项政策性补助收入和帮扶资金等不纳入可分配收益范围；其他按规定不得纳入年度收益分配的收入。</w:t>
      </w:r>
    </w:p>
    <w:p>
      <w:pPr>
        <w:keepNext w:val="0"/>
        <w:keepLines w:val="0"/>
        <w:pageBreakBefore w:val="0"/>
        <w:kinsoku/>
        <w:wordWrap/>
        <w:overflowPunct/>
        <w:topLinePunct w:val="0"/>
        <w:autoSpaceDE/>
        <w:autoSpaceDN/>
        <w:bidi w:val="0"/>
        <w:adjustRightInd/>
        <w:spacing w:line="560" w:lineRule="exact"/>
        <w:ind w:right="0"/>
        <w:jc w:val="center"/>
        <w:textAlignment w:val="auto"/>
        <w:rPr>
          <w:rFonts w:hint="eastAsia" w:ascii="黑体" w:hAnsi="黑体" w:eastAsia="黑体" w:cs="黑体"/>
          <w:color w:val="auto"/>
          <w:sz w:val="32"/>
          <w:szCs w:val="32"/>
        </w:rPr>
      </w:pPr>
      <w:r>
        <w:rPr>
          <w:rFonts w:hint="eastAsia" w:ascii="黑体" w:hAnsi="黑体" w:eastAsia="黑体" w:cs="黑体"/>
          <w:color w:val="auto"/>
          <w:spacing w:val="20"/>
          <w:sz w:val="32"/>
          <w:szCs w:val="32"/>
          <w:lang w:val="en-US" w:eastAsia="zh-CN"/>
        </w:rPr>
        <w:t xml:space="preserve">第五章 </w:t>
      </w:r>
      <w:r>
        <w:rPr>
          <w:rFonts w:hint="eastAsia" w:ascii="黑体" w:hAnsi="黑体" w:eastAsia="黑体" w:cs="黑体"/>
          <w:color w:val="auto"/>
          <w:spacing w:val="20"/>
          <w:sz w:val="32"/>
          <w:szCs w:val="32"/>
        </w:rPr>
        <w:t>分配程序</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16"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19"/>
          <w:position w:val="1"/>
          <w:sz w:val="32"/>
          <w:szCs w:val="32"/>
          <w:lang w:val="en-US" w:eastAsia="zh-CN"/>
        </w:rPr>
        <w:t>第十一条 </w:t>
      </w:r>
      <w:r>
        <w:rPr>
          <w:rFonts w:hint="eastAsia" w:ascii="仿宋_GB2312" w:hAnsi="仿宋_GB2312" w:eastAsia="仿宋_GB2312" w:cs="仿宋_GB2312"/>
          <w:color w:val="auto"/>
          <w:spacing w:val="19"/>
          <w:position w:val="1"/>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村集体经济收益分配一般按照财务核算、制定方案、审核公示、组织实施、结果备案的程序开展。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16"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19"/>
          <w:position w:val="1"/>
          <w:sz w:val="32"/>
          <w:szCs w:val="32"/>
          <w:lang w:val="en-US" w:eastAsia="zh-CN"/>
        </w:rPr>
        <w:t>第十二条</w:t>
      </w:r>
      <w:r>
        <w:rPr>
          <w:rFonts w:hint="eastAsia" w:ascii="仿宋_GB2312" w:hAnsi="仿宋_GB2312" w:eastAsia="仿宋_GB2312" w:cs="仿宋_GB2312"/>
          <w:color w:val="auto"/>
          <w:spacing w:val="19"/>
          <w:position w:val="1"/>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财务核算。在进行年终收益分配前，各乡镇（街道）负责指导辖区内各村（社区）集体经济组织全面清查资产、清理债权债务；村集体经济组织要加大应收款项的清收力度，落实经济合同的结算和兑现，准确核算集体经济组织全年的收入、支出、可分配收益。</w:t>
      </w:r>
    </w:p>
    <w:p>
      <w:pPr>
        <w:pStyle w:val="3"/>
        <w:keepNext w:val="0"/>
        <w:keepLines w:val="0"/>
        <w:pageBreakBefore w:val="0"/>
        <w:widowControl w:val="0"/>
        <w:kinsoku/>
        <w:wordWrap/>
        <w:overflowPunct/>
        <w:topLinePunct w:val="0"/>
        <w:autoSpaceDE/>
        <w:autoSpaceDN/>
        <w:bidi w:val="0"/>
        <w:adjustRightInd/>
        <w:snapToGrid/>
        <w:spacing w:line="560" w:lineRule="exact"/>
        <w:ind w:right="0" w:firstLine="716"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19"/>
          <w:kern w:val="2"/>
          <w:position w:val="1"/>
          <w:sz w:val="32"/>
          <w:szCs w:val="32"/>
          <w:lang w:val="en-US" w:eastAsia="zh-CN" w:bidi="ar-SA"/>
        </w:rPr>
        <w:t>第十三条</w:t>
      </w:r>
      <w:r>
        <w:rPr>
          <w:rFonts w:hint="eastAsia" w:ascii="楷体_GB2312" w:hAnsi="楷体_GB2312" w:eastAsia="楷体_GB2312" w:cs="楷体_GB2312"/>
          <w:color w:val="auto"/>
          <w:spacing w:val="30"/>
          <w:position w:val="1"/>
          <w:lang w:val="en-US" w:eastAsia="zh-CN"/>
        </w:rPr>
        <w:t xml:space="preserve"> </w:t>
      </w:r>
      <w:r>
        <w:rPr>
          <w:rFonts w:hint="eastAsia" w:ascii="仿宋_GB2312" w:hAnsi="仿宋_GB2312" w:eastAsia="仿宋_GB2312" w:cs="仿宋_GB2312"/>
          <w:color w:val="auto"/>
          <w:kern w:val="2"/>
          <w:sz w:val="32"/>
          <w:szCs w:val="32"/>
          <w:lang w:val="en-US" w:eastAsia="zh-CN" w:bidi="ar-SA"/>
        </w:rPr>
        <w:t>制定方案。村集体经济组织理事会根据年度可分配收益情况，依法依规制定年度收益分配方案和村组干部创收奖励方案，方案内容包括：分配范围、分配金额、分配比例和使用方向等，由监事会对方案进行审核，审核后的分配方案执行“四议两公开 ”决策程序，经村民代表大会讨论、表决，形成书面决议，报乡镇（街道）党（工）委政府（办事处）审核。</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716"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19"/>
          <w:kern w:val="2"/>
          <w:position w:val="1"/>
          <w:sz w:val="32"/>
          <w:szCs w:val="32"/>
          <w:lang w:val="en-US" w:eastAsia="zh-CN" w:bidi="ar-SA"/>
        </w:rPr>
        <w:t>第十四条</w:t>
      </w:r>
      <w:r>
        <w:rPr>
          <w:rFonts w:hint="eastAsia" w:ascii="楷体_GB2312" w:hAnsi="楷体_GB2312" w:eastAsia="楷体_GB2312" w:cs="楷体_GB2312"/>
          <w:color w:val="auto"/>
          <w:spacing w:val="15"/>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审核公示。由各乡镇（街道）党（工）委政府（办事处）牵头，组织同级纪检监察、基层党组织、财政、农业农村、民政等部门结合各村（社区）集体经济产业发展状况、资产和收益情况，对各村（社区）上报的收益分配方案和村组干部创收奖励方案进行审核，审核通过后由村（社区）向集体经济组织全体成员进行公示，公示期不得少于5个工作日。</w:t>
      </w:r>
    </w:p>
    <w:p>
      <w:pPr>
        <w:pStyle w:val="3"/>
        <w:keepNext w:val="0"/>
        <w:keepLines w:val="0"/>
        <w:pageBreakBefore w:val="0"/>
        <w:widowControl w:val="0"/>
        <w:kinsoku/>
        <w:wordWrap/>
        <w:overflowPunct/>
        <w:topLinePunct w:val="0"/>
        <w:autoSpaceDE/>
        <w:autoSpaceDN/>
        <w:bidi w:val="0"/>
        <w:adjustRightInd/>
        <w:snapToGrid/>
        <w:spacing w:line="560" w:lineRule="exact"/>
        <w:ind w:right="0" w:firstLine="716"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19"/>
          <w:kern w:val="2"/>
          <w:position w:val="1"/>
          <w:sz w:val="32"/>
          <w:szCs w:val="32"/>
          <w:lang w:val="en-US" w:eastAsia="zh-CN" w:bidi="ar-SA"/>
        </w:rPr>
        <w:t xml:space="preserve">第十五条 </w:t>
      </w:r>
      <w:r>
        <w:rPr>
          <w:rFonts w:hint="eastAsia" w:ascii="仿宋_GB2312" w:hAnsi="仿宋_GB2312" w:eastAsia="仿宋_GB2312" w:cs="仿宋_GB2312"/>
          <w:color w:val="auto"/>
          <w:kern w:val="2"/>
          <w:sz w:val="32"/>
          <w:szCs w:val="32"/>
          <w:lang w:val="en-US" w:eastAsia="zh-CN" w:bidi="ar-SA"/>
        </w:rPr>
        <w:t>组织实施。方案公示无异议后，制定收益分配表，由相关受益方签字确认，再由村级集体经济组织按照农村集体经济组织财务管理相关规定将收益分配资金发放到相关受益人。</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716"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19"/>
          <w:kern w:val="2"/>
          <w:position w:val="1"/>
          <w:sz w:val="32"/>
          <w:szCs w:val="32"/>
          <w:lang w:val="en-US" w:eastAsia="zh-CN" w:bidi="ar-SA"/>
        </w:rPr>
        <w:t>第十六条</w:t>
      </w:r>
      <w:r>
        <w:rPr>
          <w:rFonts w:hint="eastAsia" w:ascii="楷体_GB2312" w:hAnsi="楷体_GB2312" w:eastAsia="楷体_GB2312" w:cs="楷体_GB2312"/>
          <w:color w:val="auto"/>
          <w:spacing w:val="21"/>
          <w:lang w:val="en-US" w:eastAsia="zh-CN"/>
        </w:rPr>
        <w:t xml:space="preserve"> </w:t>
      </w:r>
      <w:r>
        <w:rPr>
          <w:rFonts w:hint="eastAsia" w:ascii="仿宋_GB2312" w:hAnsi="仿宋_GB2312" w:eastAsia="仿宋_GB2312" w:cs="仿宋_GB2312"/>
          <w:color w:val="auto"/>
          <w:kern w:val="2"/>
          <w:sz w:val="32"/>
          <w:szCs w:val="32"/>
          <w:lang w:val="en-US" w:eastAsia="zh-CN" w:bidi="ar-SA"/>
        </w:rPr>
        <w:t>结果备案。分配完成后，村级集体经济组织将收益分配方案、村组干部创收奖励方案、会议记录、乡镇（街道）党（工）委政府（办事处）审核意见、村民代表大会决议、公示公开材料、收益分配签字表等档案资料，报区委组织部、区农业农村局备案。</w:t>
      </w:r>
    </w:p>
    <w:p>
      <w:pPr>
        <w:keepNext w:val="0"/>
        <w:keepLines w:val="0"/>
        <w:pageBreakBefore w:val="0"/>
        <w:kinsoku/>
        <w:wordWrap/>
        <w:overflowPunct/>
        <w:topLinePunct w:val="0"/>
        <w:autoSpaceDE/>
        <w:autoSpaceDN/>
        <w:bidi w:val="0"/>
        <w:adjustRightInd/>
        <w:spacing w:line="560" w:lineRule="exact"/>
        <w:ind w:left="0" w:leftChars="0" w:right="0" w:firstLine="692" w:firstLineChars="200"/>
        <w:textAlignment w:val="auto"/>
        <w:rPr>
          <w:rFonts w:hint="eastAsia" w:ascii="黑体" w:hAnsi="黑体" w:eastAsia="黑体" w:cs="黑体"/>
          <w:color w:val="auto"/>
          <w:spacing w:val="13"/>
          <w:sz w:val="32"/>
          <w:szCs w:val="32"/>
          <w:lang w:val="en-US" w:eastAsia="zh-CN"/>
        </w:rPr>
      </w:pPr>
    </w:p>
    <w:p>
      <w:pPr>
        <w:keepNext w:val="0"/>
        <w:keepLines w:val="0"/>
        <w:pageBreakBefore w:val="0"/>
        <w:kinsoku/>
        <w:wordWrap/>
        <w:overflowPunct/>
        <w:topLinePunct w:val="0"/>
        <w:autoSpaceDE/>
        <w:autoSpaceDN/>
        <w:bidi w:val="0"/>
        <w:adjustRightInd/>
        <w:spacing w:line="560" w:lineRule="exact"/>
        <w:ind w:right="0"/>
        <w:jc w:val="center"/>
        <w:textAlignment w:val="auto"/>
        <w:rPr>
          <w:rFonts w:hint="eastAsia" w:ascii="黑体" w:hAnsi="黑体" w:eastAsia="黑体" w:cs="黑体"/>
          <w:color w:val="auto"/>
          <w:sz w:val="32"/>
          <w:szCs w:val="32"/>
        </w:rPr>
      </w:pPr>
      <w:r>
        <w:rPr>
          <w:rFonts w:hint="eastAsia" w:ascii="黑体" w:hAnsi="黑体" w:eastAsia="黑体" w:cs="黑体"/>
          <w:color w:val="auto"/>
          <w:spacing w:val="13"/>
          <w:sz w:val="32"/>
          <w:szCs w:val="32"/>
          <w:lang w:val="en-US" w:eastAsia="zh-CN"/>
        </w:rPr>
        <w:t xml:space="preserve">第六章 </w:t>
      </w:r>
      <w:r>
        <w:rPr>
          <w:rFonts w:hint="eastAsia" w:ascii="黑体" w:hAnsi="黑体" w:eastAsia="黑体" w:cs="黑体"/>
          <w:color w:val="auto"/>
          <w:spacing w:val="13"/>
          <w:sz w:val="32"/>
          <w:szCs w:val="32"/>
        </w:rPr>
        <w:t>分配模式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716"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19"/>
          <w:kern w:val="2"/>
          <w:position w:val="1"/>
          <w:sz w:val="32"/>
          <w:szCs w:val="32"/>
          <w:lang w:val="en-US" w:eastAsia="zh-CN" w:bidi="ar-SA"/>
        </w:rPr>
        <w:t>第十七条</w:t>
      </w:r>
      <w:r>
        <w:rPr>
          <w:rFonts w:hint="eastAsia" w:eastAsia="仿宋_GB2312" w:cs="Times New Roman"/>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村级集体经济收益首先用于弥补以前年度的亏损欠账，剩余可分配收益按逐段提取、累计相加的方式计算（计算公式附后）。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w:t>
      </w:r>
      <w:r>
        <w:rPr>
          <w:rFonts w:hint="eastAsia" w:ascii="仿宋_GB2312" w:hAnsi="仿宋_GB2312" w:eastAsia="仿宋_GB2312" w:cs="仿宋_GB2312"/>
          <w:color w:val="auto"/>
          <w:kern w:val="2"/>
          <w:sz w:val="32"/>
          <w:szCs w:val="32"/>
          <w:lang w:val="en-US" w:eastAsia="zh-CN" w:bidi="ar-SA"/>
        </w:rPr>
        <w:t>村级集体经济收益在5万元以下（含5万元）的，可提取40％的公益金、60％的村级组织运转经费。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w:t>
      </w:r>
      <w:r>
        <w:rPr>
          <w:rFonts w:hint="eastAsia" w:ascii="仿宋_GB2312" w:hAnsi="仿宋_GB2312" w:eastAsia="仿宋_GB2312" w:cs="仿宋_GB2312"/>
          <w:color w:val="auto"/>
          <w:kern w:val="2"/>
          <w:sz w:val="32"/>
          <w:szCs w:val="32"/>
          <w:lang w:val="en-US" w:eastAsia="zh-CN" w:bidi="ar-SA"/>
        </w:rPr>
        <w:t>村级集体经济收益5万元以上10万元以下（含10万元）的，可提取20％的公益金、20％的公积金、20％村集体经济组织成员分红、30％村级组织运转经费、10％村组干部集体经济创收奖励。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w:t>
      </w:r>
      <w:r>
        <w:rPr>
          <w:rFonts w:hint="eastAsia" w:ascii="仿宋_GB2312" w:hAnsi="仿宋_GB2312" w:eastAsia="仿宋_GB2312" w:cs="仿宋_GB2312"/>
          <w:color w:val="auto"/>
          <w:kern w:val="2"/>
          <w:sz w:val="32"/>
          <w:szCs w:val="32"/>
          <w:lang w:val="en-US" w:eastAsia="zh-CN" w:bidi="ar-SA"/>
        </w:rPr>
        <w:t>村级集体经济收益10万元以上 20万元以下（含20万元）的，10万元部分按上述第（二）条比例提取，超出10万元的部分可提取23％的公益金、20％的公积金、25％村集体经济组织成员分红、20％村级组织运转经费、12％村组干部集体经济创收奖励。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（四）</w:t>
      </w:r>
      <w:r>
        <w:rPr>
          <w:rFonts w:hint="eastAsia" w:ascii="仿宋_GB2312" w:hAnsi="仿宋_GB2312" w:eastAsia="仿宋_GB2312" w:cs="仿宋_GB2312"/>
          <w:color w:val="auto"/>
          <w:kern w:val="2"/>
          <w:sz w:val="32"/>
          <w:szCs w:val="32"/>
          <w:lang w:val="en-US" w:eastAsia="zh-CN" w:bidi="ar-SA"/>
        </w:rPr>
        <w:t>村级集体经济收益20万元以上50万元以下（含50万元）的，20万元部分按上述第（二）条、第（三）条中比例进行分段提取，超出 20万元的部分可提取22％的公益金、20％的公积金、30％村集体经济组织成员分红、15％村级组织运转经费、13％村组干部集体经济创收奖励。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（五）</w:t>
      </w:r>
      <w:r>
        <w:rPr>
          <w:rFonts w:hint="eastAsia" w:ascii="仿宋_GB2312" w:hAnsi="仿宋_GB2312" w:eastAsia="仿宋_GB2312" w:cs="仿宋_GB2312"/>
          <w:color w:val="auto"/>
          <w:kern w:val="2"/>
          <w:sz w:val="32"/>
          <w:szCs w:val="32"/>
          <w:lang w:val="en-US" w:eastAsia="zh-CN" w:bidi="ar-SA"/>
        </w:rPr>
        <w:t>村级集体经济收益50万元以上100万元以下（含100万元）的，50万元部分按上述第（二）条、第（三）条、第（四）条中比例进行分段提取，超出50万元的部分可提取18％的公益金、18％的公积金、40％村集体经济组织成员分红、10％村级组织运转经费、14％村组干部集体经济创收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（六）</w:t>
      </w:r>
      <w:r>
        <w:rPr>
          <w:rFonts w:hint="eastAsia" w:ascii="仿宋_GB2312" w:hAnsi="仿宋_GB2312" w:eastAsia="仿宋_GB2312" w:cs="仿宋_GB2312"/>
          <w:color w:val="auto"/>
          <w:kern w:val="2"/>
          <w:sz w:val="32"/>
          <w:szCs w:val="32"/>
          <w:lang w:val="en-US" w:eastAsia="zh-CN" w:bidi="ar-SA"/>
        </w:rPr>
        <w:t>村级集体经济收益100万元以上的，100万元部分按上述第（二）条、第（三）条、第（四）条、第（五）条中比例进行分段提取，超出100万元的部分可提取15％的公益金、15％的公积金、50％村集体经济组织成员分红、5％村级组织运转经费、15％村组干部集体经济创收奖励。</w:t>
      </w:r>
    </w:p>
    <w:p>
      <w:pPr>
        <w:keepNext w:val="0"/>
        <w:keepLines w:val="0"/>
        <w:pageBreakBefore w:val="0"/>
        <w:kinsoku/>
        <w:wordWrap/>
        <w:overflowPunct/>
        <w:topLinePunct w:val="0"/>
        <w:autoSpaceDE/>
        <w:autoSpaceDN/>
        <w:bidi w:val="0"/>
        <w:adjustRightInd/>
        <w:spacing w:line="560" w:lineRule="exact"/>
        <w:ind w:left="0" w:leftChars="0" w:right="0" w:firstLine="692" w:firstLineChars="200"/>
        <w:textAlignment w:val="auto"/>
        <w:rPr>
          <w:rFonts w:hint="eastAsia" w:ascii="黑体" w:hAnsi="黑体" w:eastAsia="黑体" w:cs="黑体"/>
          <w:color w:val="auto"/>
          <w:spacing w:val="13"/>
          <w:sz w:val="32"/>
          <w:szCs w:val="32"/>
          <w:lang w:val="en-US" w:eastAsia="zh-CN"/>
        </w:rPr>
      </w:pPr>
    </w:p>
    <w:p>
      <w:pPr>
        <w:keepNext w:val="0"/>
        <w:keepLines w:val="0"/>
        <w:pageBreakBefore w:val="0"/>
        <w:kinsoku/>
        <w:wordWrap/>
        <w:overflowPunct/>
        <w:topLinePunct w:val="0"/>
        <w:autoSpaceDE/>
        <w:autoSpaceDN/>
        <w:bidi w:val="0"/>
        <w:adjustRightInd/>
        <w:spacing w:line="560" w:lineRule="exact"/>
        <w:ind w:right="0"/>
        <w:jc w:val="center"/>
        <w:textAlignment w:val="auto"/>
        <w:rPr>
          <w:rFonts w:hint="default" w:ascii="黑体" w:hAnsi="黑体" w:eastAsia="黑体" w:cs="黑体"/>
          <w:color w:val="auto"/>
          <w:spacing w:val="13"/>
          <w:sz w:val="32"/>
          <w:szCs w:val="32"/>
          <w:lang w:val="en-US" w:eastAsia="zh-CN"/>
        </w:rPr>
      </w:pPr>
      <w:r>
        <w:rPr>
          <w:rFonts w:hint="eastAsia" w:ascii="黑体" w:hAnsi="黑体" w:eastAsia="黑体" w:cs="黑体"/>
          <w:color w:val="auto"/>
          <w:spacing w:val="13"/>
          <w:sz w:val="32"/>
          <w:szCs w:val="32"/>
          <w:lang w:val="en-US" w:eastAsia="zh-CN"/>
        </w:rPr>
        <w:t>第七章 村组干部集体经济创收奖励</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lang w:val="en-US" w:eastAsia="zh-CN"/>
        </w:rPr>
        <w:t xml:space="preserve">第十八条 </w:t>
      </w:r>
      <w:r>
        <w:rPr>
          <w:rFonts w:hint="eastAsia" w:ascii="仿宋_GB2312" w:hAnsi="仿宋_GB2312" w:eastAsia="仿宋_GB2312" w:cs="仿宋_GB2312"/>
          <w:color w:val="auto"/>
          <w:kern w:val="2"/>
          <w:sz w:val="32"/>
          <w:szCs w:val="32"/>
          <w:lang w:val="en-US" w:eastAsia="zh-CN" w:bidi="ar-SA"/>
        </w:rPr>
        <w:t>村组干部集体经济创收奖励条件。村（组）干部带头或直接参与发展村集体经济项目、盘活村集体闲置资源资产，科学合理管理使用集体资金、资产、资源，实现集体资源资产保值增值，集体经济得到发展壮大。</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lang w:val="en-US" w:eastAsia="zh-CN"/>
        </w:rPr>
        <w:t>第十九条</w:t>
      </w:r>
      <w:r>
        <w:rPr>
          <w:rFonts w:hint="eastAsia" w:ascii="楷体_GB2312" w:hAnsi="楷体_GB2312" w:eastAsia="楷体_GB2312" w:cs="楷体_GB2312"/>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不得申报村组干部集体经济创收奖励的情形。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w:t>
      </w:r>
      <w:r>
        <w:rPr>
          <w:rFonts w:hint="eastAsia" w:ascii="仿宋_GB2312" w:hAnsi="仿宋_GB2312" w:eastAsia="仿宋_GB2312" w:cs="仿宋_GB2312"/>
          <w:color w:val="auto"/>
          <w:kern w:val="2"/>
          <w:sz w:val="32"/>
          <w:szCs w:val="32"/>
          <w:lang w:val="en-US" w:eastAsia="zh-CN" w:bidi="ar-SA"/>
        </w:rPr>
        <w:t>因村集体资金管理混乱、入账不及时、账目无法界定等原因，未能及时准确统计年度村集体经营性收益的村（社区）不得申报奖励；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w:t>
      </w:r>
      <w:r>
        <w:rPr>
          <w:rFonts w:hint="eastAsia" w:ascii="仿宋_GB2312" w:hAnsi="仿宋_GB2312" w:eastAsia="仿宋_GB2312" w:cs="仿宋_GB2312"/>
          <w:color w:val="auto"/>
          <w:kern w:val="2"/>
          <w:sz w:val="32"/>
          <w:szCs w:val="32"/>
          <w:lang w:val="en-US" w:eastAsia="zh-CN" w:bidi="ar-SA"/>
        </w:rPr>
        <w:t>因农村集体“三资”管理不规范，造成集体资金损失或集体资产流失被侵占或资源被侵占；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w:t>
      </w:r>
      <w:r>
        <w:rPr>
          <w:rFonts w:hint="eastAsia" w:ascii="仿宋_GB2312" w:hAnsi="仿宋_GB2312" w:eastAsia="仿宋_GB2312" w:cs="仿宋_GB2312"/>
          <w:color w:val="auto"/>
          <w:kern w:val="2"/>
          <w:sz w:val="32"/>
          <w:szCs w:val="32"/>
          <w:lang w:val="en-US" w:eastAsia="zh-CN" w:bidi="ar-SA"/>
        </w:rPr>
        <w:t>集体经济项目出现严重亏损；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（四）</w:t>
      </w:r>
      <w:r>
        <w:rPr>
          <w:rFonts w:hint="eastAsia" w:ascii="仿宋_GB2312" w:hAnsi="仿宋_GB2312" w:eastAsia="仿宋_GB2312" w:cs="仿宋_GB2312"/>
          <w:color w:val="auto"/>
          <w:kern w:val="2"/>
          <w:sz w:val="32"/>
          <w:szCs w:val="32"/>
          <w:lang w:val="en-US" w:eastAsia="zh-CN" w:bidi="ar-SA"/>
        </w:rPr>
        <w:t>未按合同约定收取应收取的费用；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（五）</w:t>
      </w:r>
      <w:r>
        <w:rPr>
          <w:rFonts w:hint="eastAsia" w:ascii="仿宋_GB2312" w:hAnsi="仿宋_GB2312" w:eastAsia="仿宋_GB2312" w:cs="仿宋_GB2312"/>
          <w:color w:val="auto"/>
          <w:kern w:val="2"/>
          <w:sz w:val="32"/>
          <w:szCs w:val="32"/>
          <w:lang w:val="en-US" w:eastAsia="zh-CN" w:bidi="ar-SA"/>
        </w:rPr>
        <w:t>村（社区）“两委”、监委成员出现严重违纪或违法；</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（六）</w:t>
      </w:r>
      <w:r>
        <w:rPr>
          <w:rFonts w:hint="eastAsia" w:ascii="仿宋_GB2312" w:hAnsi="仿宋_GB2312" w:eastAsia="仿宋_GB2312" w:cs="仿宋_GB2312"/>
          <w:color w:val="auto"/>
          <w:kern w:val="2"/>
          <w:sz w:val="32"/>
          <w:szCs w:val="32"/>
          <w:lang w:val="en-US" w:eastAsia="zh-CN" w:bidi="ar-SA"/>
        </w:rPr>
        <w:t>村（社区）“两委”考核工作，被考核为基本合格或不合格。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（七）</w:t>
      </w:r>
      <w:r>
        <w:rPr>
          <w:rFonts w:hint="eastAsia" w:ascii="仿宋_GB2312" w:hAnsi="仿宋_GB2312" w:eastAsia="仿宋_GB2312" w:cs="仿宋_GB2312"/>
          <w:color w:val="auto"/>
          <w:kern w:val="2"/>
          <w:sz w:val="32"/>
          <w:szCs w:val="32"/>
          <w:lang w:val="en-US" w:eastAsia="zh-CN" w:bidi="ar-SA"/>
        </w:rPr>
        <w:t>出现不能申报村组干部集体经济创收奖励情形的，创收奖励按比例全部计提为公益金。</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lang w:val="en-US" w:eastAsia="zh-CN"/>
        </w:rPr>
        <w:t xml:space="preserve">第二十条 </w:t>
      </w:r>
      <w:r>
        <w:rPr>
          <w:rFonts w:hint="eastAsia" w:ascii="仿宋_GB2312" w:hAnsi="仿宋_GB2312" w:eastAsia="仿宋_GB2312" w:cs="仿宋_GB2312"/>
          <w:color w:val="auto"/>
          <w:kern w:val="2"/>
          <w:sz w:val="32"/>
          <w:szCs w:val="32"/>
          <w:lang w:val="en-US" w:eastAsia="zh-CN" w:bidi="ar-SA"/>
        </w:rPr>
        <w:t>村组干部集体经济创收奖励分配。村组干部创收奖励金额确定后，制定村组干部创收奖励方案时，应按如下比例进行分配：书记、主任“一肩挑”的先提取15%，书记、主任分设的先各提取10%，剩余部分的70%用于村“两委”成员（书记、主任参与二次分配）、村务监督委员会成员分配，担任职务的委员可多分配，未担任职务的委员原则上可平均分配，若对村级集体经济发展贡献较小的，适当降低分配比例；剩余部分的30%原则上用于村民小组长、村民小组党支部书记及其他可享受奖励人员的分配，若对村级集体经济发展贡献较小的，适当降低分配比例。享受村组干部集体经济创收奖励分配的个人当年领取的创收奖励最高额度一般不得高于当地乡镇（街道）人民政府（办事处）新录用科员年平均工资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第二十一条</w:t>
      </w:r>
      <w:r>
        <w:rPr>
          <w:rFonts w:hint="eastAsia" w:ascii="楷体_GB2312" w:hAnsi="楷体_GB2312" w:eastAsia="楷体_GB2312" w:cs="楷体_GB2312"/>
          <w:color w:val="auto"/>
          <w:sz w:val="32"/>
          <w:szCs w:val="32"/>
          <w:lang w:val="en-US" w:eastAsia="zh-CN"/>
        </w:rPr>
        <w:t xml:space="preserve"> </w:t>
      </w:r>
      <w:r>
        <w:rPr>
          <w:rFonts w:hint="eastAsia" w:ascii="仿宋_GB2312" w:hAnsi="仿宋_GB2312" w:eastAsia="仿宋_GB2312" w:cs="仿宋_GB2312"/>
          <w:color w:val="auto"/>
          <w:sz w:val="32"/>
          <w:szCs w:val="32"/>
        </w:rPr>
        <w:t>不得享受当年度奖励</w:t>
      </w:r>
      <w:r>
        <w:rPr>
          <w:rFonts w:hint="eastAsia" w:ascii="仿宋_GB2312" w:hAnsi="仿宋_GB2312" w:eastAsia="仿宋_GB2312" w:cs="仿宋_GB2312"/>
          <w:color w:val="auto"/>
          <w:sz w:val="32"/>
          <w:szCs w:val="32"/>
          <w:lang w:val="en-US" w:eastAsia="zh-CN"/>
        </w:rPr>
        <w:t>的人员。</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非正常离任的；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当年受到党纪、政纪、违法处理的；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年度考核基本合格及以下的；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各级机关、企业事业单位选派到村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任</w:t>
      </w:r>
      <w:r>
        <w:rPr>
          <w:rFonts w:hint="eastAsia" w:ascii="仿宋_GB2312" w:hAnsi="仿宋_GB2312" w:eastAsia="仿宋_GB2312" w:cs="仿宋_GB2312"/>
          <w:color w:val="auto"/>
          <w:sz w:val="32"/>
          <w:szCs w:val="32"/>
        </w:rPr>
        <w:t>职的干部</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乡镇（街道）人民政府（办事处）认为其他不得享受的情形。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732" w:firstLineChars="200"/>
        <w:textAlignment w:val="auto"/>
        <w:rPr>
          <w:rFonts w:hint="eastAsia" w:ascii="黑体" w:hAnsi="黑体" w:eastAsia="黑体" w:cs="黑体"/>
          <w:color w:val="auto"/>
          <w:spacing w:val="2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楷体_GB2312" w:hAnsi="楷体_GB2312" w:eastAsia="楷体_GB2312" w:cs="楷体_GB2312"/>
          <w:color w:val="auto"/>
          <w:spacing w:val="24"/>
          <w:sz w:val="32"/>
          <w:szCs w:val="32"/>
        </w:rPr>
      </w:pPr>
      <w:r>
        <w:rPr>
          <w:rFonts w:hint="eastAsia" w:ascii="黑体" w:hAnsi="黑体" w:eastAsia="黑体" w:cs="黑体"/>
          <w:color w:val="auto"/>
          <w:spacing w:val="23"/>
          <w:sz w:val="32"/>
          <w:szCs w:val="32"/>
          <w:lang w:val="en-US" w:eastAsia="zh-CN"/>
        </w:rPr>
        <w:t xml:space="preserve">第八章 </w:t>
      </w:r>
      <w:r>
        <w:rPr>
          <w:rFonts w:hint="eastAsia" w:ascii="黑体" w:hAnsi="黑体" w:eastAsia="黑体" w:cs="黑体"/>
          <w:color w:val="auto"/>
          <w:spacing w:val="23"/>
          <w:sz w:val="32"/>
          <w:szCs w:val="32"/>
        </w:rPr>
        <w:t>组织保障</w:t>
      </w:r>
    </w:p>
    <w:p>
      <w:pPr>
        <w:pStyle w:val="3"/>
        <w:keepNext w:val="0"/>
        <w:keepLines w:val="0"/>
        <w:pageBreakBefore w:val="0"/>
        <w:widowControl w:val="0"/>
        <w:kinsoku/>
        <w:wordWrap/>
        <w:overflowPunct/>
        <w:topLinePunct w:val="0"/>
        <w:autoSpaceDE/>
        <w:autoSpaceDN/>
        <w:bidi w:val="0"/>
        <w:adjustRightInd/>
        <w:snapToGrid/>
        <w:spacing w:line="560" w:lineRule="exact"/>
        <w:ind w:leftChars="0" w:right="0" w:firstLine="284"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89"/>
          <w:sz w:val="32"/>
          <w:szCs w:val="32"/>
        </w:rPr>
        <w:t xml:space="preserve"> </w:t>
      </w:r>
      <w:r>
        <w:rPr>
          <w:rFonts w:hint="eastAsia" w:ascii="黑体" w:hAnsi="黑体" w:eastAsia="黑体" w:cs="黑体"/>
          <w:color w:val="auto"/>
          <w:kern w:val="2"/>
          <w:sz w:val="32"/>
          <w:szCs w:val="32"/>
          <w:lang w:val="en-US" w:eastAsia="zh-CN" w:bidi="ar-SA"/>
        </w:rPr>
        <w:t xml:space="preserve"> 第二十二条</w:t>
      </w:r>
      <w:r>
        <w:rPr>
          <w:rFonts w:hint="eastAsia" w:ascii="Times New Roman" w:hAnsi="Times New Roman" w:eastAsia="仿宋_GB2312" w:cs="Times New Roman"/>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加强组织领导。区委组织部要充分发挥牵头抓总、协调推进的作用，明确部门责任分工，督导工作落实；区财政局、区农业农村局要指导各乡镇（街道）村级集体经济组织健全完善村级集体经济收益分配管理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第二十三条</w:t>
      </w:r>
      <w:r>
        <w:rPr>
          <w:rFonts w:hint="eastAsia" w:eastAsia="仿宋_GB2312" w:cs="Times New Roman"/>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抓好责任落实。区农业农村局、区财政局、区审计局、区民政局等各相关行业部门要结合自身职能职责建立健全责任机制，抓好工作指导和督促检查，形成工作合力，不断加强基层治理体系和治理能力现代化建设，提高广大基层干部运用法治思维和依法办事的能力，确保农村集体经济组织收益分配依法依规有序推进。区委组织部要加强干部监督管理，建立健全激励干部机制；区农业农村局要加强对农村集体经济组织的建设和农村集体“三资”管理的指导、服务和监督，指导农村集体经济组织加强财务管理，健全会计制度，规范有序开展收益分配；区财政局要指导各乡镇（街道）及村（社区）认真贯彻落实《农村集体经济组织财务制度》，加大对财务人员的培训力度，加强对财务会计工作的管理和监督，推进基层财务管理工作制度化、规范化；区民政局要加强对基层村务公开、民主管理的指导，完善村民自治章程、村民会议、村民代表会议等运行机制和决策机制，进一步强化对村务公开、民主管理的监督，提升乡村治理水平。各乡镇（街道）人民政府（办事处）每季度至少集中研究一次各村（社区）集体经济发展情况，严格审核各村（社区）集体经济组织报送的收益分配支用申请，提出意见和建议；对集体经济组织的发展项目、经营模式、投资方向、预期收益等方面进行分析评价，设置风险红线和退出机制，严防资产流失和损失，保障村集体和村民利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第二十四条 </w:t>
      </w:r>
      <w:r>
        <w:rPr>
          <w:rFonts w:hint="eastAsia" w:ascii="仿宋_GB2312" w:hAnsi="仿宋_GB2312" w:eastAsia="仿宋_GB2312" w:cs="仿宋_GB2312"/>
          <w:color w:val="auto"/>
          <w:kern w:val="2"/>
          <w:sz w:val="32"/>
          <w:szCs w:val="32"/>
          <w:lang w:val="en-US" w:eastAsia="zh-CN" w:bidi="ar-SA"/>
        </w:rPr>
        <w:t xml:space="preserve"> 强化指导服务。区委组织部要联合区财政局、区农业农村局、区审计局常态化对农村集体经济组织发展进行全方位指导监管，各乡镇（街道）人民政府（办事处）要切实履行属地管理职责，抓好村级集体经济收益分配管理工作，加强对农村集体经济组织收益分配的指导和监督，确保收益分配方案科学合理，成员收益分配权得到充分保障。</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jc w:val="both"/>
        <w:textAlignment w:val="auto"/>
        <w:rPr>
          <w:rFonts w:hint="eastAsia" w:eastAsia="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right="0"/>
        <w:jc w:val="center"/>
        <w:textAlignment w:val="auto"/>
        <w:rPr>
          <w:rFonts w:eastAsia="黑体"/>
          <w:color w:val="auto"/>
          <w:sz w:val="32"/>
          <w:szCs w:val="32"/>
        </w:rPr>
      </w:pPr>
      <w:r>
        <w:rPr>
          <w:rFonts w:hint="eastAsia" w:eastAsia="黑体"/>
          <w:color w:val="auto"/>
          <w:sz w:val="32"/>
          <w:szCs w:val="32"/>
          <w:lang w:val="en-US" w:eastAsia="zh-CN"/>
        </w:rPr>
        <w:t xml:space="preserve">第九章 </w:t>
      </w:r>
      <w:r>
        <w:rPr>
          <w:rFonts w:eastAsia="黑体"/>
          <w:color w:val="auto"/>
          <w:sz w:val="32"/>
          <w:szCs w:val="32"/>
        </w:rPr>
        <w:t>监督管理</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第二十五条</w:t>
      </w:r>
      <w:r>
        <w:rPr>
          <w:rFonts w:hint="eastAsia" w:ascii="Times New Roman" w:cs="Times New Roman"/>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村级集体经济收益分配要做到“六个严禁”。</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eastAsia="zh-CN"/>
        </w:rPr>
        <w:t>（</w:t>
      </w:r>
      <w:r>
        <w:rPr>
          <w:rFonts w:hint="eastAsia" w:ascii="楷体_GB2312" w:hAnsi="楷体_GB2312" w:eastAsia="楷体_GB2312" w:cs="楷体_GB2312"/>
          <w:color w:val="auto"/>
          <w:kern w:val="2"/>
          <w:sz w:val="32"/>
          <w:szCs w:val="32"/>
          <w:lang w:val="en-US" w:eastAsia="zh-CN"/>
        </w:rPr>
        <w:t>一</w:t>
      </w:r>
      <w:r>
        <w:rPr>
          <w:rFonts w:hint="eastAsia" w:ascii="楷体_GB2312" w:hAnsi="楷体_GB2312" w:eastAsia="楷体_GB2312" w:cs="楷体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bidi="ar-SA"/>
        </w:rPr>
        <w:t>严禁未经村集体经济组织成员（代表）会议讨论进行收益分配；</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eastAsia="zh-CN"/>
        </w:rPr>
        <w:t>（</w:t>
      </w:r>
      <w:r>
        <w:rPr>
          <w:rFonts w:hint="eastAsia" w:ascii="楷体_GB2312" w:hAnsi="楷体_GB2312" w:eastAsia="楷体_GB2312" w:cs="楷体_GB2312"/>
          <w:color w:val="auto"/>
          <w:kern w:val="2"/>
          <w:sz w:val="32"/>
          <w:szCs w:val="32"/>
          <w:lang w:val="en-US" w:eastAsia="zh-CN"/>
        </w:rPr>
        <w:t>二</w:t>
      </w:r>
      <w:r>
        <w:rPr>
          <w:rFonts w:hint="eastAsia" w:ascii="楷体_GB2312" w:hAnsi="楷体_GB2312" w:eastAsia="楷体_GB2312" w:cs="楷体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bidi="ar-SA"/>
        </w:rPr>
        <w:t>严禁未通过乡镇（街道）人民政府（办事处）审核进行收益分配；</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eastAsia="zh-CN"/>
        </w:rPr>
        <w:t>（</w:t>
      </w:r>
      <w:r>
        <w:rPr>
          <w:rFonts w:hint="eastAsia" w:ascii="楷体_GB2312" w:hAnsi="楷体_GB2312" w:eastAsia="楷体_GB2312" w:cs="楷体_GB2312"/>
          <w:color w:val="auto"/>
          <w:kern w:val="2"/>
          <w:sz w:val="32"/>
          <w:szCs w:val="32"/>
          <w:lang w:val="en-US" w:eastAsia="zh-CN"/>
        </w:rPr>
        <w:t>三</w:t>
      </w:r>
      <w:r>
        <w:rPr>
          <w:rFonts w:hint="eastAsia" w:ascii="楷体_GB2312" w:hAnsi="楷体_GB2312" w:eastAsia="楷体_GB2312" w:cs="楷体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bidi="ar-SA"/>
        </w:rPr>
        <w:t>严禁对没有经过分析评估和未经村集体经济组织成员（代表）会议审议的项目列支扩大再生产资金；</w:t>
      </w:r>
    </w:p>
    <w:p>
      <w:pPr>
        <w:pStyle w:val="2"/>
        <w:keepNext w:val="0"/>
        <w:keepLines w:val="0"/>
        <w:pageBreakBefore w:val="0"/>
        <w:numPr>
          <w:ilvl w:val="0"/>
          <w:numId w:val="0"/>
        </w:numPr>
        <w:kinsoku/>
        <w:wordWrap/>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eastAsia="zh-CN"/>
        </w:rPr>
        <w:t>（</w:t>
      </w:r>
      <w:r>
        <w:rPr>
          <w:rFonts w:hint="eastAsia" w:ascii="楷体_GB2312" w:hAnsi="楷体_GB2312" w:eastAsia="楷体_GB2312" w:cs="楷体_GB2312"/>
          <w:color w:val="auto"/>
          <w:kern w:val="2"/>
          <w:sz w:val="32"/>
          <w:szCs w:val="32"/>
          <w:lang w:val="en-US" w:eastAsia="zh-CN"/>
        </w:rPr>
        <w:t>四</w:t>
      </w:r>
      <w:r>
        <w:rPr>
          <w:rFonts w:hint="eastAsia" w:ascii="楷体_GB2312" w:hAnsi="楷体_GB2312" w:eastAsia="楷体_GB2312" w:cs="楷体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bidi="ar-SA"/>
        </w:rPr>
        <w:t>严禁搞“形象工程”“政绩工程”以及其他奢侈浪费支出；</w:t>
      </w:r>
    </w:p>
    <w:p>
      <w:pPr>
        <w:pStyle w:val="2"/>
        <w:keepNext w:val="0"/>
        <w:keepLines w:val="0"/>
        <w:pageBreakBefore w:val="0"/>
        <w:numPr>
          <w:ilvl w:val="0"/>
          <w:numId w:val="0"/>
        </w:numPr>
        <w:kinsoku/>
        <w:wordWrap/>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eastAsia="zh-CN"/>
        </w:rPr>
        <w:t>（</w:t>
      </w:r>
      <w:r>
        <w:rPr>
          <w:rFonts w:hint="eastAsia" w:ascii="楷体_GB2312" w:hAnsi="楷体_GB2312" w:eastAsia="楷体_GB2312" w:cs="楷体_GB2312"/>
          <w:color w:val="auto"/>
          <w:kern w:val="2"/>
          <w:sz w:val="32"/>
          <w:szCs w:val="32"/>
          <w:lang w:val="en-US" w:eastAsia="zh-CN"/>
        </w:rPr>
        <w:t>五</w:t>
      </w:r>
      <w:r>
        <w:rPr>
          <w:rFonts w:hint="eastAsia" w:ascii="楷体_GB2312" w:hAnsi="楷体_GB2312" w:eastAsia="楷体_GB2312" w:cs="楷体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bidi="ar-SA"/>
        </w:rPr>
        <w:t>严禁搞“账外账”等违法违规行为；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eastAsia="zh-CN"/>
        </w:rPr>
        <w:t>（</w:t>
      </w:r>
      <w:r>
        <w:rPr>
          <w:rFonts w:hint="eastAsia" w:ascii="楷体_GB2312" w:hAnsi="楷体_GB2312" w:eastAsia="楷体_GB2312" w:cs="楷体_GB2312"/>
          <w:color w:val="auto"/>
          <w:kern w:val="2"/>
          <w:sz w:val="32"/>
          <w:szCs w:val="32"/>
          <w:lang w:val="en-US" w:eastAsia="zh-CN"/>
        </w:rPr>
        <w:t>六</w:t>
      </w:r>
      <w:r>
        <w:rPr>
          <w:rFonts w:hint="eastAsia" w:ascii="楷体_GB2312" w:hAnsi="楷体_GB2312" w:eastAsia="楷体_GB2312" w:cs="楷体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bidi="ar-SA"/>
        </w:rPr>
        <w:t>严禁以各种名义变相为村（居）民发放福利。</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第二十六条</w:t>
      </w:r>
      <w:r>
        <w:rPr>
          <w:rFonts w:hint="eastAsia" w:ascii="仿宋_GB2312" w:hAnsi="仿宋_GB2312" w:eastAsia="仿宋_GB2312" w:cs="仿宋_GB2312"/>
          <w:color w:val="auto"/>
          <w:kern w:val="2"/>
          <w:sz w:val="32"/>
          <w:szCs w:val="32"/>
          <w:lang w:val="en-US" w:eastAsia="zh-CN" w:bidi="ar-SA"/>
        </w:rPr>
        <w:t xml:space="preserve"> 规范村集体经济组织财务管理。要严格按照《财政部 农业农村部关于印发〈农村集体经济组织财务制度〉的通知》（财农〔2021〕121号）要求，加强农村集体经济组织财务管理，规范农村集体经济组织财务行为，严格执行“村财乡（镇）管”财务管理制度，推行会计委托代理、村集体经济组织财务公开等制度，村集体经济组织接受乡镇（街道）人民政府（办事处）审查监督。收益分配前，由乡镇（街道）代管中心对村级集体经济年收益情况进行清理核资，确定可进行收益分配的金额。不属于收益分配范围的资金或不符合相关规定的收益资金一律不得进行分配。</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第二十七条</w:t>
      </w:r>
      <w:r>
        <w:rPr>
          <w:rFonts w:hint="eastAsia" w:ascii="仿宋_GB2312" w:hAnsi="仿宋_GB2312" w:eastAsia="仿宋_GB2312" w:cs="仿宋_GB2312"/>
          <w:color w:val="auto"/>
          <w:kern w:val="2"/>
          <w:sz w:val="32"/>
          <w:szCs w:val="32"/>
          <w:lang w:val="en-US" w:eastAsia="zh-CN" w:bidi="ar-SA"/>
        </w:rPr>
        <w:t xml:space="preserve"> 加强监管。各乡镇（街道）党（工）委、政府（办事处）对村级集体经济收益分配使用管理工作负有重要责任，要充分履行好职责，抓好工作落实，确保收益分配科学合理，有效调动村“两委”班子积极性，推动村级集体经济规范运行和健康发展。区农业农村局是村级集体经济收益分配管理的直接责任部门，要加强指导，落实责任，强化措施，建立村级集体经济收益分配使用管理审核制度，保障集体资金安全，保护群众合法利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284"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pacing w:val="-89"/>
          <w:sz w:val="32"/>
          <w:szCs w:val="32"/>
        </w:rPr>
        <w:t xml:space="preserve"> </w:t>
      </w:r>
      <w:r>
        <w:rPr>
          <w:rFonts w:hint="eastAsia" w:ascii="黑体" w:hAnsi="黑体" w:eastAsia="黑体" w:cs="黑体"/>
          <w:color w:val="auto"/>
          <w:kern w:val="2"/>
          <w:sz w:val="32"/>
          <w:szCs w:val="32"/>
          <w:lang w:val="en-US" w:eastAsia="zh-CN" w:bidi="ar-SA"/>
        </w:rPr>
        <w:t xml:space="preserve"> 第二十八条</w:t>
      </w:r>
      <w:r>
        <w:rPr>
          <w:rFonts w:hint="eastAsia" w:eastAsia="仿宋_GB2312" w:cs="Times New Roman"/>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严肃执纪问责。严守奖励标准，严格履行程序，对不符合条件的一律不得审批；全程监督，杜绝选择性执行，确保奖励工作真实性、有效性、公平性；对上报不严、弄虚作假、套取奖励资金的单位和个人，一经查实，收回奖励资金，并依法依规依纪追究有关责任。对因失职渎职、违反财经纪律，使村级集体经济收益造成损失的，严肃追究相关责任人的责任。</w:t>
      </w:r>
    </w:p>
    <w:p>
      <w:pPr>
        <w:keepNext w:val="0"/>
        <w:keepLines w:val="0"/>
        <w:pageBreakBefore w:val="0"/>
        <w:kinsoku/>
        <w:wordWrap/>
        <w:overflowPunct/>
        <w:topLinePunct w:val="0"/>
        <w:autoSpaceDE/>
        <w:autoSpaceDN/>
        <w:bidi w:val="0"/>
        <w:adjustRightInd/>
        <w:snapToGrid/>
        <w:spacing w:line="560" w:lineRule="exact"/>
        <w:ind w:left="0" w:leftChars="0" w:right="0" w:firstLine="672" w:firstLineChars="200"/>
        <w:textAlignment w:val="auto"/>
        <w:rPr>
          <w:rFonts w:hint="eastAsia" w:ascii="黑体" w:hAnsi="黑体" w:eastAsia="黑体" w:cs="黑体"/>
          <w:i w:val="0"/>
          <w:iCs w:val="0"/>
          <w:caps w:val="0"/>
          <w:color w:val="auto"/>
          <w:spacing w:val="8"/>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i w:val="0"/>
          <w:iCs w:val="0"/>
          <w:caps w:val="0"/>
          <w:color w:val="auto"/>
          <w:spacing w:val="8"/>
          <w:sz w:val="32"/>
          <w:szCs w:val="32"/>
          <w:shd w:val="clear" w:color="auto" w:fill="FFFFFF"/>
          <w:lang w:val="en-US" w:eastAsia="zh-CN"/>
        </w:rPr>
      </w:pPr>
      <w:r>
        <w:rPr>
          <w:rFonts w:hint="eastAsia" w:ascii="黑体" w:hAnsi="黑体" w:eastAsia="黑体" w:cs="黑体"/>
          <w:i w:val="0"/>
          <w:iCs w:val="0"/>
          <w:caps w:val="0"/>
          <w:color w:val="auto"/>
          <w:spacing w:val="8"/>
          <w:sz w:val="32"/>
          <w:szCs w:val="32"/>
          <w:shd w:val="clear" w:color="auto" w:fill="FFFFFF"/>
          <w:lang w:val="en-US" w:eastAsia="zh-CN"/>
        </w:rPr>
        <w:t>第十章 附则</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第二十九条 </w:t>
      </w:r>
      <w:r>
        <w:rPr>
          <w:rFonts w:hint="eastAsia" w:ascii="仿宋_GB2312" w:hAnsi="仿宋_GB2312" w:eastAsia="仿宋_GB2312" w:cs="仿宋_GB2312"/>
          <w:color w:val="auto"/>
          <w:kern w:val="2"/>
          <w:sz w:val="32"/>
          <w:szCs w:val="32"/>
          <w:lang w:val="en-US" w:eastAsia="zh-CN" w:bidi="ar-SA"/>
        </w:rPr>
        <w:t>本办法由各乡镇（街道）人民政府（办事处）具体组织实施相关行业部门负责督促指导。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第三十条</w:t>
      </w:r>
      <w:r>
        <w:rPr>
          <w:rFonts w:hint="eastAsia" w:eastAsia="仿宋_GB2312" w:cs="Times New Roman"/>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本办法施行期间与法律法规及上级政策文件冲突的，遵从法律法规及上级政策文件。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284" w:firstLineChars="200"/>
        <w:textAlignment w:val="auto"/>
        <w:rPr>
          <w:rFonts w:hint="eastAsia" w:eastAsia="仿宋_GB2312"/>
          <w:color w:val="auto"/>
          <w:sz w:val="32"/>
          <w:szCs w:val="32"/>
          <w:lang w:eastAsia="zh-CN"/>
        </w:rPr>
      </w:pPr>
      <w:r>
        <w:rPr>
          <w:rFonts w:hint="eastAsia" w:ascii="黑体" w:hAnsi="黑体" w:eastAsia="黑体" w:cs="黑体"/>
          <w:color w:val="auto"/>
          <w:spacing w:val="-89"/>
          <w:sz w:val="32"/>
          <w:szCs w:val="32"/>
        </w:rPr>
        <w:t xml:space="preserve"> </w:t>
      </w:r>
      <w:r>
        <w:rPr>
          <w:rFonts w:hint="eastAsia" w:ascii="黑体" w:hAnsi="黑体" w:eastAsia="黑体" w:cs="黑体"/>
          <w:color w:val="auto"/>
          <w:kern w:val="2"/>
          <w:sz w:val="32"/>
          <w:szCs w:val="32"/>
          <w:lang w:val="en-US" w:eastAsia="zh-CN" w:bidi="ar-SA"/>
        </w:rPr>
        <w:t xml:space="preserve"> 第三十一条</w:t>
      </w:r>
      <w:r>
        <w:rPr>
          <w:rFonts w:hint="eastAsia" w:eastAsia="仿宋_GB2312" w:cs="Times New Roman"/>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本办法自印发之日起施行。</w:t>
      </w:r>
    </w:p>
    <w:p>
      <w:pPr>
        <w:keepNext w:val="0"/>
        <w:keepLines w:val="0"/>
        <w:pageBreakBefore w:val="0"/>
        <w:kinsoku/>
        <w:wordWrap/>
        <w:overflowPunct/>
        <w:topLinePunct w:val="0"/>
        <w:autoSpaceDE/>
        <w:autoSpaceDN/>
        <w:bidi w:val="0"/>
        <w:adjustRightInd/>
        <w:snapToGrid/>
        <w:spacing w:line="560" w:lineRule="exact"/>
        <w:ind w:left="0" w:leftChars="0" w:right="0" w:firstLine="620" w:firstLineChars="200"/>
        <w:textAlignment w:val="auto"/>
        <w:rPr>
          <w:rFonts w:ascii="仿宋" w:hAnsi="仿宋" w:eastAsia="仿宋" w:cs="仿宋"/>
          <w:color w:val="auto"/>
          <w:sz w:val="31"/>
          <w:szCs w:val="31"/>
        </w:rPr>
        <w:sectPr>
          <w:headerReference r:id="rId3" w:type="default"/>
          <w:footerReference r:id="rId4" w:type="default"/>
          <w:pgSz w:w="11916" w:h="16848"/>
          <w:pgMar w:top="2098" w:right="1531" w:bottom="1984" w:left="1587" w:header="0" w:footer="1310" w:gutter="0"/>
          <w:pgNumType w:fmt="decimal"/>
          <w:cols w:space="720" w:num="1"/>
          <w:rtlGutter w:val="0"/>
          <w:docGrid w:linePitch="0" w:charSpace="0"/>
        </w:sectPr>
      </w:pPr>
      <w:bookmarkStart w:id="0" w:name="_GoBack"/>
      <w:bookmarkEnd w:id="0"/>
    </w:p>
    <w:p>
      <w:pPr>
        <w:spacing w:before="133" w:line="208" w:lineRule="auto"/>
        <w:rPr>
          <w:rFonts w:ascii="微软雅黑" w:hAnsi="微软雅黑" w:eastAsia="微软雅黑" w:cs="微软雅黑"/>
          <w:color w:val="auto"/>
          <w:sz w:val="31"/>
          <w:szCs w:val="31"/>
        </w:rPr>
      </w:pPr>
      <w:r>
        <w:rPr>
          <w:rFonts w:ascii="微软雅黑" w:hAnsi="微软雅黑" w:eastAsia="微软雅黑" w:cs="微软雅黑"/>
          <w:color w:val="auto"/>
          <w:spacing w:val="2"/>
          <w:sz w:val="31"/>
          <w:szCs w:val="31"/>
        </w:rPr>
        <w:t>附件：</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pacing w:val="28"/>
          <w:position w:val="3"/>
          <w:sz w:val="36"/>
          <w:szCs w:val="36"/>
        </w:rPr>
        <w:t>村级集体经济收益资金分配计算公式</w:t>
      </w:r>
    </w:p>
    <w:p>
      <w:pPr>
        <w:spacing w:before="7"/>
        <w:rPr>
          <w:color w:val="auto"/>
        </w:rPr>
      </w:pPr>
    </w:p>
    <w:tbl>
      <w:tblPr>
        <w:tblStyle w:val="9"/>
        <w:tblW w:w="143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07"/>
        <w:gridCol w:w="2089"/>
        <w:gridCol w:w="2370"/>
        <w:gridCol w:w="2370"/>
        <w:gridCol w:w="2265"/>
        <w:gridCol w:w="2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260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5"/>
                <w:sz w:val="32"/>
                <w:szCs w:val="32"/>
              </w:rPr>
              <w:t>收益资金范围</w:t>
            </w:r>
          </w:p>
        </w:tc>
        <w:tc>
          <w:tcPr>
            <w:tcW w:w="208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公益金</w:t>
            </w:r>
          </w:p>
        </w:tc>
        <w:tc>
          <w:tcPr>
            <w:tcW w:w="23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公积金</w:t>
            </w:r>
          </w:p>
        </w:tc>
        <w:tc>
          <w:tcPr>
            <w:tcW w:w="23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村级组织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运转经费</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村集体经济组织成员分红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lang w:val="en-US" w:eastAsia="zh-CN"/>
              </w:rPr>
            </w:pPr>
          </w:p>
        </w:tc>
        <w:tc>
          <w:tcPr>
            <w:tcW w:w="265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kern w:val="2"/>
                <w:sz w:val="32"/>
                <w:szCs w:val="32"/>
                <w:lang w:val="en-US" w:eastAsia="zh-CN" w:bidi="ar-SA"/>
              </w:rPr>
              <w:t>村组干部集体经济创收奖励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2607"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color w:val="auto"/>
                <w:spacing w:val="6"/>
              </w:rPr>
            </w:pPr>
            <w:r>
              <w:rPr>
                <w:rFonts w:hint="eastAsia" w:ascii="仿宋" w:hAnsi="仿宋" w:eastAsia="仿宋" w:cs="仿宋"/>
                <w:color w:val="auto"/>
                <w:spacing w:val="6"/>
                <w:lang w:val="en-US" w:eastAsia="zh-CN"/>
              </w:rPr>
              <w:t>5</w:t>
            </w:r>
            <w:r>
              <w:rPr>
                <w:rFonts w:ascii="仿宋" w:hAnsi="仿宋" w:eastAsia="仿宋" w:cs="仿宋"/>
                <w:color w:val="auto"/>
                <w:spacing w:val="6"/>
              </w:rPr>
              <w:t>万元以下</w:t>
            </w:r>
          </w:p>
          <w:p>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color w:val="auto"/>
                <w:sz w:val="28"/>
                <w:szCs w:val="28"/>
              </w:rPr>
            </w:pPr>
            <w:r>
              <w:rPr>
                <w:rFonts w:ascii="仿宋" w:hAnsi="仿宋" w:eastAsia="仿宋" w:cs="仿宋"/>
                <w:color w:val="auto"/>
                <w:spacing w:val="6"/>
              </w:rPr>
              <w:t xml:space="preserve">（含 </w:t>
            </w:r>
            <w:r>
              <w:rPr>
                <w:rFonts w:hint="eastAsia" w:ascii="仿宋" w:hAnsi="仿宋" w:eastAsia="仿宋" w:cs="仿宋"/>
                <w:color w:val="auto"/>
                <w:spacing w:val="6"/>
                <w:lang w:val="en-US" w:eastAsia="zh-CN"/>
              </w:rPr>
              <w:t>5</w:t>
            </w:r>
            <w:r>
              <w:rPr>
                <w:rFonts w:ascii="仿宋" w:hAnsi="仿宋" w:eastAsia="仿宋" w:cs="仿宋"/>
                <w:color w:val="auto"/>
                <w:spacing w:val="6"/>
              </w:rPr>
              <w:t>万元）</w:t>
            </w:r>
          </w:p>
        </w:tc>
        <w:tc>
          <w:tcPr>
            <w:tcW w:w="2089"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r>
              <w:rPr>
                <w:rFonts w:hint="eastAsia" w:cs="宋体"/>
                <w:color w:val="auto"/>
                <w:kern w:val="2"/>
                <w:sz w:val="24"/>
                <w:szCs w:val="24"/>
                <w:lang w:val="en-US" w:eastAsia="zh-CN" w:bidi="ar-SA"/>
              </w:rPr>
              <w:t>4X</w:t>
            </w:r>
          </w:p>
        </w:tc>
        <w:tc>
          <w:tcPr>
            <w:tcW w:w="2370"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0</w:t>
            </w:r>
          </w:p>
        </w:tc>
        <w:tc>
          <w:tcPr>
            <w:tcW w:w="2370"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r>
              <w:rPr>
                <w:rFonts w:hint="eastAsia" w:cs="宋体"/>
                <w:color w:val="auto"/>
                <w:kern w:val="2"/>
                <w:sz w:val="24"/>
                <w:szCs w:val="24"/>
                <w:lang w:val="en-US" w:eastAsia="zh-CN" w:bidi="ar-SA"/>
              </w:rPr>
              <w:t>6X</w:t>
            </w:r>
          </w:p>
        </w:tc>
        <w:tc>
          <w:tcPr>
            <w:tcW w:w="2265"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p>
        </w:tc>
        <w:tc>
          <w:tcPr>
            <w:tcW w:w="2655"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2607"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color w:val="auto"/>
                <w:spacing w:val="-10"/>
                <w:position w:val="1"/>
              </w:rPr>
            </w:pPr>
            <w:r>
              <w:rPr>
                <w:rFonts w:hint="eastAsia" w:ascii="仿宋" w:hAnsi="仿宋" w:eastAsia="仿宋" w:cs="仿宋"/>
                <w:color w:val="auto"/>
                <w:spacing w:val="-10"/>
                <w:position w:val="1"/>
                <w:lang w:val="en-US" w:eastAsia="zh-CN"/>
              </w:rPr>
              <w:t>5</w:t>
            </w:r>
            <w:r>
              <w:rPr>
                <w:rFonts w:ascii="仿宋" w:hAnsi="仿宋" w:eastAsia="仿宋" w:cs="仿宋"/>
                <w:color w:val="auto"/>
                <w:spacing w:val="-10"/>
                <w:position w:val="1"/>
              </w:rPr>
              <w:t>万元</w:t>
            </w:r>
            <w:r>
              <w:rPr>
                <w:color w:val="auto"/>
                <w:spacing w:val="-10"/>
                <w:position w:val="1"/>
              </w:rPr>
              <w:t>——</w:t>
            </w:r>
            <w:r>
              <w:rPr>
                <w:color w:val="auto"/>
                <w:spacing w:val="-19"/>
                <w:position w:val="1"/>
              </w:rPr>
              <w:t xml:space="preserve"> </w:t>
            </w:r>
            <w:r>
              <w:rPr>
                <w:color w:val="auto"/>
                <w:spacing w:val="-10"/>
                <w:position w:val="1"/>
              </w:rPr>
              <w:t>10</w:t>
            </w:r>
            <w:r>
              <w:rPr>
                <w:rFonts w:ascii="仿宋" w:hAnsi="仿宋" w:eastAsia="仿宋" w:cs="仿宋"/>
                <w:color w:val="auto"/>
                <w:spacing w:val="-10"/>
                <w:position w:val="1"/>
              </w:rPr>
              <w:t>万元</w:t>
            </w:r>
          </w:p>
          <w:p>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color w:val="auto"/>
              </w:rPr>
            </w:pPr>
            <w:r>
              <w:rPr>
                <w:rFonts w:ascii="仿宋" w:hAnsi="仿宋" w:eastAsia="仿宋" w:cs="仿宋"/>
                <w:color w:val="auto"/>
                <w:spacing w:val="-10"/>
                <w:position w:val="1"/>
              </w:rPr>
              <w:t>（含</w:t>
            </w:r>
            <w:r>
              <w:rPr>
                <w:color w:val="auto"/>
                <w:position w:val="2"/>
              </w:rPr>
              <w:t>10</w:t>
            </w:r>
            <w:r>
              <w:rPr>
                <w:rFonts w:ascii="仿宋" w:hAnsi="仿宋" w:eastAsia="仿宋" w:cs="仿宋"/>
                <w:color w:val="auto"/>
                <w:position w:val="2"/>
              </w:rPr>
              <w:t>万元）</w:t>
            </w:r>
          </w:p>
        </w:tc>
        <w:tc>
          <w:tcPr>
            <w:tcW w:w="2089"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r>
              <w:rPr>
                <w:rFonts w:hint="eastAsia" w:cs="宋体"/>
                <w:color w:val="auto"/>
                <w:kern w:val="2"/>
                <w:sz w:val="24"/>
                <w:szCs w:val="24"/>
                <w:lang w:val="en-US" w:eastAsia="zh-CN" w:bidi="ar-SA"/>
              </w:rPr>
              <w:t>2X</w:t>
            </w:r>
          </w:p>
        </w:tc>
        <w:tc>
          <w:tcPr>
            <w:tcW w:w="2370"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r>
              <w:rPr>
                <w:rFonts w:hint="eastAsia" w:cs="宋体"/>
                <w:color w:val="auto"/>
                <w:kern w:val="2"/>
                <w:sz w:val="24"/>
                <w:szCs w:val="24"/>
                <w:lang w:val="en-US" w:eastAsia="zh-CN" w:bidi="ar-SA"/>
              </w:rPr>
              <w:t>2X</w:t>
            </w:r>
          </w:p>
        </w:tc>
        <w:tc>
          <w:tcPr>
            <w:tcW w:w="2370"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r>
              <w:rPr>
                <w:rFonts w:hint="eastAsia" w:cs="宋体"/>
                <w:color w:val="auto"/>
                <w:kern w:val="2"/>
                <w:sz w:val="24"/>
                <w:szCs w:val="24"/>
                <w:lang w:val="en-US" w:eastAsia="zh-CN" w:bidi="ar-SA"/>
              </w:rPr>
              <w:t>3X</w:t>
            </w:r>
          </w:p>
        </w:tc>
        <w:tc>
          <w:tcPr>
            <w:tcW w:w="2265"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0.2X</w:t>
            </w:r>
          </w:p>
        </w:tc>
        <w:tc>
          <w:tcPr>
            <w:tcW w:w="2655"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0.1X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607"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color w:val="auto"/>
              </w:rPr>
            </w:pPr>
            <w:r>
              <w:rPr>
                <w:color w:val="auto"/>
                <w:spacing w:val="-5"/>
              </w:rPr>
              <w:t>10</w:t>
            </w:r>
            <w:r>
              <w:rPr>
                <w:rFonts w:ascii="仿宋" w:hAnsi="仿宋" w:eastAsia="仿宋" w:cs="仿宋"/>
                <w:color w:val="auto"/>
                <w:spacing w:val="-5"/>
              </w:rPr>
              <w:t>万元</w:t>
            </w:r>
            <w:r>
              <w:rPr>
                <w:color w:val="auto"/>
                <w:spacing w:val="-5"/>
              </w:rPr>
              <w:t>——20</w:t>
            </w:r>
            <w:r>
              <w:rPr>
                <w:rFonts w:ascii="仿宋" w:hAnsi="仿宋" w:eastAsia="仿宋" w:cs="仿宋"/>
                <w:color w:val="auto"/>
                <w:spacing w:val="-5"/>
              </w:rPr>
              <w:t>万元</w:t>
            </w:r>
          </w:p>
          <w:p>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color w:val="auto"/>
              </w:rPr>
            </w:pPr>
            <w:r>
              <w:rPr>
                <w:rFonts w:ascii="仿宋" w:hAnsi="仿宋" w:eastAsia="仿宋" w:cs="仿宋"/>
                <w:color w:val="auto"/>
                <w:spacing w:val="2"/>
                <w:position w:val="1"/>
              </w:rPr>
              <w:t>（含</w:t>
            </w:r>
            <w:r>
              <w:rPr>
                <w:rFonts w:ascii="仿宋" w:hAnsi="仿宋" w:eastAsia="仿宋" w:cs="仿宋"/>
                <w:color w:val="auto"/>
                <w:spacing w:val="-51"/>
                <w:position w:val="1"/>
              </w:rPr>
              <w:t xml:space="preserve"> </w:t>
            </w:r>
            <w:r>
              <w:rPr>
                <w:color w:val="auto"/>
                <w:spacing w:val="2"/>
                <w:position w:val="1"/>
              </w:rPr>
              <w:t>20</w:t>
            </w:r>
            <w:r>
              <w:rPr>
                <w:color w:val="auto"/>
                <w:spacing w:val="31"/>
                <w:w w:val="101"/>
                <w:position w:val="1"/>
              </w:rPr>
              <w:t xml:space="preserve"> </w:t>
            </w:r>
            <w:r>
              <w:rPr>
                <w:rFonts w:ascii="仿宋" w:hAnsi="仿宋" w:eastAsia="仿宋" w:cs="仿宋"/>
                <w:color w:val="auto"/>
                <w:spacing w:val="2"/>
                <w:position w:val="1"/>
              </w:rPr>
              <w:t>万元）</w:t>
            </w:r>
          </w:p>
        </w:tc>
        <w:tc>
          <w:tcPr>
            <w:tcW w:w="2089"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X</w:t>
            </w:r>
            <w:r>
              <w:rPr>
                <w:rFonts w:hint="eastAsia" w:ascii="宋体" w:hAnsi="宋体" w:eastAsia="宋体" w:cs="宋体"/>
                <w:color w:val="auto"/>
                <w:kern w:val="2"/>
                <w:sz w:val="24"/>
                <w:szCs w:val="24"/>
                <w:lang w:val="en-US" w:eastAsia="zh-CN" w:bidi="ar-SA"/>
              </w:rPr>
              <w:t>-10)*0.</w:t>
            </w:r>
            <w:r>
              <w:rPr>
                <w:rFonts w:hint="eastAsia" w:cs="宋体"/>
                <w:color w:val="auto"/>
                <w:kern w:val="2"/>
                <w:sz w:val="24"/>
                <w:szCs w:val="24"/>
                <w:lang w:val="en-US" w:eastAsia="zh-CN" w:bidi="ar-SA"/>
              </w:rPr>
              <w:t>23</w:t>
            </w: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2</w:t>
            </w:r>
          </w:p>
        </w:tc>
        <w:tc>
          <w:tcPr>
            <w:tcW w:w="2370"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X</w:t>
            </w:r>
            <w:r>
              <w:rPr>
                <w:rFonts w:hint="eastAsia" w:ascii="宋体" w:hAnsi="宋体" w:eastAsia="宋体" w:cs="宋体"/>
                <w:color w:val="auto"/>
                <w:kern w:val="2"/>
                <w:sz w:val="24"/>
                <w:szCs w:val="24"/>
                <w:lang w:val="en-US" w:eastAsia="zh-CN" w:bidi="ar-SA"/>
              </w:rPr>
              <w:t>-10)*0.2+</w:t>
            </w:r>
            <w:r>
              <w:rPr>
                <w:rFonts w:hint="eastAsia" w:cs="宋体"/>
                <w:color w:val="auto"/>
                <w:kern w:val="2"/>
                <w:sz w:val="24"/>
                <w:szCs w:val="24"/>
                <w:lang w:val="en-US" w:eastAsia="zh-CN" w:bidi="ar-SA"/>
              </w:rPr>
              <w:t>2</w:t>
            </w:r>
          </w:p>
        </w:tc>
        <w:tc>
          <w:tcPr>
            <w:tcW w:w="23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(X-10)*0.2+3</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(X-10)*0.25+2</w:t>
            </w:r>
          </w:p>
        </w:tc>
        <w:tc>
          <w:tcPr>
            <w:tcW w:w="265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(X-10)*0.12+1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2607"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color w:val="auto"/>
              </w:rPr>
            </w:pPr>
            <w:r>
              <w:rPr>
                <w:color w:val="auto"/>
                <w:spacing w:val="-3"/>
              </w:rPr>
              <w:t>20</w:t>
            </w:r>
            <w:r>
              <w:rPr>
                <w:rFonts w:ascii="仿宋" w:hAnsi="仿宋" w:eastAsia="仿宋" w:cs="仿宋"/>
                <w:color w:val="auto"/>
                <w:spacing w:val="-3"/>
              </w:rPr>
              <w:t>万元</w:t>
            </w:r>
            <w:r>
              <w:rPr>
                <w:color w:val="auto"/>
                <w:spacing w:val="-3"/>
              </w:rPr>
              <w:t>——5</w:t>
            </w:r>
            <w:r>
              <w:rPr>
                <w:rFonts w:hint="eastAsia"/>
                <w:color w:val="auto"/>
                <w:spacing w:val="-3"/>
                <w:lang w:val="en-US" w:eastAsia="zh-CN"/>
              </w:rPr>
              <w:t>0</w:t>
            </w:r>
            <w:r>
              <w:rPr>
                <w:rFonts w:ascii="仿宋" w:hAnsi="仿宋" w:eastAsia="仿宋" w:cs="仿宋"/>
                <w:color w:val="auto"/>
                <w:spacing w:val="-3"/>
              </w:rPr>
              <w:t>万元</w:t>
            </w:r>
          </w:p>
          <w:p>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color w:val="auto"/>
              </w:rPr>
            </w:pPr>
            <w:r>
              <w:rPr>
                <w:rFonts w:ascii="仿宋" w:hAnsi="仿宋" w:eastAsia="仿宋" w:cs="仿宋"/>
                <w:color w:val="auto"/>
                <w:spacing w:val="1"/>
                <w:position w:val="1"/>
              </w:rPr>
              <w:t>（含</w:t>
            </w:r>
            <w:r>
              <w:rPr>
                <w:rFonts w:ascii="仿宋" w:hAnsi="仿宋" w:eastAsia="仿宋" w:cs="仿宋"/>
                <w:color w:val="auto"/>
                <w:spacing w:val="-44"/>
                <w:position w:val="1"/>
              </w:rPr>
              <w:t xml:space="preserve"> </w:t>
            </w:r>
            <w:r>
              <w:rPr>
                <w:color w:val="auto"/>
                <w:spacing w:val="1"/>
                <w:position w:val="1"/>
              </w:rPr>
              <w:t>50</w:t>
            </w:r>
            <w:r>
              <w:rPr>
                <w:color w:val="auto"/>
                <w:spacing w:val="31"/>
                <w:w w:val="101"/>
                <w:position w:val="1"/>
              </w:rPr>
              <w:t xml:space="preserve"> </w:t>
            </w:r>
            <w:r>
              <w:rPr>
                <w:rFonts w:ascii="仿宋" w:hAnsi="仿宋" w:eastAsia="仿宋" w:cs="仿宋"/>
                <w:color w:val="auto"/>
                <w:spacing w:val="1"/>
                <w:position w:val="1"/>
              </w:rPr>
              <w:t>万元）</w:t>
            </w:r>
          </w:p>
        </w:tc>
        <w:tc>
          <w:tcPr>
            <w:tcW w:w="2089"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X</w:t>
            </w:r>
            <w:r>
              <w:rPr>
                <w:rFonts w:hint="eastAsia" w:ascii="宋体" w:hAnsi="宋体" w:eastAsia="宋体" w:cs="宋体"/>
                <w:color w:val="auto"/>
                <w:kern w:val="2"/>
                <w:sz w:val="24"/>
                <w:szCs w:val="24"/>
                <w:lang w:val="en-US" w:eastAsia="zh-CN" w:bidi="ar-SA"/>
              </w:rPr>
              <w:t>-20)*0.</w:t>
            </w:r>
            <w:r>
              <w:rPr>
                <w:rFonts w:hint="eastAsia" w:cs="宋体"/>
                <w:color w:val="auto"/>
                <w:kern w:val="2"/>
                <w:sz w:val="24"/>
                <w:szCs w:val="24"/>
                <w:lang w:val="en-US" w:eastAsia="zh-CN" w:bidi="ar-SA"/>
              </w:rPr>
              <w:t>22</w:t>
            </w: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4.3</w:t>
            </w:r>
          </w:p>
        </w:tc>
        <w:tc>
          <w:tcPr>
            <w:tcW w:w="2370"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X</w:t>
            </w:r>
            <w:r>
              <w:rPr>
                <w:rFonts w:hint="eastAsia" w:ascii="宋体" w:hAnsi="宋体" w:eastAsia="宋体" w:cs="宋体"/>
                <w:color w:val="auto"/>
                <w:kern w:val="2"/>
                <w:sz w:val="24"/>
                <w:szCs w:val="24"/>
                <w:lang w:val="en-US" w:eastAsia="zh-CN" w:bidi="ar-SA"/>
              </w:rPr>
              <w:t>-20)*0.2+</w:t>
            </w:r>
            <w:r>
              <w:rPr>
                <w:rFonts w:hint="eastAsia" w:cs="宋体"/>
                <w:color w:val="auto"/>
                <w:kern w:val="2"/>
                <w:sz w:val="24"/>
                <w:szCs w:val="24"/>
                <w:lang w:val="en-US" w:eastAsia="zh-CN" w:bidi="ar-SA"/>
              </w:rPr>
              <w:t>4</w:t>
            </w:r>
          </w:p>
        </w:tc>
        <w:tc>
          <w:tcPr>
            <w:tcW w:w="23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(X-20)*0.15+5</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(X-20)*0.3+4.5</w:t>
            </w:r>
          </w:p>
        </w:tc>
        <w:tc>
          <w:tcPr>
            <w:tcW w:w="265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(X-20)*0.13+2.2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2607"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color w:val="auto"/>
                <w:spacing w:val="-22"/>
                <w:position w:val="1"/>
              </w:rPr>
            </w:pPr>
            <w:r>
              <w:rPr>
                <w:color w:val="auto"/>
                <w:spacing w:val="-22"/>
                <w:position w:val="1"/>
              </w:rPr>
              <w:t>50</w:t>
            </w:r>
            <w:r>
              <w:rPr>
                <w:rFonts w:ascii="仿宋" w:hAnsi="仿宋" w:eastAsia="仿宋" w:cs="仿宋"/>
                <w:color w:val="auto"/>
                <w:spacing w:val="-22"/>
                <w:position w:val="1"/>
              </w:rPr>
              <w:t>万元</w:t>
            </w:r>
            <w:r>
              <w:rPr>
                <w:color w:val="auto"/>
                <w:spacing w:val="-22"/>
                <w:position w:val="1"/>
              </w:rPr>
              <w:t>——</w:t>
            </w:r>
            <w:r>
              <w:rPr>
                <w:color w:val="auto"/>
                <w:spacing w:val="-48"/>
                <w:position w:val="1"/>
              </w:rPr>
              <w:t xml:space="preserve"> </w:t>
            </w:r>
            <w:r>
              <w:rPr>
                <w:color w:val="auto"/>
                <w:spacing w:val="-22"/>
                <w:position w:val="1"/>
              </w:rPr>
              <w:t>100</w:t>
            </w:r>
            <w:r>
              <w:rPr>
                <w:rFonts w:ascii="仿宋" w:hAnsi="仿宋" w:eastAsia="仿宋" w:cs="仿宋"/>
                <w:color w:val="auto"/>
                <w:spacing w:val="-22"/>
                <w:position w:val="1"/>
              </w:rPr>
              <w:t>万元</w:t>
            </w:r>
          </w:p>
          <w:p>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color w:val="auto"/>
              </w:rPr>
            </w:pPr>
            <w:r>
              <w:rPr>
                <w:rFonts w:ascii="仿宋" w:hAnsi="仿宋" w:eastAsia="仿宋" w:cs="仿宋"/>
                <w:color w:val="auto"/>
                <w:spacing w:val="-22"/>
                <w:position w:val="1"/>
              </w:rPr>
              <w:t>（含</w:t>
            </w:r>
            <w:r>
              <w:rPr>
                <w:color w:val="auto"/>
                <w:spacing w:val="-15"/>
                <w:position w:val="2"/>
              </w:rPr>
              <w:t>100</w:t>
            </w:r>
            <w:r>
              <w:rPr>
                <w:color w:val="auto"/>
                <w:spacing w:val="17"/>
                <w:position w:val="2"/>
              </w:rPr>
              <w:t xml:space="preserve"> </w:t>
            </w:r>
            <w:r>
              <w:rPr>
                <w:rFonts w:ascii="仿宋" w:hAnsi="仿宋" w:eastAsia="仿宋" w:cs="仿宋"/>
                <w:color w:val="auto"/>
                <w:spacing w:val="-15"/>
                <w:position w:val="2"/>
              </w:rPr>
              <w:t>万元）</w:t>
            </w:r>
          </w:p>
        </w:tc>
        <w:tc>
          <w:tcPr>
            <w:tcW w:w="2089"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X</w:t>
            </w:r>
            <w:r>
              <w:rPr>
                <w:rFonts w:hint="eastAsia" w:ascii="宋体" w:hAnsi="宋体" w:eastAsia="宋体" w:cs="宋体"/>
                <w:color w:val="auto"/>
                <w:kern w:val="2"/>
                <w:sz w:val="24"/>
                <w:szCs w:val="24"/>
                <w:lang w:val="en-US" w:eastAsia="zh-CN" w:bidi="ar-SA"/>
              </w:rPr>
              <w:t>-50)*0.</w:t>
            </w:r>
            <w:r>
              <w:rPr>
                <w:rFonts w:hint="eastAsia" w:cs="宋体"/>
                <w:color w:val="auto"/>
                <w:kern w:val="2"/>
                <w:sz w:val="24"/>
                <w:szCs w:val="24"/>
                <w:lang w:val="en-US" w:eastAsia="zh-CN" w:bidi="ar-SA"/>
              </w:rPr>
              <w:t>18</w:t>
            </w: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10.9</w:t>
            </w:r>
          </w:p>
        </w:tc>
        <w:tc>
          <w:tcPr>
            <w:tcW w:w="2370"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X</w:t>
            </w:r>
            <w:r>
              <w:rPr>
                <w:rFonts w:hint="eastAsia" w:ascii="宋体" w:hAnsi="宋体" w:eastAsia="宋体" w:cs="宋体"/>
                <w:color w:val="auto"/>
                <w:kern w:val="2"/>
                <w:sz w:val="24"/>
                <w:szCs w:val="24"/>
                <w:lang w:val="en-US" w:eastAsia="zh-CN" w:bidi="ar-SA"/>
              </w:rPr>
              <w:t>-50)*0.</w:t>
            </w:r>
            <w:r>
              <w:rPr>
                <w:rFonts w:hint="eastAsia" w:cs="宋体"/>
                <w:color w:val="auto"/>
                <w:kern w:val="2"/>
                <w:sz w:val="24"/>
                <w:szCs w:val="24"/>
                <w:lang w:val="en-US" w:eastAsia="zh-CN" w:bidi="ar-SA"/>
              </w:rPr>
              <w:t>18</w:t>
            </w: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10</w:t>
            </w:r>
          </w:p>
        </w:tc>
        <w:tc>
          <w:tcPr>
            <w:tcW w:w="23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(X-50)*0.1+9.5</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(X-50)*0.4+13.5</w:t>
            </w:r>
          </w:p>
        </w:tc>
        <w:tc>
          <w:tcPr>
            <w:tcW w:w="265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(X-50)*0.14+6.1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260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Arial"/>
                <w:color w:val="auto"/>
                <w:sz w:val="21"/>
              </w:rPr>
            </w:pPr>
          </w:p>
          <w:p>
            <w:pPr>
              <w:pStyle w:val="1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仿宋" w:hAnsi="仿宋" w:eastAsia="仿宋" w:cs="仿宋"/>
                <w:color w:val="auto"/>
              </w:rPr>
            </w:pPr>
            <w:r>
              <w:rPr>
                <w:color w:val="auto"/>
                <w:spacing w:val="3"/>
              </w:rPr>
              <w:t>100</w:t>
            </w:r>
            <w:r>
              <w:rPr>
                <w:rFonts w:ascii="仿宋" w:hAnsi="仿宋" w:eastAsia="仿宋" w:cs="仿宋"/>
                <w:color w:val="auto"/>
                <w:spacing w:val="3"/>
              </w:rPr>
              <w:t>万元以上</w:t>
            </w:r>
          </w:p>
        </w:tc>
        <w:tc>
          <w:tcPr>
            <w:tcW w:w="2089"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X</w:t>
            </w:r>
            <w:r>
              <w:rPr>
                <w:rFonts w:hint="eastAsia" w:ascii="宋体" w:hAnsi="宋体" w:eastAsia="宋体" w:cs="宋体"/>
                <w:color w:val="auto"/>
                <w:kern w:val="2"/>
                <w:sz w:val="24"/>
                <w:szCs w:val="24"/>
                <w:lang w:val="en-US" w:eastAsia="zh-CN" w:bidi="ar-SA"/>
              </w:rPr>
              <w:t>-100)*0</w:t>
            </w:r>
            <w:r>
              <w:rPr>
                <w:rFonts w:hint="eastAsia" w:cs="宋体"/>
                <w:color w:val="auto"/>
                <w:kern w:val="2"/>
                <w:sz w:val="24"/>
                <w:szCs w:val="24"/>
                <w:lang w:val="en-US" w:eastAsia="zh-CN" w:bidi="ar-SA"/>
              </w:rPr>
              <w:t>.15</w:t>
            </w: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19.9</w:t>
            </w:r>
          </w:p>
        </w:tc>
        <w:tc>
          <w:tcPr>
            <w:tcW w:w="2370"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X</w:t>
            </w:r>
            <w:r>
              <w:rPr>
                <w:rFonts w:hint="eastAsia" w:ascii="宋体" w:hAnsi="宋体" w:eastAsia="宋体" w:cs="宋体"/>
                <w:color w:val="auto"/>
                <w:kern w:val="2"/>
                <w:sz w:val="24"/>
                <w:szCs w:val="24"/>
                <w:lang w:val="en-US" w:eastAsia="zh-CN" w:bidi="ar-SA"/>
              </w:rPr>
              <w:t>-100)*0.</w:t>
            </w:r>
            <w:r>
              <w:rPr>
                <w:rFonts w:hint="eastAsia" w:cs="宋体"/>
                <w:color w:val="auto"/>
                <w:kern w:val="2"/>
                <w:sz w:val="24"/>
                <w:szCs w:val="24"/>
                <w:lang w:val="en-US" w:eastAsia="zh-CN" w:bidi="ar-SA"/>
              </w:rPr>
              <w:t>15</w:t>
            </w: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19</w:t>
            </w:r>
          </w:p>
        </w:tc>
        <w:tc>
          <w:tcPr>
            <w:tcW w:w="23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(X-100)*0.05+14.5</w:t>
            </w:r>
          </w:p>
        </w:tc>
        <w:tc>
          <w:tcPr>
            <w:tcW w:w="226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(X-100)*0.5+33.5</w:t>
            </w:r>
          </w:p>
        </w:tc>
        <w:tc>
          <w:tcPr>
            <w:tcW w:w="265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(X-100)*0.15+13.1</w:t>
            </w:r>
          </w:p>
        </w:tc>
      </w:tr>
    </w:tbl>
    <w:p>
      <w:pPr>
        <w:spacing w:before="134"/>
        <w:ind w:left="127"/>
        <w:rPr>
          <w:rFonts w:ascii="仿宋" w:hAnsi="仿宋" w:eastAsia="仿宋" w:cs="仿宋"/>
          <w:color w:val="auto"/>
          <w:spacing w:val="12"/>
          <w:sz w:val="28"/>
          <w:szCs w:val="28"/>
        </w:rPr>
      </w:pPr>
      <w:r>
        <w:rPr>
          <w:rFonts w:ascii="仿宋" w:hAnsi="仿宋" w:eastAsia="仿宋" w:cs="仿宋"/>
          <w:color w:val="auto"/>
          <w:spacing w:val="12"/>
          <w:sz w:val="28"/>
          <w:szCs w:val="28"/>
        </w:rPr>
        <w:t>说明：</w:t>
      </w:r>
      <w:r>
        <w:rPr>
          <w:rFonts w:hint="eastAsia" w:ascii="Times New Roman" w:hAnsi="Times New Roman" w:eastAsia="宋体" w:cs="Times New Roman"/>
          <w:color w:val="auto"/>
          <w:spacing w:val="12"/>
          <w:position w:val="-1"/>
          <w:sz w:val="28"/>
          <w:szCs w:val="28"/>
          <w:lang w:val="en-US" w:eastAsia="zh-CN"/>
        </w:rPr>
        <w:t>X</w:t>
      </w:r>
      <w:r>
        <w:rPr>
          <w:rFonts w:ascii="仿宋" w:hAnsi="仿宋" w:eastAsia="仿宋" w:cs="仿宋"/>
          <w:color w:val="auto"/>
          <w:spacing w:val="12"/>
          <w:sz w:val="28"/>
          <w:szCs w:val="28"/>
        </w:rPr>
        <w:t>为</w:t>
      </w:r>
      <w:r>
        <w:rPr>
          <w:rFonts w:hint="eastAsia" w:ascii="仿宋" w:hAnsi="仿宋" w:eastAsia="仿宋" w:cs="仿宋"/>
          <w:color w:val="auto"/>
          <w:spacing w:val="12"/>
          <w:sz w:val="28"/>
          <w:szCs w:val="28"/>
          <w:lang w:eastAsia="zh-CN"/>
        </w:rPr>
        <w:t>村级集体经济收益</w:t>
      </w:r>
      <w:r>
        <w:rPr>
          <w:rFonts w:ascii="仿宋" w:hAnsi="仿宋" w:eastAsia="仿宋" w:cs="仿宋"/>
          <w:color w:val="auto"/>
          <w:spacing w:val="12"/>
          <w:sz w:val="28"/>
          <w:szCs w:val="28"/>
        </w:rPr>
        <w:t>金额，</w:t>
      </w:r>
      <w:r>
        <w:rPr>
          <w:rFonts w:ascii="仿宋" w:hAnsi="仿宋" w:eastAsia="仿宋" w:cs="仿宋"/>
          <w:color w:val="auto"/>
          <w:spacing w:val="-79"/>
          <w:sz w:val="28"/>
          <w:szCs w:val="28"/>
        </w:rPr>
        <w:t xml:space="preserve"> </w:t>
      </w:r>
      <w:r>
        <w:rPr>
          <w:rFonts w:ascii="仿宋" w:hAnsi="仿宋" w:eastAsia="仿宋" w:cs="仿宋"/>
          <w:color w:val="auto"/>
          <w:spacing w:val="12"/>
          <w:sz w:val="28"/>
          <w:szCs w:val="28"/>
        </w:rPr>
        <w:t>单位万元。</w:t>
      </w:r>
    </w:p>
    <w:p>
      <w:pPr>
        <w:spacing w:before="134"/>
        <w:rPr>
          <w:rFonts w:ascii="仿宋" w:hAnsi="仿宋" w:eastAsia="仿宋" w:cs="仿宋"/>
          <w:color w:val="auto"/>
          <w:sz w:val="28"/>
          <w:szCs w:val="28"/>
        </w:rPr>
        <w:sectPr>
          <w:footerReference r:id="rId5" w:type="default"/>
          <w:pgSz w:w="16848" w:h="11916" w:orient="landscape"/>
          <w:pgMar w:top="1474" w:right="1432" w:bottom="758" w:left="1476" w:header="0" w:footer="1197"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方正小标宋简体" w:hAnsi="方正小标宋简体" w:eastAsia="方正小标宋简体" w:cs="方正小标宋简体"/>
          <w:color w:val="auto"/>
          <w:spacing w:val="28"/>
          <w:position w:val="3"/>
          <w:sz w:val="36"/>
          <w:szCs w:val="36"/>
        </w:rPr>
      </w:pPr>
      <w:r>
        <w:rPr>
          <w:rFonts w:hint="eastAsia" w:ascii="方正小标宋简体" w:hAnsi="方正小标宋简体" w:eastAsia="方正小标宋简体" w:cs="方正小标宋简体"/>
          <w:color w:val="auto"/>
          <w:spacing w:val="28"/>
          <w:position w:val="3"/>
          <w:sz w:val="36"/>
          <w:szCs w:val="36"/>
        </w:rPr>
        <w:t>例如：</w:t>
      </w:r>
    </w:p>
    <w:p>
      <w:pPr>
        <w:spacing w:before="112"/>
        <w:rPr>
          <w:color w:val="auto"/>
        </w:rPr>
      </w:pPr>
    </w:p>
    <w:tbl>
      <w:tblPr>
        <w:tblStyle w:val="9"/>
        <w:tblW w:w="101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065"/>
        <w:gridCol w:w="1530"/>
        <w:gridCol w:w="1395"/>
        <w:gridCol w:w="1635"/>
        <w:gridCol w:w="1515"/>
        <w:gridCol w:w="17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仿宋_GB2312"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村</w:t>
            </w:r>
          </w:p>
        </w:tc>
        <w:tc>
          <w:tcPr>
            <w:tcW w:w="106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仿宋_GB2312"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收益</w:t>
            </w:r>
          </w:p>
        </w:tc>
        <w:tc>
          <w:tcPr>
            <w:tcW w:w="153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公益金</w:t>
            </w:r>
          </w:p>
        </w:tc>
        <w:tc>
          <w:tcPr>
            <w:tcW w:w="139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公积金</w:t>
            </w:r>
          </w:p>
        </w:tc>
        <w:tc>
          <w:tcPr>
            <w:tcW w:w="163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村级组织</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运转经费</w:t>
            </w:r>
          </w:p>
        </w:tc>
        <w:tc>
          <w:tcPr>
            <w:tcW w:w="151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村集体经济组织成员分红</w:t>
            </w:r>
          </w:p>
        </w:tc>
        <w:tc>
          <w:tcPr>
            <w:tcW w:w="178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村组干部集体经济创收奖励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184" w:type="dxa"/>
            <w:noWrap w:val="0"/>
            <w:vAlign w:val="top"/>
          </w:tcPr>
          <w:p>
            <w:pPr>
              <w:pStyle w:val="10"/>
              <w:spacing w:before="197" w:line="189" w:lineRule="auto"/>
              <w:ind w:left="751"/>
              <w:jc w:val="both"/>
              <w:rPr>
                <w:color w:val="auto"/>
              </w:rPr>
            </w:pPr>
            <w:r>
              <w:rPr>
                <w:color w:val="auto"/>
              </w:rPr>
              <w:t>A</w:t>
            </w:r>
          </w:p>
        </w:tc>
        <w:tc>
          <w:tcPr>
            <w:tcW w:w="1065" w:type="dxa"/>
            <w:noWrap w:val="0"/>
            <w:vAlign w:val="top"/>
          </w:tcPr>
          <w:p>
            <w:pPr>
              <w:pStyle w:val="10"/>
              <w:spacing w:before="197" w:line="189" w:lineRule="auto"/>
              <w:ind w:left="707" w:leftChars="0"/>
              <w:jc w:val="both"/>
              <w:rPr>
                <w:rFonts w:hint="eastAsia" w:eastAsia="宋体"/>
                <w:color w:val="auto"/>
                <w:lang w:val="en-US" w:eastAsia="zh-CN"/>
              </w:rPr>
            </w:pPr>
            <w:r>
              <w:rPr>
                <w:rFonts w:hint="eastAsia"/>
                <w:color w:val="auto"/>
                <w:lang w:val="en-US" w:eastAsia="zh-CN"/>
              </w:rPr>
              <w:t>5</w:t>
            </w:r>
          </w:p>
        </w:tc>
        <w:tc>
          <w:tcPr>
            <w:tcW w:w="1530" w:type="dxa"/>
            <w:noWrap w:val="0"/>
            <w:vAlign w:val="top"/>
          </w:tcPr>
          <w:p>
            <w:pPr>
              <w:pStyle w:val="10"/>
              <w:spacing w:before="197" w:line="189" w:lineRule="auto"/>
              <w:ind w:left="791"/>
              <w:jc w:val="both"/>
              <w:rPr>
                <w:rFonts w:hint="default" w:eastAsia="宋体"/>
                <w:color w:val="auto"/>
                <w:lang w:val="en-US" w:eastAsia="zh-CN"/>
              </w:rPr>
            </w:pPr>
            <w:r>
              <w:rPr>
                <w:rFonts w:hint="eastAsia"/>
                <w:color w:val="auto"/>
                <w:lang w:val="en-US" w:eastAsia="zh-CN"/>
              </w:rPr>
              <w:t>2</w:t>
            </w:r>
          </w:p>
        </w:tc>
        <w:tc>
          <w:tcPr>
            <w:tcW w:w="1395" w:type="dxa"/>
            <w:noWrap w:val="0"/>
            <w:vAlign w:val="top"/>
          </w:tcPr>
          <w:p>
            <w:pPr>
              <w:pStyle w:val="10"/>
              <w:spacing w:before="197" w:line="189" w:lineRule="auto"/>
              <w:ind w:left="791"/>
              <w:jc w:val="both"/>
              <w:rPr>
                <w:rFonts w:hint="default"/>
                <w:color w:val="auto"/>
                <w:lang w:val="en-US" w:eastAsia="zh-CN"/>
              </w:rPr>
            </w:pPr>
            <w:r>
              <w:rPr>
                <w:rFonts w:hint="eastAsia"/>
                <w:color w:val="auto"/>
                <w:lang w:val="en-US" w:eastAsia="zh-CN"/>
              </w:rPr>
              <w:t>0</w:t>
            </w:r>
          </w:p>
        </w:tc>
        <w:tc>
          <w:tcPr>
            <w:tcW w:w="1635" w:type="dxa"/>
            <w:noWrap w:val="0"/>
            <w:vAlign w:val="top"/>
          </w:tcPr>
          <w:p>
            <w:pPr>
              <w:pStyle w:val="10"/>
              <w:spacing w:before="197" w:line="189" w:lineRule="auto"/>
              <w:ind w:left="723"/>
              <w:jc w:val="both"/>
              <w:rPr>
                <w:rFonts w:hint="default" w:eastAsia="宋体"/>
                <w:color w:val="auto"/>
                <w:lang w:val="en-US" w:eastAsia="zh-CN"/>
              </w:rPr>
            </w:pPr>
            <w:r>
              <w:rPr>
                <w:rFonts w:hint="eastAsia"/>
                <w:color w:val="auto"/>
                <w:lang w:val="en-US" w:eastAsia="zh-CN"/>
              </w:rPr>
              <w:t>3</w:t>
            </w:r>
          </w:p>
        </w:tc>
        <w:tc>
          <w:tcPr>
            <w:tcW w:w="1515" w:type="dxa"/>
            <w:noWrap w:val="0"/>
            <w:vAlign w:val="top"/>
          </w:tcPr>
          <w:p>
            <w:pPr>
              <w:pStyle w:val="10"/>
              <w:spacing w:before="197" w:line="189" w:lineRule="auto"/>
              <w:ind w:left="554"/>
              <w:jc w:val="both"/>
              <w:rPr>
                <w:rFonts w:hint="eastAsia" w:eastAsia="宋体"/>
                <w:color w:val="auto"/>
                <w:lang w:val="en-US" w:eastAsia="zh-CN"/>
              </w:rPr>
            </w:pPr>
            <w:r>
              <w:rPr>
                <w:rFonts w:hint="eastAsia"/>
                <w:color w:val="auto"/>
                <w:lang w:val="en-US" w:eastAsia="zh-CN"/>
              </w:rPr>
              <w:t>0</w:t>
            </w:r>
          </w:p>
        </w:tc>
        <w:tc>
          <w:tcPr>
            <w:tcW w:w="1785" w:type="dxa"/>
            <w:noWrap w:val="0"/>
            <w:vAlign w:val="top"/>
          </w:tcPr>
          <w:p>
            <w:pPr>
              <w:pStyle w:val="10"/>
              <w:spacing w:before="197" w:line="189" w:lineRule="auto"/>
              <w:ind w:left="740"/>
              <w:jc w:val="both"/>
              <w:rPr>
                <w:rFonts w:hint="eastAsia" w:eastAsia="宋体"/>
                <w:color w:val="auto"/>
                <w:lang w:val="en-US" w:eastAsia="zh-CN"/>
              </w:rPr>
            </w:pPr>
            <w:r>
              <w:rPr>
                <w:rFonts w:hint="eastAsia"/>
                <w:color w:val="auto"/>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184" w:type="dxa"/>
            <w:noWrap w:val="0"/>
            <w:vAlign w:val="top"/>
          </w:tcPr>
          <w:p>
            <w:pPr>
              <w:pStyle w:val="10"/>
              <w:spacing w:before="201" w:line="186" w:lineRule="auto"/>
              <w:ind w:left="760"/>
              <w:jc w:val="both"/>
              <w:rPr>
                <w:color w:val="auto"/>
              </w:rPr>
            </w:pPr>
            <w:r>
              <w:rPr>
                <w:color w:val="auto"/>
              </w:rPr>
              <w:t>B</w:t>
            </w:r>
          </w:p>
        </w:tc>
        <w:tc>
          <w:tcPr>
            <w:tcW w:w="1065" w:type="dxa"/>
            <w:noWrap w:val="0"/>
            <w:vAlign w:val="top"/>
          </w:tcPr>
          <w:p>
            <w:pPr>
              <w:pStyle w:val="10"/>
              <w:spacing w:before="197" w:line="189" w:lineRule="auto"/>
              <w:ind w:left="660" w:leftChars="0"/>
              <w:jc w:val="both"/>
              <w:rPr>
                <w:color w:val="auto"/>
              </w:rPr>
            </w:pPr>
            <w:r>
              <w:rPr>
                <w:color w:val="auto"/>
                <w:spacing w:val="-12"/>
              </w:rPr>
              <w:t>10</w:t>
            </w:r>
          </w:p>
        </w:tc>
        <w:tc>
          <w:tcPr>
            <w:tcW w:w="1530" w:type="dxa"/>
            <w:noWrap w:val="0"/>
            <w:vAlign w:val="top"/>
          </w:tcPr>
          <w:p>
            <w:pPr>
              <w:pStyle w:val="10"/>
              <w:spacing w:before="197" w:line="189" w:lineRule="auto"/>
              <w:ind w:left="791"/>
              <w:jc w:val="both"/>
              <w:rPr>
                <w:rFonts w:hint="default" w:eastAsia="宋体"/>
                <w:color w:val="auto"/>
                <w:lang w:val="en-US" w:eastAsia="zh-CN"/>
              </w:rPr>
            </w:pPr>
            <w:r>
              <w:rPr>
                <w:rFonts w:hint="eastAsia"/>
                <w:color w:val="auto"/>
                <w:lang w:val="en-US" w:eastAsia="zh-CN"/>
              </w:rPr>
              <w:t>2</w:t>
            </w:r>
          </w:p>
        </w:tc>
        <w:tc>
          <w:tcPr>
            <w:tcW w:w="1395" w:type="dxa"/>
            <w:noWrap w:val="0"/>
            <w:vAlign w:val="top"/>
          </w:tcPr>
          <w:p>
            <w:pPr>
              <w:pStyle w:val="10"/>
              <w:spacing w:before="197" w:line="189" w:lineRule="auto"/>
              <w:ind w:left="791"/>
              <w:jc w:val="both"/>
              <w:rPr>
                <w:rFonts w:hint="default"/>
                <w:color w:val="auto"/>
                <w:lang w:val="en-US" w:eastAsia="zh-CN"/>
              </w:rPr>
            </w:pPr>
            <w:r>
              <w:rPr>
                <w:rFonts w:hint="eastAsia"/>
                <w:color w:val="auto"/>
                <w:lang w:val="en-US" w:eastAsia="zh-CN"/>
              </w:rPr>
              <w:t>2</w:t>
            </w:r>
          </w:p>
        </w:tc>
        <w:tc>
          <w:tcPr>
            <w:tcW w:w="1635" w:type="dxa"/>
            <w:noWrap w:val="0"/>
            <w:vAlign w:val="top"/>
          </w:tcPr>
          <w:p>
            <w:pPr>
              <w:pStyle w:val="10"/>
              <w:spacing w:before="197" w:line="189" w:lineRule="auto"/>
              <w:ind w:left="746"/>
              <w:jc w:val="both"/>
              <w:rPr>
                <w:rFonts w:hint="default" w:eastAsia="宋体"/>
                <w:color w:val="auto"/>
                <w:lang w:val="en-US" w:eastAsia="zh-CN"/>
              </w:rPr>
            </w:pPr>
            <w:r>
              <w:rPr>
                <w:rFonts w:hint="eastAsia"/>
                <w:color w:val="auto"/>
                <w:lang w:val="en-US" w:eastAsia="zh-CN"/>
              </w:rPr>
              <w:t>3</w:t>
            </w:r>
          </w:p>
        </w:tc>
        <w:tc>
          <w:tcPr>
            <w:tcW w:w="1515" w:type="dxa"/>
            <w:noWrap w:val="0"/>
            <w:vAlign w:val="top"/>
          </w:tcPr>
          <w:p>
            <w:pPr>
              <w:pStyle w:val="10"/>
              <w:spacing w:before="197" w:line="189" w:lineRule="auto"/>
              <w:ind w:left="576"/>
              <w:jc w:val="both"/>
              <w:rPr>
                <w:rFonts w:hint="default" w:eastAsia="宋体"/>
                <w:color w:val="auto"/>
                <w:lang w:val="en-US" w:eastAsia="zh-CN"/>
              </w:rPr>
            </w:pPr>
            <w:r>
              <w:rPr>
                <w:rFonts w:hint="eastAsia"/>
                <w:color w:val="auto"/>
                <w:lang w:val="en-US" w:eastAsia="zh-CN"/>
              </w:rPr>
              <w:t>2</w:t>
            </w:r>
          </w:p>
        </w:tc>
        <w:tc>
          <w:tcPr>
            <w:tcW w:w="1785" w:type="dxa"/>
            <w:noWrap w:val="0"/>
            <w:vAlign w:val="top"/>
          </w:tcPr>
          <w:p>
            <w:pPr>
              <w:pStyle w:val="10"/>
              <w:spacing w:before="197" w:line="189" w:lineRule="auto"/>
              <w:ind w:left="742"/>
              <w:jc w:val="both"/>
              <w:rPr>
                <w:rFonts w:hint="default" w:eastAsia="宋体"/>
                <w:color w:val="auto"/>
                <w:lang w:val="en-US" w:eastAsia="zh-CN"/>
              </w:rPr>
            </w:pPr>
            <w:r>
              <w:rPr>
                <w:rFonts w:hint="eastAsia"/>
                <w:color w:val="auto"/>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184" w:type="dxa"/>
            <w:noWrap w:val="0"/>
            <w:vAlign w:val="top"/>
          </w:tcPr>
          <w:p>
            <w:pPr>
              <w:pStyle w:val="10"/>
              <w:spacing w:before="197" w:line="189" w:lineRule="auto"/>
              <w:ind w:left="766"/>
              <w:jc w:val="both"/>
              <w:rPr>
                <w:color w:val="auto"/>
              </w:rPr>
            </w:pPr>
            <w:r>
              <w:rPr>
                <w:color w:val="auto"/>
              </w:rPr>
              <w:t>C</w:t>
            </w:r>
          </w:p>
        </w:tc>
        <w:tc>
          <w:tcPr>
            <w:tcW w:w="1065" w:type="dxa"/>
            <w:noWrap w:val="0"/>
            <w:vAlign w:val="top"/>
          </w:tcPr>
          <w:p>
            <w:pPr>
              <w:pStyle w:val="10"/>
              <w:spacing w:before="197" w:line="189" w:lineRule="auto"/>
              <w:ind w:left="633" w:leftChars="0"/>
              <w:jc w:val="both"/>
              <w:rPr>
                <w:rFonts w:hint="default" w:eastAsia="宋体"/>
                <w:color w:val="auto"/>
                <w:lang w:val="en-US" w:eastAsia="zh-CN"/>
              </w:rPr>
            </w:pPr>
            <w:r>
              <w:rPr>
                <w:rFonts w:hint="eastAsia"/>
                <w:color w:val="auto"/>
                <w:spacing w:val="1"/>
                <w:lang w:val="en-US" w:eastAsia="zh-CN"/>
              </w:rPr>
              <w:t>15</w:t>
            </w:r>
          </w:p>
        </w:tc>
        <w:tc>
          <w:tcPr>
            <w:tcW w:w="1530" w:type="dxa"/>
            <w:noWrap w:val="0"/>
            <w:vAlign w:val="top"/>
          </w:tcPr>
          <w:p>
            <w:pPr>
              <w:pStyle w:val="10"/>
              <w:spacing w:before="197" w:line="189" w:lineRule="auto"/>
              <w:ind w:left="789"/>
              <w:jc w:val="both"/>
              <w:rPr>
                <w:rFonts w:hint="default" w:eastAsia="宋体"/>
                <w:color w:val="auto"/>
                <w:lang w:val="en-US" w:eastAsia="zh-CN"/>
              </w:rPr>
            </w:pPr>
            <w:r>
              <w:rPr>
                <w:rFonts w:hint="eastAsia"/>
                <w:color w:val="auto"/>
                <w:lang w:val="en-US" w:eastAsia="zh-CN"/>
              </w:rPr>
              <w:t>3.15</w:t>
            </w:r>
          </w:p>
        </w:tc>
        <w:tc>
          <w:tcPr>
            <w:tcW w:w="1395" w:type="dxa"/>
            <w:noWrap w:val="0"/>
            <w:vAlign w:val="top"/>
          </w:tcPr>
          <w:p>
            <w:pPr>
              <w:pStyle w:val="10"/>
              <w:spacing w:before="197" w:line="189" w:lineRule="auto"/>
              <w:ind w:left="789"/>
              <w:jc w:val="both"/>
              <w:rPr>
                <w:rFonts w:hint="default"/>
                <w:color w:val="auto"/>
                <w:lang w:val="en-US" w:eastAsia="zh-CN"/>
              </w:rPr>
            </w:pPr>
            <w:r>
              <w:rPr>
                <w:rFonts w:hint="eastAsia"/>
                <w:color w:val="auto"/>
                <w:lang w:val="en-US" w:eastAsia="zh-CN"/>
              </w:rPr>
              <w:t>3</w:t>
            </w:r>
          </w:p>
        </w:tc>
        <w:tc>
          <w:tcPr>
            <w:tcW w:w="1635" w:type="dxa"/>
            <w:noWrap w:val="0"/>
            <w:vAlign w:val="top"/>
          </w:tcPr>
          <w:p>
            <w:pPr>
              <w:pStyle w:val="10"/>
              <w:spacing w:before="197" w:line="189" w:lineRule="auto"/>
              <w:ind w:left="725"/>
              <w:jc w:val="both"/>
              <w:rPr>
                <w:rFonts w:hint="default" w:eastAsia="宋体"/>
                <w:color w:val="auto"/>
                <w:lang w:val="en-US" w:eastAsia="zh-CN"/>
              </w:rPr>
            </w:pPr>
            <w:r>
              <w:rPr>
                <w:rFonts w:hint="eastAsia"/>
                <w:color w:val="auto"/>
                <w:lang w:val="en-US" w:eastAsia="zh-CN"/>
              </w:rPr>
              <w:t>4</w:t>
            </w:r>
          </w:p>
        </w:tc>
        <w:tc>
          <w:tcPr>
            <w:tcW w:w="1515" w:type="dxa"/>
            <w:noWrap w:val="0"/>
            <w:vAlign w:val="top"/>
          </w:tcPr>
          <w:p>
            <w:pPr>
              <w:pStyle w:val="10"/>
              <w:spacing w:before="197" w:line="189" w:lineRule="auto"/>
              <w:ind w:left="549"/>
              <w:jc w:val="both"/>
              <w:rPr>
                <w:rFonts w:hint="default" w:eastAsia="宋体"/>
                <w:color w:val="auto"/>
                <w:lang w:val="en-US" w:eastAsia="zh-CN"/>
              </w:rPr>
            </w:pPr>
            <w:r>
              <w:rPr>
                <w:rFonts w:hint="eastAsia"/>
                <w:color w:val="auto"/>
                <w:lang w:val="en-US" w:eastAsia="zh-CN"/>
              </w:rPr>
              <w:t>3.25</w:t>
            </w:r>
          </w:p>
        </w:tc>
        <w:tc>
          <w:tcPr>
            <w:tcW w:w="1785" w:type="dxa"/>
            <w:noWrap w:val="0"/>
            <w:vAlign w:val="top"/>
          </w:tcPr>
          <w:p>
            <w:pPr>
              <w:pStyle w:val="10"/>
              <w:spacing w:before="197" w:line="189" w:lineRule="auto"/>
              <w:ind w:left="689"/>
              <w:jc w:val="both"/>
              <w:rPr>
                <w:rFonts w:hint="default" w:eastAsia="宋体"/>
                <w:color w:val="auto"/>
                <w:lang w:val="en-US" w:eastAsia="zh-CN"/>
              </w:rPr>
            </w:pPr>
            <w:r>
              <w:rPr>
                <w:rFonts w:hint="eastAsia"/>
                <w:color w:val="auto"/>
                <w:lang w:val="en-US" w:eastAsia="zh-CN"/>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184" w:type="dxa"/>
            <w:noWrap w:val="0"/>
            <w:vAlign w:val="top"/>
          </w:tcPr>
          <w:p>
            <w:pPr>
              <w:pStyle w:val="10"/>
              <w:spacing w:before="204" w:line="186" w:lineRule="auto"/>
              <w:ind w:left="753"/>
              <w:jc w:val="both"/>
              <w:rPr>
                <w:color w:val="auto"/>
              </w:rPr>
            </w:pPr>
            <w:r>
              <w:rPr>
                <w:color w:val="auto"/>
              </w:rPr>
              <w:t>D</w:t>
            </w:r>
          </w:p>
        </w:tc>
        <w:tc>
          <w:tcPr>
            <w:tcW w:w="1065" w:type="dxa"/>
            <w:noWrap w:val="0"/>
            <w:vAlign w:val="top"/>
          </w:tcPr>
          <w:p>
            <w:pPr>
              <w:pStyle w:val="10"/>
              <w:spacing w:before="200" w:line="189" w:lineRule="auto"/>
              <w:ind w:left="640" w:leftChars="0"/>
              <w:jc w:val="both"/>
              <w:rPr>
                <w:rFonts w:hint="default" w:eastAsia="宋体"/>
                <w:color w:val="auto"/>
                <w:lang w:val="en-US" w:eastAsia="zh-CN"/>
              </w:rPr>
            </w:pPr>
            <w:r>
              <w:rPr>
                <w:rFonts w:hint="eastAsia"/>
                <w:color w:val="auto"/>
                <w:spacing w:val="-3"/>
                <w:lang w:val="en-US" w:eastAsia="zh-CN"/>
              </w:rPr>
              <w:t>40</w:t>
            </w:r>
          </w:p>
        </w:tc>
        <w:tc>
          <w:tcPr>
            <w:tcW w:w="1530" w:type="dxa"/>
            <w:noWrap w:val="0"/>
            <w:vAlign w:val="top"/>
          </w:tcPr>
          <w:p>
            <w:pPr>
              <w:pStyle w:val="10"/>
              <w:spacing w:before="200" w:line="189" w:lineRule="auto"/>
              <w:ind w:left="743"/>
              <w:jc w:val="both"/>
              <w:rPr>
                <w:rFonts w:hint="default" w:eastAsia="宋体"/>
                <w:color w:val="auto"/>
                <w:lang w:val="en-US" w:eastAsia="zh-CN"/>
              </w:rPr>
            </w:pPr>
            <w:r>
              <w:rPr>
                <w:rFonts w:hint="eastAsia"/>
                <w:color w:val="auto"/>
                <w:lang w:val="en-US" w:eastAsia="zh-CN"/>
              </w:rPr>
              <w:t>8.7</w:t>
            </w:r>
          </w:p>
        </w:tc>
        <w:tc>
          <w:tcPr>
            <w:tcW w:w="1395" w:type="dxa"/>
            <w:noWrap w:val="0"/>
            <w:vAlign w:val="top"/>
          </w:tcPr>
          <w:p>
            <w:pPr>
              <w:pStyle w:val="10"/>
              <w:spacing w:before="200" w:line="189" w:lineRule="auto"/>
              <w:ind w:left="743"/>
              <w:jc w:val="both"/>
              <w:rPr>
                <w:rFonts w:hint="default"/>
                <w:color w:val="auto"/>
                <w:spacing w:val="-12"/>
                <w:lang w:val="en-US" w:eastAsia="zh-CN"/>
              </w:rPr>
            </w:pPr>
            <w:r>
              <w:rPr>
                <w:rFonts w:hint="eastAsia"/>
                <w:color w:val="auto"/>
                <w:spacing w:val="-12"/>
                <w:lang w:val="en-US" w:eastAsia="zh-CN"/>
              </w:rPr>
              <w:t>8</w:t>
            </w:r>
          </w:p>
        </w:tc>
        <w:tc>
          <w:tcPr>
            <w:tcW w:w="1635" w:type="dxa"/>
            <w:noWrap w:val="0"/>
            <w:vAlign w:val="top"/>
          </w:tcPr>
          <w:p>
            <w:pPr>
              <w:pStyle w:val="10"/>
              <w:spacing w:before="200" w:line="189" w:lineRule="auto"/>
              <w:ind w:left="725"/>
              <w:jc w:val="both"/>
              <w:rPr>
                <w:rFonts w:hint="default" w:eastAsia="宋体"/>
                <w:color w:val="auto"/>
                <w:lang w:val="en-US" w:eastAsia="zh-CN"/>
              </w:rPr>
            </w:pPr>
            <w:r>
              <w:rPr>
                <w:rFonts w:hint="eastAsia"/>
                <w:color w:val="auto"/>
                <w:lang w:val="en-US" w:eastAsia="zh-CN"/>
              </w:rPr>
              <w:t>8</w:t>
            </w:r>
          </w:p>
        </w:tc>
        <w:tc>
          <w:tcPr>
            <w:tcW w:w="1515" w:type="dxa"/>
            <w:noWrap w:val="0"/>
            <w:vAlign w:val="top"/>
          </w:tcPr>
          <w:p>
            <w:pPr>
              <w:pStyle w:val="10"/>
              <w:spacing w:before="200" w:line="189" w:lineRule="auto"/>
              <w:ind w:left="561"/>
              <w:jc w:val="both"/>
              <w:rPr>
                <w:rFonts w:hint="default" w:eastAsia="宋体"/>
                <w:color w:val="auto"/>
                <w:lang w:val="en-US" w:eastAsia="zh-CN"/>
              </w:rPr>
            </w:pPr>
            <w:r>
              <w:rPr>
                <w:rFonts w:hint="eastAsia"/>
                <w:color w:val="auto"/>
                <w:lang w:val="en-US" w:eastAsia="zh-CN"/>
              </w:rPr>
              <w:t>10.5</w:t>
            </w:r>
          </w:p>
        </w:tc>
        <w:tc>
          <w:tcPr>
            <w:tcW w:w="1785" w:type="dxa"/>
            <w:noWrap w:val="0"/>
            <w:vAlign w:val="top"/>
          </w:tcPr>
          <w:p>
            <w:pPr>
              <w:pStyle w:val="10"/>
              <w:spacing w:before="200" w:line="189" w:lineRule="auto"/>
              <w:ind w:left="662"/>
              <w:jc w:val="both"/>
              <w:rPr>
                <w:rFonts w:hint="default" w:eastAsia="宋体"/>
                <w:color w:val="auto"/>
                <w:lang w:val="en-US" w:eastAsia="zh-CN"/>
              </w:rPr>
            </w:pPr>
            <w:r>
              <w:rPr>
                <w:rFonts w:hint="eastAsia"/>
                <w:color w:val="auto"/>
                <w:lang w:val="en-US" w:eastAsia="zh-CN"/>
              </w:rPr>
              <w:t>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184" w:type="dxa"/>
            <w:noWrap w:val="0"/>
            <w:vAlign w:val="top"/>
          </w:tcPr>
          <w:p>
            <w:pPr>
              <w:pStyle w:val="10"/>
              <w:spacing w:before="203" w:line="186" w:lineRule="auto"/>
              <w:ind w:left="771"/>
              <w:jc w:val="both"/>
              <w:rPr>
                <w:color w:val="auto"/>
              </w:rPr>
            </w:pPr>
            <w:r>
              <w:rPr>
                <w:color w:val="auto"/>
              </w:rPr>
              <w:t>E</w:t>
            </w:r>
          </w:p>
        </w:tc>
        <w:tc>
          <w:tcPr>
            <w:tcW w:w="1065" w:type="dxa"/>
            <w:noWrap w:val="0"/>
            <w:vAlign w:val="top"/>
          </w:tcPr>
          <w:p>
            <w:pPr>
              <w:pStyle w:val="10"/>
              <w:spacing w:before="199" w:line="189" w:lineRule="auto"/>
              <w:ind w:left="585" w:leftChars="0"/>
              <w:jc w:val="both"/>
              <w:rPr>
                <w:rFonts w:hint="default" w:eastAsia="宋体"/>
                <w:color w:val="auto"/>
                <w:lang w:val="en-US" w:eastAsia="zh-CN"/>
              </w:rPr>
            </w:pPr>
            <w:r>
              <w:rPr>
                <w:rFonts w:hint="eastAsia"/>
                <w:color w:val="auto"/>
                <w:spacing w:val="-5"/>
                <w:lang w:val="en-US" w:eastAsia="zh-CN"/>
              </w:rPr>
              <w:t>80</w:t>
            </w:r>
          </w:p>
        </w:tc>
        <w:tc>
          <w:tcPr>
            <w:tcW w:w="1530" w:type="dxa"/>
            <w:noWrap w:val="0"/>
            <w:vAlign w:val="top"/>
          </w:tcPr>
          <w:p>
            <w:pPr>
              <w:pStyle w:val="10"/>
              <w:spacing w:before="199" w:line="189" w:lineRule="auto"/>
              <w:ind w:left="601"/>
              <w:jc w:val="both"/>
              <w:rPr>
                <w:rFonts w:hint="default" w:eastAsia="宋体"/>
                <w:color w:val="auto"/>
                <w:lang w:val="en-US" w:eastAsia="zh-CN"/>
              </w:rPr>
            </w:pPr>
            <w:r>
              <w:rPr>
                <w:rFonts w:hint="eastAsia"/>
                <w:color w:val="auto"/>
                <w:lang w:val="en-US" w:eastAsia="zh-CN"/>
              </w:rPr>
              <w:t>16.3</w:t>
            </w:r>
          </w:p>
        </w:tc>
        <w:tc>
          <w:tcPr>
            <w:tcW w:w="1395" w:type="dxa"/>
            <w:noWrap w:val="0"/>
            <w:vAlign w:val="top"/>
          </w:tcPr>
          <w:p>
            <w:pPr>
              <w:pStyle w:val="10"/>
              <w:spacing w:before="199" w:line="189" w:lineRule="auto"/>
              <w:ind w:left="601"/>
              <w:jc w:val="both"/>
              <w:rPr>
                <w:rFonts w:hint="default"/>
                <w:color w:val="auto"/>
                <w:spacing w:val="6"/>
                <w:lang w:val="en-US" w:eastAsia="zh-CN"/>
              </w:rPr>
            </w:pPr>
            <w:r>
              <w:rPr>
                <w:rFonts w:hint="eastAsia"/>
                <w:color w:val="auto"/>
                <w:spacing w:val="6"/>
                <w:lang w:val="en-US" w:eastAsia="zh-CN"/>
              </w:rPr>
              <w:t>15.4</w:t>
            </w:r>
          </w:p>
        </w:tc>
        <w:tc>
          <w:tcPr>
            <w:tcW w:w="1635" w:type="dxa"/>
            <w:noWrap w:val="0"/>
            <w:vAlign w:val="top"/>
          </w:tcPr>
          <w:p>
            <w:pPr>
              <w:pStyle w:val="10"/>
              <w:spacing w:before="199" w:line="189" w:lineRule="auto"/>
              <w:ind w:left="530"/>
              <w:jc w:val="both"/>
              <w:rPr>
                <w:rFonts w:hint="default" w:eastAsia="宋体"/>
                <w:color w:val="auto"/>
                <w:lang w:val="en-US" w:eastAsia="zh-CN"/>
              </w:rPr>
            </w:pPr>
            <w:r>
              <w:rPr>
                <w:rFonts w:hint="eastAsia"/>
                <w:color w:val="auto"/>
                <w:lang w:val="en-US" w:eastAsia="zh-CN"/>
              </w:rPr>
              <w:t>12.5</w:t>
            </w:r>
          </w:p>
        </w:tc>
        <w:tc>
          <w:tcPr>
            <w:tcW w:w="1515" w:type="dxa"/>
            <w:noWrap w:val="0"/>
            <w:vAlign w:val="top"/>
          </w:tcPr>
          <w:p>
            <w:pPr>
              <w:pStyle w:val="10"/>
              <w:spacing w:before="199" w:line="189" w:lineRule="auto"/>
              <w:ind w:left="502"/>
              <w:jc w:val="both"/>
              <w:rPr>
                <w:rFonts w:hint="default" w:eastAsia="宋体"/>
                <w:color w:val="auto"/>
                <w:lang w:val="en-US" w:eastAsia="zh-CN"/>
              </w:rPr>
            </w:pPr>
            <w:r>
              <w:rPr>
                <w:rFonts w:hint="eastAsia"/>
                <w:color w:val="auto"/>
                <w:lang w:val="en-US" w:eastAsia="zh-CN"/>
              </w:rPr>
              <w:t>25.5</w:t>
            </w:r>
          </w:p>
        </w:tc>
        <w:tc>
          <w:tcPr>
            <w:tcW w:w="1785" w:type="dxa"/>
            <w:noWrap w:val="0"/>
            <w:vAlign w:val="top"/>
          </w:tcPr>
          <w:p>
            <w:pPr>
              <w:pStyle w:val="10"/>
              <w:spacing w:before="199" w:line="189" w:lineRule="auto"/>
              <w:ind w:left="667"/>
              <w:jc w:val="both"/>
              <w:rPr>
                <w:rFonts w:hint="default" w:eastAsia="宋体"/>
                <w:color w:val="auto"/>
                <w:lang w:val="en-US" w:eastAsia="zh-CN"/>
              </w:rPr>
            </w:pPr>
            <w:r>
              <w:rPr>
                <w:rFonts w:hint="eastAsia"/>
                <w:color w:val="auto"/>
                <w:lang w:val="en-US" w:eastAsia="zh-CN"/>
              </w:rPr>
              <w:t>10.3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84" w:type="dxa"/>
            <w:noWrap w:val="0"/>
            <w:vAlign w:val="top"/>
          </w:tcPr>
          <w:p>
            <w:pPr>
              <w:pStyle w:val="10"/>
              <w:spacing w:before="205" w:line="186" w:lineRule="auto"/>
              <w:ind w:left="777"/>
              <w:jc w:val="both"/>
              <w:rPr>
                <w:color w:val="auto"/>
              </w:rPr>
            </w:pPr>
            <w:r>
              <w:rPr>
                <w:color w:val="auto"/>
              </w:rPr>
              <w:t>F</w:t>
            </w:r>
          </w:p>
        </w:tc>
        <w:tc>
          <w:tcPr>
            <w:tcW w:w="1065" w:type="dxa"/>
            <w:noWrap w:val="0"/>
            <w:vAlign w:val="top"/>
          </w:tcPr>
          <w:p>
            <w:pPr>
              <w:pStyle w:val="10"/>
              <w:spacing w:before="201" w:line="189" w:lineRule="auto"/>
              <w:ind w:left="585" w:leftChars="0"/>
              <w:jc w:val="both"/>
              <w:rPr>
                <w:rFonts w:hint="default" w:eastAsia="宋体"/>
                <w:color w:val="auto"/>
                <w:lang w:val="en-US" w:eastAsia="zh-CN"/>
              </w:rPr>
            </w:pPr>
            <w:r>
              <w:rPr>
                <w:rFonts w:hint="eastAsia"/>
                <w:color w:val="auto"/>
                <w:spacing w:val="-5"/>
                <w:lang w:val="en-US" w:eastAsia="zh-CN"/>
              </w:rPr>
              <w:t>120</w:t>
            </w:r>
          </w:p>
        </w:tc>
        <w:tc>
          <w:tcPr>
            <w:tcW w:w="1530" w:type="dxa"/>
            <w:noWrap w:val="0"/>
            <w:vAlign w:val="top"/>
          </w:tcPr>
          <w:p>
            <w:pPr>
              <w:pStyle w:val="10"/>
              <w:spacing w:before="201" w:line="189" w:lineRule="auto"/>
              <w:ind w:left="607"/>
              <w:jc w:val="both"/>
              <w:rPr>
                <w:rFonts w:hint="default" w:eastAsia="宋体"/>
                <w:color w:val="auto"/>
                <w:lang w:val="en-US" w:eastAsia="zh-CN"/>
              </w:rPr>
            </w:pPr>
            <w:r>
              <w:rPr>
                <w:rFonts w:hint="eastAsia"/>
                <w:color w:val="auto"/>
                <w:lang w:val="en-US" w:eastAsia="zh-CN"/>
              </w:rPr>
              <w:t>22.9</w:t>
            </w:r>
          </w:p>
        </w:tc>
        <w:tc>
          <w:tcPr>
            <w:tcW w:w="1395" w:type="dxa"/>
            <w:noWrap w:val="0"/>
            <w:vAlign w:val="top"/>
          </w:tcPr>
          <w:p>
            <w:pPr>
              <w:pStyle w:val="10"/>
              <w:spacing w:before="201" w:line="189" w:lineRule="auto"/>
              <w:ind w:left="607"/>
              <w:jc w:val="both"/>
              <w:rPr>
                <w:rFonts w:hint="default"/>
                <w:color w:val="auto"/>
                <w:lang w:val="en-US" w:eastAsia="zh-CN"/>
              </w:rPr>
            </w:pPr>
            <w:r>
              <w:rPr>
                <w:rFonts w:hint="eastAsia"/>
                <w:color w:val="auto"/>
                <w:lang w:val="en-US" w:eastAsia="zh-CN"/>
              </w:rPr>
              <w:t>22</w:t>
            </w:r>
          </w:p>
        </w:tc>
        <w:tc>
          <w:tcPr>
            <w:tcW w:w="1635" w:type="dxa"/>
            <w:noWrap w:val="0"/>
            <w:vAlign w:val="top"/>
          </w:tcPr>
          <w:p>
            <w:pPr>
              <w:pStyle w:val="10"/>
              <w:spacing w:before="201" w:line="189" w:lineRule="auto"/>
              <w:ind w:left="535"/>
              <w:jc w:val="both"/>
              <w:rPr>
                <w:rFonts w:hint="default" w:eastAsia="宋体"/>
                <w:color w:val="auto"/>
                <w:lang w:val="en-US" w:eastAsia="zh-CN"/>
              </w:rPr>
            </w:pPr>
            <w:r>
              <w:rPr>
                <w:rFonts w:hint="eastAsia"/>
                <w:color w:val="auto"/>
                <w:lang w:val="en-US" w:eastAsia="zh-CN"/>
              </w:rPr>
              <w:t>15.5</w:t>
            </w:r>
          </w:p>
        </w:tc>
        <w:tc>
          <w:tcPr>
            <w:tcW w:w="1515" w:type="dxa"/>
            <w:noWrap w:val="0"/>
            <w:vAlign w:val="top"/>
          </w:tcPr>
          <w:p>
            <w:pPr>
              <w:pStyle w:val="10"/>
              <w:spacing w:before="201" w:line="189" w:lineRule="auto"/>
              <w:ind w:left="475"/>
              <w:jc w:val="both"/>
              <w:rPr>
                <w:rFonts w:hint="default" w:eastAsia="宋体"/>
                <w:color w:val="auto"/>
                <w:lang w:val="en-US" w:eastAsia="zh-CN"/>
              </w:rPr>
            </w:pPr>
            <w:r>
              <w:rPr>
                <w:rFonts w:hint="eastAsia"/>
                <w:color w:val="auto"/>
                <w:lang w:val="en-US" w:eastAsia="zh-CN"/>
              </w:rPr>
              <w:t>43.5</w:t>
            </w:r>
          </w:p>
        </w:tc>
        <w:tc>
          <w:tcPr>
            <w:tcW w:w="1785" w:type="dxa"/>
            <w:noWrap w:val="0"/>
            <w:vAlign w:val="top"/>
          </w:tcPr>
          <w:p>
            <w:pPr>
              <w:pStyle w:val="10"/>
              <w:spacing w:before="201" w:line="189" w:lineRule="auto"/>
              <w:ind w:left="660"/>
              <w:jc w:val="both"/>
              <w:rPr>
                <w:rFonts w:hint="default" w:eastAsia="宋体"/>
                <w:color w:val="auto"/>
                <w:lang w:val="en-US" w:eastAsia="zh-CN"/>
              </w:rPr>
            </w:pPr>
            <w:r>
              <w:rPr>
                <w:rFonts w:hint="eastAsia"/>
                <w:color w:val="auto"/>
                <w:lang w:val="en-US" w:eastAsia="zh-CN"/>
              </w:rPr>
              <w:t>16.1</w:t>
            </w:r>
          </w:p>
        </w:tc>
      </w:tr>
    </w:tbl>
    <w:p>
      <w:pPr>
        <w:spacing w:before="131"/>
        <w:ind w:left="132"/>
        <w:rPr>
          <w:rFonts w:ascii="仿宋" w:hAnsi="仿宋" w:eastAsia="仿宋" w:cs="仿宋"/>
          <w:color w:val="auto"/>
          <w:sz w:val="28"/>
          <w:szCs w:val="28"/>
        </w:rPr>
      </w:pPr>
      <w:r>
        <w:rPr>
          <w:rFonts w:ascii="仿宋" w:hAnsi="仿宋" w:eastAsia="仿宋" w:cs="仿宋"/>
          <w:color w:val="auto"/>
          <w:spacing w:val="2"/>
          <w:sz w:val="28"/>
          <w:szCs w:val="28"/>
        </w:rPr>
        <w:t>注：</w:t>
      </w:r>
      <w:r>
        <w:rPr>
          <w:rFonts w:ascii="仿宋" w:hAnsi="仿宋" w:eastAsia="仿宋" w:cs="仿宋"/>
          <w:color w:val="auto"/>
          <w:spacing w:val="-74"/>
          <w:sz w:val="28"/>
          <w:szCs w:val="28"/>
        </w:rPr>
        <w:t xml:space="preserve"> </w:t>
      </w:r>
      <w:r>
        <w:rPr>
          <w:rFonts w:ascii="仿宋" w:hAnsi="仿宋" w:eastAsia="仿宋" w:cs="仿宋"/>
          <w:color w:val="auto"/>
          <w:spacing w:val="2"/>
          <w:sz w:val="28"/>
          <w:szCs w:val="28"/>
        </w:rPr>
        <w:t>单位万元。</w:t>
      </w:r>
    </w:p>
    <w:p>
      <w:pPr>
        <w:spacing w:before="100" w:line="414" w:lineRule="exact"/>
        <w:rPr>
          <w:rFonts w:ascii="仿宋" w:hAnsi="仿宋" w:eastAsia="仿宋" w:cs="仿宋"/>
          <w:color w:val="auto"/>
          <w:sz w:val="31"/>
          <w:szCs w:val="31"/>
        </w:rPr>
      </w:pPr>
    </w:p>
    <w:p>
      <w:pPr>
        <w:spacing w:line="560" w:lineRule="exact"/>
        <w:jc w:val="both"/>
        <w:rPr>
          <w:rFonts w:hint="default" w:eastAsia="黑体"/>
          <w:color w:val="auto"/>
          <w:sz w:val="32"/>
          <w:szCs w:val="32"/>
          <w:lang w:val="en-US" w:eastAsia="zh-CN"/>
        </w:rPr>
      </w:pPr>
    </w:p>
    <w:p>
      <w:pPr>
        <w:rPr>
          <w:color w:val="auto"/>
        </w:rPr>
      </w:pPr>
    </w:p>
    <w:sectPr>
      <w:headerReference r:id="rId6" w:type="default"/>
      <w:footerReference r:id="rId7"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0"/>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rPr>
                              <w:sz w:val="28"/>
                            </w:rPr>
                            <w:fldChar w:fldCharType="begin"/>
                          </w:r>
                          <w:r>
                            <w:rPr>
                              <w:sz w:val="28"/>
                            </w:rPr>
                            <w:instrText xml:space="preserve"> PAGE  \* MERGEFORMAT </w:instrText>
                          </w:r>
                          <w:r>
                            <w:rPr>
                              <w:sz w:val="28"/>
                            </w:rPr>
                            <w:fldChar w:fldCharType="separate"/>
                          </w:r>
                          <w:r>
                            <w:rPr>
                              <w:sz w:val="28"/>
                            </w:rPr>
                            <w:t>14</w:t>
                          </w:r>
                          <w:r>
                            <w:rPr>
                              <w:sz w:val="28"/>
                            </w:rPr>
                            <w:fldChar w:fldCharType="end"/>
                          </w:r>
                          <w:r>
                            <w:rPr>
                              <w:sz w:val="28"/>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4"/>
                    </w:pPr>
                    <w:r>
                      <w:t xml:space="preserve">— </w:t>
                    </w:r>
                    <w:r>
                      <w:rPr>
                        <w:sz w:val="28"/>
                      </w:rPr>
                      <w:fldChar w:fldCharType="begin"/>
                    </w:r>
                    <w:r>
                      <w:rPr>
                        <w:sz w:val="28"/>
                      </w:rPr>
                      <w:instrText xml:space="preserve"> PAGE  \* MERGEFORMAT </w:instrText>
                    </w:r>
                    <w:r>
                      <w:rPr>
                        <w:sz w:val="28"/>
                      </w:rPr>
                      <w:fldChar w:fldCharType="separate"/>
                    </w:r>
                    <w:r>
                      <w:rPr>
                        <w:sz w:val="28"/>
                      </w:rPr>
                      <w:t>14</w:t>
                    </w:r>
                    <w:r>
                      <w:rPr>
                        <w:sz w:val="28"/>
                      </w:rPr>
                      <w:fldChar w:fldCharType="end"/>
                    </w:r>
                    <w:r>
                      <w:rPr>
                        <w:sz w:val="28"/>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5</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pPr>
                    <w:r>
                      <w:t xml:space="preserve">— </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5</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ODRjZjc3YTlkYmEyY2UzM2YxNTc4ZTM4ZGU0NTUifQ=="/>
  </w:docVars>
  <w:rsids>
    <w:rsidRoot w:val="00000000"/>
    <w:rsid w:val="07CA6E27"/>
    <w:rsid w:val="09BB0D18"/>
    <w:rsid w:val="0CDF4D1D"/>
    <w:rsid w:val="12DF0986"/>
    <w:rsid w:val="1A643E28"/>
    <w:rsid w:val="1DAF6046"/>
    <w:rsid w:val="25963238"/>
    <w:rsid w:val="27361586"/>
    <w:rsid w:val="282835C4"/>
    <w:rsid w:val="294206B6"/>
    <w:rsid w:val="2CEB4BC0"/>
    <w:rsid w:val="378D51F2"/>
    <w:rsid w:val="39B743BE"/>
    <w:rsid w:val="3CFD572E"/>
    <w:rsid w:val="495F2766"/>
    <w:rsid w:val="4BD96800"/>
    <w:rsid w:val="530C1C53"/>
    <w:rsid w:val="53912DCD"/>
    <w:rsid w:val="586438F5"/>
    <w:rsid w:val="58E14F46"/>
    <w:rsid w:val="5AD75815"/>
    <w:rsid w:val="60F72C64"/>
    <w:rsid w:val="64BD6867"/>
    <w:rsid w:val="67FB3202"/>
    <w:rsid w:val="68192066"/>
    <w:rsid w:val="685A28F4"/>
    <w:rsid w:val="6DFC3FDF"/>
    <w:rsid w:val="701B151D"/>
    <w:rsid w:val="71FA28C5"/>
    <w:rsid w:val="74816C87"/>
    <w:rsid w:val="7A4B6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snapToGrid w:val="0"/>
      <w:spacing w:line="300" w:lineRule="auto"/>
      <w:ind w:firstLine="556"/>
    </w:pPr>
    <w:rPr>
      <w:rFonts w:ascii="仿宋_GB2312" w:eastAsia="仿宋_GB2312" w:cs="仿宋_GB2312"/>
      <w:kern w:val="0"/>
    </w:rPr>
  </w:style>
  <w:style w:type="paragraph" w:styleId="3">
    <w:name w:val="Body Text"/>
    <w:basedOn w:val="1"/>
    <w:qFormat/>
    <w:uiPriority w:val="0"/>
    <w:rPr>
      <w:rFonts w:ascii="宋体" w:hAnsi="宋体" w:cs="宋体"/>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9">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6648</Words>
  <Characters>7086</Characters>
  <Lines>0</Lines>
  <Paragraphs>0</Paragraphs>
  <TotalTime>26</TotalTime>
  <ScaleCrop>false</ScaleCrop>
  <LinksUpToDate>false</LinksUpToDate>
  <CharactersWithSpaces>7163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2024-07-18T07:06:00Z</dcterms:created>
  <dc:creator>Administrator</dc:creator>
  <cp:lastModifiedBy>王明智</cp:lastModifiedBy>
  <dcterms:modified xsi:type="dcterms:W3CDTF">2024-07-23T00:42:40Z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806493607D72427E916A1FF14B0B91D7_13</vt:lpwstr>
  </property>
</Properties>
</file>