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792" w:firstLineChars="200"/>
        <w:jc w:val="center"/>
        <w:rPr>
          <w:rFonts w:ascii="方正小标宋简体" w:hAnsi="方正小标宋_GBK" w:eastAsia="方正小标宋简体" w:cs="方正小标宋_GBK"/>
          <w:color w:val="000000" w:themeColor="text1"/>
          <w:spacing w:val="-20"/>
          <w:sz w:val="44"/>
          <w:szCs w:val="44"/>
          <w14:textFill>
            <w14:solidFill>
              <w14:schemeClr w14:val="tx1"/>
            </w14:solidFill>
          </w14:textFill>
        </w:rPr>
      </w:pPr>
      <w:bookmarkStart w:id="0" w:name="_Toc15014_WPSOffice_Level1"/>
      <w:r>
        <w:rPr>
          <w:rFonts w:hint="eastAsia" w:ascii="方正小标宋简体" w:hAnsi="方正小标宋_GBK" w:eastAsia="方正小标宋简体" w:cs="方正小标宋_GBK"/>
          <w:color w:val="000000" w:themeColor="text1"/>
          <w:spacing w:val="-20"/>
          <w:sz w:val="44"/>
          <w:szCs w:val="44"/>
          <w14:textFill>
            <w14:solidFill>
              <w14:schemeClr w14:val="tx1"/>
            </w14:solidFill>
          </w14:textFill>
        </w:rPr>
        <w:t>中国共产党昆明市东川区委员会办公室2020年度</w:t>
      </w:r>
      <w:bookmarkEnd w:id="0"/>
      <w:bookmarkStart w:id="1" w:name="_Toc17148_WPSOffice_Level1"/>
      <w:r>
        <w:rPr>
          <w:rFonts w:hint="eastAsia" w:ascii="方正小标宋简体" w:hAnsi="方正小标宋_GBK" w:eastAsia="方正小标宋简体" w:cs="方正小标宋_GBK"/>
          <w:color w:val="000000" w:themeColor="text1"/>
          <w:spacing w:val="-20"/>
          <w:sz w:val="44"/>
          <w:szCs w:val="44"/>
          <w14:textFill>
            <w14:solidFill>
              <w14:schemeClr w14:val="tx1"/>
            </w14:solidFill>
          </w14:textFill>
        </w:rPr>
        <w:t>项目支出绩效评价报告</w:t>
      </w:r>
      <w:bookmarkEnd w:id="1"/>
    </w:p>
    <w:p>
      <w:pPr>
        <w:spacing w:line="800" w:lineRule="exact"/>
        <w:ind w:firstLine="792" w:firstLineChars="200"/>
        <w:jc w:val="center"/>
        <w:rPr>
          <w:rFonts w:ascii="方正小标宋简体" w:hAnsi="方正小标宋_GBK" w:eastAsia="方正小标宋简体" w:cs="方正小标宋_GBK"/>
          <w:color w:val="000000" w:themeColor="text1"/>
          <w:spacing w:val="-20"/>
          <w:sz w:val="44"/>
          <w:szCs w:val="44"/>
          <w14:textFill>
            <w14:solidFill>
              <w14:schemeClr w14:val="tx1"/>
            </w14:solidFill>
          </w14:textFill>
        </w:rPr>
      </w:pPr>
    </w:p>
    <w:p>
      <w:pPr>
        <w:spacing w:line="580" w:lineRule="exact"/>
        <w:ind w:firstLine="632" w:firstLineChars="200"/>
        <w:jc w:val="left"/>
        <w:rPr>
          <w:rFonts w:ascii="黑体" w:eastAsia="黑体"/>
          <w:color w:val="000000" w:themeColor="text1"/>
          <w:szCs w:val="32"/>
          <w14:textFill>
            <w14:solidFill>
              <w14:schemeClr w14:val="tx1"/>
            </w14:solidFill>
          </w14:textFill>
        </w:rPr>
      </w:pPr>
      <w:r>
        <w:rPr>
          <w:rFonts w:hint="eastAsia" w:ascii="仿宋_GB2312" w:hAnsi="仿宋_GB2312" w:cs="仿宋_GB2312"/>
          <w:szCs w:val="32"/>
        </w:rPr>
        <w:t>根据《中华人民共和国预算法》，按照《昆明市人民政府关于全面推进预算绩效管理改革的实施意见》（昆政发﹝2016﹞21号）和</w:t>
      </w:r>
      <w:r>
        <w:rPr>
          <w:rFonts w:hint="eastAsia" w:ascii="仿宋_GB2312" w:hAnsi="仿宋_GB2312" w:cs="仿宋_GB2312"/>
        </w:rPr>
        <w:t>《昆明市东川区财政局关于开展东川区2020年度绩效自评工作的通知》（东财绩〔2021〕4号）</w:t>
      </w:r>
      <w:r>
        <w:rPr>
          <w:rFonts w:hint="eastAsia" w:ascii="仿宋_GB2312" w:hAnsi="仿宋_GB2312" w:cs="仿宋_GB2312"/>
          <w:szCs w:val="32"/>
        </w:rPr>
        <w:t>要求，</w:t>
      </w:r>
      <w:r>
        <w:rPr>
          <w:rFonts w:hint="eastAsia" w:ascii="仿宋_GB2312" w:hAnsi="仿宋_GB2312" w:cs="仿宋_GB2312"/>
          <w:color w:val="000000" w:themeColor="text1"/>
          <w:szCs w:val="32"/>
          <w14:textFill>
            <w14:solidFill>
              <w14:schemeClr w14:val="tx1"/>
            </w14:solidFill>
          </w14:textFill>
        </w:rPr>
        <w:t>中国共产党昆明市东川区委办公室对2020年度项目支出绩效进行评价，现将有关情况报告如下:</w:t>
      </w:r>
    </w:p>
    <w:p>
      <w:pPr>
        <w:numPr>
          <w:ilvl w:val="0"/>
          <w:numId w:val="1"/>
        </w:numPr>
        <w:topLinePunct/>
        <w:spacing w:line="580" w:lineRule="exact"/>
        <w:ind w:firstLine="790" w:firstLineChars="250"/>
        <w:outlineLvl w:val="0"/>
        <w:rPr>
          <w:rFonts w:ascii="黑体" w:eastAsia="黑体"/>
          <w:color w:val="000000" w:themeColor="text1"/>
          <w:szCs w:val="32"/>
          <w14:textFill>
            <w14:solidFill>
              <w14:schemeClr w14:val="tx1"/>
            </w14:solidFill>
          </w14:textFill>
        </w:rPr>
      </w:pPr>
      <w:bookmarkStart w:id="2" w:name="_Toc25951_WPSOffice_Level1"/>
      <w:bookmarkStart w:id="3" w:name="_Toc9955"/>
      <w:bookmarkStart w:id="4" w:name="_Toc26736"/>
      <w:bookmarkStart w:id="5" w:name="_Toc3798"/>
      <w:r>
        <w:rPr>
          <w:rFonts w:hint="eastAsia" w:ascii="黑体" w:eastAsia="黑体"/>
          <w:color w:val="000000" w:themeColor="text1"/>
          <w:szCs w:val="32"/>
          <w14:textFill>
            <w14:solidFill>
              <w14:schemeClr w14:val="tx1"/>
            </w14:solidFill>
          </w14:textFill>
        </w:rPr>
        <w:t>项目基本情况</w:t>
      </w:r>
      <w:bookmarkEnd w:id="2"/>
      <w:bookmarkEnd w:id="3"/>
      <w:bookmarkEnd w:id="4"/>
      <w:bookmarkEnd w:id="5"/>
    </w:p>
    <w:p>
      <w:pPr>
        <w:topLinePunct/>
        <w:spacing w:line="580" w:lineRule="exact"/>
        <w:ind w:firstLine="632" w:firstLineChars="200"/>
        <w:outlineLvl w:val="1"/>
        <w:rPr>
          <w:rFonts w:ascii="楷体_GB2312" w:hAnsi="楷体" w:eastAsia="楷体_GB2312" w:cs="楷体"/>
          <w:color w:val="000000" w:themeColor="text1"/>
          <w:szCs w:val="32"/>
          <w14:textFill>
            <w14:solidFill>
              <w14:schemeClr w14:val="tx1"/>
            </w14:solidFill>
          </w14:textFill>
        </w:rPr>
      </w:pPr>
      <w:bookmarkStart w:id="6" w:name="_Toc22093"/>
      <w:bookmarkStart w:id="7" w:name="_Toc16540"/>
      <w:bookmarkStart w:id="8" w:name="_Toc11285"/>
      <w:bookmarkStart w:id="9" w:name="_Toc17148_WPSOffice_Level2"/>
      <w:r>
        <w:rPr>
          <w:rFonts w:hint="eastAsia" w:ascii="楷体_GB2312" w:hAnsi="楷体" w:eastAsia="楷体_GB2312" w:cs="楷体"/>
          <w:color w:val="000000" w:themeColor="text1"/>
          <w:szCs w:val="32"/>
          <w14:textFill>
            <w14:solidFill>
              <w14:schemeClr w14:val="tx1"/>
            </w14:solidFill>
          </w14:textFill>
        </w:rPr>
        <w:t>（一）项目概况</w:t>
      </w:r>
      <w:bookmarkEnd w:id="6"/>
      <w:bookmarkEnd w:id="7"/>
      <w:bookmarkEnd w:id="8"/>
      <w:bookmarkEnd w:id="9"/>
    </w:p>
    <w:p>
      <w:pPr>
        <w:topLinePunct/>
        <w:spacing w:line="580" w:lineRule="exact"/>
        <w:ind w:firstLine="790" w:firstLineChars="250"/>
        <w:outlineLvl w:val="2"/>
        <w:rPr>
          <w:rFonts w:ascii="仿宋_GB2312" w:hAnsi="楷体"/>
          <w:b/>
          <w:color w:val="000000" w:themeColor="text1"/>
          <w:szCs w:val="32"/>
          <w14:textFill>
            <w14:solidFill>
              <w14:schemeClr w14:val="tx1"/>
            </w14:solidFill>
          </w14:textFill>
        </w:rPr>
      </w:pPr>
      <w:bookmarkStart w:id="10" w:name="_Toc17148_WPSOffice_Level3"/>
      <w:bookmarkStart w:id="11" w:name="_Toc27105"/>
      <w:bookmarkStart w:id="12" w:name="_Toc21814"/>
      <w:bookmarkStart w:id="13" w:name="_Toc30805"/>
      <w:r>
        <w:rPr>
          <w:rFonts w:hint="eastAsia" w:ascii="仿宋_GB2312" w:hAnsi="楷体"/>
          <w:b/>
          <w:color w:val="000000" w:themeColor="text1"/>
          <w:szCs w:val="32"/>
          <w14:textFill>
            <w14:solidFill>
              <w14:schemeClr w14:val="tx1"/>
            </w14:solidFill>
          </w14:textFill>
        </w:rPr>
        <w:t>1.立项背景及目的</w:t>
      </w:r>
      <w:bookmarkEnd w:id="10"/>
      <w:bookmarkEnd w:id="11"/>
      <w:bookmarkEnd w:id="12"/>
      <w:bookmarkEnd w:id="13"/>
    </w:p>
    <w:tbl>
      <w:tblPr>
        <w:tblStyle w:val="17"/>
        <w:tblpPr w:leftFromText="180" w:rightFromText="180" w:vertAnchor="text" w:horzAnchor="page" w:tblpX="1263" w:tblpY="288"/>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255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tl2br w:val="nil"/>
              <w:tr2bl w:val="nil"/>
            </w:tcBorders>
            <w:vAlign w:val="center"/>
          </w:tcPr>
          <w:p>
            <w:pPr>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项目名称</w:t>
            </w:r>
          </w:p>
        </w:tc>
        <w:tc>
          <w:tcPr>
            <w:tcW w:w="1134" w:type="dxa"/>
            <w:tcBorders>
              <w:tl2br w:val="nil"/>
              <w:tr2bl w:val="nil"/>
            </w:tcBorders>
            <w:vAlign w:val="center"/>
          </w:tcPr>
          <w:p>
            <w:pPr>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金额（万元）</w:t>
            </w:r>
          </w:p>
        </w:tc>
        <w:tc>
          <w:tcPr>
            <w:tcW w:w="2551" w:type="dxa"/>
            <w:tcBorders>
              <w:tl2br w:val="nil"/>
              <w:tr2bl w:val="nil"/>
            </w:tcBorders>
            <w:vAlign w:val="center"/>
          </w:tcPr>
          <w:p>
            <w:pPr>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立项背景</w:t>
            </w:r>
          </w:p>
        </w:tc>
        <w:tc>
          <w:tcPr>
            <w:tcW w:w="5529" w:type="dxa"/>
            <w:tcBorders>
              <w:tl2br w:val="nil"/>
              <w:tr2bl w:val="nil"/>
            </w:tcBorders>
            <w:vAlign w:val="center"/>
          </w:tcPr>
          <w:p>
            <w:pPr>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立项目的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l2br w:val="nil"/>
              <w:tr2bl w:val="nil"/>
            </w:tcBorders>
            <w:vAlign w:val="center"/>
          </w:tcPr>
          <w:p>
            <w:pPr>
              <w:jc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2020年春节系列活动经费</w:t>
            </w:r>
          </w:p>
        </w:tc>
        <w:tc>
          <w:tcPr>
            <w:tcW w:w="1134" w:type="dxa"/>
            <w:tcBorders>
              <w:tl2br w:val="nil"/>
              <w:tr2bl w:val="nil"/>
            </w:tcBorders>
            <w:vAlign w:val="center"/>
          </w:tcPr>
          <w:p>
            <w:pPr>
              <w:jc w:val="center"/>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宋体" w:hAnsi="宋体"/>
                <w:sz w:val="24"/>
                <w:szCs w:val="24"/>
              </w:rPr>
              <w:t>453.19</w:t>
            </w:r>
          </w:p>
        </w:tc>
        <w:tc>
          <w:tcPr>
            <w:tcW w:w="2551" w:type="dxa"/>
            <w:tcBorders>
              <w:tl2br w:val="nil"/>
              <w:tr2bl w:val="nil"/>
            </w:tcBorders>
            <w:vAlign w:val="center"/>
          </w:tcPr>
          <w:p>
            <w:pPr>
              <w:rPr>
                <w:rFonts w:ascii="仿宋_GB2312" w:hAnsi="仿宋_GB2312" w:cs="仿宋_GB2312"/>
                <w:color w:val="FF0000"/>
                <w:kern w:val="0"/>
                <w:sz w:val="24"/>
                <w:szCs w:val="24"/>
              </w:rPr>
            </w:pPr>
            <w:r>
              <w:rPr>
                <w:rFonts w:hint="eastAsia" w:ascii="仿宋_GB2312"/>
                <w:sz w:val="24"/>
                <w:szCs w:val="24"/>
              </w:rPr>
              <w:t>根据五届政府第54次常委会议研究并同意《东川区2020年“迎新春</w:t>
            </w:r>
            <w:r>
              <w:rPr>
                <w:rFonts w:hint="eastAsia" w:ascii="宋体" w:hAnsi="宋体" w:eastAsia="宋体" w:cs="宋体"/>
                <w:sz w:val="24"/>
                <w:szCs w:val="24"/>
              </w:rPr>
              <w:t>•</w:t>
            </w:r>
            <w:r>
              <w:rPr>
                <w:rFonts w:hint="eastAsia" w:ascii="仿宋_GB2312"/>
                <w:sz w:val="24"/>
                <w:szCs w:val="24"/>
              </w:rPr>
              <w:t>送温暖”系列活动方案》。</w:t>
            </w:r>
            <w:r>
              <w:rPr>
                <w:rFonts w:hint="eastAsia" w:ascii="仿宋_GB2312" w:hAnsi="仿宋_GB2312" w:cs="仿宋_GB2312"/>
                <w:color w:val="000000" w:themeColor="text1"/>
                <w:kern w:val="0"/>
                <w:sz w:val="24"/>
                <w:szCs w:val="24"/>
                <w14:textFill>
                  <w14:solidFill>
                    <w14:schemeClr w14:val="tx1"/>
                  </w14:solidFill>
                </w14:textFill>
              </w:rPr>
              <w:t>为确保活动顺利开展，区财政核拨</w:t>
            </w:r>
            <w:r>
              <w:rPr>
                <w:rFonts w:hint="eastAsia" w:ascii="宋体" w:hAnsi="宋体"/>
                <w:color w:val="000000" w:themeColor="text1"/>
                <w:sz w:val="24"/>
                <w:szCs w:val="24"/>
                <w14:textFill>
                  <w14:solidFill>
                    <w14:schemeClr w14:val="tx1"/>
                  </w14:solidFill>
                </w14:textFill>
              </w:rPr>
              <w:t>219.72</w:t>
            </w:r>
            <w:r>
              <w:rPr>
                <w:rFonts w:hint="eastAsia" w:ascii="仿宋_GB2312" w:hAnsi="仿宋_GB2312" w:cs="仿宋_GB2312"/>
                <w:color w:val="000000" w:themeColor="text1"/>
                <w:kern w:val="0"/>
                <w:sz w:val="24"/>
                <w:szCs w:val="24"/>
                <w14:textFill>
                  <w14:solidFill>
                    <w14:schemeClr w14:val="tx1"/>
                  </w14:solidFill>
                </w14:textFill>
              </w:rPr>
              <w:t>万元至区委办，由区委办统筹拨付给承办单位、责任单位，各责任单位自筹资金233.47万元，确保2020年春节系列活动顺利开展</w:t>
            </w:r>
            <w:r>
              <w:rPr>
                <w:rFonts w:hint="eastAsia" w:ascii="仿宋_GB2312" w:hAnsi="仿宋_GB2312" w:cs="仿宋_GB2312"/>
                <w:sz w:val="24"/>
                <w:szCs w:val="24"/>
              </w:rPr>
              <w:t>。</w:t>
            </w:r>
          </w:p>
        </w:tc>
        <w:tc>
          <w:tcPr>
            <w:tcW w:w="5529" w:type="dxa"/>
            <w:tcBorders>
              <w:tl2br w:val="nil"/>
              <w:tr2bl w:val="nil"/>
            </w:tcBorders>
            <w:vAlign w:val="center"/>
          </w:tcPr>
          <w:p>
            <w:pP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慰问乡镇一线人员、驻区部队及重点优抚对象、老党员和困难党员、市级以上劳动模范、定居国外的知名华侨华人、港澳台同胞及其他各类困难群体，感受党和政府的关怀和新春祝福，凝聚力量、拼博进取，加快建设幸福美丽新铜都，激励全区广大干部职工以更加高昂的精神状态为幸福美丽新铜都建设和全面建成小康社会而努力奋斗；2.引导全区广大干部群众把思想和行动统一到区委、区政府各项决策部署上来；3.是进一步弘扬东川特色文化和优秀民族民间文化，全方位宣传和展示东川经济社会发展新成就，展现城市新形象。4.是营造"欢乐、喜庆、温馨、和谐"的节日文化氛围，活跃广大群众节日文化生活；5.是提升城市品位、营造节日气氛、展示东川形象。</w:t>
            </w:r>
          </w:p>
        </w:tc>
      </w:tr>
    </w:tbl>
    <w:p>
      <w:pPr>
        <w:numPr>
          <w:ilvl w:val="0"/>
          <w:numId w:val="2"/>
        </w:numPr>
        <w:topLinePunct/>
        <w:spacing w:line="580" w:lineRule="exact"/>
        <w:ind w:firstLine="790" w:firstLineChars="250"/>
        <w:outlineLvl w:val="2"/>
        <w:rPr>
          <w:rFonts w:ascii="仿宋_GB2312" w:hAnsi="楷体"/>
          <w:b/>
          <w:color w:val="000000" w:themeColor="text1"/>
          <w:szCs w:val="32"/>
          <w14:textFill>
            <w14:solidFill>
              <w14:schemeClr w14:val="tx1"/>
            </w14:solidFill>
          </w14:textFill>
        </w:rPr>
      </w:pPr>
      <w:bookmarkStart w:id="14" w:name="_Toc2412"/>
      <w:bookmarkStart w:id="15" w:name="_Toc25951_WPSOffice_Level3"/>
      <w:bookmarkStart w:id="16" w:name="_Toc17139"/>
      <w:r>
        <w:rPr>
          <w:rFonts w:hint="eastAsia" w:ascii="仿宋_GB2312" w:hAnsi="楷体"/>
          <w:b/>
          <w:color w:val="000000" w:themeColor="text1"/>
          <w:szCs w:val="32"/>
          <w14:textFill>
            <w14:solidFill>
              <w14:schemeClr w14:val="tx1"/>
            </w14:solidFill>
          </w14:textFill>
        </w:rPr>
        <w:t>项目实施情况</w:t>
      </w:r>
      <w:bookmarkEnd w:id="14"/>
      <w:bookmarkEnd w:id="15"/>
      <w:bookmarkEnd w:id="16"/>
    </w:p>
    <w:p>
      <w:pPr>
        <w:topLinePunct/>
        <w:spacing w:line="580" w:lineRule="exact"/>
        <w:ind w:firstLine="632" w:firstLineChars="200"/>
        <w:rPr>
          <w:rFonts w:ascii="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中国共产党昆明市东川区委员会办公室</w:t>
      </w:r>
      <w:r>
        <w:rPr>
          <w:rFonts w:hint="eastAsia" w:ascii="仿宋_GB2312" w:hAnsi="楷体"/>
          <w:color w:val="000000" w:themeColor="text1"/>
          <w:szCs w:val="32"/>
          <w14:textFill>
            <w14:solidFill>
              <w14:schemeClr w14:val="tx1"/>
            </w14:solidFill>
          </w14:textFill>
        </w:rPr>
        <w:t>项目经费由县（区）级财政划拨和部分单位自筹组成</w:t>
      </w:r>
      <w:r>
        <w:rPr>
          <w:rFonts w:hint="eastAsia" w:ascii="仿宋_GB2312" w:hAnsi="仿宋_GB2312" w:cs="仿宋_GB2312"/>
          <w:color w:val="000000" w:themeColor="text1"/>
          <w:szCs w:val="32"/>
          <w14:textFill>
            <w14:solidFill>
              <w14:schemeClr w14:val="tx1"/>
            </w14:solidFill>
          </w14:textFill>
        </w:rPr>
        <w:t>，</w:t>
      </w:r>
      <w:r>
        <w:rPr>
          <w:rFonts w:hint="eastAsia" w:ascii="仿宋_GB2312"/>
          <w:color w:val="000000" w:themeColor="text1"/>
          <w:szCs w:val="32"/>
          <w14:textFill>
            <w14:solidFill>
              <w14:schemeClr w14:val="tx1"/>
            </w14:solidFill>
          </w14:textFill>
        </w:rPr>
        <w:t>为确保系列活动有序开展，</w:t>
      </w:r>
      <w:r>
        <w:rPr>
          <w:rFonts w:hint="eastAsia" w:ascii="仿宋_GB2312" w:hAnsi="仿宋_GB2312" w:cs="仿宋_GB2312"/>
          <w:color w:val="000000" w:themeColor="text1"/>
          <w:szCs w:val="32"/>
          <w14:textFill>
            <w14:solidFill>
              <w14:schemeClr w14:val="tx1"/>
            </w14:solidFill>
          </w14:textFill>
        </w:rPr>
        <w:t>东川区2020年“迎新春·送温暖”新春系列活动</w:t>
      </w:r>
      <w:r>
        <w:rPr>
          <w:rFonts w:hint="eastAsia" w:ascii="仿宋_GB2312" w:hAnsi="楷体"/>
          <w:color w:val="000000" w:themeColor="text1"/>
          <w:szCs w:val="32"/>
          <w14:textFill>
            <w14:solidFill>
              <w14:schemeClr w14:val="tx1"/>
            </w14:solidFill>
          </w14:textFill>
        </w:rPr>
        <w:t>项目类经费</w:t>
      </w:r>
      <w:r>
        <w:rPr>
          <w:rFonts w:hint="eastAsia" w:ascii="仿宋_GB2312"/>
          <w:color w:val="000000" w:themeColor="text1"/>
          <w:szCs w:val="32"/>
          <w14:textFill>
            <w14:solidFill>
              <w14:schemeClr w14:val="tx1"/>
            </w14:solidFill>
          </w14:textFill>
        </w:rPr>
        <w:t>由区委办统筹拨付给承办单位、责任单位，具体实施情况详见下表：</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3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noWrap/>
            <w:vAlign w:val="center"/>
          </w:tcPr>
          <w:p>
            <w:pPr>
              <w:topLinePunct/>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实施单位</w:t>
            </w:r>
          </w:p>
        </w:tc>
        <w:tc>
          <w:tcPr>
            <w:tcW w:w="2835" w:type="dxa"/>
            <w:vAlign w:val="center"/>
          </w:tcPr>
          <w:p>
            <w:pPr>
              <w:topLinePunct/>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项目名称</w:t>
            </w:r>
          </w:p>
        </w:tc>
        <w:tc>
          <w:tcPr>
            <w:tcW w:w="4819" w:type="dxa"/>
            <w:vAlign w:val="center"/>
          </w:tcPr>
          <w:p>
            <w:pPr>
              <w:topLinePunct/>
              <w:jc w:val="center"/>
              <w:rPr>
                <w:rFonts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26" w:type="dxa"/>
            <w:vMerge w:val="restart"/>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区退役军人局</w:t>
            </w:r>
          </w:p>
        </w:tc>
        <w:tc>
          <w:tcPr>
            <w:tcW w:w="2835" w:type="dxa"/>
            <w:vMerge w:val="restart"/>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w:t>
            </w:r>
            <w:r>
              <w:rPr>
                <w:rFonts w:ascii="仿宋_GB2312" w:hAnsi="仿宋_GB2312" w:cs="仿宋_GB2312"/>
                <w:color w:val="000000" w:themeColor="text1"/>
                <w:sz w:val="24"/>
                <w:szCs w:val="24"/>
                <w14:textFill>
                  <w14:solidFill>
                    <w14:schemeClr w14:val="tx1"/>
                  </w14:solidFill>
                </w14:textFill>
              </w:rPr>
              <w:t>2020</w:t>
            </w:r>
            <w:r>
              <w:rPr>
                <w:rFonts w:hint="eastAsia" w:ascii="仿宋_GB2312" w:hAnsi="仿宋_GB2312" w:cs="仿宋_GB2312"/>
                <w:color w:val="000000" w:themeColor="text1"/>
                <w:sz w:val="24"/>
                <w:szCs w:val="24"/>
                <w14:textFill>
                  <w14:solidFill>
                    <w14:schemeClr w14:val="tx1"/>
                  </w14:solidFill>
                </w14:textFill>
              </w:rPr>
              <w:t>年“迎新春</w:t>
            </w:r>
            <w:r>
              <w:rPr>
                <w:rFonts w:hint="eastAsia" w:ascii="宋体" w:hAnsi="宋体" w:eastAsia="宋体" w:cs="宋体"/>
                <w:color w:val="000000" w:themeColor="text1"/>
                <w:sz w:val="24"/>
                <w:szCs w:val="24"/>
                <w14:textFill>
                  <w14:solidFill>
                    <w14:schemeClr w14:val="tx1"/>
                  </w14:solidFill>
                </w14:textFill>
              </w:rPr>
              <w:t>•</w:t>
            </w:r>
            <w:r>
              <w:rPr>
                <w:rFonts w:hint="eastAsia" w:ascii="仿宋_GB2312" w:hAnsi="仿宋_GB2312" w:cs="仿宋_GB2312"/>
                <w:color w:val="000000" w:themeColor="text1"/>
                <w:sz w:val="24"/>
                <w:szCs w:val="24"/>
                <w14:textFill>
                  <w14:solidFill>
                    <w14:schemeClr w14:val="tx1"/>
                  </w14:solidFill>
                </w14:textFill>
              </w:rPr>
              <w:t>送温暖”慰问活动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慰问驻军部队、东川区应急救援大队、铜都维稳分队资金共计150000元，其中区人武部50000元、武警中队30000元、区应急救援大队50000元、铜都维稳分队20000元，资金由部门</w:t>
            </w:r>
            <w:r>
              <w:rPr>
                <w:rFonts w:hint="eastAsia" w:ascii="仿宋_GB2312" w:hAnsi="仿宋_GB2312" w:cs="仿宋_GB2312"/>
                <w:sz w:val="24"/>
                <w:szCs w:val="24"/>
              </w:rPr>
              <w:t>自筹资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慰问重点优抚对象1874人，1874人×300元/人=562200元，由区财政拨款。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26"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慰问现役军人家属480人，480人×200元/人=96000元，由区财政拨款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区“四办”、相关部门</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2020年“迎新春·送温暖”慰问</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慰问8个乡镇脱贫一线干部80000元。春节期间慰问13个单位在岗职工65000元，由区财政拨款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区民政局</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2020年“迎新春·送温暖”慰问</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1.慰问特困供养人员1035人，1035人×200元/人=207000元。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2.慰问孤儿135人，135人×200元/人=27000元。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3.慰问百岁老人14人，14人×1000元/人=14000元。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4.慰问六十年代精减退职职工21人，21人×200元/＝4200元。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5.慰问社会福利院1所，农村敬老院4所，民办养老机构1所，社会福利院10000元、农村敬老院各10000元、民办养老机构10000元，资金共计312200，</w:t>
            </w:r>
            <w:r>
              <w:rPr>
                <w:rFonts w:hint="eastAsia" w:ascii="仿宋_GB2312" w:hAnsi="仿宋_GB2312" w:cs="仿宋_GB2312"/>
                <w:sz w:val="24"/>
                <w:szCs w:val="24"/>
              </w:rPr>
              <w:t>其中64200由区财政拨款，其余248000元由部门自筹。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区委统战部（区民宗局、工商联、侨联、各民主党派机关）</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w:t>
            </w:r>
            <w:r>
              <w:rPr>
                <w:rFonts w:hint="eastAsia" w:ascii="宋体" w:hAnsi="宋体" w:eastAsia="宋体" w:cs="宋体"/>
                <w:color w:val="000000" w:themeColor="text1"/>
                <w:sz w:val="24"/>
                <w:szCs w:val="24"/>
                <w14:textFill>
                  <w14:solidFill>
                    <w14:schemeClr w14:val="tx1"/>
                  </w14:solidFill>
                </w14:textFill>
              </w:rPr>
              <w:t>•</w:t>
            </w:r>
            <w:r>
              <w:rPr>
                <w:rFonts w:hint="eastAsia" w:ascii="仿宋_GB2312" w:hAnsi="仿宋_GB2312" w:cs="仿宋_GB2312"/>
                <w:color w:val="000000" w:themeColor="text1"/>
                <w:sz w:val="24"/>
                <w:szCs w:val="24"/>
                <w14:textFill>
                  <w14:solidFill>
                    <w14:schemeClr w14:val="tx1"/>
                  </w14:solidFill>
                </w14:textFill>
              </w:rPr>
              <w:t>送温暖”慰问</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1.慰问归侨侨眷120户×300元/户=36000元；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2.慰问起义投诚人员3人×300元/人=900元；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3.慰问台属特困户3户×300元/户=900元；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4.慰问民主党派困难成员25人×300元/人=7500元；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5.慰问工商联困难会员3人×300元/人=900元；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6.慰问宗教界代表人士和贫困宗教教职人员30人×300元/人=9000元；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7.制作贺卡73份×50元（含邮资费）/份=3650元。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资金共58850元由区财政拨款。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区委政法委</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慰问见义勇为牺牲家属、致残人员，牺牲8户×800元/户=6400元；致残6户×500元/户=3000元，资金共9400由区财政拨款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区卫生和计划生育局</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慰问计划生育困难家庭特别扶助对象293人，293人×300元/人=87900元，资金由区财政拨款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区总工会</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2020年百姓春节联欢晚会活动经费</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1.慰问特困职工8户×600元/户＝4800元；，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2.慰问企业困难职工 594人×200元/人＝118800元；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3.慰问劳模77人×200元/人=15400元</w:t>
            </w:r>
          </w:p>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资金共139000由区财政拨款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区残联</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慰问走访慰问贫困残疾人、自强模范、脱贫模范550人。550×200元/人=110000元，资金共110000元由财政拨款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区妇联</w:t>
            </w:r>
          </w:p>
        </w:tc>
        <w:tc>
          <w:tcPr>
            <w:tcW w:w="2835"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 送温暖”活动</w:t>
            </w:r>
          </w:p>
        </w:tc>
        <w:tc>
          <w:tcPr>
            <w:tcW w:w="4819" w:type="dxa"/>
            <w:noWrap/>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慰问贫困母亲、留守儿童、春蕾女童、三八红旗手共620人，620人×200元/人=124000元。资金由财政拨款。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区人社局（区退管办）</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慰问原东川矿务局退休人员9852人、抚恤遗属2033人，特困家庭100户、特困党员100人1.慰问退休人员9852人×100元/=985200元；2.抚恤遗属2033人×100元/人=203300元；3.慰问退休人员中的特困户100户×300元/户=30000元；4.慰问退休人员中的特困党员100人×300元/人=30000元。共1248500由部门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526" w:type="dxa"/>
            <w:vMerge w:val="restart"/>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区委组织部（区委老干</w:t>
            </w:r>
            <w:r>
              <w:rPr>
                <w:rFonts w:hint="eastAsia" w:ascii="仿宋_GB2312" w:hAnsi="仿宋_GB2312" w:cs="仿宋_GB2312"/>
                <w:color w:val="000000" w:themeColor="text1"/>
                <w:sz w:val="24"/>
                <w:szCs w:val="24"/>
                <w:lang w:val="en-US" w:eastAsia="zh-CN"/>
                <w14:textFill>
                  <w14:solidFill>
                    <w14:schemeClr w14:val="tx1"/>
                  </w14:solidFill>
                </w14:textFill>
              </w:rPr>
              <w:t>部</w:t>
            </w:r>
            <w:r>
              <w:rPr>
                <w:rFonts w:hint="eastAsia" w:ascii="仿宋_GB2312" w:hAnsi="仿宋_GB2312" w:cs="仿宋_GB2312"/>
                <w:color w:val="000000" w:themeColor="text1"/>
                <w:sz w:val="24"/>
                <w:szCs w:val="24"/>
                <w14:textFill>
                  <w14:solidFill>
                    <w14:schemeClr w14:val="tx1"/>
                  </w14:solidFill>
                </w14:textFill>
              </w:rPr>
              <w:t>局）</w:t>
            </w:r>
          </w:p>
        </w:tc>
        <w:tc>
          <w:tcPr>
            <w:tcW w:w="2835" w:type="dxa"/>
            <w:vMerge w:val="restart"/>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看望慰问厅级老领导、离休干部及困难遗属。1.厅级老领导15人×1000元/人=15000元；                            2.离休干部64人×500元/人=32000元；                            3.遗属37人×500元/人=18500元；             4.</w:t>
            </w:r>
            <w:bookmarkStart w:id="107" w:name="_GoBack"/>
            <w:bookmarkEnd w:id="107"/>
            <w:r>
              <w:rPr>
                <w:rFonts w:hint="eastAsia" w:ascii="仿宋_GB2312" w:hAnsi="仿宋_GB2312" w:cs="仿宋_GB2312"/>
                <w:color w:val="000000" w:themeColor="text1"/>
                <w:sz w:val="24"/>
                <w:szCs w:val="24"/>
                <w:lang w:eastAsia="zh-CN"/>
                <w14:textFill>
                  <w14:solidFill>
                    <w14:schemeClr w14:val="tx1"/>
                  </w14:solidFill>
                </w14:textFill>
              </w:rPr>
              <w:t>新中国成立初</w:t>
            </w:r>
            <w:r>
              <w:rPr>
                <w:rFonts w:hint="eastAsia" w:ascii="仿宋_GB2312" w:hAnsi="仿宋_GB2312" w:cs="仿宋_GB2312"/>
                <w:color w:val="000000" w:themeColor="text1"/>
                <w:sz w:val="24"/>
                <w:szCs w:val="24"/>
                <w14:textFill>
                  <w14:solidFill>
                    <w14:schemeClr w14:val="tx1"/>
                  </w14:solidFill>
                </w14:textFill>
              </w:rPr>
              <w:t>期参加工作11人×500元/人=5500元。共71000元由财政拨款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东川区2020年副厅级以上老领导迎新春座谈会，10000元由财政拨款。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vMerge w:val="restart"/>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区文体广电局</w:t>
            </w:r>
          </w:p>
        </w:tc>
        <w:tc>
          <w:tcPr>
            <w:tcW w:w="2835" w:type="dxa"/>
            <w:vMerge w:val="restart"/>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春节龙狮拜年活动30000元，资金由财政拨款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文化惠民演出进社区30000元，资金由财政拨款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文化惠民专场演出30000元，资金由财政拨款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春节灯谜活动20000元，资金由财政拨款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区委宣传部、区文体广电局、团区委等部门</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2020年东川区“迎新春.送温暖”系列活动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2020年东川区“百姓春节联欢晚会”，250000元由财政拨款。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26" w:type="dxa"/>
            <w:vMerge w:val="restart"/>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区委宣传部</w:t>
            </w:r>
          </w:p>
        </w:tc>
        <w:tc>
          <w:tcPr>
            <w:tcW w:w="2835" w:type="dxa"/>
            <w:vMerge w:val="restart"/>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中央电视台文化进万家《唱响新时代》演出活动，100000元由财政拨款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中央芭蕾舞团小分队赴基层慰问演出活动，50000元由财政拨款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东川区2020年文化科技卫生“三下乡”活动，100000元由财政拨款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东川区红十字会</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迎新春红十字博爱活动，200人×200元/人＝40000元，由财政拨款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区退管办</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春节龙狮拜年活动，13支文艺队慰问演出、群众性棋牌赛，共30000由部门自筹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区政府办</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东川区2020年春节游园活动，1.540个节目补贴×400元/个＝216000元；2.活动项目奖金11800元，共227800元由财政拨款。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区城管局</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主城区节日氛围营造，150000元由财政拨款。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26" w:type="dxa"/>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区委统战部</w:t>
            </w:r>
          </w:p>
        </w:tc>
        <w:tc>
          <w:tcPr>
            <w:tcW w:w="2835" w:type="dxa"/>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东川区2020年统一战线各界人士新春联谊会50000元由财政拨款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vMerge w:val="restart"/>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移民新区</w:t>
            </w:r>
          </w:p>
        </w:tc>
        <w:tc>
          <w:tcPr>
            <w:tcW w:w="2835" w:type="dxa"/>
            <w:vMerge w:val="restart"/>
            <w:vAlign w:val="center"/>
          </w:tcPr>
          <w:p>
            <w:pPr>
              <w:topLinePunct/>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2020年“迎新春·送温暖”系列活动</w:t>
            </w: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“新时代新民风建设”“五星家庭”评比进行表彰授牌30000由财政拨款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开展春节系列活动（趣味运动会、慰问等）150000由财政拨款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搬迁小区氛围营造60000由财政拨款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26" w:type="dxa"/>
            <w:vMerge w:val="continue"/>
            <w:noWrap/>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2835" w:type="dxa"/>
            <w:vMerge w:val="continue"/>
            <w:vAlign w:val="center"/>
          </w:tcPr>
          <w:p>
            <w:pPr>
              <w:topLinePunct/>
              <w:jc w:val="center"/>
              <w:rPr>
                <w:rFonts w:ascii="仿宋_GB2312" w:hAnsi="仿宋_GB2312" w:cs="仿宋_GB2312"/>
                <w:color w:val="000000" w:themeColor="text1"/>
                <w:sz w:val="24"/>
                <w:szCs w:val="24"/>
                <w14:textFill>
                  <w14:solidFill>
                    <w14:schemeClr w14:val="tx1"/>
                  </w14:solidFill>
                </w14:textFill>
              </w:rPr>
            </w:pPr>
          </w:p>
        </w:tc>
        <w:tc>
          <w:tcPr>
            <w:tcW w:w="4819" w:type="dxa"/>
            <w:vAlign w:val="center"/>
          </w:tcPr>
          <w:p>
            <w:pPr>
              <w:topLinePunct/>
              <w:jc w:val="left"/>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外出务工返乡人员代表和社区代表座谈会60000由财政拨款</w:t>
            </w:r>
          </w:p>
        </w:tc>
      </w:tr>
    </w:tbl>
    <w:p>
      <w:pPr>
        <w:topLinePunct/>
        <w:spacing w:line="580" w:lineRule="exact"/>
        <w:ind w:firstLine="632" w:firstLineChars="200"/>
        <w:outlineLvl w:val="2"/>
        <w:rPr>
          <w:rFonts w:ascii="仿宋_GB2312" w:hAnsi="楷体"/>
          <w:b/>
          <w:color w:val="000000" w:themeColor="text1"/>
          <w:szCs w:val="32"/>
          <w14:textFill>
            <w14:solidFill>
              <w14:schemeClr w14:val="tx1"/>
            </w14:solidFill>
          </w14:textFill>
        </w:rPr>
      </w:pPr>
      <w:bookmarkStart w:id="17" w:name="_Toc12512_WPSOffice_Level3"/>
      <w:bookmarkStart w:id="18" w:name="_Toc20622"/>
      <w:bookmarkStart w:id="19" w:name="_Toc31401"/>
      <w:r>
        <w:rPr>
          <w:rFonts w:hint="eastAsia" w:ascii="仿宋_GB2312" w:hAnsi="楷体"/>
          <w:b/>
          <w:color w:val="000000" w:themeColor="text1"/>
          <w:szCs w:val="32"/>
          <w14:textFill>
            <w14:solidFill>
              <w14:schemeClr w14:val="tx1"/>
            </w14:solidFill>
          </w14:textFill>
        </w:rPr>
        <w:t>3.资金来源及使用情况</w:t>
      </w:r>
      <w:bookmarkEnd w:id="17"/>
      <w:bookmarkEnd w:id="18"/>
      <w:bookmarkEnd w:id="19"/>
    </w:p>
    <w:p>
      <w:pPr>
        <w:spacing w:line="580" w:lineRule="exact"/>
        <w:ind w:firstLine="632" w:firstLineChars="200"/>
        <w:rPr>
          <w:rFonts w:ascii="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截至2020年12月31日，中国共产党昆明市东川区委办公室2020年春节系列活动经费项目年初预算资金453.19元，</w:t>
      </w:r>
      <w:r>
        <w:rPr>
          <w:rFonts w:hint="eastAsia" w:ascii="仿宋_GB2312"/>
          <w:color w:val="000000" w:themeColor="text1"/>
          <w:szCs w:val="32"/>
          <w14:textFill>
            <w14:solidFill>
              <w14:schemeClr w14:val="tx1"/>
            </w14:solidFill>
          </w14:textFill>
        </w:rPr>
        <w:t>财政拨入经费</w:t>
      </w:r>
      <w:r>
        <w:rPr>
          <w:rFonts w:hint="eastAsia" w:ascii="仿宋_GB2312" w:hAnsi="仿宋_GB2312" w:cs="仿宋_GB2312"/>
          <w:color w:val="000000" w:themeColor="text1"/>
          <w:szCs w:val="32"/>
          <w14:textFill>
            <w14:solidFill>
              <w14:schemeClr w14:val="tx1"/>
            </w14:solidFill>
          </w14:textFill>
        </w:rPr>
        <w:t>219.72万元</w:t>
      </w:r>
      <w:r>
        <w:rPr>
          <w:rFonts w:hint="eastAsia" w:ascii="仿宋_GB2312"/>
          <w:color w:val="000000" w:themeColor="text1"/>
          <w:szCs w:val="32"/>
          <w14:textFill>
            <w14:solidFill>
              <w14:schemeClr w14:val="tx1"/>
            </w14:solidFill>
          </w14:textFill>
        </w:rPr>
        <w:t>，单位自筹233.47万元。由区委办统筹拨付给承办单位、责任单位，具体使用情况详见下表（单位：万元）：</w:t>
      </w:r>
    </w:p>
    <w:tbl>
      <w:tblPr>
        <w:tblStyle w:val="17"/>
        <w:tblW w:w="9464" w:type="dxa"/>
        <w:tblInd w:w="0" w:type="dxa"/>
        <w:tblLayout w:type="fixed"/>
        <w:tblCellMar>
          <w:top w:w="0" w:type="dxa"/>
          <w:left w:w="108" w:type="dxa"/>
          <w:bottom w:w="0" w:type="dxa"/>
          <w:right w:w="108" w:type="dxa"/>
        </w:tblCellMar>
      </w:tblPr>
      <w:tblGrid>
        <w:gridCol w:w="460"/>
        <w:gridCol w:w="499"/>
        <w:gridCol w:w="2551"/>
        <w:gridCol w:w="1276"/>
        <w:gridCol w:w="1276"/>
        <w:gridCol w:w="1417"/>
        <w:gridCol w:w="1276"/>
        <w:gridCol w:w="709"/>
      </w:tblGrid>
      <w:tr>
        <w:trPr>
          <w:trHeight w:val="616" w:hRule="atLeast"/>
        </w:trPr>
        <w:tc>
          <w:tcPr>
            <w:tcW w:w="35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活</w:t>
            </w:r>
            <w:r>
              <w:rPr>
                <w:b/>
                <w:color w:val="000000"/>
                <w:sz w:val="24"/>
              </w:rPr>
              <w:t xml:space="preserve"> </w:t>
            </w:r>
            <w:r>
              <w:rPr>
                <w:rFonts w:ascii="宋体" w:hAnsi="宋体"/>
                <w:b/>
                <w:color w:val="000000"/>
                <w:sz w:val="24"/>
              </w:rPr>
              <w:t>动</w:t>
            </w:r>
            <w:r>
              <w:rPr>
                <w:b/>
                <w:color w:val="000000"/>
                <w:sz w:val="24"/>
              </w:rPr>
              <w:t xml:space="preserve"> </w:t>
            </w:r>
            <w:r>
              <w:rPr>
                <w:rFonts w:ascii="宋体" w:hAnsi="宋体"/>
                <w:b/>
                <w:color w:val="000000"/>
                <w:sz w:val="24"/>
              </w:rPr>
              <w:t>内</w:t>
            </w:r>
            <w:r>
              <w:rPr>
                <w:b/>
                <w:color w:val="000000"/>
                <w:sz w:val="24"/>
              </w:rPr>
              <w:t xml:space="preserve"> </w:t>
            </w:r>
            <w:r>
              <w:rPr>
                <w:rFonts w:ascii="宋体" w:hAnsi="宋体"/>
                <w:b/>
                <w:color w:val="000000"/>
                <w:sz w:val="24"/>
              </w:rPr>
              <w:t>容</w:t>
            </w:r>
          </w:p>
        </w:tc>
        <w:tc>
          <w:tcPr>
            <w:tcW w:w="1276" w:type="dxa"/>
            <w:tcBorders>
              <w:top w:val="single" w:color="000000" w:sz="8" w:space="0"/>
              <w:left w:val="single" w:color="000000" w:sz="8" w:space="0"/>
              <w:bottom w:val="nil"/>
              <w:right w:val="single" w:color="000000" w:sz="8" w:space="0"/>
            </w:tcBorders>
            <w:shd w:val="clear" w:color="auto" w:fill="FFFFFF"/>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实施单位</w:t>
            </w:r>
          </w:p>
        </w:tc>
        <w:tc>
          <w:tcPr>
            <w:tcW w:w="1276" w:type="dxa"/>
            <w:tcBorders>
              <w:top w:val="single" w:color="000000" w:sz="8" w:space="0"/>
              <w:left w:val="single" w:color="000000" w:sz="8" w:space="0"/>
              <w:bottom w:val="nil"/>
              <w:right w:val="single" w:color="000000" w:sz="8" w:space="0"/>
            </w:tcBorders>
            <w:shd w:val="clear" w:color="auto" w:fill="FFFFFF"/>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实际拨款</w:t>
            </w:r>
          </w:p>
        </w:tc>
        <w:tc>
          <w:tcPr>
            <w:tcW w:w="1417" w:type="dxa"/>
            <w:tcBorders>
              <w:top w:val="single" w:color="000000" w:sz="8" w:space="0"/>
              <w:left w:val="single" w:color="000000" w:sz="8" w:space="0"/>
              <w:bottom w:val="nil"/>
              <w:right w:val="single" w:color="000000" w:sz="8" w:space="0"/>
            </w:tcBorders>
            <w:shd w:val="clear" w:color="auto" w:fill="FFFFFF"/>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实际支出</w:t>
            </w:r>
          </w:p>
        </w:tc>
        <w:tc>
          <w:tcPr>
            <w:tcW w:w="1276" w:type="dxa"/>
            <w:tcBorders>
              <w:top w:val="single" w:color="000000" w:sz="8" w:space="0"/>
              <w:left w:val="single" w:color="000000" w:sz="8" w:space="0"/>
              <w:bottom w:val="nil"/>
              <w:right w:val="single" w:color="000000" w:sz="8" w:space="0"/>
            </w:tcBorders>
            <w:shd w:val="clear" w:color="auto" w:fill="FFFFFF"/>
            <w:vAlign w:val="center"/>
          </w:tcPr>
          <w:p>
            <w:pPr>
              <w:autoSpaceDN w:val="0"/>
              <w:jc w:val="center"/>
              <w:textAlignment w:val="center"/>
              <w:rPr>
                <w:rFonts w:ascii="宋体" w:hAnsi="宋体"/>
                <w:b/>
                <w:color w:val="000000"/>
                <w:sz w:val="24"/>
              </w:rPr>
            </w:pPr>
          </w:p>
          <w:p>
            <w:pPr>
              <w:autoSpaceDN w:val="0"/>
              <w:jc w:val="center"/>
              <w:textAlignment w:val="center"/>
              <w:rPr>
                <w:rFonts w:ascii="宋体" w:hAnsi="宋体"/>
                <w:b/>
                <w:color w:val="000000"/>
                <w:sz w:val="24"/>
              </w:rPr>
            </w:pPr>
            <w:r>
              <w:rPr>
                <w:rFonts w:ascii="宋体" w:hAnsi="宋体"/>
                <w:b/>
                <w:color w:val="000000"/>
                <w:sz w:val="24"/>
              </w:rPr>
              <w:t>结余资金</w:t>
            </w:r>
          </w:p>
        </w:tc>
        <w:tc>
          <w:tcPr>
            <w:tcW w:w="709" w:type="dxa"/>
            <w:tcBorders>
              <w:top w:val="single" w:color="000000" w:sz="8" w:space="0"/>
              <w:left w:val="single" w:color="000000" w:sz="8" w:space="0"/>
              <w:bottom w:val="nil"/>
              <w:right w:val="single" w:color="000000" w:sz="8" w:space="0"/>
            </w:tcBorders>
            <w:shd w:val="clear" w:color="auto" w:fill="FFFFFF"/>
          </w:tcPr>
          <w:p>
            <w:pPr>
              <w:autoSpaceDN w:val="0"/>
              <w:jc w:val="center"/>
              <w:textAlignment w:val="center"/>
              <w:rPr>
                <w:rFonts w:ascii="宋体" w:hAnsi="宋体"/>
                <w:b/>
                <w:color w:val="000000"/>
                <w:sz w:val="24"/>
              </w:rPr>
            </w:pPr>
            <w:r>
              <w:rPr>
                <w:rFonts w:hint="eastAsia" w:ascii="宋体" w:hAnsi="宋体"/>
                <w:b/>
                <w:color w:val="000000"/>
                <w:sz w:val="24"/>
              </w:rPr>
              <w:t>结余原因</w:t>
            </w:r>
          </w:p>
        </w:tc>
      </w:tr>
      <w:tr>
        <w:tblPrEx>
          <w:tblCellMar>
            <w:top w:w="0" w:type="dxa"/>
            <w:left w:w="108" w:type="dxa"/>
            <w:bottom w:w="0" w:type="dxa"/>
            <w:right w:w="108" w:type="dxa"/>
          </w:tblCellMar>
        </w:tblPrEx>
        <w:trPr>
          <w:trHeight w:val="375" w:hRule="atLeast"/>
        </w:trPr>
        <w:tc>
          <w:tcPr>
            <w:tcW w:w="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名称</w:t>
            </w: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项</w:t>
            </w:r>
            <w:r>
              <w:rPr>
                <w:b/>
                <w:color w:val="000000"/>
                <w:sz w:val="24"/>
              </w:rPr>
              <w:t xml:space="preserve">      </w:t>
            </w:r>
            <w:r>
              <w:rPr>
                <w:rFonts w:ascii="宋体" w:hAnsi="宋体"/>
                <w:b/>
                <w:color w:val="000000"/>
                <w:sz w:val="24"/>
              </w:rPr>
              <w:t>目</w:t>
            </w:r>
          </w:p>
        </w:tc>
        <w:tc>
          <w:tcPr>
            <w:tcW w:w="1276" w:type="dxa"/>
            <w:tcBorders>
              <w:top w:val="nil"/>
              <w:left w:val="single" w:color="000000" w:sz="8" w:space="0"/>
              <w:bottom w:val="single" w:color="000000" w:sz="8" w:space="0"/>
              <w:right w:val="single" w:color="000000" w:sz="8" w:space="0"/>
            </w:tcBorders>
            <w:shd w:val="clear" w:color="auto" w:fill="FFFFFF"/>
            <w:vAlign w:val="center"/>
          </w:tcPr>
          <w:p>
            <w:pPr>
              <w:autoSpaceDN w:val="0"/>
              <w:rPr>
                <w:color w:val="000000"/>
              </w:rPr>
            </w:pPr>
          </w:p>
        </w:tc>
        <w:tc>
          <w:tcPr>
            <w:tcW w:w="1276" w:type="dxa"/>
            <w:tcBorders>
              <w:top w:val="nil"/>
              <w:left w:val="single" w:color="000000" w:sz="8" w:space="0"/>
              <w:bottom w:val="single" w:color="000000" w:sz="8" w:space="0"/>
              <w:right w:val="single" w:color="000000" w:sz="8" w:space="0"/>
            </w:tcBorders>
            <w:shd w:val="clear" w:color="auto" w:fill="FFFFFF"/>
            <w:vAlign w:val="center"/>
          </w:tcPr>
          <w:p>
            <w:pPr>
              <w:autoSpaceDN w:val="0"/>
              <w:rPr>
                <w:color w:val="000000"/>
              </w:rPr>
            </w:pPr>
          </w:p>
        </w:tc>
        <w:tc>
          <w:tcPr>
            <w:tcW w:w="1417" w:type="dxa"/>
            <w:tcBorders>
              <w:top w:val="nil"/>
              <w:left w:val="single" w:color="000000" w:sz="8" w:space="0"/>
              <w:bottom w:val="single" w:color="000000" w:sz="8" w:space="0"/>
              <w:right w:val="single" w:color="000000" w:sz="8" w:space="0"/>
            </w:tcBorders>
            <w:shd w:val="clear" w:color="auto" w:fill="FFFFFF"/>
            <w:vAlign w:val="center"/>
          </w:tcPr>
          <w:p>
            <w:pPr>
              <w:autoSpaceDN w:val="0"/>
              <w:rPr>
                <w:color w:val="000000"/>
              </w:rPr>
            </w:pPr>
          </w:p>
        </w:tc>
        <w:tc>
          <w:tcPr>
            <w:tcW w:w="1276" w:type="dxa"/>
            <w:tcBorders>
              <w:top w:val="nil"/>
              <w:left w:val="single" w:color="000000" w:sz="8" w:space="0"/>
              <w:bottom w:val="single" w:color="000000" w:sz="8" w:space="0"/>
              <w:right w:val="single" w:color="000000" w:sz="8" w:space="0"/>
            </w:tcBorders>
            <w:shd w:val="clear" w:color="auto" w:fill="FFFFFF"/>
            <w:vAlign w:val="center"/>
          </w:tcPr>
          <w:p>
            <w:pPr>
              <w:autoSpaceDN w:val="0"/>
              <w:rPr>
                <w:color w:val="000000"/>
              </w:rPr>
            </w:pPr>
          </w:p>
        </w:tc>
        <w:tc>
          <w:tcPr>
            <w:tcW w:w="709" w:type="dxa"/>
            <w:tcBorders>
              <w:top w:val="nil"/>
              <w:left w:val="single" w:color="000000" w:sz="8" w:space="0"/>
              <w:bottom w:val="single" w:color="000000" w:sz="8" w:space="0"/>
              <w:right w:val="single" w:color="000000" w:sz="8" w:space="0"/>
            </w:tcBorders>
            <w:shd w:val="clear" w:color="auto" w:fill="FFFFFF"/>
          </w:tcPr>
          <w:p>
            <w:pPr>
              <w:autoSpaceDN w:val="0"/>
              <w:rPr>
                <w:color w:val="000000"/>
              </w:rPr>
            </w:pPr>
          </w:p>
        </w:tc>
      </w:tr>
      <w:tr>
        <w:tblPrEx>
          <w:tblCellMar>
            <w:top w:w="0" w:type="dxa"/>
            <w:left w:w="108" w:type="dxa"/>
            <w:bottom w:w="0" w:type="dxa"/>
            <w:right w:w="108" w:type="dxa"/>
          </w:tblCellMar>
        </w:tblPrEx>
        <w:trPr>
          <w:trHeight w:val="299" w:hRule="atLeast"/>
        </w:trPr>
        <w:tc>
          <w:tcPr>
            <w:tcW w:w="4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黑体" w:hAnsi="黑体" w:eastAsia="黑体"/>
                <w:color w:val="000000"/>
                <w:sz w:val="24"/>
              </w:rPr>
            </w:pPr>
            <w:r>
              <w:rPr>
                <w:rFonts w:ascii="黑体" w:hAnsi="黑体" w:eastAsia="黑体"/>
                <w:color w:val="000000"/>
                <w:sz w:val="24"/>
              </w:rPr>
              <w:t>慰问活动</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1</w:t>
            </w:r>
          </w:p>
        </w:tc>
        <w:tc>
          <w:tcPr>
            <w:tcW w:w="255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慰问</w:t>
            </w:r>
            <w:r>
              <w:rPr>
                <w:color w:val="000000"/>
                <w:sz w:val="24"/>
              </w:rPr>
              <w:t>8</w:t>
            </w:r>
            <w:r>
              <w:rPr>
                <w:rFonts w:ascii="仿宋_GB2312" w:hAnsi="仿宋_GB2312"/>
                <w:color w:val="000000"/>
                <w:sz w:val="24"/>
              </w:rPr>
              <w:t>个乡镇脱贫攻坚一线人员</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区政府办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402"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区委办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30000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30000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53"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宣传部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1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区纪委办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376"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统战部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329"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区人大办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rPr>
          <w:trHeight w:val="273"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2</w:t>
            </w:r>
          </w:p>
        </w:tc>
        <w:tc>
          <w:tcPr>
            <w:tcW w:w="255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春节期间慰问</w:t>
            </w:r>
            <w:r>
              <w:rPr>
                <w:color w:val="000000"/>
                <w:sz w:val="24"/>
              </w:rPr>
              <w:t>13</w:t>
            </w:r>
            <w:r>
              <w:rPr>
                <w:rFonts w:ascii="仿宋_GB2312" w:hAnsi="仿宋_GB2312"/>
                <w:color w:val="000000"/>
                <w:sz w:val="24"/>
              </w:rPr>
              <w:t>个单位在岗职工</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区人大</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17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区政协</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15000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15000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79"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区政府办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368"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区政法委</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61"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255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hint="eastAsia" w:ascii="仿宋_GB2312" w:hAnsi="仿宋_GB2312"/>
                <w:color w:val="000000"/>
                <w:sz w:val="24"/>
                <w:lang w:val="en-US" w:eastAsia="zh-CN"/>
              </w:rPr>
              <w:t>区委</w:t>
            </w:r>
            <w:r>
              <w:rPr>
                <w:rFonts w:ascii="仿宋_GB2312" w:hAnsi="仿宋_GB2312"/>
                <w:color w:val="000000"/>
                <w:sz w:val="24"/>
              </w:rPr>
              <w:t>宣传部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539"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3</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慰问社会福利院</w:t>
            </w:r>
            <w:r>
              <w:rPr>
                <w:color w:val="000000"/>
                <w:sz w:val="24"/>
              </w:rPr>
              <w:t>1</w:t>
            </w:r>
            <w:r>
              <w:rPr>
                <w:rFonts w:ascii="仿宋_GB2312" w:hAnsi="仿宋_GB2312"/>
                <w:color w:val="000000"/>
                <w:sz w:val="24"/>
              </w:rPr>
              <w:t>所，农村敬老院</w:t>
            </w:r>
            <w:r>
              <w:rPr>
                <w:color w:val="000000"/>
                <w:sz w:val="24"/>
              </w:rPr>
              <w:t>4</w:t>
            </w:r>
            <w:r>
              <w:rPr>
                <w:rFonts w:ascii="仿宋_GB2312" w:hAnsi="仿宋_GB2312"/>
                <w:color w:val="000000"/>
                <w:sz w:val="24"/>
              </w:rPr>
              <w:t>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区民政局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6</w:t>
            </w:r>
            <w:r>
              <w:rPr>
                <w:rFonts w:ascii="宋体" w:hAnsi="宋体"/>
                <w:color w:val="000000"/>
                <w:sz w:val="24"/>
              </w:rPr>
              <w:t>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50000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463"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4</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慰问六十年代精减退职职工21人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区民政局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4200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4200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532"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5</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慰问归侨侨眷120户，起义投诚人员3人，台属特困户3户，民主党派特困成员25户，工商联困难会员3人，宗教界代表人士及贫困宗教教职人员30人为定居国外的知名华侨、华人、新移民及港澳台同胞73人发贺卡。</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hint="eastAsia" w:ascii="仿宋_GB2312" w:hAnsi="仿宋_GB2312"/>
                <w:color w:val="000000"/>
                <w:sz w:val="24"/>
              </w:rPr>
              <w:t>区委统战部（区民宗局、工商联、侨联、各民主党派机关）</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58850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58850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89"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6</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慰问见义勇为牺牲家属、致残人员</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hint="eastAsia" w:ascii="仿宋_GB2312" w:hAnsi="仿宋_GB2312"/>
                <w:color w:val="000000"/>
                <w:sz w:val="24"/>
              </w:rPr>
              <w:t>区委政法委</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9400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9400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969"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7</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慰问特困职工8户，困难职工594人，市级以上劳模77人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区总工会</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139000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139000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8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8</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慰问计划生育困难家庭特别扶助对象293人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区卫生和计划生育局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87900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87000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900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18"/>
                <w:szCs w:val="18"/>
              </w:rPr>
            </w:pPr>
            <w:r>
              <w:rPr>
                <w:rFonts w:hint="eastAsia" w:ascii="仿宋_GB2312" w:hAnsi="仿宋_GB2312"/>
                <w:color w:val="000000"/>
                <w:sz w:val="18"/>
                <w:szCs w:val="18"/>
              </w:rPr>
              <w:t>慰问对象3人已死亡，无法进行慰问</w:t>
            </w:r>
          </w:p>
        </w:tc>
      </w:tr>
      <w:tr>
        <w:tblPrEx>
          <w:tblCellMar>
            <w:top w:w="0" w:type="dxa"/>
            <w:left w:w="108" w:type="dxa"/>
            <w:bottom w:w="0" w:type="dxa"/>
            <w:right w:w="108" w:type="dxa"/>
          </w:tblCellMar>
        </w:tblPrEx>
        <w:trPr>
          <w:trHeight w:val="540"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9</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慰问走访慰问贫困残疾人、自强模范、脱贫模范550人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区政府办（区残联）</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110000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110000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10</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慰问贫困母亲、留守儿童、春蕾女童、三八红旗手共</w:t>
            </w:r>
            <w:r>
              <w:rPr>
                <w:color w:val="000000"/>
                <w:sz w:val="24"/>
              </w:rPr>
              <w:t>620</w:t>
            </w:r>
            <w:r>
              <w:rPr>
                <w:rFonts w:ascii="仿宋_GB2312" w:hAnsi="仿宋_GB2312"/>
                <w:color w:val="000000"/>
                <w:sz w:val="24"/>
              </w:rPr>
              <w:t>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区妇联</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124000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124000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11</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看望慰问厅级老领导、离休干部及困难遗属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区委老干</w:t>
            </w:r>
            <w:r>
              <w:rPr>
                <w:rFonts w:hint="eastAsia" w:ascii="仿宋_GB2312" w:hAnsi="仿宋_GB2312"/>
                <w:color w:val="000000"/>
                <w:sz w:val="24"/>
                <w:lang w:val="en-US" w:eastAsia="zh-CN"/>
              </w:rPr>
              <w:t>部</w:t>
            </w:r>
            <w:r>
              <w:rPr>
                <w:rFonts w:ascii="仿宋_GB2312" w:hAnsi="仿宋_GB2312"/>
                <w:color w:val="000000"/>
                <w:sz w:val="24"/>
              </w:rPr>
              <w:t>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71000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71000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4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12</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迎新春红十字博爱活动200人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区红十字会</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40000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40000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20" w:hRule="atLeast"/>
        </w:trPr>
        <w:tc>
          <w:tcPr>
            <w:tcW w:w="4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黑体" w:hAnsi="黑体" w:eastAsia="黑体"/>
                <w:color w:val="000000"/>
                <w:sz w:val="24"/>
              </w:rPr>
            </w:pPr>
            <w:r>
              <w:rPr>
                <w:rFonts w:ascii="黑体" w:hAnsi="黑体" w:eastAsia="黑体"/>
                <w:color w:val="000000"/>
                <w:sz w:val="24"/>
              </w:rPr>
              <w:t>其他活动</w:t>
            </w: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1</w:t>
            </w:r>
            <w:r>
              <w:rPr>
                <w:rFonts w:hint="eastAsia" w:ascii="宋体" w:hAnsi="宋体"/>
                <w:b/>
                <w:color w:val="000000"/>
                <w:sz w:val="24"/>
              </w:rPr>
              <w:t>3</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东川区</w:t>
            </w:r>
            <w:r>
              <w:rPr>
                <w:rFonts w:hint="eastAsia"/>
                <w:color w:val="000000"/>
                <w:sz w:val="24"/>
              </w:rPr>
              <w:t>2020</w:t>
            </w:r>
            <w:r>
              <w:rPr>
                <w:rFonts w:ascii="仿宋_GB2312" w:hAnsi="仿宋_GB2312"/>
                <w:color w:val="000000"/>
                <w:sz w:val="24"/>
              </w:rPr>
              <w:t>年春节游园活动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区政府办</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227800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227800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4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1</w:t>
            </w:r>
            <w:r>
              <w:rPr>
                <w:rFonts w:hint="eastAsia" w:ascii="宋体" w:hAnsi="宋体"/>
                <w:b/>
                <w:color w:val="000000"/>
                <w:sz w:val="24"/>
              </w:rPr>
              <w:t>4</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主城区节日氛围营造</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区住建局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150000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150000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115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15</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春节龙狮拜年活动、文化惠民演出进社区、文化惠民演出专场演出</w:t>
            </w:r>
            <w:r>
              <w:rPr>
                <w:rFonts w:hint="eastAsia" w:ascii="仿宋_GB2312" w:hAnsi="仿宋_GB2312"/>
                <w:color w:val="000000"/>
                <w:sz w:val="24"/>
              </w:rPr>
              <w:t>、</w:t>
            </w:r>
            <w:r>
              <w:rPr>
                <w:rFonts w:ascii="仿宋_GB2312" w:hAnsi="仿宋_GB2312"/>
                <w:color w:val="000000"/>
                <w:sz w:val="24"/>
              </w:rPr>
              <w:t>春节灯谜活动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区文体广电局</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w:t>
            </w:r>
            <w:r>
              <w:rPr>
                <w:rFonts w:hint="eastAsia" w:ascii="宋体" w:hAnsi="宋体"/>
                <w:color w:val="000000"/>
                <w:sz w:val="24"/>
              </w:rPr>
              <w:t>1</w:t>
            </w:r>
            <w:r>
              <w:rPr>
                <w:rFonts w:ascii="宋体" w:hAnsi="宋体"/>
                <w:color w:val="000000"/>
                <w:sz w:val="24"/>
              </w:rPr>
              <w:t>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w:t>
            </w:r>
            <w:r>
              <w:rPr>
                <w:rFonts w:hint="eastAsia" w:ascii="宋体" w:hAnsi="宋体"/>
                <w:color w:val="000000"/>
                <w:sz w:val="24"/>
              </w:rPr>
              <w:t>1</w:t>
            </w:r>
            <w:r>
              <w:rPr>
                <w:rFonts w:ascii="宋体" w:hAnsi="宋体"/>
                <w:color w:val="000000"/>
                <w:sz w:val="24"/>
              </w:rPr>
              <w:t>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80"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1</w:t>
            </w:r>
            <w:r>
              <w:rPr>
                <w:rFonts w:hint="eastAsia" w:ascii="宋体" w:hAnsi="宋体"/>
                <w:b/>
                <w:color w:val="000000"/>
                <w:sz w:val="24"/>
              </w:rPr>
              <w:t>6</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textAlignment w:val="center"/>
              <w:rPr>
                <w:color w:val="000000"/>
                <w:sz w:val="24"/>
              </w:rPr>
            </w:pPr>
            <w:r>
              <w:rPr>
                <w:rFonts w:hint="eastAsia"/>
                <w:color w:val="000000"/>
                <w:sz w:val="24"/>
              </w:rPr>
              <w:t>2020</w:t>
            </w:r>
            <w:r>
              <w:rPr>
                <w:rFonts w:ascii="仿宋_GB2312" w:hAnsi="仿宋_GB2312"/>
                <w:color w:val="000000"/>
                <w:sz w:val="24"/>
              </w:rPr>
              <w:t>年东川区</w:t>
            </w:r>
            <w:r>
              <w:rPr>
                <w:color w:val="000000"/>
                <w:sz w:val="24"/>
              </w:rPr>
              <w:t>“</w:t>
            </w:r>
            <w:r>
              <w:rPr>
                <w:rFonts w:ascii="仿宋_GB2312" w:hAnsi="仿宋_GB2312"/>
                <w:color w:val="000000"/>
                <w:sz w:val="24"/>
              </w:rPr>
              <w:t>百姓春节联欢晚会</w:t>
            </w:r>
            <w:r>
              <w:rPr>
                <w:color w:val="000000"/>
                <w:sz w:val="24"/>
              </w:rPr>
              <w:t>”</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团区委</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250000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250000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ascii="宋体" w:hAnsi="宋体"/>
                <w:b/>
                <w:color w:val="000000"/>
                <w:sz w:val="24"/>
              </w:rPr>
              <w:t>1</w:t>
            </w:r>
            <w:r>
              <w:rPr>
                <w:rFonts w:hint="eastAsia" w:ascii="宋体" w:hAnsi="宋体"/>
                <w:b/>
                <w:color w:val="000000"/>
                <w:sz w:val="24"/>
              </w:rPr>
              <w:t>7</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东川区20</w:t>
            </w:r>
            <w:r>
              <w:rPr>
                <w:rFonts w:hint="eastAsia" w:ascii="仿宋_GB2312" w:hAnsi="仿宋_GB2312"/>
                <w:color w:val="000000"/>
                <w:sz w:val="24"/>
              </w:rPr>
              <w:t>20</w:t>
            </w:r>
            <w:r>
              <w:rPr>
                <w:rFonts w:ascii="仿宋_GB2312" w:hAnsi="仿宋_GB2312"/>
                <w:color w:val="000000"/>
                <w:sz w:val="24"/>
              </w:rPr>
              <w:t>年文化科技卫生“三下乡”活动</w:t>
            </w:r>
            <w:r>
              <w:rPr>
                <w:rFonts w:hint="eastAsia" w:ascii="仿宋_GB2312" w:hAnsi="仿宋_GB2312"/>
                <w:color w:val="000000"/>
                <w:sz w:val="24"/>
              </w:rPr>
              <w:t>、中央电视台文化进万家《唱响新时代》演出活动、中央芭蕾舞团小分队赴基层慰问演出活动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区委宣传部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250000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233930.6</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16069.4</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60"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18</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东川区20</w:t>
            </w:r>
            <w:r>
              <w:rPr>
                <w:rFonts w:hint="eastAsia" w:ascii="仿宋_GB2312" w:hAnsi="仿宋_GB2312"/>
                <w:color w:val="000000"/>
                <w:sz w:val="24"/>
              </w:rPr>
              <w:t>20</w:t>
            </w:r>
            <w:r>
              <w:rPr>
                <w:rFonts w:ascii="仿宋_GB2312" w:hAnsi="仿宋_GB2312"/>
                <w:color w:val="000000"/>
                <w:sz w:val="24"/>
              </w:rPr>
              <w:t>年副厅级以上老领导迎新春座谈会</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组织部</w:t>
            </w:r>
            <w:r>
              <w:rPr>
                <w:rFonts w:hint="eastAsia" w:ascii="仿宋_GB2312" w:hAnsi="仿宋_GB2312"/>
                <w:color w:val="000000"/>
                <w:sz w:val="24"/>
              </w:rPr>
              <w:t>（</w:t>
            </w:r>
            <w:r>
              <w:rPr>
                <w:rFonts w:ascii="仿宋_GB2312" w:hAnsi="仿宋_GB2312"/>
                <w:color w:val="000000"/>
                <w:sz w:val="24"/>
              </w:rPr>
              <w:t>区委老干</w:t>
            </w:r>
            <w:r>
              <w:rPr>
                <w:rFonts w:hint="eastAsia" w:ascii="仿宋_GB2312" w:hAnsi="仿宋_GB2312"/>
                <w:color w:val="000000"/>
                <w:sz w:val="24"/>
                <w:lang w:val="en-US" w:eastAsia="zh-CN"/>
              </w:rPr>
              <w:t>部</w:t>
            </w:r>
            <w:r>
              <w:rPr>
                <w:rFonts w:ascii="仿宋_GB2312" w:hAnsi="仿宋_GB2312"/>
                <w:color w:val="000000"/>
                <w:sz w:val="24"/>
              </w:rPr>
              <w:t>局</w:t>
            </w:r>
            <w:r>
              <w:rPr>
                <w:rFonts w:hint="eastAsia" w:ascii="仿宋_GB2312" w:hAnsi="仿宋_GB2312"/>
                <w:color w:val="000000"/>
                <w:sz w:val="24"/>
              </w:rPr>
              <w:t>）</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10000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795" w:hRule="atLeast"/>
        </w:trPr>
        <w:tc>
          <w:tcPr>
            <w:tcW w:w="46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19</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ascii="仿宋_GB2312" w:hAnsi="仿宋_GB2312"/>
                <w:color w:val="000000"/>
                <w:sz w:val="24"/>
              </w:rPr>
              <w:t>东川区20</w:t>
            </w:r>
            <w:r>
              <w:rPr>
                <w:rFonts w:hint="eastAsia" w:ascii="仿宋_GB2312" w:hAnsi="仿宋_GB2312"/>
                <w:color w:val="000000"/>
                <w:sz w:val="24"/>
              </w:rPr>
              <w:t>20</w:t>
            </w:r>
            <w:r>
              <w:rPr>
                <w:rFonts w:ascii="仿宋_GB2312" w:hAnsi="仿宋_GB2312"/>
                <w:color w:val="000000"/>
                <w:sz w:val="24"/>
              </w:rPr>
              <w:t>年统一战线各界人士新春联谊活动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区委统战部</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ascii="宋体" w:hAnsi="宋体"/>
                <w:color w:val="000000"/>
                <w:sz w:val="24"/>
              </w:rPr>
              <w:t>50000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50000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0</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2455" w:hRule="atLeast"/>
        </w:trPr>
        <w:tc>
          <w:tcPr>
            <w:tcW w:w="4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rPr>
            </w:pPr>
          </w:p>
        </w:tc>
        <w:tc>
          <w:tcPr>
            <w:tcW w:w="4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b/>
                <w:color w:val="000000"/>
                <w:sz w:val="24"/>
              </w:rPr>
            </w:pPr>
            <w:r>
              <w:rPr>
                <w:rFonts w:hint="eastAsia" w:ascii="宋体" w:hAnsi="宋体"/>
                <w:b/>
                <w:color w:val="000000"/>
                <w:sz w:val="24"/>
              </w:rPr>
              <w:t>20</w:t>
            </w:r>
          </w:p>
        </w:tc>
        <w:tc>
          <w:tcPr>
            <w:tcW w:w="25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left"/>
              <w:textAlignment w:val="center"/>
              <w:rPr>
                <w:rFonts w:ascii="仿宋_GB2312" w:hAnsi="仿宋_GB2312"/>
                <w:color w:val="000000"/>
                <w:sz w:val="24"/>
              </w:rPr>
            </w:pPr>
            <w:r>
              <w:rPr>
                <w:rFonts w:hint="eastAsia" w:ascii="仿宋_GB2312" w:hAnsi="仿宋_GB2312"/>
                <w:color w:val="000000"/>
                <w:sz w:val="24"/>
              </w:rPr>
              <w:t>“新时代新民风建设”“五星家庭”评比进行表彰授牌、</w:t>
            </w:r>
          </w:p>
          <w:p>
            <w:pPr>
              <w:autoSpaceDN w:val="0"/>
              <w:jc w:val="left"/>
              <w:textAlignment w:val="center"/>
              <w:rPr>
                <w:rFonts w:ascii="仿宋_GB2312" w:hAnsi="仿宋_GB2312"/>
                <w:color w:val="000000"/>
                <w:sz w:val="24"/>
              </w:rPr>
            </w:pPr>
            <w:r>
              <w:rPr>
                <w:rFonts w:hint="eastAsia" w:ascii="仿宋_GB2312" w:hAnsi="仿宋_GB2312"/>
                <w:color w:val="000000"/>
                <w:sz w:val="24"/>
              </w:rPr>
              <w:t>开展春节系列活动（趣味运动会、慰问等）、搬迁小区氛围营造、外出务工返乡人员代表和社区代表座谈会</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仿宋_GB2312" w:hAnsi="仿宋_GB2312"/>
                <w:color w:val="000000"/>
                <w:sz w:val="24"/>
              </w:rPr>
            </w:pPr>
            <w:r>
              <w:rPr>
                <w:rFonts w:ascii="仿宋_GB2312" w:hAnsi="仿宋_GB2312"/>
                <w:color w:val="000000"/>
                <w:sz w:val="24"/>
              </w:rPr>
              <w:t>移民新区</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300000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248324</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51676</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r>
        <w:tblPrEx>
          <w:tblCellMar>
            <w:top w:w="0" w:type="dxa"/>
            <w:left w:w="108" w:type="dxa"/>
            <w:bottom w:w="0" w:type="dxa"/>
            <w:right w:w="108" w:type="dxa"/>
          </w:tblCellMar>
        </w:tblPrEx>
        <w:trPr>
          <w:trHeight w:val="685" w:hRule="atLeast"/>
        </w:trPr>
        <w:tc>
          <w:tcPr>
            <w:tcW w:w="4786" w:type="dxa"/>
            <w:gridSpan w:val="4"/>
            <w:tcBorders>
              <w:top w:val="single" w:color="000000" w:sz="8" w:space="0"/>
              <w:left w:val="single" w:color="000000" w:sz="8" w:space="0"/>
              <w:bottom w:val="single" w:color="000000" w:sz="8" w:space="0"/>
              <w:right w:val="single" w:color="000000" w:sz="8" w:space="0"/>
            </w:tcBorders>
            <w:shd w:val="clear" w:color="auto" w:fill="FFFFFF"/>
            <w:vAlign w:val="bottom"/>
          </w:tcPr>
          <w:p>
            <w:pPr>
              <w:autoSpaceDN w:val="0"/>
              <w:jc w:val="center"/>
              <w:textAlignment w:val="bottom"/>
              <w:rPr>
                <w:rFonts w:ascii="宋体" w:hAnsi="宋体"/>
                <w:color w:val="000000"/>
                <w:sz w:val="24"/>
              </w:rPr>
            </w:pPr>
            <w:r>
              <w:rPr>
                <w:rFonts w:ascii="宋体" w:hAnsi="宋体"/>
                <w:color w:val="000000"/>
                <w:sz w:val="24"/>
              </w:rPr>
              <w:t>合计</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szCs w:val="24"/>
              </w:rPr>
            </w:pPr>
            <w:r>
              <w:rPr>
                <w:rFonts w:hint="eastAsia" w:ascii="仿宋_GB2312"/>
                <w:sz w:val="24"/>
                <w:szCs w:val="24"/>
              </w:rPr>
              <w:t>2197150</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2128504.6</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jc w:val="center"/>
              <w:textAlignment w:val="center"/>
              <w:rPr>
                <w:rFonts w:ascii="宋体" w:hAnsi="宋体"/>
                <w:color w:val="000000"/>
                <w:sz w:val="24"/>
              </w:rPr>
            </w:pPr>
            <w:r>
              <w:rPr>
                <w:rFonts w:hint="eastAsia" w:ascii="宋体" w:hAnsi="宋体"/>
                <w:color w:val="000000"/>
                <w:sz w:val="24"/>
              </w:rPr>
              <w:t>68645.4</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Pr>
          <w:p>
            <w:pPr>
              <w:autoSpaceDN w:val="0"/>
              <w:jc w:val="center"/>
              <w:textAlignment w:val="center"/>
              <w:rPr>
                <w:rFonts w:ascii="宋体" w:hAnsi="宋体"/>
                <w:color w:val="000000"/>
                <w:sz w:val="24"/>
              </w:rPr>
            </w:pPr>
          </w:p>
        </w:tc>
      </w:tr>
    </w:tbl>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2020年度结余资金原因分析：</w:t>
      </w:r>
      <w:bookmarkStart w:id="20" w:name="_Toc11471_WPSOffice_Level3"/>
      <w:bookmarkStart w:id="21" w:name="_Toc22263"/>
      <w:bookmarkStart w:id="22" w:name="_Toc23367"/>
      <w:r>
        <w:rPr>
          <w:rFonts w:hint="eastAsia" w:ascii="仿宋_GB2312"/>
          <w:szCs w:val="32"/>
        </w:rPr>
        <w:t>宣传部2020年“迎新春·送温暖”系列活动经费因为2020年下半年开展“三下乡”活动宣传费用待支出，余额16069.4元造成执行进度稍慢。</w:t>
      </w:r>
    </w:p>
    <w:p>
      <w:pPr>
        <w:spacing w:line="560" w:lineRule="exact"/>
        <w:ind w:firstLine="632" w:firstLineChars="200"/>
        <w:rPr>
          <w:rFonts w:ascii="仿宋_GB2312" w:hAnsi="仿宋_GB2312"/>
          <w:color w:val="000000"/>
          <w:szCs w:val="32"/>
        </w:rPr>
      </w:pPr>
      <w:r>
        <w:rPr>
          <w:rFonts w:hint="eastAsia" w:ascii="仿宋_GB2312" w:hAnsi="仿宋_GB2312"/>
          <w:color w:val="000000"/>
          <w:szCs w:val="32"/>
        </w:rPr>
        <w:t>移民新区剩余资金51676元为趣味运动会相关费用，由于疫情影响，运动会未开展，奖项资金未使用，属于不可预期因素，对项目整体绩效评价没有影响。</w:t>
      </w:r>
    </w:p>
    <w:p>
      <w:pPr>
        <w:topLinePunct/>
        <w:spacing w:line="560" w:lineRule="exact"/>
        <w:ind w:firstLine="632" w:firstLineChars="200"/>
        <w:outlineLvl w:val="2"/>
        <w:rPr>
          <w:rFonts w:ascii="仿宋_GB2312" w:hAnsi="仿宋_GB2312"/>
          <w:color w:val="000000"/>
          <w:szCs w:val="32"/>
        </w:rPr>
      </w:pPr>
      <w:r>
        <w:rPr>
          <w:rFonts w:ascii="仿宋_GB2312" w:hAnsi="仿宋_GB2312"/>
          <w:color w:val="000000"/>
          <w:szCs w:val="32"/>
        </w:rPr>
        <w:t>区卫生和计划生育局</w:t>
      </w:r>
      <w:r>
        <w:rPr>
          <w:rFonts w:hint="eastAsia" w:ascii="仿宋_GB2312" w:hAnsi="仿宋_GB2312"/>
          <w:color w:val="000000"/>
          <w:szCs w:val="32"/>
        </w:rPr>
        <w:t>慰问计划生育困难家庭特别扶助对象293人剩余900元，为慰问对象3人已死亡，无法进行慰问，实际慰问290人。</w:t>
      </w:r>
    </w:p>
    <w:p>
      <w:pPr>
        <w:topLinePunct/>
        <w:spacing w:line="560" w:lineRule="exact"/>
        <w:ind w:firstLine="632" w:firstLineChars="200"/>
        <w:outlineLvl w:val="2"/>
        <w:rPr>
          <w:rFonts w:ascii="仿宋_GB2312" w:hAnsi="仿宋_GB2312"/>
          <w:b/>
          <w:color w:val="000000"/>
          <w:szCs w:val="32"/>
        </w:rPr>
      </w:pPr>
      <w:r>
        <w:rPr>
          <w:rFonts w:hint="eastAsia" w:ascii="仿宋_GB2312" w:hAnsi="楷体"/>
          <w:b/>
          <w:color w:val="000000" w:themeColor="text1"/>
          <w:szCs w:val="32"/>
          <w14:textFill>
            <w14:solidFill>
              <w14:schemeClr w14:val="tx1"/>
            </w14:solidFill>
          </w14:textFill>
        </w:rPr>
        <w:t>4.组织及管理情况</w:t>
      </w:r>
      <w:bookmarkEnd w:id="20"/>
      <w:bookmarkEnd w:id="21"/>
      <w:bookmarkEnd w:id="22"/>
    </w:p>
    <w:p>
      <w:pPr>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中国共产党昆明市东川区委员会办公室</w:t>
      </w:r>
      <w:r>
        <w:rPr>
          <w:rFonts w:hint="eastAsia" w:ascii="仿宋_GB2312" w:hAnsi="楷体"/>
          <w:color w:val="000000" w:themeColor="text1"/>
          <w:szCs w:val="32"/>
          <w14:textFill>
            <w14:solidFill>
              <w14:schemeClr w14:val="tx1"/>
            </w14:solidFill>
          </w14:textFill>
        </w:rPr>
        <w:t>项目类经费由县（区）级财政下拨</w:t>
      </w:r>
      <w:r>
        <w:rPr>
          <w:rFonts w:hint="eastAsia" w:ascii="仿宋_GB2312" w:hAnsi="仿宋_GB2312" w:cs="仿宋_GB2312"/>
          <w:color w:val="000000" w:themeColor="text1"/>
          <w:szCs w:val="32"/>
          <w14:textFill>
            <w14:solidFill>
              <w14:schemeClr w14:val="tx1"/>
            </w14:solidFill>
          </w14:textFill>
        </w:rPr>
        <w:t>，</w:t>
      </w:r>
      <w:bookmarkStart w:id="23" w:name="_Toc2306"/>
      <w:bookmarkStart w:id="24" w:name="_Toc17057"/>
      <w:bookmarkStart w:id="25" w:name="_Toc25951_WPSOffice_Level2"/>
      <w:r>
        <w:rPr>
          <w:rFonts w:hint="eastAsia" w:ascii="仿宋_GB2312"/>
          <w:szCs w:val="32"/>
        </w:rPr>
        <w:t>为确保系列活动有序开展，成立了2020年“迎新春·送温暖”系列活动领导小组。领导小组下设办公室在区委办公室，办公室主任由区委办主任兼任，办公室副主任由熊子东兼任，成员从相关单位抽调，负责活动的统筹协调。为确保活动顺利开展，财政拨入经费219.72万元至区委办，由区委办统筹拨付给承办单位、责任单位，各部门自筹资金做好资金筹措和资金管理工作。</w:t>
      </w:r>
    </w:p>
    <w:p>
      <w:pPr>
        <w:spacing w:line="560" w:lineRule="exact"/>
        <w:ind w:firstLine="632" w:firstLineChars="200"/>
        <w:rPr>
          <w:rFonts w:ascii="楷体_GB2312" w:hAnsi="楷体" w:eastAsia="楷体_GB2312" w:cs="楷体"/>
          <w:color w:val="000000" w:themeColor="text1"/>
          <w:szCs w:val="32"/>
          <w14:textFill>
            <w14:solidFill>
              <w14:schemeClr w14:val="tx1"/>
            </w14:solidFill>
          </w14:textFill>
        </w:rPr>
      </w:pPr>
      <w:r>
        <w:rPr>
          <w:rFonts w:hint="eastAsia" w:ascii="楷体_GB2312" w:hAnsi="楷体" w:eastAsia="楷体_GB2312" w:cs="楷体"/>
          <w:color w:val="000000" w:themeColor="text1"/>
          <w:szCs w:val="32"/>
          <w14:textFill>
            <w14:solidFill>
              <w14:schemeClr w14:val="tx1"/>
            </w14:solidFill>
          </w14:textFill>
        </w:rPr>
        <w:t>（二）绩效目标</w:t>
      </w:r>
      <w:bookmarkEnd w:id="23"/>
      <w:bookmarkEnd w:id="24"/>
      <w:bookmarkEnd w:id="25"/>
    </w:p>
    <w:p>
      <w:pPr>
        <w:topLinePunct/>
        <w:spacing w:line="560" w:lineRule="exact"/>
        <w:ind w:firstLine="790" w:firstLineChars="250"/>
        <w:outlineLvl w:val="2"/>
        <w:rPr>
          <w:rFonts w:ascii="仿宋_GB2312" w:hAnsi="楷体"/>
          <w:b/>
          <w:color w:val="000000" w:themeColor="text1"/>
          <w:szCs w:val="32"/>
          <w14:textFill>
            <w14:solidFill>
              <w14:schemeClr w14:val="tx1"/>
            </w14:solidFill>
          </w14:textFill>
        </w:rPr>
      </w:pPr>
      <w:bookmarkStart w:id="26" w:name="_Toc27193"/>
      <w:bookmarkStart w:id="27" w:name="_Toc15973"/>
      <w:bookmarkStart w:id="28" w:name="_Toc31331_WPSOffice_Level3"/>
      <w:r>
        <w:rPr>
          <w:rFonts w:hint="eastAsia" w:ascii="仿宋_GB2312" w:hAnsi="楷体"/>
          <w:b/>
          <w:color w:val="000000" w:themeColor="text1"/>
          <w:szCs w:val="32"/>
          <w14:textFill>
            <w14:solidFill>
              <w14:schemeClr w14:val="tx1"/>
            </w14:solidFill>
          </w14:textFill>
        </w:rPr>
        <w:t>1.总目标</w:t>
      </w:r>
      <w:bookmarkEnd w:id="26"/>
      <w:bookmarkEnd w:id="27"/>
      <w:bookmarkEnd w:id="28"/>
    </w:p>
    <w:p>
      <w:pPr>
        <w:topLinePunct/>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让全区人民过上一个欢乐祥和、安全文明的春节、引导全区广大干部把思想和行动统一到区委、区政府各项决策部署上来，进一步汇聚民智、凝聚力量、拼搏进取，开创东川经济文化建设崭新局面，动员广大人民群众更好地投身我区经济文化建设。</w:t>
      </w:r>
    </w:p>
    <w:p>
      <w:pPr>
        <w:topLinePunct/>
        <w:spacing w:line="560" w:lineRule="exact"/>
        <w:ind w:firstLine="790" w:firstLineChars="250"/>
        <w:outlineLvl w:val="2"/>
        <w:rPr>
          <w:rFonts w:ascii="仿宋_GB2312" w:hAnsi="楷体"/>
          <w:b/>
          <w:color w:val="000000" w:themeColor="text1"/>
          <w:szCs w:val="32"/>
          <w14:textFill>
            <w14:solidFill>
              <w14:schemeClr w14:val="tx1"/>
            </w14:solidFill>
          </w14:textFill>
        </w:rPr>
      </w:pPr>
      <w:bookmarkStart w:id="29" w:name="_Toc19196"/>
      <w:bookmarkStart w:id="30" w:name="_Toc30576_WPSOffice_Level3"/>
      <w:bookmarkStart w:id="31" w:name="_Toc3411"/>
      <w:r>
        <w:rPr>
          <w:rFonts w:hint="eastAsia" w:ascii="仿宋_GB2312" w:hAnsi="楷体"/>
          <w:b/>
          <w:color w:val="000000" w:themeColor="text1"/>
          <w:szCs w:val="32"/>
          <w14:textFill>
            <w14:solidFill>
              <w14:schemeClr w14:val="tx1"/>
            </w14:solidFill>
          </w14:textFill>
        </w:rPr>
        <w:t>2.年度目标</w:t>
      </w:r>
      <w:bookmarkEnd w:id="29"/>
      <w:bookmarkEnd w:id="30"/>
      <w:bookmarkEnd w:id="31"/>
    </w:p>
    <w:p>
      <w:pPr>
        <w:topLinePunct/>
        <w:spacing w:line="560" w:lineRule="exact"/>
        <w:ind w:firstLine="790" w:firstLineChars="250"/>
        <w:outlineLvl w:val="2"/>
        <w:rPr>
          <w:rFonts w:ascii="仿宋_GB2312"/>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2020年度中国共产党昆明市东川区委员会办公室紧紧围绕工作职能，结合实际情况，制定相应的本年度的绩效目标，</w:t>
      </w:r>
      <w:r>
        <w:rPr>
          <w:rFonts w:hint="eastAsia" w:ascii="仿宋_GB2312"/>
          <w:color w:val="000000" w:themeColor="text1"/>
          <w:szCs w:val="32"/>
          <w14:textFill>
            <w14:solidFill>
              <w14:schemeClr w14:val="tx1"/>
            </w14:solidFill>
          </w14:textFill>
        </w:rPr>
        <w:t>为确保活动顺利开展，财政拨入经费219.72万元，由我办统筹拨付给各承办单位、责任单位。</w:t>
      </w:r>
    </w:p>
    <w:p>
      <w:pPr>
        <w:topLinePunct/>
        <w:spacing w:line="560" w:lineRule="exact"/>
        <w:ind w:firstLine="790" w:firstLineChars="250"/>
        <w:rPr>
          <w:rFonts w:ascii="仿宋_GB2312" w:hAnsi="楷体"/>
          <w:color w:val="000000" w:themeColor="text1"/>
          <w:szCs w:val="32"/>
          <w:highlight w:val="yellow"/>
          <w14:textFill>
            <w14:solidFill>
              <w14:schemeClr w14:val="tx1"/>
            </w14:solidFill>
          </w14:textFill>
        </w:rPr>
      </w:pPr>
      <w:r>
        <w:rPr>
          <w:rFonts w:hint="eastAsia" w:ascii="仿宋_GB2312"/>
          <w:color w:val="000000" w:themeColor="text1"/>
          <w:szCs w:val="32"/>
          <w14:textFill>
            <w14:solidFill>
              <w14:schemeClr w14:val="tx1"/>
            </w14:solidFill>
          </w14:textFill>
        </w:rPr>
        <w:t>2020年“迎新春·送温暖”系列活动具体目标为:</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（1）慰问乡镇脱贫攻坚一线人员、驻区部队及重点优抚对象、老党员和困难党员、市级以上劳动模范、定居国外的知名华侨华人、港澳台同胞及其他各类困难群</w:t>
      </w:r>
      <w:r>
        <w:rPr>
          <w:rFonts w:hint="eastAsia" w:ascii="仿宋_GB2312"/>
          <w:color w:val="000000" w:themeColor="text1"/>
          <w:szCs w:val="32"/>
          <w14:textFill>
            <w14:solidFill>
              <w14:schemeClr w14:val="tx1"/>
            </w14:solidFill>
          </w14:textFill>
        </w:rPr>
        <w:t>体；</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（2）龙狮拜年、迎新春晚会、文艺演出；</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（3）东川区2020年春节游园活动</w:t>
      </w:r>
      <w:r>
        <w:rPr>
          <w:rFonts w:ascii="仿宋_GB2312"/>
          <w:color w:val="000000" w:themeColor="text1"/>
          <w:szCs w:val="32"/>
          <w14:textFill>
            <w14:solidFill>
              <w14:schemeClr w14:val="tx1"/>
            </w14:solidFill>
          </w14:textFill>
        </w:rPr>
        <w:t>1</w:t>
      </w:r>
      <w:r>
        <w:rPr>
          <w:rFonts w:hint="eastAsia" w:ascii="仿宋_GB2312"/>
          <w:color w:val="000000" w:themeColor="text1"/>
          <w:szCs w:val="32"/>
          <w14:textFill>
            <w14:solidFill>
              <w14:schemeClr w14:val="tx1"/>
            </w14:solidFill>
          </w14:textFill>
        </w:rPr>
        <w:t>次；</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（4）春节灯展活动</w:t>
      </w:r>
      <w:r>
        <w:rPr>
          <w:rFonts w:ascii="仿宋_GB2312"/>
          <w:color w:val="000000" w:themeColor="text1"/>
          <w:szCs w:val="32"/>
          <w14:textFill>
            <w14:solidFill>
              <w14:schemeClr w14:val="tx1"/>
            </w14:solidFill>
          </w14:textFill>
        </w:rPr>
        <w:t>1</w:t>
      </w:r>
      <w:r>
        <w:rPr>
          <w:rFonts w:hint="eastAsia" w:ascii="仿宋_GB2312"/>
          <w:color w:val="000000" w:themeColor="text1"/>
          <w:szCs w:val="32"/>
          <w14:textFill>
            <w14:solidFill>
              <w14:schemeClr w14:val="tx1"/>
            </w14:solidFill>
          </w14:textFill>
        </w:rPr>
        <w:t>次；</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（5）开展教育、科技、文化下乡活动；</w:t>
      </w:r>
    </w:p>
    <w:p>
      <w:pPr>
        <w:topLinePunct/>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（6）节日氛围营造活动等各项活动。</w:t>
      </w:r>
    </w:p>
    <w:p>
      <w:pPr>
        <w:spacing w:line="560" w:lineRule="exact"/>
        <w:ind w:firstLine="632"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具体实施单位</w:t>
      </w:r>
      <w:r>
        <w:rPr>
          <w:rFonts w:hint="eastAsia" w:ascii="仿宋_GB2312" w:hAnsi="楷体"/>
          <w:color w:val="000000" w:themeColor="text1"/>
          <w:szCs w:val="32"/>
          <w14:textFill>
            <w14:solidFill>
              <w14:schemeClr w14:val="tx1"/>
            </w14:solidFill>
          </w14:textFill>
        </w:rPr>
        <w:t>本年度的绩效目标</w:t>
      </w:r>
      <w:r>
        <w:rPr>
          <w:rFonts w:hint="eastAsia" w:ascii="仿宋_GB2312"/>
          <w:color w:val="000000" w:themeColor="text1"/>
          <w:szCs w:val="32"/>
          <w14:textFill>
            <w14:solidFill>
              <w14:schemeClr w14:val="tx1"/>
            </w14:solidFill>
          </w14:textFill>
        </w:rPr>
        <w:t>详见下表：</w:t>
      </w:r>
    </w:p>
    <w:tbl>
      <w:tblPr>
        <w:tblStyle w:val="17"/>
        <w:tblW w:w="8773" w:type="dxa"/>
        <w:tblInd w:w="0" w:type="dxa"/>
        <w:tblLayout w:type="fixed"/>
        <w:tblCellMar>
          <w:top w:w="15" w:type="dxa"/>
          <w:left w:w="15" w:type="dxa"/>
          <w:bottom w:w="15" w:type="dxa"/>
          <w:right w:w="15" w:type="dxa"/>
        </w:tblCellMar>
      </w:tblPr>
      <w:tblGrid>
        <w:gridCol w:w="1425"/>
        <w:gridCol w:w="2418"/>
        <w:gridCol w:w="4930"/>
      </w:tblGrid>
      <w:tr>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实施单位</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项目名称</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年度目标</w:t>
            </w:r>
          </w:p>
        </w:tc>
      </w:tr>
      <w:tr>
        <w:tblPrEx>
          <w:tblCellMar>
            <w:top w:w="15" w:type="dxa"/>
            <w:left w:w="15" w:type="dxa"/>
            <w:bottom w:w="15" w:type="dxa"/>
            <w:right w:w="15" w:type="dxa"/>
          </w:tblCellMar>
        </w:tblPrEx>
        <w:trPr>
          <w:trHeight w:val="285"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昆明市东川区委政法委</w:t>
            </w:r>
          </w:p>
        </w:tc>
        <w:tc>
          <w:tcPr>
            <w:tcW w:w="2418"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春节期间慰问活动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慰问乡镇街道脱贫攻坚一线干部；慰问社会福利院、农村敬老院、民办养老机构；慰问特困供养人员，贫困残疾人，孤儿，百岁老人；慰问重点优抚对象，现役军人家属；慰问六十年代精减退职职工等。</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春节期间慰问见义勇为牺牲家属、致残人员。</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慰问春节期间13个单位在岗职工</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昆明市东川区委员会办公室</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开展对乡镇脱贫攻坚一线人员及春节期间单位在岗职工新春慰问活动，为一线扶贫人员及基层岗位上的工作者送去党和政府的关怀和新春祝福。春节慰问红土地镇、铜都街道、舍块乡脱贫攻坚一线干部。</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昆明市东川区妇女联合会</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2020年“迎新春·送温暖”慰问</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按照区委、区政府的安排部署，区妇联采取区级领导和区、镇（街道）、村（社区）妇联入户慰问相结合的形式，认真开展2020年“迎新春</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仿宋_GB2312" w:hAnsi="仿宋_GB2312" w:cs="仿宋_GB2312"/>
                <w:color w:val="000000" w:themeColor="text1"/>
                <w:kern w:val="0"/>
                <w:sz w:val="24"/>
                <w:szCs w:val="24"/>
                <w14:textFill>
                  <w14:solidFill>
                    <w14:schemeClr w14:val="tx1"/>
                  </w14:solidFill>
                </w14:textFill>
              </w:rPr>
              <w:t>送温暖”慰问活动，及时把党和政府的关怀送到贫困母亲、留守儿童、春蕾生、“三八”红旗手手中，让他们在关爱和温暖中一个欢乐祥和的春节。</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中共昆明市东川区纪律检查委员会</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2020年1月区纪委拨付拖布卡镇春节慰问金，拖布卡镇用于退休人员的春节慰问和拖布卡镇人民政府日常经费开支</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东川区民政局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2020年“迎新春、送温暖”敬老院春节慰问活动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慰问社会福利院供养对象。体现了党和政府对特困人员的关怀，让特困供养人员度过一个祥和愉快的春节，社会福利院严格按照资金用途使用，确实把资金用于福利人员，购买福利人员食品，如汤圆、饮料和糖果等。</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东川区人大常委</w:t>
            </w:r>
            <w:r>
              <w:rPr>
                <w:rFonts w:hint="eastAsia" w:ascii="仿宋_GB2312" w:hAnsi="仿宋_GB2312" w:cs="仿宋_GB2312"/>
                <w:color w:val="000000" w:themeColor="text1"/>
                <w:kern w:val="0"/>
                <w:sz w:val="24"/>
                <w:szCs w:val="24"/>
                <w:lang w:val="en-US" w:eastAsia="zh-CN"/>
                <w14:textFill>
                  <w14:solidFill>
                    <w14:schemeClr w14:val="tx1"/>
                  </w14:solidFill>
                </w14:textFill>
              </w:rPr>
              <w:t>会</w:t>
            </w:r>
            <w:r>
              <w:rPr>
                <w:rFonts w:hint="eastAsia" w:ascii="仿宋_GB2312" w:hAnsi="仿宋_GB2312" w:cs="仿宋_GB2312"/>
                <w:color w:val="000000" w:themeColor="text1"/>
                <w:kern w:val="0"/>
                <w:sz w:val="24"/>
                <w:szCs w:val="24"/>
                <w14:textFill>
                  <w14:solidFill>
                    <w14:schemeClr w14:val="tx1"/>
                  </w14:solidFill>
                </w14:textFill>
              </w:rPr>
              <w:t>会议办公室</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人大2020年“迎新春</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仿宋_GB2312" w:hAnsi="仿宋_GB2312" w:cs="仿宋_GB2312"/>
                <w:color w:val="000000" w:themeColor="text1"/>
                <w:kern w:val="0"/>
                <w:sz w:val="24"/>
                <w:szCs w:val="24"/>
                <w14:textFill>
                  <w14:solidFill>
                    <w14:schemeClr w14:val="tx1"/>
                  </w14:solidFill>
                </w14:textFill>
              </w:rPr>
              <w:t>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慰问春节期间13个单位在岗职工，资金共计65000元，已全部拨付到位，为相关单位和广大干部职工送去区委、区政府的关怀。</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中共昆明市东川区委统战部</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乡镇街道脱贫攻坚一线干部；慰问社会福利院、农村敬老院、民办养老机构；慰问特困供养人员，贫困残疾人，孤儿，百岁老人；慰问重点优抚对象，现役军人家属；慰问六十年代精减退职职工等，慰问归侨侨眷120户，起义投诚人员3人，台属特困户3户，民主党派特困成员25户，工商联困难会员3人，宗教界代表人士及贫困宗教教职人员30人。为定居国外的知名华侨、华人、新移民及港澳台同胞73人发贺卡。开展东川区2020年统一战线各界人士新春联谊会。</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FF0000"/>
                <w:kern w:val="0"/>
                <w:sz w:val="24"/>
                <w:szCs w:val="24"/>
              </w:rPr>
            </w:pPr>
            <w:r>
              <w:rPr>
                <w:rFonts w:hint="eastAsia" w:ascii="仿宋_GB2312" w:hAnsi="仿宋_GB2312" w:cs="仿宋_GB2312"/>
                <w:kern w:val="0"/>
                <w:sz w:val="24"/>
                <w:szCs w:val="24"/>
              </w:rPr>
              <w:t>团区委</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2020年百姓春节联欢晚会活动经费</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努力为为青少年提供才艺施展平台，为全区人民群众提供丰富的精神食粮，更好地建设青少年文体活动阵地，满足人民群众对美好生活的需要，积极引导和组织广大青少年参与晚会，激发全区干部群众保持昂扬奋发的精神状态和饱满的工作热情，决战脱贫攻坚，决胜全面小康，加快建设“三美东川·创业铜都”。经区委、区政府研究决定举办2020年百姓春节联欢晚会，目前250000资金已全部使用完毕。</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昆明市东川区人社局（退管办）</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2020年春节系列活动经费</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慰问原东川矿务局退休人员9852人、抚恤遗属2033人，特困家庭100户、特困党员100人以及13支文艺队慰问演出、群众性棋牌赛。</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区总工会</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慰问特困职工8户，困难职工594人，市级以上劳模77人。切实解决节日期间困难职工生产生活问题，促进职工队伍稳定和社会和谐。</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昆明市东川区文体广电局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 xml:space="preserve">昆明市东川区文体广电局2020年迎新春系列文体活动  </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为贯彻落实党的十九大精神，营造欢乐祥和的节日气氛，丰富广大群众的节日文化生活；并加快推进体育强区建设，广泛开展全民健身活动，深入推动全区人民科学健身和文明健身。在区委、区政府关心支持下，2020年在迎新春之际，由东川区委宣传部牵头， 区文体局主办，区文化馆、区图书馆、区体育总会承办了东川区2020“迎新春系列活动”——“龙狮拜年”活动，为广大市民奉上了一道丰盛的节日文化大餐，丰富群众文化活动，活跃节日气氛。</w:t>
            </w:r>
          </w:p>
        </w:tc>
      </w:tr>
      <w:tr>
        <w:tblPrEx>
          <w:tblCellMar>
            <w:top w:w="15" w:type="dxa"/>
            <w:left w:w="15" w:type="dxa"/>
            <w:bottom w:w="15" w:type="dxa"/>
            <w:right w:w="15" w:type="dxa"/>
          </w:tblCellMar>
        </w:tblPrEx>
        <w:trPr>
          <w:trHeight w:val="43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区城管局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 送温暖”活动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主城区春节节日氛围营造</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东川区政府办</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1.慰问乡镇街道脱贫攻坚一线干部；慰问社会福利院、农村敬老院、民办养老机构；慰问特困供养人员，贫困残疾人，孤儿，百岁老人；慰问重点优抚对象，现役军人家属；慰问六十年代精减退职职工等。 2慰问春节期间13个单位在岗职工。3.</w:t>
            </w:r>
            <w:r>
              <w:rPr>
                <w:rFonts w:hint="eastAsia"/>
              </w:rPr>
              <w:t xml:space="preserve"> </w:t>
            </w:r>
            <w:r>
              <w:rPr>
                <w:rFonts w:hint="eastAsia" w:ascii="仿宋_GB2312" w:hAnsi="仿宋_GB2312" w:cs="仿宋_GB2312"/>
                <w:color w:val="000000" w:themeColor="text1"/>
                <w:kern w:val="0"/>
                <w:sz w:val="24"/>
                <w:szCs w:val="24"/>
                <w14:textFill>
                  <w14:solidFill>
                    <w14:schemeClr w14:val="tx1"/>
                  </w14:solidFill>
                </w14:textFill>
              </w:rPr>
              <w:t>东川区2020年春节游园活动</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东川区政协</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对乡镇脱贫攻坚一线人员及春节期间单位在岗职工新春慰问活动，为一线扶贫人员及基层岗位上的工作者送去党和政府的关怀和新春祝福。政协昆明市东川区委员会按照方案要求，慰问春节期间卫生系统、电信公司、政务中心等13个单位在岗职工，资金支出65000元。</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中共昆明市东川区委宣传部</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乡镇街道脱贫攻坚一线干部；慰问社会福利院、农村敬老院、民办养老机构；慰问特困供养人员，贫困残疾人，孤儿，百岁老人；慰问重点优抚对象，现役军人家属；慰问六十年代精减退职职工等。组织中央电视台文化进万家《唱响新时代》演出活动、中央芭蕾舞团小分队赴基层慰问演出活动、东川区2020年文化科技卫生“三下乡”活动。至2020年12月31日,2020年“迎新春·送温暖”系列活动经费，已全部使用完毕。</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东川区委老干部局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开展好2020年春节厅级领导及离休干部和遗属慰问工作，让老同志们过一个欢乐祥和的春节。</w:t>
            </w:r>
          </w:p>
        </w:tc>
      </w:tr>
      <w:tr>
        <w:tblPrEx>
          <w:tblCellMar>
            <w:top w:w="15" w:type="dxa"/>
            <w:left w:w="15" w:type="dxa"/>
            <w:bottom w:w="15" w:type="dxa"/>
            <w:right w:w="15" w:type="dxa"/>
          </w:tblCellMar>
        </w:tblPrEx>
        <w:trPr>
          <w:trHeight w:val="285"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昆明市东川区文体广电局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 xml:space="preserve">春节龙狮拜年活动，活动名称：东川区2020“迎新春系列活动”——“龙狮拜年”活动一场；2020年1月25日（大年初一）在古铜路、凯通路等城市主干道进行。      </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right w:val="single" w:color="000000" w:sz="4" w:space="0"/>
            </w:tcBorders>
            <w:shd w:val="clear" w:color="auto" w:fill="auto"/>
            <w:vAlign w:val="center"/>
          </w:tcPr>
          <w:p>
            <w:pPr>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文化惠民演出进社区，东川区文化馆积极组织文艺演出进机关、进村镇社区、进厂矿企业、进部队等，特别要把优质文化产品和服务送到农村地区、连片特困地区，把文化惠民工作作为重中之重抓紧抓实，真正使广大基层群众尤其是贫困地区群众不断得到文化实惠，提供基层群众最急最盼最缺最爱的文化产品和文化服务，实施精准服务、精准惠民。2020年1月5号至2月28日于铜都街道各社区、人民公园、对门山、起嘎、洗尾嘎搬迁安置点进行。</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文化惠民专场演出，为认真落实习近平总书记在文艺工作座谈会上的重要讲话及考察云南重要讲话精神，深化中国梦主题宣传教育活动，丰富人民群众精神文化生活，营造浓厚的节庆氛围，根据区委工作要求，结合我区实际，东川区文体广电局举行元旦、春节“迎新春文化惠民专场演出活动”。</w:t>
            </w:r>
          </w:p>
        </w:tc>
      </w:tr>
      <w:tr>
        <w:tblPrEx>
          <w:tblCellMar>
            <w:top w:w="15" w:type="dxa"/>
            <w:left w:w="15" w:type="dxa"/>
            <w:bottom w:w="15" w:type="dxa"/>
            <w:right w:w="15" w:type="dxa"/>
          </w:tblCellMar>
        </w:tblPrEx>
        <w:trPr>
          <w:trHeight w:val="285" w:hRule="atLeast"/>
        </w:trPr>
        <w:tc>
          <w:tcPr>
            <w:tcW w:w="142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昆明市东川区委组织部</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慰问农村生活困难党员；1957年前入党的农村党员；离任村干部、企业困难党员；因公牺牲干部家属。</w:t>
            </w:r>
          </w:p>
        </w:tc>
      </w:tr>
      <w:tr>
        <w:tblPrEx>
          <w:tblCellMar>
            <w:top w:w="15" w:type="dxa"/>
            <w:left w:w="15" w:type="dxa"/>
            <w:bottom w:w="15" w:type="dxa"/>
            <w:right w:w="15" w:type="dxa"/>
          </w:tblCellMar>
        </w:tblPrEx>
        <w:trPr>
          <w:trHeight w:val="285" w:hRule="atLeast"/>
        </w:trPr>
        <w:tc>
          <w:tcPr>
            <w:tcW w:w="142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东川区退役军人局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慰问区人民武装部、东川武警中队、区应急救援大队、铜都维稳分队</w:t>
            </w:r>
          </w:p>
        </w:tc>
      </w:tr>
      <w:tr>
        <w:tblPrEx>
          <w:tblCellMar>
            <w:top w:w="15" w:type="dxa"/>
            <w:left w:w="15" w:type="dxa"/>
            <w:bottom w:w="15" w:type="dxa"/>
            <w:right w:w="15" w:type="dxa"/>
          </w:tblCellMar>
        </w:tblPrEx>
        <w:trPr>
          <w:trHeight w:val="285" w:hRule="atLeast"/>
        </w:trPr>
        <w:tc>
          <w:tcPr>
            <w:tcW w:w="142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　移民新区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根据《中共昆明市东川区委办公室  昆明市东川区人民政府办公室关于做好2020年元旦春节期间有关工作的通知,《昆明市文化广播电视体育局关于深入开展扫黑除恶专项斗争主题宣传教育活动的通知》文件精神，为进一步加大脱贫攻坚文化宣传工作力度，广泛发动群众积极参与脱贫攻坚工作。积极“开展扫黑除恶，建设善美云南”，坚持扫黑除恶与建设善美云南相结合，集中开展主题宣传教育活动，让广大干部群众充分认识扫黑除恶专项斗争的重大意义，进一步增强广大人民群众与黑恶势力犯罪作斗争的行动自觉，为扫黑除恶工作营造良好社会氛围，引导广大人民群众不断追求美好幸福生活。同时激发群众内生发展动力，丰富群众文化生活，提高群众满意度，坚决打赢脱贫攻坚战，宣传慰问异地搬迁人民。“新时代新民风建设”“五星家庭”评比进行表彰授牌</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开展春节系列活动（趣味运动会、慰问等），拉近政府国家和人民的距离感。</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搬迁小区氛围营造，营造小区新年的过节氛围，体会党和国家对其辛勤努力的认可和关心</w:t>
            </w:r>
          </w:p>
        </w:tc>
      </w:tr>
      <w:tr>
        <w:tblPrEx>
          <w:tblCellMar>
            <w:top w:w="15" w:type="dxa"/>
            <w:left w:w="15" w:type="dxa"/>
            <w:bottom w:w="15" w:type="dxa"/>
            <w:right w:w="15" w:type="dxa"/>
          </w:tblCellMar>
        </w:tblPrEx>
        <w:trPr>
          <w:trHeight w:val="285" w:hRule="atLeast"/>
        </w:trPr>
        <w:tc>
          <w:tcPr>
            <w:tcW w:w="142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外出务工返乡人员代表和社区代表座谈会，对外出务工返乡人员代表和社区代表带去政府对他们的关心和新一年的祝福。</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东川区卫健局</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为了让全区人民过上一个欢乐祥和的春节，中共昆明市东川区委在全区范围内开展慰问计划生育困难家庭及失独人员家庭慰问活动。开展确定部分慰问对象进行走访慰问，为计划生育特殊家庭送去党和政府的关怀和新春祝福。按照方案要求，慰问全区计划生育特殊困难家庭293人，发放慰问金300元/人，共计87900元。</w:t>
            </w:r>
          </w:p>
        </w:tc>
      </w:tr>
      <w:tr>
        <w:tblPrEx>
          <w:tblCellMar>
            <w:top w:w="15" w:type="dxa"/>
            <w:left w:w="15" w:type="dxa"/>
            <w:bottom w:w="15" w:type="dxa"/>
            <w:right w:w="15"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东川区红十字会</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4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迎新春红十字博爱活动，范围内共200人，按方案要求每人200元，共40000元。</w:t>
            </w:r>
          </w:p>
        </w:tc>
      </w:tr>
    </w:tbl>
    <w:p>
      <w:pPr>
        <w:topLinePunct/>
        <w:spacing w:line="560" w:lineRule="atLeast"/>
        <w:ind w:firstLine="632" w:firstLineChars="200"/>
        <w:outlineLvl w:val="0"/>
        <w:rPr>
          <w:rFonts w:ascii="黑体" w:hAnsi="黑体" w:eastAsia="黑体"/>
          <w:color w:val="000000" w:themeColor="text1"/>
          <w:szCs w:val="32"/>
          <w14:textFill>
            <w14:solidFill>
              <w14:schemeClr w14:val="tx1"/>
            </w14:solidFill>
          </w14:textFill>
        </w:rPr>
      </w:pPr>
      <w:bookmarkStart w:id="32" w:name="_Toc12512_WPSOffice_Level1"/>
      <w:bookmarkStart w:id="33" w:name="_Toc7211"/>
      <w:bookmarkStart w:id="34" w:name="_Toc4813"/>
      <w:r>
        <w:rPr>
          <w:rFonts w:hint="eastAsia" w:ascii="黑体" w:hAnsi="黑体" w:eastAsia="黑体"/>
          <w:color w:val="000000" w:themeColor="text1"/>
          <w:szCs w:val="32"/>
          <w14:textFill>
            <w14:solidFill>
              <w14:schemeClr w14:val="tx1"/>
            </w14:solidFill>
          </w14:textFill>
        </w:rPr>
        <w:t>二、绩效评价工作情况</w:t>
      </w:r>
      <w:bookmarkEnd w:id="32"/>
      <w:bookmarkEnd w:id="33"/>
      <w:bookmarkEnd w:id="34"/>
    </w:p>
    <w:p>
      <w:pPr>
        <w:topLinePunct/>
        <w:spacing w:line="560" w:lineRule="atLeast"/>
        <w:ind w:firstLine="790" w:firstLineChars="250"/>
        <w:outlineLvl w:val="1"/>
        <w:rPr>
          <w:rFonts w:ascii="楷体" w:hAnsi="楷体" w:eastAsia="楷体"/>
          <w:color w:val="000000" w:themeColor="text1"/>
          <w:szCs w:val="32"/>
          <w14:textFill>
            <w14:solidFill>
              <w14:schemeClr w14:val="tx1"/>
            </w14:solidFill>
          </w14:textFill>
        </w:rPr>
      </w:pPr>
      <w:bookmarkStart w:id="35" w:name="_Toc16579"/>
      <w:bookmarkStart w:id="36" w:name="_Toc3114"/>
      <w:bookmarkStart w:id="37" w:name="_Toc12512_WPSOffice_Level2"/>
      <w:r>
        <w:rPr>
          <w:rFonts w:hint="eastAsia" w:ascii="楷体" w:hAnsi="楷体" w:eastAsia="楷体"/>
          <w:color w:val="000000" w:themeColor="text1"/>
          <w:szCs w:val="32"/>
          <w14:textFill>
            <w14:solidFill>
              <w14:schemeClr w14:val="tx1"/>
            </w14:solidFill>
          </w14:textFill>
        </w:rPr>
        <w:t>（一）绩效评价目的</w:t>
      </w:r>
      <w:bookmarkEnd w:id="35"/>
      <w:bookmarkEnd w:id="36"/>
      <w:bookmarkEnd w:id="37"/>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的有效性，评价财政资金的使用效率和效果，为以后年度编制项目预算、选择项目实施主体等提供参考依据。</w:t>
      </w:r>
    </w:p>
    <w:p>
      <w:pPr>
        <w:topLinePunct/>
        <w:spacing w:line="560" w:lineRule="atLeast"/>
        <w:ind w:firstLine="790" w:firstLineChars="250"/>
        <w:outlineLvl w:val="1"/>
        <w:rPr>
          <w:rFonts w:ascii="楷体" w:hAnsi="楷体" w:eastAsia="楷体"/>
          <w:color w:val="000000" w:themeColor="text1"/>
          <w:szCs w:val="32"/>
          <w14:textFill>
            <w14:solidFill>
              <w14:schemeClr w14:val="tx1"/>
            </w14:solidFill>
          </w14:textFill>
        </w:rPr>
      </w:pPr>
      <w:bookmarkStart w:id="38" w:name="_Toc11471_WPSOffice_Level2"/>
      <w:bookmarkStart w:id="39" w:name="_Toc31776"/>
      <w:bookmarkStart w:id="40" w:name="_Toc6074"/>
      <w:r>
        <w:rPr>
          <w:rFonts w:hint="eastAsia" w:ascii="楷体" w:hAnsi="楷体" w:eastAsia="楷体"/>
          <w:color w:val="000000" w:themeColor="text1"/>
          <w:szCs w:val="32"/>
          <w14:textFill>
            <w14:solidFill>
              <w14:schemeClr w14:val="tx1"/>
            </w14:solidFill>
          </w14:textFill>
        </w:rPr>
        <w:t>（二）绩效评价工作方案制定过程</w:t>
      </w:r>
      <w:bookmarkEnd w:id="38"/>
      <w:bookmarkEnd w:id="39"/>
      <w:bookmarkEnd w:id="40"/>
    </w:p>
    <w:p>
      <w:p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41" w:name="_Toc4376_WPSOffice_Level3"/>
      <w:bookmarkStart w:id="42" w:name="_Toc4052"/>
      <w:bookmarkStart w:id="43" w:name="_Toc14587"/>
      <w:r>
        <w:rPr>
          <w:rFonts w:hint="eastAsia" w:ascii="仿宋_GB2312" w:hAnsi="楷体"/>
          <w:b/>
          <w:color w:val="000000" w:themeColor="text1"/>
          <w:szCs w:val="32"/>
          <w14:textFill>
            <w14:solidFill>
              <w14:schemeClr w14:val="tx1"/>
            </w14:solidFill>
          </w14:textFill>
        </w:rPr>
        <w:t>1.前期调研</w:t>
      </w:r>
      <w:bookmarkEnd w:id="41"/>
      <w:bookmarkEnd w:id="42"/>
      <w:bookmarkEnd w:id="43"/>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中国共产党昆明市东川区委员会办公室</w:t>
      </w:r>
      <w:r>
        <w:rPr>
          <w:rFonts w:hint="eastAsia" w:ascii="仿宋_GB2312" w:hAnsi="楷体"/>
          <w:color w:val="000000" w:themeColor="text1"/>
          <w:szCs w:val="32"/>
          <w14:textFill>
            <w14:solidFill>
              <w14:schemeClr w14:val="tx1"/>
            </w14:solidFill>
          </w14:textFill>
        </w:rPr>
        <w:t>成立绩效评价工作小组，对本单位的项目报送情况进行整理，结合掌握情况，对报送的项目实施情况进行调研分析、核查落实，在核查无误的情况下进行汇总，为绩效评价工作奠定基础。</w:t>
      </w:r>
    </w:p>
    <w:p>
      <w:pPr>
        <w:numPr>
          <w:ilvl w:val="0"/>
          <w:numId w:val="3"/>
        </w:numPr>
        <w:topLinePunct/>
        <w:spacing w:line="560" w:lineRule="atLeast"/>
        <w:ind w:firstLine="790" w:firstLineChars="250"/>
        <w:outlineLvl w:val="2"/>
        <w:rPr>
          <w:rFonts w:ascii="仿宋_GB2312" w:hAnsi="楷体"/>
          <w:b/>
          <w:szCs w:val="32"/>
        </w:rPr>
      </w:pPr>
      <w:bookmarkStart w:id="44" w:name="_Toc14727"/>
      <w:bookmarkStart w:id="45" w:name="_Toc2850_WPSOffice_Level3"/>
      <w:bookmarkStart w:id="46" w:name="_Toc3799"/>
      <w:r>
        <w:rPr>
          <w:rFonts w:hint="eastAsia" w:ascii="仿宋_GB2312" w:hAnsi="楷体"/>
          <w:b/>
          <w:szCs w:val="32"/>
        </w:rPr>
        <w:t>研究文件</w:t>
      </w:r>
      <w:bookmarkEnd w:id="44"/>
      <w:bookmarkEnd w:id="45"/>
      <w:bookmarkEnd w:id="46"/>
    </w:p>
    <w:p>
      <w:pPr>
        <w:spacing w:line="560" w:lineRule="atLeast"/>
        <w:ind w:firstLine="632" w:firstLineChars="200"/>
        <w:jc w:val="left"/>
        <w:rPr>
          <w:rFonts w:ascii="仿宋_GB2312" w:hAnsi="楷体"/>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中国共产党昆明市东川区委员会办公室根据</w:t>
      </w:r>
      <w:r>
        <w:rPr>
          <w:rFonts w:hint="eastAsia" w:ascii="仿宋_GB2312" w:hAnsi="楷体"/>
          <w:color w:val="000000" w:themeColor="text1"/>
          <w:szCs w:val="32"/>
          <w14:textFill>
            <w14:solidFill>
              <w14:schemeClr w14:val="tx1"/>
            </w14:solidFill>
          </w14:textFill>
        </w:rPr>
        <w:t>《中华人民共和国预算法》，按照《昆明市人民政府关于全面推进预算绩效管理改革的实施意见》（昆政发﹝2016﹞21号）和</w:t>
      </w:r>
      <w:r>
        <w:rPr>
          <w:rFonts w:hint="eastAsia" w:ascii="仿宋_GB2312" w:hAnsi="仿宋_GB2312" w:cs="仿宋_GB2312"/>
        </w:rPr>
        <w:t>《昆明市东川区财政局关于开展东川区2020年度绩效自评工作的通知》（东财绩〔2021〕4号）</w:t>
      </w:r>
      <w:r>
        <w:rPr>
          <w:rFonts w:hint="eastAsia" w:ascii="仿宋_GB2312" w:hAnsi="楷体"/>
          <w:color w:val="000000" w:themeColor="text1"/>
          <w:szCs w:val="32"/>
          <w14:textFill>
            <w14:solidFill>
              <w14:schemeClr w14:val="tx1"/>
            </w14:solidFill>
          </w14:textFill>
        </w:rPr>
        <w:t>文件要求，查看单位年度工作任务目标，专项资金项目，绩效目标申报表，为开展绩效评价工作奠定基础。</w:t>
      </w:r>
      <w:bookmarkStart w:id="47" w:name="_Toc7088_WPSOffice_Level3"/>
      <w:bookmarkStart w:id="48" w:name="_Toc18102"/>
      <w:bookmarkStart w:id="49" w:name="_Toc29899"/>
    </w:p>
    <w:p>
      <w:pPr>
        <w:spacing w:line="560" w:lineRule="atLeast"/>
        <w:ind w:firstLine="632" w:firstLineChars="200"/>
        <w:jc w:val="left"/>
        <w:rPr>
          <w:rFonts w:ascii="仿宋_GB2312" w:hAnsi="仿宋_GB2312"/>
          <w:b/>
          <w:color w:val="000000" w:themeColor="text1"/>
          <w:szCs w:val="32"/>
          <w:highlight w:val="yellow"/>
          <w14:textFill>
            <w14:solidFill>
              <w14:schemeClr w14:val="tx1"/>
            </w14:solidFill>
          </w14:textFill>
        </w:rPr>
      </w:pPr>
      <w:r>
        <w:rPr>
          <w:rFonts w:hint="eastAsia" w:ascii="仿宋_GB2312" w:hAnsi="仿宋_GB2312"/>
          <w:b/>
          <w:color w:val="000000" w:themeColor="text1"/>
          <w:szCs w:val="32"/>
          <w14:textFill>
            <w14:solidFill>
              <w14:schemeClr w14:val="tx1"/>
            </w14:solidFill>
          </w14:textFill>
        </w:rPr>
        <w:t>3.绩效评价指标体系及工作方案的设计</w:t>
      </w:r>
      <w:bookmarkEnd w:id="47"/>
      <w:bookmarkEnd w:id="48"/>
      <w:bookmarkEnd w:id="49"/>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topLinePunct/>
        <w:spacing w:line="560" w:lineRule="atLeast"/>
        <w:ind w:firstLine="790" w:firstLineChars="250"/>
        <w:outlineLvl w:val="1"/>
        <w:rPr>
          <w:rFonts w:ascii="楷体_GB2312" w:hAnsi="楷体" w:eastAsia="楷体_GB2312" w:cs="楷体"/>
          <w:color w:val="000000" w:themeColor="text1"/>
          <w:szCs w:val="32"/>
          <w14:textFill>
            <w14:solidFill>
              <w14:schemeClr w14:val="tx1"/>
            </w14:solidFill>
          </w14:textFill>
        </w:rPr>
      </w:pPr>
      <w:bookmarkStart w:id="50" w:name="_Toc3884"/>
      <w:bookmarkStart w:id="51" w:name="_Toc31331_WPSOffice_Level2"/>
      <w:bookmarkStart w:id="52" w:name="_Toc5669"/>
      <w:r>
        <w:rPr>
          <w:rFonts w:hint="eastAsia" w:ascii="楷体_GB2312" w:hAnsi="楷体" w:eastAsia="楷体_GB2312" w:cs="楷体"/>
          <w:color w:val="000000" w:themeColor="text1"/>
          <w:szCs w:val="32"/>
          <w14:textFill>
            <w14:solidFill>
              <w14:schemeClr w14:val="tx1"/>
            </w14:solidFill>
          </w14:textFill>
        </w:rPr>
        <w:t>（三）绩效评价原则、评价方法</w:t>
      </w:r>
      <w:bookmarkEnd w:id="50"/>
      <w:bookmarkEnd w:id="51"/>
      <w:bookmarkEnd w:id="52"/>
    </w:p>
    <w:p>
      <w:p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53" w:name="_Toc15295"/>
      <w:bookmarkStart w:id="54" w:name="_Toc6299"/>
      <w:bookmarkStart w:id="55" w:name="_Toc13043_WPSOffice_Level3"/>
      <w:r>
        <w:rPr>
          <w:rFonts w:hint="eastAsia" w:ascii="仿宋_GB2312" w:hAnsi="楷体"/>
          <w:b/>
          <w:color w:val="000000" w:themeColor="text1"/>
          <w:szCs w:val="32"/>
          <w14:textFill>
            <w14:solidFill>
              <w14:schemeClr w14:val="tx1"/>
            </w14:solidFill>
          </w14:textFill>
        </w:rPr>
        <w:t>1.绩效评价原则</w:t>
      </w:r>
      <w:bookmarkEnd w:id="53"/>
      <w:bookmarkEnd w:id="54"/>
      <w:bookmarkEnd w:id="55"/>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我办此次绩效自评坚持如下原则：经济性、效率性和有效性原则；经济效益、社会效益和生态环境效益原则；财政支出和产出绩效对应原则；定量分析与定性分析相结合原则。</w:t>
      </w:r>
    </w:p>
    <w:p>
      <w:p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56" w:name="_Toc24976"/>
      <w:bookmarkStart w:id="57" w:name="_Toc923_WPSOffice_Level3"/>
      <w:bookmarkStart w:id="58" w:name="_Toc32224"/>
      <w:r>
        <w:rPr>
          <w:rFonts w:hint="eastAsia" w:ascii="仿宋_GB2312" w:hAnsi="楷体"/>
          <w:b/>
          <w:color w:val="000000" w:themeColor="text1"/>
          <w:szCs w:val="32"/>
          <w14:textFill>
            <w14:solidFill>
              <w14:schemeClr w14:val="tx1"/>
            </w14:solidFill>
          </w14:textFill>
        </w:rPr>
        <w:t>2.绩效评价方法</w:t>
      </w:r>
      <w:bookmarkEnd w:id="56"/>
      <w:bookmarkEnd w:id="57"/>
      <w:bookmarkEnd w:id="58"/>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中共昆明市东川区委办公室根据《中华人民共和国预算法》，按照《昆明市人民政府关于全面推进预算绩效管理改革的实施意见》（昆政发﹝2016﹞21号）和</w:t>
      </w:r>
      <w:r>
        <w:rPr>
          <w:rFonts w:hint="eastAsia" w:ascii="仿宋_GB2312" w:hAnsi="仿宋_GB2312" w:cs="仿宋_GB2312"/>
        </w:rPr>
        <w:t>《昆明市东川区财政局关于开展东川区2020年度绩效自评工作的通知》（东财绩〔2021〕4号）文件要求，</w:t>
      </w:r>
      <w:r>
        <w:rPr>
          <w:rFonts w:hint="eastAsia" w:ascii="仿宋_GB2312" w:hAnsi="仿宋_GB2312" w:cs="仿宋_GB2312"/>
          <w:color w:val="000000" w:themeColor="text1"/>
          <w:szCs w:val="32"/>
          <w14:textFill>
            <w14:solidFill>
              <w14:schemeClr w14:val="tx1"/>
            </w14:solidFill>
          </w14:textFill>
        </w:rPr>
        <w:t>比较分析的办法，对部门规划、项目立项、管理制度、绩效指标、预算执行、资金使用、项目监管、绩效目标的完成情况及产生效果进行评价。</w:t>
      </w:r>
    </w:p>
    <w:p>
      <w:pPr>
        <w:topLinePunct/>
        <w:spacing w:line="560" w:lineRule="atLeast"/>
        <w:ind w:firstLine="790" w:firstLineChars="250"/>
        <w:outlineLvl w:val="1"/>
        <w:rPr>
          <w:rFonts w:ascii="楷体_GB2312" w:hAnsi="楷体" w:eastAsia="楷体_GB2312"/>
          <w:color w:val="000000" w:themeColor="text1"/>
          <w:szCs w:val="32"/>
          <w14:textFill>
            <w14:solidFill>
              <w14:schemeClr w14:val="tx1"/>
            </w14:solidFill>
          </w14:textFill>
        </w:rPr>
      </w:pPr>
      <w:bookmarkStart w:id="59" w:name="_Toc30576_WPSOffice_Level2"/>
      <w:bookmarkStart w:id="60" w:name="_Toc2891"/>
      <w:bookmarkStart w:id="61" w:name="_Toc20852"/>
      <w:r>
        <w:rPr>
          <w:rFonts w:hint="eastAsia" w:ascii="楷体_GB2312" w:hAnsi="楷体" w:eastAsia="楷体_GB2312"/>
          <w:color w:val="000000" w:themeColor="text1"/>
          <w:szCs w:val="32"/>
          <w14:textFill>
            <w14:solidFill>
              <w14:schemeClr w14:val="tx1"/>
            </w14:solidFill>
          </w14:textFill>
        </w:rPr>
        <w:t>（四）绩效评价实施过程</w:t>
      </w:r>
      <w:bookmarkEnd w:id="59"/>
      <w:bookmarkEnd w:id="60"/>
      <w:bookmarkEnd w:id="61"/>
    </w:p>
    <w:p>
      <w:p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62" w:name="_Toc15041_WPSOffice_Level3"/>
      <w:bookmarkStart w:id="63" w:name="_Toc29169"/>
      <w:bookmarkStart w:id="64" w:name="_Toc25031"/>
      <w:r>
        <w:rPr>
          <w:rFonts w:hint="eastAsia" w:ascii="仿宋_GB2312" w:hAnsi="楷体"/>
          <w:b/>
          <w:color w:val="000000" w:themeColor="text1"/>
          <w:szCs w:val="32"/>
          <w14:textFill>
            <w14:solidFill>
              <w14:schemeClr w14:val="tx1"/>
            </w14:solidFill>
          </w14:textFill>
        </w:rPr>
        <w:t>1.数据填报和采集</w:t>
      </w:r>
      <w:bookmarkEnd w:id="62"/>
      <w:bookmarkEnd w:id="63"/>
      <w:bookmarkEnd w:id="64"/>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本次绩效评价数据来源于预算批复及明细、部门决算报表、绩效目标申报表、绩效目标完成情况、部门年度工作总结，基础数据台账，根据以上资料进行分析汇总，形成绩效自评报告的基础数据。</w:t>
      </w:r>
    </w:p>
    <w:p>
      <w:pPr>
        <w:numPr>
          <w:ilvl w:val="0"/>
          <w:numId w:val="4"/>
        </w:num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65" w:name="_Toc5280_WPSOffice_Level3"/>
      <w:bookmarkStart w:id="66" w:name="_Toc17260"/>
      <w:bookmarkStart w:id="67" w:name="_Toc32454"/>
      <w:r>
        <w:rPr>
          <w:rFonts w:hint="eastAsia" w:ascii="仿宋_GB2312" w:hAnsi="楷体"/>
          <w:b/>
          <w:color w:val="000000" w:themeColor="text1"/>
          <w:szCs w:val="32"/>
          <w14:textFill>
            <w14:solidFill>
              <w14:schemeClr w14:val="tx1"/>
            </w14:solidFill>
          </w14:textFill>
        </w:rPr>
        <w:t>社会调查</w:t>
      </w:r>
      <w:bookmarkEnd w:id="65"/>
      <w:bookmarkEnd w:id="66"/>
      <w:bookmarkEnd w:id="67"/>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中国共产党昆明市东川区委员会办公室绩效评价工作小组根据项目的开展情况，设计相关的调查问卷，对社会公众对象进行满意度调查，并对调查结果进行统计分析，形成社会调查问卷分析报告。</w:t>
      </w:r>
    </w:p>
    <w:p>
      <w:pPr>
        <w:numPr>
          <w:ilvl w:val="0"/>
          <w:numId w:val="4"/>
        </w:numPr>
        <w:topLinePunct/>
        <w:spacing w:line="560" w:lineRule="atLeast"/>
        <w:ind w:firstLine="790" w:firstLineChars="250"/>
        <w:outlineLvl w:val="2"/>
        <w:rPr>
          <w:rFonts w:ascii="仿宋_GB2312" w:hAnsi="楷体"/>
          <w:b/>
          <w:color w:val="000000" w:themeColor="text1"/>
          <w:szCs w:val="32"/>
          <w14:textFill>
            <w14:solidFill>
              <w14:schemeClr w14:val="tx1"/>
            </w14:solidFill>
          </w14:textFill>
        </w:rPr>
      </w:pPr>
      <w:bookmarkStart w:id="68" w:name="_Toc22779_WPSOffice_Level3"/>
      <w:bookmarkStart w:id="69" w:name="_Toc12388"/>
      <w:bookmarkStart w:id="70" w:name="_Toc27606"/>
      <w:r>
        <w:rPr>
          <w:rFonts w:hint="eastAsia" w:ascii="仿宋_GB2312" w:hAnsi="楷体"/>
          <w:b/>
          <w:color w:val="000000" w:themeColor="text1"/>
          <w:szCs w:val="32"/>
          <w14:textFill>
            <w14:solidFill>
              <w14:schemeClr w14:val="tx1"/>
            </w14:solidFill>
          </w14:textFill>
        </w:rPr>
        <w:t>数据分析和撰写报告</w:t>
      </w:r>
      <w:bookmarkEnd w:id="68"/>
      <w:bookmarkEnd w:id="69"/>
      <w:bookmarkEnd w:id="70"/>
    </w:p>
    <w:p>
      <w:pPr>
        <w:topLinePunct/>
        <w:spacing w:line="560" w:lineRule="atLeast"/>
        <w:ind w:firstLine="632" w:firstLineChars="20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根据要求，中国共产党昆明市东川区委员会办公室对</w:t>
      </w:r>
      <w:r>
        <w:rPr>
          <w:rFonts w:hint="eastAsia" w:ascii="仿宋_GB2312"/>
          <w:color w:val="000000" w:themeColor="text1"/>
          <w:szCs w:val="32"/>
          <w14:textFill>
            <w14:solidFill>
              <w14:schemeClr w14:val="tx1"/>
            </w14:solidFill>
          </w14:textFill>
        </w:rPr>
        <w:t>区级2020年度年初预算批复（含年度预算调整）未纳入部门整体支出绩效目标管理的项目支出资金、上级专项转移支付资金及区财政局代编支出的专项资金项</w:t>
      </w:r>
      <w:r>
        <w:rPr>
          <w:rFonts w:hint="eastAsia" w:ascii="仿宋_GB2312" w:hAnsi="宋体" w:cs="宋体"/>
          <w:color w:val="000000" w:themeColor="text1"/>
          <w:kern w:val="0"/>
          <w:szCs w:val="32"/>
          <w14:textFill>
            <w14:solidFill>
              <w14:schemeClr w14:val="tx1"/>
            </w14:solidFill>
          </w14:textFill>
        </w:rPr>
        <w:t>目</w:t>
      </w:r>
      <w:r>
        <w:rPr>
          <w:rFonts w:hint="eastAsia" w:ascii="仿宋_GB2312" w:hAnsi="楷体"/>
          <w:color w:val="000000" w:themeColor="text1"/>
          <w:szCs w:val="32"/>
          <w14:textFill>
            <w14:solidFill>
              <w14:schemeClr w14:val="tx1"/>
            </w14:solidFill>
          </w14:textFill>
        </w:rPr>
        <w:t>从项目决策、项目管理、项目绩效（包括产出和效益）三个方面进行评价，得出评价结论及得分，撰写绩效自评报告。</w:t>
      </w:r>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项目决策方面，主要是评价绩效目标的设定情况，包括绩效目标设立的充分性、明确性、合理性以及细化程度，看绩效目标的设立是否符合客观实际，是否与部门履职相一致，绩效指标是否清晰、细化、可衡量。</w:t>
      </w:r>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topLinePunct/>
        <w:spacing w:line="560" w:lineRule="atLeas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项目绩效方面，主要是绩效目标的实现程度和效果，绩效目标的实现程度包括产出数量、产出质量、产出时效和产出成本；效果包括经济效益、社会效益、生态效益、可持续影响以及服务对象满意度等。</w:t>
      </w:r>
    </w:p>
    <w:p>
      <w:pPr>
        <w:numPr>
          <w:ilvl w:val="0"/>
          <w:numId w:val="5"/>
        </w:numPr>
        <w:topLinePunct/>
        <w:spacing w:line="560" w:lineRule="atLeast"/>
        <w:ind w:firstLine="790" w:firstLineChars="250"/>
        <w:outlineLvl w:val="1"/>
        <w:rPr>
          <w:rFonts w:ascii="楷体_GB2312" w:hAnsi="楷体" w:eastAsia="楷体_GB2312"/>
          <w:color w:val="000000" w:themeColor="text1"/>
          <w:szCs w:val="32"/>
          <w14:textFill>
            <w14:solidFill>
              <w14:schemeClr w14:val="tx1"/>
            </w14:solidFill>
          </w14:textFill>
        </w:rPr>
      </w:pPr>
      <w:bookmarkStart w:id="71" w:name="_Toc15096"/>
      <w:bookmarkStart w:id="72" w:name="_Toc4376_WPSOffice_Level2"/>
      <w:bookmarkStart w:id="73" w:name="_Toc1002"/>
      <w:r>
        <w:rPr>
          <w:rFonts w:hint="eastAsia" w:ascii="楷体_GB2312" w:hAnsi="楷体" w:eastAsia="楷体_GB2312"/>
          <w:color w:val="000000" w:themeColor="text1"/>
          <w:szCs w:val="32"/>
          <w14:textFill>
            <w14:solidFill>
              <w14:schemeClr w14:val="tx1"/>
            </w14:solidFill>
          </w14:textFill>
        </w:rPr>
        <w:t>本次绩效评价的局限性</w:t>
      </w:r>
      <w:bookmarkEnd w:id="71"/>
      <w:bookmarkEnd w:id="72"/>
      <w:bookmarkEnd w:id="73"/>
    </w:p>
    <w:p>
      <w:pPr>
        <w:spacing w:line="560" w:lineRule="atLeas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由于本次绩效评价为自评，时间及获取资料有限，往往带有一定的主观性。</w:t>
      </w:r>
    </w:p>
    <w:p>
      <w:pPr>
        <w:topLinePunct/>
        <w:spacing w:line="560" w:lineRule="atLeast"/>
        <w:ind w:firstLine="790" w:firstLineChars="250"/>
        <w:outlineLvl w:val="0"/>
        <w:rPr>
          <w:rFonts w:ascii="黑体" w:hAnsi="黑体" w:eastAsia="黑体"/>
          <w:color w:val="000000" w:themeColor="text1"/>
          <w:szCs w:val="32"/>
          <w14:textFill>
            <w14:solidFill>
              <w14:schemeClr w14:val="tx1"/>
            </w14:solidFill>
          </w14:textFill>
        </w:rPr>
      </w:pPr>
      <w:bookmarkStart w:id="74" w:name="_Toc11471_WPSOffice_Level1"/>
      <w:bookmarkStart w:id="75" w:name="_Toc2474"/>
      <w:bookmarkStart w:id="76" w:name="_Toc22436"/>
      <w:r>
        <w:rPr>
          <w:rFonts w:hint="eastAsia" w:ascii="黑体" w:hAnsi="黑体" w:eastAsia="黑体"/>
          <w:color w:val="000000" w:themeColor="text1"/>
          <w:szCs w:val="32"/>
          <w14:textFill>
            <w14:solidFill>
              <w14:schemeClr w14:val="tx1"/>
            </w14:solidFill>
          </w14:textFill>
        </w:rPr>
        <w:t>三、评价结论和绩效分析</w:t>
      </w:r>
      <w:bookmarkEnd w:id="74"/>
      <w:bookmarkEnd w:id="75"/>
      <w:bookmarkEnd w:id="76"/>
    </w:p>
    <w:p>
      <w:pPr>
        <w:topLinePunct/>
        <w:spacing w:line="560" w:lineRule="atLeast"/>
        <w:ind w:firstLine="790" w:firstLineChars="250"/>
        <w:outlineLvl w:val="1"/>
        <w:rPr>
          <w:rFonts w:ascii="楷体" w:hAnsi="楷体" w:eastAsia="楷体"/>
          <w:color w:val="000000" w:themeColor="text1"/>
          <w:szCs w:val="32"/>
          <w14:textFill>
            <w14:solidFill>
              <w14:schemeClr w14:val="tx1"/>
            </w14:solidFill>
          </w14:textFill>
        </w:rPr>
      </w:pPr>
      <w:bookmarkStart w:id="77" w:name="_Toc2854"/>
      <w:bookmarkStart w:id="78" w:name="_Toc2850_WPSOffice_Level2"/>
      <w:bookmarkStart w:id="79" w:name="_Toc31192"/>
      <w:r>
        <w:rPr>
          <w:rFonts w:hint="eastAsia" w:ascii="楷体" w:hAnsi="楷体" w:eastAsia="楷体"/>
          <w:color w:val="000000" w:themeColor="text1"/>
          <w:szCs w:val="32"/>
          <w14:textFill>
            <w14:solidFill>
              <w14:schemeClr w14:val="tx1"/>
            </w14:solidFill>
          </w14:textFill>
        </w:rPr>
        <w:t>（一）评价结论</w:t>
      </w:r>
      <w:bookmarkEnd w:id="77"/>
      <w:bookmarkEnd w:id="78"/>
      <w:bookmarkEnd w:id="79"/>
    </w:p>
    <w:p>
      <w:pPr>
        <w:topLinePunct/>
        <w:spacing w:line="560" w:lineRule="atLeast"/>
        <w:ind w:firstLine="790" w:firstLineChars="250"/>
        <w:outlineLvl w:val="2"/>
        <w:rPr>
          <w:rFonts w:ascii="仿宋_GB2312" w:hAnsi="仿宋_GB2312" w:cs="仿宋_GB2312"/>
          <w:color w:val="000000" w:themeColor="text1"/>
          <w:szCs w:val="32"/>
          <w14:textFill>
            <w14:solidFill>
              <w14:schemeClr w14:val="tx1"/>
            </w14:solidFill>
          </w14:textFill>
        </w:rPr>
      </w:pPr>
      <w:bookmarkStart w:id="80" w:name="_Toc21356"/>
      <w:bookmarkStart w:id="81" w:name="_Toc10054"/>
      <w:bookmarkStart w:id="82" w:name="_Toc26168_WPSOffice_Level3"/>
      <w:r>
        <w:rPr>
          <w:rFonts w:hint="eastAsia" w:ascii="仿宋_GB2312" w:hAnsi="仿宋_GB2312" w:cs="仿宋_GB2312"/>
          <w:color w:val="000000" w:themeColor="text1"/>
          <w:szCs w:val="32"/>
          <w14:textFill>
            <w14:solidFill>
              <w14:schemeClr w14:val="tx1"/>
            </w14:solidFill>
          </w14:textFill>
        </w:rPr>
        <w:t>1.评价结果</w:t>
      </w:r>
      <w:bookmarkEnd w:id="80"/>
      <w:bookmarkEnd w:id="81"/>
      <w:bookmarkEnd w:id="82"/>
    </w:p>
    <w:p>
      <w:pPr>
        <w:spacing w:line="560" w:lineRule="atLeas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经评价，本次中共昆明市东川区委办公室预算支出绩效自评得分:97分，评价等级为“优”。</w:t>
      </w:r>
    </w:p>
    <w:p>
      <w:pPr>
        <w:numPr>
          <w:ilvl w:val="0"/>
          <w:numId w:val="6"/>
        </w:numPr>
        <w:topLinePunct/>
        <w:spacing w:line="580" w:lineRule="exact"/>
        <w:ind w:firstLine="790" w:firstLineChars="250"/>
        <w:outlineLvl w:val="2"/>
        <w:rPr>
          <w:rFonts w:ascii="仿宋_GB2312" w:hAnsi="仿宋"/>
          <w:color w:val="000000" w:themeColor="text1"/>
          <w:szCs w:val="32"/>
          <w14:textFill>
            <w14:solidFill>
              <w14:schemeClr w14:val="tx1"/>
            </w14:solidFill>
          </w14:textFill>
        </w:rPr>
      </w:pPr>
      <w:bookmarkStart w:id="83" w:name="_Toc32521_WPSOffice_Level3"/>
      <w:bookmarkStart w:id="84" w:name="_Toc17817"/>
      <w:bookmarkStart w:id="85" w:name="_Toc11469"/>
      <w:r>
        <w:rPr>
          <w:rFonts w:hint="eastAsia" w:ascii="仿宋_GB2312" w:hAnsi="仿宋"/>
          <w:color w:val="000000" w:themeColor="text1"/>
          <w:szCs w:val="32"/>
          <w14:textFill>
            <w14:solidFill>
              <w14:schemeClr w14:val="tx1"/>
            </w14:solidFill>
          </w14:textFill>
        </w:rPr>
        <w:t>主要绩效</w:t>
      </w:r>
      <w:bookmarkEnd w:id="83"/>
      <w:bookmarkEnd w:id="84"/>
      <w:bookmarkEnd w:id="85"/>
    </w:p>
    <w:tbl>
      <w:tblPr>
        <w:tblStyle w:val="17"/>
        <w:tblW w:w="8820" w:type="dxa"/>
        <w:tblInd w:w="0" w:type="dxa"/>
        <w:tblLayout w:type="fixed"/>
        <w:tblCellMar>
          <w:top w:w="15" w:type="dxa"/>
          <w:left w:w="15" w:type="dxa"/>
          <w:bottom w:w="15" w:type="dxa"/>
          <w:right w:w="15" w:type="dxa"/>
        </w:tblCellMar>
      </w:tblPr>
      <w:tblGrid>
        <w:gridCol w:w="1035"/>
        <w:gridCol w:w="1532"/>
        <w:gridCol w:w="5458"/>
        <w:gridCol w:w="795"/>
      </w:tblGrid>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实施单位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项目名称</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主要绩效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b/>
                <w:color w:val="000000" w:themeColor="text1"/>
                <w:kern w:val="0"/>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完成情况</w:t>
            </w:r>
          </w:p>
        </w:tc>
      </w:tr>
      <w:tr>
        <w:tblPrEx>
          <w:tblCellMar>
            <w:top w:w="15" w:type="dxa"/>
            <w:left w:w="15" w:type="dxa"/>
            <w:bottom w:w="15" w:type="dxa"/>
            <w:right w:w="15" w:type="dxa"/>
          </w:tblCellMar>
        </w:tblPrEx>
        <w:trPr>
          <w:trHeight w:val="285" w:hRule="atLeast"/>
        </w:trPr>
        <w:tc>
          <w:tcPr>
            <w:tcW w:w="103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昆明市东川区委政法委</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春节期间慰问13家单位在岗职工</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春节期间慰问东川区公安局、东川区客运中心在岗职工脱贫攻坚一线干部。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vMerge w:val="continue"/>
            <w:tcBorders>
              <w:left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慰问见义勇为牺牲家属、致残人员</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春节期间慰问见义勇为牺牲家属、致残人员。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慰问乌龙镇基层干部群众</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慰问乌龙镇乡镇街道脱贫攻坚一线干部；慰问社会福利院、农村敬老院、民办养老机构；慰问特困供养人员，贫困残疾人，孤儿，百岁老人；慰问重点优抚对象，现役军人家属；慰问六十年代精减退职职工等。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东川区委办</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开展对乡镇脱贫攻坚一线人员及春节期间单位在岗职工新春慰问活动，为一线扶贫人员及基层岗位上的工作者送去党和政府的关怀和新春祝福。春节慰问红土地镇、铜都街道、舍块乡脱贫攻坚一线干部，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昆明市东川区妇女联合会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2020年“迎新春·送温暖”慰问</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按照区委、区政府的安排部署，区妇联采取区级领导和区、镇（街道）、村（社区）妇联入户慰问相结合的形式，认真开展2020年“迎新春</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仿宋_GB2312" w:hAnsi="仿宋_GB2312" w:cs="仿宋_GB2312"/>
                <w:color w:val="000000" w:themeColor="text1"/>
                <w:kern w:val="0"/>
                <w:sz w:val="24"/>
                <w:szCs w:val="24"/>
                <w14:textFill>
                  <w14:solidFill>
                    <w14:schemeClr w14:val="tx1"/>
                  </w14:solidFill>
                </w14:textFill>
              </w:rPr>
              <w:t>送温暖”慰问活动，及时把党和政府的关怀送到贫困母亲、留守儿童、春蕾生、“三八”红旗手手中，让他们在关爱和温暖中度过一个欢乐祥和的春节。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中共昆明市东川区纪律检查委员会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2020年1月区纪委拨付拖布卡镇春节慰问金。拖布卡镇用于退休人员的春节慰问和拖布卡镇人民政府日常经费开支。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w:t>
            </w:r>
            <w:r>
              <w:rPr>
                <w:rFonts w:hint="eastAsia" w:ascii="仿宋_GB2312" w:hAnsi="仿宋_GB2312" w:cs="仿宋_GB2312"/>
                <w:kern w:val="0"/>
                <w:sz w:val="24"/>
                <w:szCs w:val="24"/>
              </w:rPr>
              <w:t>民</w:t>
            </w:r>
            <w:r>
              <w:rPr>
                <w:rFonts w:hint="eastAsia" w:ascii="仿宋_GB2312" w:hAnsi="仿宋_GB2312" w:cs="仿宋_GB2312"/>
                <w:color w:val="000000" w:themeColor="text1"/>
                <w:kern w:val="0"/>
                <w:sz w:val="24"/>
                <w:szCs w:val="24"/>
                <w14:textFill>
                  <w14:solidFill>
                    <w14:schemeClr w14:val="tx1"/>
                  </w14:solidFill>
                </w14:textFill>
              </w:rPr>
              <w:t>政局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2020年“迎新春、送温暖”敬老院春节慰问金</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春节慰问社会福利院供养对象。体现了党和政府对特困人员的关怀，让特困供养人员度过一个祥和愉快的春节，社会福利院严格按照资金用途使用，确实把资金用于福利人员，购买福利人员食品，如汤圆、饮料和糖果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东川区人大常委会办公室</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人大2020年“迎新春•送温暖”系列活动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慰问春节期间13个单位在岗职工包含林业局林场职工、供电局。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昆明市东川区委（统战部）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归侨侨眷120户，起义投诚人员3人，台属特困户3户，民主党派特困成员25户，工商联困难会员3人，宗教界代表人士及贫困宗教教职人员30人。为定居国外的知名华侨、华人、新移民及港澳台同胞73人发贺卡。慰问因民镇乡镇街道脱贫攻坚一线干部；慰问社会福利院、农村敬老院4所、民办养老机构1所；慰问特困供养人员1035人，贫困残疾人550人，孤儿135人，百岁老人14人；慰问重点优抚对象1874人，现役军人家属480人；慰问六十年代精减退职职工21人等。东川区2020年统一战线各界人士新春联谊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团区委</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2020年百姓春节联欢晚会活动经费</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经区委、区政府研究决定举办2020年百姓春节联欢晚会，承担第六届百姓春晚视频制作费、音乐制作费、组织承办费费用，目前资金已全部使用完毕。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区总工会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慰问特困职工8户，困难职工594人，市级以上劳模77人。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区城管局局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 送温暖”活动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主城区春节节日氛围营造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东川区政府办</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主城区节日气氛营造，1.城市主干道布置中国结、灯笼及广告箱内节日氛围广告制作；2.东川南入城口、新桥河人行天桥、铁路桥入口、人民公园、湿地公园一期景点新春氛围营造；3.其他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东川区政府办</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东川区2020年春节游园活动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受疫情影响，取消</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东川区政协</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慰问春节期间卫生系统、电信公司、政务中心单位在岗职工.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中共昆明市东川区委宣传部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阿旺镇乡镇街道脱贫攻坚一线干部；慰问社会福利院、农村敬老院、民办养老机构；慰问特困供养人员，贫困残疾人，孤儿，百岁老人；慰问重点优抚对象，现役军人家属；慰问六十年代精减退职职工等，2020年东川区百姓春节联欢晚会，中央电视台文化进万家《唱响新时代》演出活动，中央芭蕾舞团小分队赴基层慰问演出活动，东川区2020年文化科技卫生“三下乡”活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昆明市东川区退役军人局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慰问区人武部、东川武警中队、区应急救援大队、铜都维稳分队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昆明市东川区委组织部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慰问农村生活困难党员；1957年前入党的农村党员；离任村干部、企业困难党员；因公牺牲干部家属。看望慰问离休干部及遗属（确定部分慰问对象进行走访慰问），东川区2020年副厅级以上老领导迎新春座谈会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东川区委老干部局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东川区委老干部局春节慰问经费</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开展好2020年春节厅级领导及离休干部和遗属慰问工作，让老同志们过一个欢乐祥和的春节。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昆明市东川区文体广电局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春节龙狮拜年活动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 xml:space="preserve">2020年1月25日（大年初一）于古铜路、凯通路等城区主干道进行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受疫情影响，取消</w:t>
            </w:r>
          </w:p>
        </w:tc>
      </w:tr>
      <w:tr>
        <w:tblPrEx>
          <w:tblCellMar>
            <w:top w:w="15" w:type="dxa"/>
            <w:left w:w="15" w:type="dxa"/>
            <w:bottom w:w="15" w:type="dxa"/>
            <w:right w:w="15" w:type="dxa"/>
          </w:tblCellMar>
        </w:tblPrEx>
        <w:trPr>
          <w:trHeight w:val="285" w:hRule="atLeast"/>
        </w:trPr>
        <w:tc>
          <w:tcPr>
            <w:tcW w:w="1035" w:type="dxa"/>
            <w:vMerge w:val="continue"/>
            <w:tcBorders>
              <w:left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文化惠民演出进社区</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文化馆积极组织文艺演出进机关、进村镇社区、进厂矿企业、进部队等，特别要把优质文化产品和服务送到农村地区、连片特困地区，把文化惠民工作作为重中之重抓紧抓实，真正使广大基层群众尤其是贫困地区群众不断得到文化实惠，提供基层群众最急最盼最缺最爱的文化产品和文化服务，实施精准服务、精准惠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文化惠民专场演出</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为认真落实习近平总书记在文艺工作座谈会上的重要讲话及考察云南重要讲话精神，深化中国梦主题宣传教育活动，丰富人民群众精神文化生活，营造浓厚的节庆氛围，根据区委工作要求，结合我区实际，东川区文文体广电局于2020年初一到初八在人民公园内溜冰场举行元旦、春节“迎新春文化惠民演出活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东川区卫健局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为为计划生育特殊家庭送去党和政府的关怀和新春祝福。按照方案要求，慰问全区计划生育特殊困难家庭，发放慰问金。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r>
        <w:tblPrEx>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东川区红十字会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2020年“迎新春·送温暖”系列活动</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迎新春红十字博爱慰问，确定部分慰问对象进行走访慰问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color w:val="000000" w:themeColor="text1"/>
                <w:kern w:val="0"/>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w:t>
            </w:r>
          </w:p>
        </w:tc>
      </w:tr>
    </w:tbl>
    <w:p>
      <w:pPr>
        <w:topLinePunct/>
        <w:spacing w:line="900" w:lineRule="exact"/>
        <w:ind w:firstLine="632" w:firstLineChars="200"/>
        <w:outlineLvl w:val="1"/>
        <w:rPr>
          <w:rFonts w:ascii="楷体" w:hAnsi="楷体" w:eastAsia="楷体"/>
          <w:color w:val="000000" w:themeColor="text1"/>
          <w:szCs w:val="32"/>
          <w14:textFill>
            <w14:solidFill>
              <w14:schemeClr w14:val="tx1"/>
            </w14:solidFill>
          </w14:textFill>
        </w:rPr>
      </w:pPr>
      <w:bookmarkStart w:id="86" w:name="_Toc14979"/>
      <w:bookmarkStart w:id="87" w:name="_Toc7088_WPSOffice_Level2"/>
      <w:bookmarkStart w:id="88" w:name="_Toc21746"/>
      <w:r>
        <w:rPr>
          <w:rFonts w:hint="eastAsia" w:ascii="楷体" w:hAnsi="楷体" w:eastAsia="楷体"/>
          <w:color w:val="000000" w:themeColor="text1"/>
          <w:szCs w:val="32"/>
          <w14:textFill>
            <w14:solidFill>
              <w14:schemeClr w14:val="tx1"/>
            </w14:solidFill>
          </w14:textFill>
        </w:rPr>
        <w:t>（二）具体绩效分析</w:t>
      </w:r>
      <w:bookmarkEnd w:id="86"/>
      <w:bookmarkEnd w:id="87"/>
      <w:bookmarkEnd w:id="88"/>
    </w:p>
    <w:p>
      <w:pPr>
        <w:topLinePunct/>
        <w:spacing w:line="560" w:lineRule="exact"/>
        <w:ind w:firstLine="632" w:firstLineChars="200"/>
        <w:outlineLvl w:val="1"/>
        <w:rPr>
          <w:rFonts w:ascii="楷体" w:hAnsi="楷体" w:eastAsia="楷体"/>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项目决策部分分值20分，占比20%，评价得20分，项目管理部分分值20分，占比20%，评价得20分；</w:t>
      </w:r>
      <w:r>
        <w:rPr>
          <w:rFonts w:hint="eastAsia" w:ascii="仿宋_GB2312" w:hAnsi="仿宋_GB2312" w:cs="仿宋_GB2312"/>
          <w:color w:val="000000" w:themeColor="text1"/>
          <w:szCs w:val="32"/>
          <w14:textFill>
            <w14:solidFill>
              <w14:schemeClr w14:val="tx1"/>
            </w14:solidFill>
          </w14:textFill>
        </w:rPr>
        <w:t>项目绩效部分分值为57分，占比60%，评价得分其中：项目产出部分分值为30分，占比30%，评价得27分；项目效益部分分值为30，占比30%，评价得30分；项目绩效部分的指标体系、具体绩效及得分情况如下：</w:t>
      </w:r>
    </w:p>
    <w:tbl>
      <w:tblPr>
        <w:tblStyle w:val="17"/>
        <w:tblpPr w:leftFromText="180" w:rightFromText="180" w:vertAnchor="text" w:horzAnchor="page" w:tblpXSpec="center" w:tblpY="1186"/>
        <w:tblOverlap w:val="never"/>
        <w:tblW w:w="0" w:type="auto"/>
        <w:jc w:val="center"/>
        <w:tblLayout w:type="autofit"/>
        <w:tblCellMar>
          <w:top w:w="15" w:type="dxa"/>
          <w:left w:w="15" w:type="dxa"/>
          <w:bottom w:w="15" w:type="dxa"/>
          <w:right w:w="15" w:type="dxa"/>
        </w:tblCellMar>
      </w:tblPr>
      <w:tblGrid>
        <w:gridCol w:w="889"/>
        <w:gridCol w:w="892"/>
        <w:gridCol w:w="1048"/>
        <w:gridCol w:w="1437"/>
        <w:gridCol w:w="395"/>
        <w:gridCol w:w="387"/>
        <w:gridCol w:w="1246"/>
        <w:gridCol w:w="1603"/>
        <w:gridCol w:w="978"/>
      </w:tblGrid>
      <w:tr>
        <w:tblPrEx>
          <w:tblCellMar>
            <w:top w:w="15" w:type="dxa"/>
            <w:left w:w="15" w:type="dxa"/>
            <w:bottom w:w="15" w:type="dxa"/>
            <w:right w:w="15"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四级指标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指标解释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b/>
                <w:bCs/>
                <w:color w:val="000000" w:themeColor="text1"/>
                <w:kern w:val="0"/>
                <w:sz w:val="24"/>
                <w:szCs w:val="24"/>
                <w14:textFill>
                  <w14:solidFill>
                    <w14:schemeClr w14:val="tx1"/>
                  </w14:solidFill>
                </w14:textFill>
              </w:rPr>
              <w:t>评分说明</w:t>
            </w:r>
          </w:p>
        </w:tc>
      </w:tr>
      <w:tr>
        <w:tblPrEx>
          <w:tblCellMar>
            <w:top w:w="15" w:type="dxa"/>
            <w:left w:w="15" w:type="dxa"/>
            <w:bottom w:w="15" w:type="dxa"/>
            <w:right w:w="15" w:type="dxa"/>
          </w:tblCellMar>
        </w:tblPrEx>
        <w:trPr>
          <w:trHeight w:val="130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A.项目决策（20%）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A1.项目立项（8%）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A11.与部门中长期规划目标适应性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A111.与部门中长期规划目标匹配性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考察项目与部门中长期目标是否匹配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匹配，得满分；不匹配，不得分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8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A12.立项依据充分性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A121.与市政府相关规划、决策匹配性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考察项目是否符合市政府相关发展规划和政府决策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符合，得满分；不符合，不得分。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A122.与部门职责适应性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考察项目是否与部门职责密切相关。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A13.项目立项规范性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A131.前期调研情况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考察项目立项是否经过前期调研。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A132.立项程序规范性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考察项目的申请、设立过程是否符合相关要求。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A2.项目目标（12%）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A21.绩效目标设定的合理性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A211.绩效目标相关性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考察设定的绩效目标是否与事业发展规划相关。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A212.绩效目标完整性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考察设定的绩效目标是否完整地反应预期产出和效果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A213.目标与预算的匹配性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考察设定的绩效目标是否与年度预算相匹配。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A22.绩效指标设定的明确性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A221.指标细化分解情况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考察是否将绩效目标细化分解为清晰、可衡量的绩效指标。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A222.指标与目标的匹配性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考察设定的绩效指标是否与年度工作任务相对应。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是，得满分；否，不得分。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B.项目管理（20%）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B1.投入管理（4%）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B11.预算编制合理性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考察预算编制是否充分、合理的预计项目支出并完整反应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合理得满分；存在一项不合理，扣0.5分，扣完为止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B12.预算调整规范性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考察存在预算调整时是否按照相关规定执行调整程序。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规范，得满分；部分规范，得一分；不规范，不得分。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B13.预算执行率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考察项目预算执行的进度。预算执行率=实际支出金额/项目预算金额×100%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预算执行率95%以上，得满分；低于95%，每下降1%扣权重的1%；预算执行率60%以下，不计分。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B2.财务管理（6%）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B21.资金使用情况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考察项目资金使用是否符合预算批复的用途，是否存在截留、挤占、挪用、虚列支出等情况。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合规，得满分；存在一项不合规，扣1分，扣完为止。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21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B22.财务管理制度健全性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考察项目的财务制度是否健全、完善、有效。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a.是否已制定或具有相应的财务管理办法；                         b.项目财务管理办法是否符合相关财务会计制度的规定；                                              c.是否存在需要完善的风险控制环节。                            符合所有条件，得满分； 一项不符合，扣1分，扣完为止。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3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B23.财务监控有效性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B231.资金拨付程序完整性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考察资金拨付是否具有完整的审批程序和手续，是否符合相关制度规定。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资金拨付申请、审批手续完整，得满分；存在一例手续不完整，不得分。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B232财务制度执行有效性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考察是否存在违反相关财务管理制度的情况。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不存在，得满分；存在1例，不得分。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B3.项目实施（10%）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B31.项目管理制度健全性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B311.项目实施单位管理制度健全性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项目实施单位为保障项目顺利实施制订的与项目直接相关的业务管理制度是否健全、完善和有效。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制订相关制度或采取措施，得满分；制度不完善或者措施不明确，得权重的60%；没有相关制度或措施，不得分。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B312.管理方监管措施健全性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考察项目主管部门为保障项目顺利实施采取的监管措施是否明确，是否存在需要完善的风险控制环节。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监管措施明确、完善，得满分；每存在一项需要完善的风险控制点，扣权重的30%，扣完为止。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B32.项目管理制度执行有效性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B321.项目实施单位管理制度执行情况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考察项目实施单位制订的管理制度是否有效执行。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有效执行，得满分；部分执行，得权重的60%；未执行，不得分。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B322.监管措施执行情况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项目主管部门所制订的监管措施是否有效执行。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有效执行，得满分；部分执行，得权重的60%；未执行，不得分。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B323.合同执行情况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考察与项目相关的合同是否有效执行。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有效执行，得满分；部分执行，得权重的60%；未执行，不得分。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B324.台账记录规范性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考察项目实施过程中的相关台账记录是否完整，并符合要求。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规范，得满分；部分规范，得权重的60%；不规范，不得分。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B33.政府采购规范性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B331.采购方式合规性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考察采购方式是否符合国家、本市的相关要求。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符合相关要求，得满分；一项不符合，不得分。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B332.采购流程规范性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考察采购流程是否符合相关规定。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符合相关要求，得满分；一项不符合，不得分。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6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C.项目绩效（60%）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C1.项目产出（30%）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C11.2020年春节系列活动完成情况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C111.春节系列活动开展的游园活动、灯展活动、文艺演出、文化下乡、文体活动完成情况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2020年度开展文艺演出、文化下乡、文体活动不得少于30次；2020年度开展游园活动、灯展活动各一次。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按照要求完成，得满分；活动每少进行一次的，扣0.5分，扣完为止。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4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C112.全区各族各界春节慰问、游园、三下乡、灯展等系列活动完成率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全区各族各界春节慰问、游园、三下乡、灯展等系列活动完成率=已进行活动次数/计划活动次数。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完成率100%，得满分，每减少5%，扣0.1分，扣完为止。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C113.对全区慰问对象覆盖率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全区慰问对象是否覆盖乡镇脱贫攻坚一线人员、驻区部队及重点优抚对象、老党员和困难党员、市级以上劳动模范、定居国外的知名华侨华人、港澳台同胞及其他各类困难群体等。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全部覆盖，得满分；每少一类，扣1分，扣完为止。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C114.2020年春节系列活动项目慰问人数情况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慰问乡镇脱贫攻坚一线人员、驻区部队及重点优抚对象、老党员和困难党员、市级以上劳动模范、定居国外的知名华侨华人、港澳台同胞及其他各类困难群体人数是否达到预期人数。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慰问人数与预期人数的比例达到100%，得满分，每减少5%，扣0.1分，扣完为止。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慰问乡镇脱贫攻坚一线人员、驻区部队及重点优抚对象、老党员和困难党员、市级以上劳动模范、定居国外的知名华侨华人、港澳台同胞及其他各类困难群体未全部覆盖</w:t>
            </w: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C1115.2020年春节系列活动项目经费使用情况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春节困难群众、企业困难职工、在岗职工、军人家属等慰问、游园活动、灯展活动、文艺演出、文化下乡、文体活动是否达到预期。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达到预期，得满分；每降低1%，扣权重的3%，扣完为止。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C2.项目效益（30%）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C21.社会效益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C211.确保春节庆祝、慰问活动的顺利进行增加人民群众的幸福感，构建和谐社会环境。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春节庆祝、慰问活动是否促进人民群众的幸福感；是否构建和谐社会环境；受益对象是否感受到党和政府的关怀和新春祝福、凝聚力量、拼博进取。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①春节庆祝、慰问活动的顺利进行增加人民群众的幸福感，得7分；②构建和谐社会环境，得7分；③受益对象感受到党和政府的关怀和新春祝福、凝聚力量、拼博进取，得7分。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cs="仿宋_GB2312"/>
                <w:color w:val="000000" w:themeColor="text1"/>
                <w:sz w:val="24"/>
                <w:szCs w:val="24"/>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C22公众满意度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C221.服务对象满意度调查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通过问卷调查询问服务对象对项目实施、项目产出、项目效果、项目改进的满意度调查。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社会服务对象调查问卷每一项满意度评分得分率在95%以上得满分，每下降1%扣权重的1%。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kern w:val="0"/>
                <w:sz w:val="24"/>
                <w:szCs w:val="24"/>
                <w14:textFill>
                  <w14:solidFill>
                    <w14:schemeClr w14:val="tx1"/>
                  </w14:solidFill>
                </w14:textFill>
              </w:rPr>
              <w:t>社会服务对象调查问卷每一项满意度评分得分率在95%以上得满分，每下降1%扣权重的1%。</w:t>
            </w:r>
          </w:p>
        </w:tc>
      </w:tr>
      <w:tr>
        <w:tblPrEx>
          <w:tblCellMar>
            <w:top w:w="15" w:type="dxa"/>
            <w:left w:w="15" w:type="dxa"/>
            <w:bottom w:w="15" w:type="dxa"/>
            <w:right w:w="15"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b/>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b/>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b/>
                <w:color w:val="000000" w:themeColor="text1"/>
                <w:kern w:val="0"/>
                <w:sz w:val="24"/>
                <w:szCs w:val="24"/>
                <w14:textFill>
                  <w14:solidFill>
                    <w14:schemeClr w14:val="tx1"/>
                  </w14:solidFill>
                </w14:textFill>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b/>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cs="仿宋_GB2312"/>
                <w:b/>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cs="仿宋_GB2312"/>
                <w:color w:val="000000" w:themeColor="text1"/>
                <w:sz w:val="24"/>
                <w:szCs w:val="24"/>
                <w14:textFill>
                  <w14:solidFill>
                    <w14:schemeClr w14:val="tx1"/>
                  </w14:solidFill>
                </w14:textFill>
              </w:rPr>
            </w:pPr>
          </w:p>
        </w:tc>
      </w:tr>
    </w:tbl>
    <w:p>
      <w:pPr>
        <w:topLinePunct/>
        <w:spacing w:line="560" w:lineRule="exact"/>
        <w:ind w:firstLine="632" w:firstLineChars="200"/>
        <w:outlineLvl w:val="0"/>
        <w:rPr>
          <w:rFonts w:ascii="黑体" w:hAnsi="黑体" w:eastAsia="黑体"/>
          <w:color w:val="000000" w:themeColor="text1"/>
          <w:szCs w:val="32"/>
          <w14:textFill>
            <w14:solidFill>
              <w14:schemeClr w14:val="tx1"/>
            </w14:solidFill>
          </w14:textFill>
        </w:rPr>
      </w:pPr>
      <w:bookmarkStart w:id="89" w:name="_Toc19404"/>
      <w:bookmarkStart w:id="90" w:name="_Toc31331_WPSOffice_Level1"/>
      <w:bookmarkStart w:id="91" w:name="_Toc13352"/>
      <w:r>
        <w:rPr>
          <w:rFonts w:hint="eastAsia" w:ascii="黑体" w:hAnsi="黑体" w:eastAsia="黑体"/>
          <w:color w:val="000000" w:themeColor="text1"/>
          <w:szCs w:val="32"/>
          <w14:textFill>
            <w14:solidFill>
              <w14:schemeClr w14:val="tx1"/>
            </w14:solidFill>
          </w14:textFill>
        </w:rPr>
        <w:t>四、成本效益分析</w:t>
      </w:r>
      <w:bookmarkEnd w:id="89"/>
      <w:bookmarkEnd w:id="90"/>
      <w:bookmarkEnd w:id="91"/>
    </w:p>
    <w:p>
      <w:pPr>
        <w:topLinePunct/>
        <w:spacing w:line="560" w:lineRule="exact"/>
        <w:ind w:firstLine="632" w:firstLineChars="200"/>
        <w:rPr>
          <w:rFonts w:ascii="楷体" w:hAnsi="楷体" w:eastAsia="楷体" w:cs="楷体"/>
          <w:color w:val="000000" w:themeColor="text1"/>
          <w:szCs w:val="32"/>
          <w14:textFill>
            <w14:solidFill>
              <w14:schemeClr w14:val="tx1"/>
            </w14:solidFill>
          </w14:textFill>
        </w:rPr>
      </w:pPr>
      <w:bookmarkStart w:id="92" w:name="_Toc13043_WPSOffice_Level2"/>
      <w:r>
        <w:rPr>
          <w:rFonts w:hint="eastAsia" w:ascii="楷体" w:hAnsi="楷体" w:eastAsia="楷体" w:cs="楷体"/>
          <w:color w:val="000000" w:themeColor="text1"/>
          <w:szCs w:val="32"/>
          <w14:textFill>
            <w14:solidFill>
              <w14:schemeClr w14:val="tx1"/>
            </w14:solidFill>
          </w14:textFill>
        </w:rPr>
        <w:t>（一）经济性分析</w:t>
      </w:r>
      <w:bookmarkEnd w:id="92"/>
    </w:p>
    <w:p>
      <w:pPr>
        <w:topLinePunct/>
        <w:spacing w:line="560" w:lineRule="exact"/>
        <w:ind w:firstLine="632" w:firstLineChars="200"/>
        <w:rPr>
          <w:rFonts w:ascii="楷体" w:hAnsi="楷体" w:eastAsia="楷体" w:cs="楷体"/>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国共产党昆明市东川区委员会办公室年初项目预算资金拨付到位，并按照相关规定全部用于单位项目支出，通过总结资金使用管理经验，完善资金管理办法，提高财政资金的使用效率，为以后年度编制项目预算、选择项目实施主体等提供参考依据。</w:t>
      </w:r>
    </w:p>
    <w:p>
      <w:pPr>
        <w:topLinePunct/>
        <w:spacing w:line="560" w:lineRule="exact"/>
        <w:ind w:firstLine="632" w:firstLineChars="200"/>
        <w:rPr>
          <w:rFonts w:ascii="楷体" w:hAnsi="楷体" w:eastAsia="楷体" w:cs="楷体"/>
          <w:color w:val="000000" w:themeColor="text1"/>
          <w:szCs w:val="32"/>
          <w14:textFill>
            <w14:solidFill>
              <w14:schemeClr w14:val="tx1"/>
            </w14:solidFill>
          </w14:textFill>
        </w:rPr>
      </w:pPr>
      <w:bookmarkStart w:id="93" w:name="_Toc923_WPSOffice_Level2"/>
      <w:r>
        <w:rPr>
          <w:rFonts w:hint="eastAsia" w:ascii="楷体" w:hAnsi="楷体" w:eastAsia="楷体" w:cs="楷体"/>
          <w:color w:val="000000" w:themeColor="text1"/>
          <w:szCs w:val="32"/>
          <w14:textFill>
            <w14:solidFill>
              <w14:schemeClr w14:val="tx1"/>
            </w14:solidFill>
          </w14:textFill>
        </w:rPr>
        <w:t>（二）效率性分析</w:t>
      </w:r>
      <w:bookmarkEnd w:id="93"/>
    </w:p>
    <w:p>
      <w:pPr>
        <w:topLinePunct/>
        <w:spacing w:line="560" w:lineRule="exact"/>
        <w:ind w:firstLine="632" w:firstLineChars="200"/>
        <w:rPr>
          <w:rFonts w:ascii="楷体_GB2312" w:hAnsi="楷体_GB2312" w:eastAsia="楷体_GB2312" w:cs="楷体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中共昆明市东川区委办公室2020年项目支出绩效情况良好，按年初设定的目标任务执行效率完成各项工作。</w:t>
      </w:r>
    </w:p>
    <w:p>
      <w:pPr>
        <w:topLinePunct/>
        <w:spacing w:line="560" w:lineRule="exact"/>
        <w:ind w:firstLine="632" w:firstLineChars="200"/>
        <w:rPr>
          <w:rFonts w:ascii="楷体" w:hAnsi="楷体" w:eastAsia="楷体" w:cs="楷体"/>
          <w:color w:val="000000" w:themeColor="text1"/>
          <w:szCs w:val="32"/>
          <w14:textFill>
            <w14:solidFill>
              <w14:schemeClr w14:val="tx1"/>
            </w14:solidFill>
          </w14:textFill>
        </w:rPr>
      </w:pPr>
      <w:bookmarkStart w:id="94" w:name="_Toc27896_WPSOffice_Level2"/>
      <w:r>
        <w:rPr>
          <w:rFonts w:hint="eastAsia" w:ascii="楷体" w:hAnsi="楷体" w:eastAsia="楷体" w:cs="楷体"/>
          <w:color w:val="000000" w:themeColor="text1"/>
          <w:szCs w:val="32"/>
          <w14:textFill>
            <w14:solidFill>
              <w14:schemeClr w14:val="tx1"/>
            </w14:solidFill>
          </w14:textFill>
        </w:rPr>
        <w:t>（三）效益性分析</w:t>
      </w:r>
      <w:bookmarkEnd w:id="94"/>
    </w:p>
    <w:p>
      <w:pPr>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中共昆明市东川区委办公室较好地完成了2020年初设定的工作任务，2020年专项经费实际支出未超出预算规定，保障了专项工作的开展。我单位认真履行工作职责，及时完成年初制定的各项工作任务，质量达标。</w:t>
      </w:r>
    </w:p>
    <w:p>
      <w:pPr>
        <w:topLinePunct/>
        <w:spacing w:line="560" w:lineRule="exact"/>
        <w:ind w:firstLine="790" w:firstLineChars="250"/>
        <w:outlineLvl w:val="0"/>
        <w:rPr>
          <w:rFonts w:ascii="黑体" w:hAnsi="黑体" w:eastAsia="黑体"/>
          <w:color w:val="000000" w:themeColor="text1"/>
          <w:szCs w:val="32"/>
          <w14:textFill>
            <w14:solidFill>
              <w14:schemeClr w14:val="tx1"/>
            </w14:solidFill>
          </w14:textFill>
        </w:rPr>
      </w:pPr>
      <w:bookmarkStart w:id="95" w:name="_Toc3346"/>
      <w:bookmarkStart w:id="96" w:name="_Toc19966"/>
      <w:bookmarkStart w:id="97" w:name="_Toc27896_WPSOffice_Level1"/>
      <w:r>
        <w:rPr>
          <w:rFonts w:hint="eastAsia" w:ascii="黑体" w:hAnsi="黑体" w:eastAsia="黑体"/>
          <w:color w:val="000000" w:themeColor="text1"/>
          <w:szCs w:val="32"/>
          <w14:textFill>
            <w14:solidFill>
              <w14:schemeClr w14:val="tx1"/>
            </w14:solidFill>
          </w14:textFill>
        </w:rPr>
        <w:t>五、主要经验及做法、存在的问题和建议</w:t>
      </w:r>
      <w:bookmarkEnd w:id="95"/>
      <w:bookmarkEnd w:id="96"/>
      <w:bookmarkEnd w:id="97"/>
    </w:p>
    <w:p>
      <w:pPr>
        <w:topLinePunct/>
        <w:spacing w:line="560" w:lineRule="exact"/>
        <w:ind w:firstLine="632" w:firstLineChars="200"/>
        <w:outlineLvl w:val="1"/>
        <w:rPr>
          <w:rFonts w:ascii="楷体" w:hAnsi="楷体" w:eastAsia="楷体"/>
          <w:color w:val="000000" w:themeColor="text1"/>
          <w:szCs w:val="32"/>
          <w14:textFill>
            <w14:solidFill>
              <w14:schemeClr w14:val="tx1"/>
            </w14:solidFill>
          </w14:textFill>
        </w:rPr>
      </w:pPr>
      <w:bookmarkStart w:id="98" w:name="_Toc15538"/>
      <w:bookmarkStart w:id="99" w:name="_Toc31834"/>
      <w:bookmarkStart w:id="100" w:name="_Toc11048_WPSOffice_Level2"/>
      <w:r>
        <w:rPr>
          <w:rFonts w:hint="eastAsia" w:ascii="楷体" w:hAnsi="楷体" w:eastAsia="楷体"/>
          <w:color w:val="000000" w:themeColor="text1"/>
          <w:szCs w:val="32"/>
          <w14:textFill>
            <w14:solidFill>
              <w14:schemeClr w14:val="tx1"/>
            </w14:solidFill>
          </w14:textFill>
        </w:rPr>
        <w:t>（一）主要经验及做法</w:t>
      </w:r>
      <w:bookmarkEnd w:id="98"/>
      <w:bookmarkEnd w:id="99"/>
      <w:bookmarkEnd w:id="100"/>
    </w:p>
    <w:p>
      <w:pPr>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中共昆明市东川区委办公室对“迎新春·送温暖”春节系列活动项目绩效目标开展了动态监控，对本单位项目完成情况、项目完成进度、项目效益与预期目标偏差等情况进行分析总结。</w:t>
      </w:r>
    </w:p>
    <w:p>
      <w:pPr>
        <w:numPr>
          <w:ilvl w:val="0"/>
          <w:numId w:val="7"/>
        </w:numPr>
        <w:topLinePunct/>
        <w:spacing w:line="560" w:lineRule="exact"/>
        <w:ind w:firstLine="632" w:firstLineChars="200"/>
        <w:outlineLvl w:val="1"/>
        <w:rPr>
          <w:rFonts w:ascii="楷体" w:hAnsi="楷体" w:eastAsia="楷体"/>
          <w:color w:val="000000" w:themeColor="text1"/>
          <w:szCs w:val="32"/>
          <w14:textFill>
            <w14:solidFill>
              <w14:schemeClr w14:val="tx1"/>
            </w14:solidFill>
          </w14:textFill>
        </w:rPr>
      </w:pPr>
      <w:bookmarkStart w:id="101" w:name="_Toc3359"/>
      <w:bookmarkStart w:id="102" w:name="_Toc25771"/>
      <w:bookmarkStart w:id="103" w:name="_Toc3807_WPSOffice_Level2"/>
      <w:r>
        <w:rPr>
          <w:rFonts w:hint="eastAsia" w:ascii="楷体" w:hAnsi="楷体" w:eastAsia="楷体"/>
          <w:color w:val="000000" w:themeColor="text1"/>
          <w:szCs w:val="32"/>
          <w14:textFill>
            <w14:solidFill>
              <w14:schemeClr w14:val="tx1"/>
            </w14:solidFill>
          </w14:textFill>
        </w:rPr>
        <w:t>存在的问题</w:t>
      </w:r>
      <w:bookmarkEnd w:id="101"/>
      <w:bookmarkEnd w:id="102"/>
      <w:bookmarkEnd w:id="103"/>
    </w:p>
    <w:p>
      <w:pPr>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中共昆明市东川区委办公室在部分绩效内容的设定上量化不够具体，考核标准、考核条件过于简单和笼统。需进一步考核指标，加强考核标准和考核条件。</w:t>
      </w:r>
    </w:p>
    <w:p>
      <w:pPr>
        <w:numPr>
          <w:ilvl w:val="0"/>
          <w:numId w:val="7"/>
        </w:numPr>
        <w:topLinePunct/>
        <w:spacing w:line="560" w:lineRule="exact"/>
        <w:ind w:firstLine="632" w:firstLineChars="200"/>
        <w:outlineLvl w:val="1"/>
        <w:rPr>
          <w:rFonts w:ascii="仿宋_GB2312" w:hAnsi="仿宋_GB2312" w:cs="仿宋_GB2312"/>
          <w:color w:val="000000" w:themeColor="text1"/>
          <w:szCs w:val="32"/>
          <w14:textFill>
            <w14:solidFill>
              <w14:schemeClr w14:val="tx1"/>
            </w14:solidFill>
          </w14:textFill>
        </w:rPr>
      </w:pPr>
      <w:bookmarkStart w:id="104" w:name="_Toc6390"/>
      <w:bookmarkStart w:id="105" w:name="_Toc21671"/>
      <w:bookmarkStart w:id="106" w:name="_Toc21785_WPSOffice_Level2"/>
      <w:r>
        <w:rPr>
          <w:rFonts w:hint="eastAsia" w:ascii="楷体" w:hAnsi="楷体" w:eastAsia="楷体"/>
          <w:color w:val="000000" w:themeColor="text1"/>
          <w:szCs w:val="32"/>
          <w14:textFill>
            <w14:solidFill>
              <w14:schemeClr w14:val="tx1"/>
            </w14:solidFill>
          </w14:textFill>
        </w:rPr>
        <w:t>建议和改进措施</w:t>
      </w:r>
      <w:bookmarkEnd w:id="104"/>
      <w:bookmarkEnd w:id="105"/>
      <w:bookmarkEnd w:id="106"/>
    </w:p>
    <w:p>
      <w:pPr>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结合单位实际情况修订完善项目绩效管理实施细则、考评结果运用实施细则、考评规则办法，完备绩效管理制度办法和指标体系，使绩效考核有章可循，有据可依。结合项目情况，制定相应细化、量化的绩效目标，严格按目标实施。</w:t>
      </w:r>
    </w:p>
    <w:p>
      <w:pPr>
        <w:tabs>
          <w:tab w:val="left" w:pos="748"/>
        </w:tabs>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2.加强项目收支计划执行情况分析，加快资金执行进度。</w:t>
      </w:r>
    </w:p>
    <w:p>
      <w:pPr>
        <w:topLinePunct/>
        <w:spacing w:line="56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3.中国共产党昆明市东川区委员会办公室应进一步重视考核总结。考核工作结束后，加强向考核对象反馈考核意见，充分有效的利用和转化考核结果。</w:t>
      </w:r>
    </w:p>
    <w:sectPr>
      <w:footerReference r:id="rId3" w:type="default"/>
      <w:footerReference r:id="rId4" w:type="even"/>
      <w:pgSz w:w="11907" w:h="16840"/>
      <w:pgMar w:top="2041" w:right="1531" w:bottom="1871" w:left="1531" w:header="851" w:footer="1304" w:gutter="0"/>
      <w:pgNumType w:fmt="numberInDash"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2065" b="10795"/>
              <wp:wrapNone/>
              <wp:docPr id="34" name="文本框 3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s9TQdIAAAADAQAADwAAAAAAAAABACAAAAAiAAAAZHJzL2Rvd25yZXYueG1sUEsBAhQA&#10;FAAAAAgAh07iQECqsnkxAgAAVQQAAA4AAAAAAAAAAQAgAAAAIQEAAGRycy9lMm9Eb2MueG1sUEsF&#10;BgAAAAAGAAYAWQEAAMQFAAAAAA==&#10;">
              <v:fill on="f" focussize="0,0"/>
              <v:stroke on="f" weight="0.5pt"/>
              <v:imagedata o:title=""/>
              <o:lock v:ext="edit" aspectratio="f"/>
              <v:textbox inset="0mm,0mm,0mm,0mm" style="mso-fit-shape-to-text:t;">
                <w:txbxContent>
                  <w:p>
                    <w:pPr>
                      <w:pStyle w:val="10"/>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12065" b="10795"/>
              <wp:wrapNone/>
              <wp:docPr id="35" name="文本框 3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60288;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s9TQdIAAAADAQAADwAAAAAAAAABACAAAAAiAAAAZHJzL2Rvd25yZXYueG1sUEsBAhQAFAAA&#10;AAgAh07iQB6zAOwuAgAAVQQAAA4AAAAAAAAAAQAgAAAAIQEAAGRycy9lMm9Eb2MueG1sUEsFBgAA&#10;AAAGAAYAWQEAAME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C325"/>
    <w:multiLevelType w:val="singleLevel"/>
    <w:tmpl w:val="5D15C325"/>
    <w:lvl w:ilvl="0" w:tentative="0">
      <w:start w:val="2"/>
      <w:numFmt w:val="decimal"/>
      <w:suff w:val="nothing"/>
      <w:lvlText w:val="%1."/>
      <w:lvlJc w:val="left"/>
    </w:lvl>
  </w:abstractNum>
  <w:abstractNum w:abstractNumId="1">
    <w:nsid w:val="5D15D6BE"/>
    <w:multiLevelType w:val="singleLevel"/>
    <w:tmpl w:val="5D15D6BE"/>
    <w:lvl w:ilvl="0" w:tentative="0">
      <w:start w:val="2"/>
      <w:numFmt w:val="decimal"/>
      <w:suff w:val="nothing"/>
      <w:lvlText w:val="%1."/>
      <w:lvlJc w:val="left"/>
    </w:lvl>
  </w:abstractNum>
  <w:abstractNum w:abstractNumId="2">
    <w:nsid w:val="5D15D8BA"/>
    <w:multiLevelType w:val="singleLevel"/>
    <w:tmpl w:val="5D15D8BA"/>
    <w:lvl w:ilvl="0" w:tentative="0">
      <w:start w:val="2"/>
      <w:numFmt w:val="decimal"/>
      <w:suff w:val="nothing"/>
      <w:lvlText w:val="%1."/>
      <w:lvlJc w:val="left"/>
    </w:lvl>
  </w:abstractNum>
  <w:abstractNum w:abstractNumId="3">
    <w:nsid w:val="5D15DADC"/>
    <w:multiLevelType w:val="singleLevel"/>
    <w:tmpl w:val="5D15DADC"/>
    <w:lvl w:ilvl="0" w:tentative="0">
      <w:start w:val="5"/>
      <w:numFmt w:val="chineseCounting"/>
      <w:suff w:val="nothing"/>
      <w:lvlText w:val="（%1）"/>
      <w:lvlJc w:val="left"/>
    </w:lvl>
  </w:abstractNum>
  <w:abstractNum w:abstractNumId="4">
    <w:nsid w:val="5D15DB83"/>
    <w:multiLevelType w:val="singleLevel"/>
    <w:tmpl w:val="5D15DB83"/>
    <w:lvl w:ilvl="0" w:tentative="0">
      <w:start w:val="2"/>
      <w:numFmt w:val="decimal"/>
      <w:suff w:val="nothing"/>
      <w:lvlText w:val="%1."/>
      <w:lvlJc w:val="left"/>
    </w:lvl>
  </w:abstractNum>
  <w:abstractNum w:abstractNumId="5">
    <w:nsid w:val="5D15E550"/>
    <w:multiLevelType w:val="singleLevel"/>
    <w:tmpl w:val="5D15E550"/>
    <w:lvl w:ilvl="0" w:tentative="0">
      <w:start w:val="2"/>
      <w:numFmt w:val="chineseCounting"/>
      <w:suff w:val="nothing"/>
      <w:lvlText w:val="（%1）"/>
      <w:lvlJc w:val="left"/>
    </w:lvl>
  </w:abstractNum>
  <w:abstractNum w:abstractNumId="6">
    <w:nsid w:val="5D173516"/>
    <w:multiLevelType w:val="singleLevel"/>
    <w:tmpl w:val="5D173516"/>
    <w:lvl w:ilvl="0" w:tentative="0">
      <w:start w:val="1"/>
      <w:numFmt w:val="chineseCounting"/>
      <w:suff w:val="nothing"/>
      <w:lvlText w:val="%1、"/>
      <w:lvlJc w:val="left"/>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evenAndOddHeaders w:val="1"/>
  <w:drawingGridHorizontalSpacing w:val="158"/>
  <w:drawingGridVerticalSpacing w:val="587"/>
  <w:noPunctuationKerning w:val="1"/>
  <w:characterSpacingControl w:val="compressPunctuation"/>
  <w:noLineBreaksAfter w:lang="zh-CN" w:val="$([{£¥·‘“〈《「『【〔〖〝﹙﹛﹝＄（．［｛￡￥"/>
  <w:noLineBreaksBefore w:lang="zh-CN" w:val="!%),.:;&gt;?]}¢¨°·ˇˉ―‖’”…‰′″›℃∶、。〃〉》」』】〕〗〞︶︺︾﹀﹄﹚﹜﹞！＂％＇），．：；？］｀｜｝～￠"/>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55335F"/>
    <w:rsid w:val="00002E28"/>
    <w:rsid w:val="00006D26"/>
    <w:rsid w:val="0001706E"/>
    <w:rsid w:val="000248AE"/>
    <w:rsid w:val="00031386"/>
    <w:rsid w:val="00046BFB"/>
    <w:rsid w:val="00061B34"/>
    <w:rsid w:val="00061BC3"/>
    <w:rsid w:val="00066042"/>
    <w:rsid w:val="000706CF"/>
    <w:rsid w:val="00075D90"/>
    <w:rsid w:val="00085C25"/>
    <w:rsid w:val="00097B46"/>
    <w:rsid w:val="000A4DAD"/>
    <w:rsid w:val="000B15F2"/>
    <w:rsid w:val="000B2C41"/>
    <w:rsid w:val="000B6975"/>
    <w:rsid w:val="000C0C19"/>
    <w:rsid w:val="000C5AC7"/>
    <w:rsid w:val="000C6A55"/>
    <w:rsid w:val="000D0079"/>
    <w:rsid w:val="000E4635"/>
    <w:rsid w:val="000E57AE"/>
    <w:rsid w:val="000F0DDC"/>
    <w:rsid w:val="000F0FF3"/>
    <w:rsid w:val="000F2D14"/>
    <w:rsid w:val="000F2E4E"/>
    <w:rsid w:val="00112694"/>
    <w:rsid w:val="00114AC7"/>
    <w:rsid w:val="00123D76"/>
    <w:rsid w:val="00125B71"/>
    <w:rsid w:val="00130DAD"/>
    <w:rsid w:val="001333CA"/>
    <w:rsid w:val="001335AE"/>
    <w:rsid w:val="001356AD"/>
    <w:rsid w:val="0013625A"/>
    <w:rsid w:val="00143DE7"/>
    <w:rsid w:val="0014747F"/>
    <w:rsid w:val="00151A18"/>
    <w:rsid w:val="00155091"/>
    <w:rsid w:val="001578D4"/>
    <w:rsid w:val="00167969"/>
    <w:rsid w:val="00171B5D"/>
    <w:rsid w:val="001776A1"/>
    <w:rsid w:val="00185A5A"/>
    <w:rsid w:val="00185B01"/>
    <w:rsid w:val="00197124"/>
    <w:rsid w:val="001B3D03"/>
    <w:rsid w:val="001B4A8E"/>
    <w:rsid w:val="001B5425"/>
    <w:rsid w:val="001D0A65"/>
    <w:rsid w:val="001D2295"/>
    <w:rsid w:val="001D7DBB"/>
    <w:rsid w:val="001F0418"/>
    <w:rsid w:val="002021EA"/>
    <w:rsid w:val="00207A7B"/>
    <w:rsid w:val="002164BD"/>
    <w:rsid w:val="00220E4E"/>
    <w:rsid w:val="00223934"/>
    <w:rsid w:val="00232238"/>
    <w:rsid w:val="00236F6F"/>
    <w:rsid w:val="00260330"/>
    <w:rsid w:val="002657E1"/>
    <w:rsid w:val="0027333E"/>
    <w:rsid w:val="0028678C"/>
    <w:rsid w:val="00294EE5"/>
    <w:rsid w:val="002B0ED7"/>
    <w:rsid w:val="002B4110"/>
    <w:rsid w:val="002C2FFD"/>
    <w:rsid w:val="002C4862"/>
    <w:rsid w:val="002D1A65"/>
    <w:rsid w:val="002E2C40"/>
    <w:rsid w:val="002F377E"/>
    <w:rsid w:val="00301902"/>
    <w:rsid w:val="00304EEE"/>
    <w:rsid w:val="003066CF"/>
    <w:rsid w:val="003068F3"/>
    <w:rsid w:val="003134E1"/>
    <w:rsid w:val="003150E9"/>
    <w:rsid w:val="003201FE"/>
    <w:rsid w:val="003209BE"/>
    <w:rsid w:val="00320A77"/>
    <w:rsid w:val="00325D94"/>
    <w:rsid w:val="0033094E"/>
    <w:rsid w:val="00341B6E"/>
    <w:rsid w:val="0034758E"/>
    <w:rsid w:val="0035163D"/>
    <w:rsid w:val="00357E11"/>
    <w:rsid w:val="00370C5F"/>
    <w:rsid w:val="003721CE"/>
    <w:rsid w:val="00386252"/>
    <w:rsid w:val="0039440A"/>
    <w:rsid w:val="003B609C"/>
    <w:rsid w:val="003B651F"/>
    <w:rsid w:val="003C5030"/>
    <w:rsid w:val="003D3F92"/>
    <w:rsid w:val="003D5857"/>
    <w:rsid w:val="003E3E05"/>
    <w:rsid w:val="003E3F8F"/>
    <w:rsid w:val="003F15F1"/>
    <w:rsid w:val="003F454D"/>
    <w:rsid w:val="003F7768"/>
    <w:rsid w:val="00403E91"/>
    <w:rsid w:val="00410A26"/>
    <w:rsid w:val="00420FAC"/>
    <w:rsid w:val="00441E1F"/>
    <w:rsid w:val="00443AFE"/>
    <w:rsid w:val="0044547C"/>
    <w:rsid w:val="00447787"/>
    <w:rsid w:val="00463CBD"/>
    <w:rsid w:val="0048484B"/>
    <w:rsid w:val="004878C2"/>
    <w:rsid w:val="00491AD0"/>
    <w:rsid w:val="004A69E9"/>
    <w:rsid w:val="004A7E53"/>
    <w:rsid w:val="004B7A2C"/>
    <w:rsid w:val="004C3A61"/>
    <w:rsid w:val="004C6FB4"/>
    <w:rsid w:val="004D16CF"/>
    <w:rsid w:val="004E1229"/>
    <w:rsid w:val="004E5EBC"/>
    <w:rsid w:val="004F0140"/>
    <w:rsid w:val="004F7183"/>
    <w:rsid w:val="004F76AC"/>
    <w:rsid w:val="0050160A"/>
    <w:rsid w:val="00502A56"/>
    <w:rsid w:val="005456D8"/>
    <w:rsid w:val="00547454"/>
    <w:rsid w:val="00547D91"/>
    <w:rsid w:val="00552D68"/>
    <w:rsid w:val="0055335F"/>
    <w:rsid w:val="00553649"/>
    <w:rsid w:val="0055784C"/>
    <w:rsid w:val="005776EA"/>
    <w:rsid w:val="00587D66"/>
    <w:rsid w:val="00594E71"/>
    <w:rsid w:val="00596EAF"/>
    <w:rsid w:val="005B05E9"/>
    <w:rsid w:val="005B4076"/>
    <w:rsid w:val="005B43B0"/>
    <w:rsid w:val="005C1E91"/>
    <w:rsid w:val="005C3612"/>
    <w:rsid w:val="005D1F7C"/>
    <w:rsid w:val="005E422D"/>
    <w:rsid w:val="005F3611"/>
    <w:rsid w:val="005F3DDA"/>
    <w:rsid w:val="006037A1"/>
    <w:rsid w:val="00611844"/>
    <w:rsid w:val="00622AE0"/>
    <w:rsid w:val="00623770"/>
    <w:rsid w:val="0062428B"/>
    <w:rsid w:val="006261ED"/>
    <w:rsid w:val="00626662"/>
    <w:rsid w:val="00633D67"/>
    <w:rsid w:val="00634A37"/>
    <w:rsid w:val="0064697D"/>
    <w:rsid w:val="0065499E"/>
    <w:rsid w:val="0067583F"/>
    <w:rsid w:val="00684F23"/>
    <w:rsid w:val="00691838"/>
    <w:rsid w:val="006A6EB6"/>
    <w:rsid w:val="006B11BB"/>
    <w:rsid w:val="006B2180"/>
    <w:rsid w:val="006C081F"/>
    <w:rsid w:val="006E4BC9"/>
    <w:rsid w:val="00702400"/>
    <w:rsid w:val="0070331B"/>
    <w:rsid w:val="00705E90"/>
    <w:rsid w:val="00711838"/>
    <w:rsid w:val="007258E5"/>
    <w:rsid w:val="007347E8"/>
    <w:rsid w:val="00752484"/>
    <w:rsid w:val="00767A70"/>
    <w:rsid w:val="007740E0"/>
    <w:rsid w:val="007821C5"/>
    <w:rsid w:val="007A12D9"/>
    <w:rsid w:val="007E48FF"/>
    <w:rsid w:val="007F24E4"/>
    <w:rsid w:val="007F5BD0"/>
    <w:rsid w:val="007F5C9A"/>
    <w:rsid w:val="00800618"/>
    <w:rsid w:val="00802339"/>
    <w:rsid w:val="0080354F"/>
    <w:rsid w:val="00813376"/>
    <w:rsid w:val="00817CF2"/>
    <w:rsid w:val="008273F9"/>
    <w:rsid w:val="008327BD"/>
    <w:rsid w:val="008452A9"/>
    <w:rsid w:val="0086384F"/>
    <w:rsid w:val="008741C0"/>
    <w:rsid w:val="00885932"/>
    <w:rsid w:val="0089106F"/>
    <w:rsid w:val="00896C1C"/>
    <w:rsid w:val="008B02DA"/>
    <w:rsid w:val="008C0245"/>
    <w:rsid w:val="008C06FB"/>
    <w:rsid w:val="008C6C4F"/>
    <w:rsid w:val="008D4DFD"/>
    <w:rsid w:val="008F3154"/>
    <w:rsid w:val="00910C4D"/>
    <w:rsid w:val="009150A8"/>
    <w:rsid w:val="009156B6"/>
    <w:rsid w:val="009230C2"/>
    <w:rsid w:val="0095117A"/>
    <w:rsid w:val="009511E2"/>
    <w:rsid w:val="00960202"/>
    <w:rsid w:val="00971ACC"/>
    <w:rsid w:val="00984AA9"/>
    <w:rsid w:val="009902E8"/>
    <w:rsid w:val="009A3138"/>
    <w:rsid w:val="009A38F4"/>
    <w:rsid w:val="009B0136"/>
    <w:rsid w:val="009B0AC1"/>
    <w:rsid w:val="009B1D6B"/>
    <w:rsid w:val="009B7F90"/>
    <w:rsid w:val="009C08A6"/>
    <w:rsid w:val="009C2E24"/>
    <w:rsid w:val="009C6008"/>
    <w:rsid w:val="009E07A7"/>
    <w:rsid w:val="00A032C7"/>
    <w:rsid w:val="00A259A3"/>
    <w:rsid w:val="00A449C0"/>
    <w:rsid w:val="00A45A91"/>
    <w:rsid w:val="00A55E91"/>
    <w:rsid w:val="00AA509F"/>
    <w:rsid w:val="00AB27C0"/>
    <w:rsid w:val="00AB6099"/>
    <w:rsid w:val="00AC513E"/>
    <w:rsid w:val="00AC55C5"/>
    <w:rsid w:val="00AD6809"/>
    <w:rsid w:val="00AE165C"/>
    <w:rsid w:val="00AE2766"/>
    <w:rsid w:val="00AF0F52"/>
    <w:rsid w:val="00AF2506"/>
    <w:rsid w:val="00AF6413"/>
    <w:rsid w:val="00B00369"/>
    <w:rsid w:val="00B1591B"/>
    <w:rsid w:val="00B268F0"/>
    <w:rsid w:val="00B27F3F"/>
    <w:rsid w:val="00B4255D"/>
    <w:rsid w:val="00B44A25"/>
    <w:rsid w:val="00B6073A"/>
    <w:rsid w:val="00B6766E"/>
    <w:rsid w:val="00B8171D"/>
    <w:rsid w:val="00BA1A64"/>
    <w:rsid w:val="00BA6683"/>
    <w:rsid w:val="00BB3BB8"/>
    <w:rsid w:val="00BC3176"/>
    <w:rsid w:val="00BC60B5"/>
    <w:rsid w:val="00BC7CC4"/>
    <w:rsid w:val="00BD1B59"/>
    <w:rsid w:val="00BD3479"/>
    <w:rsid w:val="00BD7DE4"/>
    <w:rsid w:val="00BE7568"/>
    <w:rsid w:val="00BF7471"/>
    <w:rsid w:val="00C01F37"/>
    <w:rsid w:val="00C06BF7"/>
    <w:rsid w:val="00C126D1"/>
    <w:rsid w:val="00C145B3"/>
    <w:rsid w:val="00C21CDB"/>
    <w:rsid w:val="00C338C1"/>
    <w:rsid w:val="00C40EC7"/>
    <w:rsid w:val="00C43C97"/>
    <w:rsid w:val="00C52018"/>
    <w:rsid w:val="00C647AA"/>
    <w:rsid w:val="00C810AE"/>
    <w:rsid w:val="00C8616D"/>
    <w:rsid w:val="00C8698B"/>
    <w:rsid w:val="00C902EF"/>
    <w:rsid w:val="00C91743"/>
    <w:rsid w:val="00C95F92"/>
    <w:rsid w:val="00CB338B"/>
    <w:rsid w:val="00CB57E0"/>
    <w:rsid w:val="00CC7EB1"/>
    <w:rsid w:val="00CD2387"/>
    <w:rsid w:val="00CE1199"/>
    <w:rsid w:val="00CE1ECD"/>
    <w:rsid w:val="00D114B5"/>
    <w:rsid w:val="00D136DD"/>
    <w:rsid w:val="00D16944"/>
    <w:rsid w:val="00D20768"/>
    <w:rsid w:val="00D21767"/>
    <w:rsid w:val="00D21EFD"/>
    <w:rsid w:val="00D4728C"/>
    <w:rsid w:val="00D60CF2"/>
    <w:rsid w:val="00D611EB"/>
    <w:rsid w:val="00D626B1"/>
    <w:rsid w:val="00D63AC4"/>
    <w:rsid w:val="00D64D4F"/>
    <w:rsid w:val="00D77134"/>
    <w:rsid w:val="00D85ADE"/>
    <w:rsid w:val="00D87244"/>
    <w:rsid w:val="00DB7852"/>
    <w:rsid w:val="00DD46DD"/>
    <w:rsid w:val="00DE0D26"/>
    <w:rsid w:val="00DE1248"/>
    <w:rsid w:val="00DE3DF5"/>
    <w:rsid w:val="00DE6071"/>
    <w:rsid w:val="00E00626"/>
    <w:rsid w:val="00E04668"/>
    <w:rsid w:val="00E0768F"/>
    <w:rsid w:val="00E124FB"/>
    <w:rsid w:val="00E162C2"/>
    <w:rsid w:val="00E219E0"/>
    <w:rsid w:val="00E425EF"/>
    <w:rsid w:val="00E44E53"/>
    <w:rsid w:val="00E57C39"/>
    <w:rsid w:val="00E60A47"/>
    <w:rsid w:val="00E627D0"/>
    <w:rsid w:val="00E6549D"/>
    <w:rsid w:val="00E74C5C"/>
    <w:rsid w:val="00E757C6"/>
    <w:rsid w:val="00E75F2E"/>
    <w:rsid w:val="00E776F1"/>
    <w:rsid w:val="00EB1222"/>
    <w:rsid w:val="00EB5E95"/>
    <w:rsid w:val="00EB7294"/>
    <w:rsid w:val="00ED7EDD"/>
    <w:rsid w:val="00EE7AAD"/>
    <w:rsid w:val="00EF6E97"/>
    <w:rsid w:val="00F07566"/>
    <w:rsid w:val="00F26F4E"/>
    <w:rsid w:val="00F40020"/>
    <w:rsid w:val="00F525BE"/>
    <w:rsid w:val="00F56A9E"/>
    <w:rsid w:val="00F613AB"/>
    <w:rsid w:val="00F67C9D"/>
    <w:rsid w:val="00F8179E"/>
    <w:rsid w:val="00F91306"/>
    <w:rsid w:val="00F920FE"/>
    <w:rsid w:val="00FB0339"/>
    <w:rsid w:val="00FB5AAA"/>
    <w:rsid w:val="00FB74AB"/>
    <w:rsid w:val="00FC348C"/>
    <w:rsid w:val="00FE37D0"/>
    <w:rsid w:val="00FF226E"/>
    <w:rsid w:val="014318DD"/>
    <w:rsid w:val="01FB6F4D"/>
    <w:rsid w:val="02323FEC"/>
    <w:rsid w:val="02D56ED5"/>
    <w:rsid w:val="046E7630"/>
    <w:rsid w:val="04FF7BF6"/>
    <w:rsid w:val="05317CFD"/>
    <w:rsid w:val="05513873"/>
    <w:rsid w:val="060376AF"/>
    <w:rsid w:val="06F97448"/>
    <w:rsid w:val="07322FF4"/>
    <w:rsid w:val="08391827"/>
    <w:rsid w:val="08AC289A"/>
    <w:rsid w:val="0A0E0133"/>
    <w:rsid w:val="0C067215"/>
    <w:rsid w:val="0C4B627A"/>
    <w:rsid w:val="0CA667CB"/>
    <w:rsid w:val="0E141612"/>
    <w:rsid w:val="0EE10B41"/>
    <w:rsid w:val="0EEE65B1"/>
    <w:rsid w:val="0F05088B"/>
    <w:rsid w:val="0F312DE9"/>
    <w:rsid w:val="11196468"/>
    <w:rsid w:val="11B65AC0"/>
    <w:rsid w:val="126F05BC"/>
    <w:rsid w:val="12F93F93"/>
    <w:rsid w:val="13346603"/>
    <w:rsid w:val="13C34D17"/>
    <w:rsid w:val="145E5528"/>
    <w:rsid w:val="180F41A4"/>
    <w:rsid w:val="191D329C"/>
    <w:rsid w:val="196F0A74"/>
    <w:rsid w:val="1B6663D6"/>
    <w:rsid w:val="1C0E715F"/>
    <w:rsid w:val="1C345150"/>
    <w:rsid w:val="1EBD774A"/>
    <w:rsid w:val="1EDA0DC1"/>
    <w:rsid w:val="1F710266"/>
    <w:rsid w:val="1FD745FA"/>
    <w:rsid w:val="1FEE492D"/>
    <w:rsid w:val="200D7619"/>
    <w:rsid w:val="20682A38"/>
    <w:rsid w:val="20C305E3"/>
    <w:rsid w:val="211C16FB"/>
    <w:rsid w:val="21B34CD8"/>
    <w:rsid w:val="234E6DBA"/>
    <w:rsid w:val="23997E6A"/>
    <w:rsid w:val="25D53A0C"/>
    <w:rsid w:val="26223E0D"/>
    <w:rsid w:val="288A3738"/>
    <w:rsid w:val="28AC2BC1"/>
    <w:rsid w:val="29CE5623"/>
    <w:rsid w:val="2A77493E"/>
    <w:rsid w:val="2AB44D6A"/>
    <w:rsid w:val="2C3F36BD"/>
    <w:rsid w:val="2CFD06B6"/>
    <w:rsid w:val="2D847819"/>
    <w:rsid w:val="315D4C7D"/>
    <w:rsid w:val="31E15570"/>
    <w:rsid w:val="32135CC6"/>
    <w:rsid w:val="35FC59E6"/>
    <w:rsid w:val="36C639D9"/>
    <w:rsid w:val="36E81DE2"/>
    <w:rsid w:val="36F06D3B"/>
    <w:rsid w:val="375D6882"/>
    <w:rsid w:val="37EC178B"/>
    <w:rsid w:val="38777B10"/>
    <w:rsid w:val="3E545E68"/>
    <w:rsid w:val="3F5C0A1B"/>
    <w:rsid w:val="40451B2F"/>
    <w:rsid w:val="405C0016"/>
    <w:rsid w:val="414920E9"/>
    <w:rsid w:val="442425F9"/>
    <w:rsid w:val="44AF2783"/>
    <w:rsid w:val="44B54AFC"/>
    <w:rsid w:val="451C0ADF"/>
    <w:rsid w:val="45EA7221"/>
    <w:rsid w:val="47AE3657"/>
    <w:rsid w:val="47AE54E8"/>
    <w:rsid w:val="47EE55CE"/>
    <w:rsid w:val="480E104C"/>
    <w:rsid w:val="49513441"/>
    <w:rsid w:val="49B62707"/>
    <w:rsid w:val="4AB74312"/>
    <w:rsid w:val="4BAA130A"/>
    <w:rsid w:val="4D3E22FB"/>
    <w:rsid w:val="4E541EF9"/>
    <w:rsid w:val="4EA43970"/>
    <w:rsid w:val="4F7370ED"/>
    <w:rsid w:val="4F82129C"/>
    <w:rsid w:val="51253ACC"/>
    <w:rsid w:val="51734689"/>
    <w:rsid w:val="51734EB6"/>
    <w:rsid w:val="52023989"/>
    <w:rsid w:val="521B4E46"/>
    <w:rsid w:val="5230663B"/>
    <w:rsid w:val="52312FFF"/>
    <w:rsid w:val="52843CEB"/>
    <w:rsid w:val="53762C10"/>
    <w:rsid w:val="544F75AA"/>
    <w:rsid w:val="54E4125E"/>
    <w:rsid w:val="552E207A"/>
    <w:rsid w:val="560C112E"/>
    <w:rsid w:val="56EC0565"/>
    <w:rsid w:val="580977C3"/>
    <w:rsid w:val="59186477"/>
    <w:rsid w:val="5AED2BA9"/>
    <w:rsid w:val="5B0A2C7C"/>
    <w:rsid w:val="5BAB7D37"/>
    <w:rsid w:val="5C433F2F"/>
    <w:rsid w:val="5CD57D19"/>
    <w:rsid w:val="5E2A4A17"/>
    <w:rsid w:val="5E4431D4"/>
    <w:rsid w:val="5F4B63CA"/>
    <w:rsid w:val="607D475B"/>
    <w:rsid w:val="62F025C8"/>
    <w:rsid w:val="6323513F"/>
    <w:rsid w:val="650E3DA5"/>
    <w:rsid w:val="66C62695"/>
    <w:rsid w:val="67BB4CEE"/>
    <w:rsid w:val="68155D26"/>
    <w:rsid w:val="68DD4BF9"/>
    <w:rsid w:val="693F0688"/>
    <w:rsid w:val="6ABF2218"/>
    <w:rsid w:val="6B0D3DC2"/>
    <w:rsid w:val="6C0C4FBB"/>
    <w:rsid w:val="6C1C2572"/>
    <w:rsid w:val="6C212A27"/>
    <w:rsid w:val="6C7A3A33"/>
    <w:rsid w:val="6D421680"/>
    <w:rsid w:val="6D9E6500"/>
    <w:rsid w:val="6DD25FF4"/>
    <w:rsid w:val="71717741"/>
    <w:rsid w:val="75ED45C3"/>
    <w:rsid w:val="76957913"/>
    <w:rsid w:val="77754EA5"/>
    <w:rsid w:val="79D5562B"/>
    <w:rsid w:val="7A3612B4"/>
    <w:rsid w:val="7A9C4997"/>
    <w:rsid w:val="7BB728E7"/>
    <w:rsid w:val="7CDA738D"/>
    <w:rsid w:val="7DDB64F8"/>
    <w:rsid w:val="7EBD38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Body Text Indent"/>
    <w:basedOn w:val="1"/>
    <w:link w:val="25"/>
    <w:autoRedefine/>
    <w:qFormat/>
    <w:uiPriority w:val="99"/>
    <w:pPr>
      <w:ind w:firstLine="632" w:firstLineChars="200"/>
    </w:pPr>
  </w:style>
  <w:style w:type="paragraph" w:styleId="5">
    <w:name w:val="toc 5"/>
    <w:basedOn w:val="1"/>
    <w:next w:val="1"/>
    <w:autoRedefine/>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toc 8"/>
    <w:basedOn w:val="1"/>
    <w:next w:val="1"/>
    <w:autoRedefine/>
    <w:unhideWhenUsed/>
    <w:qFormat/>
    <w:uiPriority w:val="39"/>
    <w:pPr>
      <w:ind w:left="2940" w:leftChars="1400"/>
    </w:pPr>
  </w:style>
  <w:style w:type="paragraph" w:styleId="8">
    <w:name w:val="Date"/>
    <w:basedOn w:val="1"/>
    <w:next w:val="1"/>
    <w:link w:val="24"/>
    <w:autoRedefine/>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ind w:left="3360" w:leftChars="16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autoRedefine/>
    <w:qFormat/>
    <w:uiPriority w:val="99"/>
    <w:rPr>
      <w:rFonts w:cs="Times New Roman"/>
    </w:rPr>
  </w:style>
  <w:style w:type="character" w:styleId="21">
    <w:name w:val="Hyperlink"/>
    <w:autoRedefine/>
    <w:qFormat/>
    <w:uiPriority w:val="99"/>
    <w:rPr>
      <w:rFonts w:cs="Times New Roman"/>
      <w:color w:val="0000FF"/>
      <w:u w:val="single"/>
    </w:rPr>
  </w:style>
  <w:style w:type="character" w:customStyle="1" w:styleId="22">
    <w:name w:val="页眉 Char"/>
    <w:link w:val="11"/>
    <w:semiHidden/>
    <w:qFormat/>
    <w:uiPriority w:val="99"/>
    <w:rPr>
      <w:rFonts w:eastAsia="仿宋_GB2312"/>
      <w:sz w:val="18"/>
      <w:szCs w:val="18"/>
    </w:rPr>
  </w:style>
  <w:style w:type="character" w:customStyle="1" w:styleId="23">
    <w:name w:val="页脚 Char"/>
    <w:link w:val="10"/>
    <w:autoRedefine/>
    <w:semiHidden/>
    <w:qFormat/>
    <w:uiPriority w:val="99"/>
    <w:rPr>
      <w:rFonts w:eastAsia="仿宋_GB2312"/>
      <w:sz w:val="18"/>
      <w:szCs w:val="18"/>
    </w:rPr>
  </w:style>
  <w:style w:type="character" w:customStyle="1" w:styleId="24">
    <w:name w:val="日期 Char"/>
    <w:link w:val="8"/>
    <w:autoRedefine/>
    <w:semiHidden/>
    <w:qFormat/>
    <w:uiPriority w:val="99"/>
    <w:rPr>
      <w:rFonts w:eastAsia="仿宋_GB2312"/>
      <w:sz w:val="32"/>
      <w:szCs w:val="20"/>
    </w:rPr>
  </w:style>
  <w:style w:type="character" w:customStyle="1" w:styleId="25">
    <w:name w:val="正文文本缩进 Char"/>
    <w:link w:val="4"/>
    <w:autoRedefine/>
    <w:semiHidden/>
    <w:qFormat/>
    <w:uiPriority w:val="99"/>
    <w:rPr>
      <w:rFonts w:eastAsia="仿宋_GB2312"/>
      <w:sz w:val="32"/>
      <w:szCs w:val="20"/>
    </w:rPr>
  </w:style>
  <w:style w:type="paragraph" w:customStyle="1" w:styleId="26">
    <w:name w:val="Char Char Char Char Char Char"/>
    <w:basedOn w:val="1"/>
    <w:autoRedefine/>
    <w:qFormat/>
    <w:uiPriority w:val="99"/>
    <w:pPr>
      <w:adjustRightInd w:val="0"/>
    </w:pPr>
    <w:rPr>
      <w:rFonts w:ascii="Tahoma" w:hAnsi="Tahoma" w:eastAsia="宋体"/>
      <w:sz w:val="24"/>
    </w:rPr>
  </w:style>
  <w:style w:type="character" w:customStyle="1" w:styleId="27">
    <w:name w:val="标题 1 Char"/>
    <w:link w:val="2"/>
    <w:autoRedefine/>
    <w:qFormat/>
    <w:uiPriority w:val="99"/>
    <w:rPr>
      <w:rFonts w:ascii="Calibri" w:hAnsi="Calibri" w:cs="Calibri"/>
      <w:b/>
      <w:bCs/>
      <w:kern w:val="44"/>
      <w:sz w:val="44"/>
      <w:szCs w:val="44"/>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1">
    <w:name w:val="批注框文本 Char"/>
    <w:basedOn w:val="19"/>
    <w:link w:val="9"/>
    <w:autoRedefine/>
    <w:semiHidden/>
    <w:qFormat/>
    <w:uiPriority w:val="99"/>
    <w:rPr>
      <w:rFonts w:ascii="Times New Roman" w:hAnsi="Times New Roman" w:eastAsia="仿宋_GB2312"/>
      <w:kern w:val="2"/>
      <w:sz w:val="18"/>
      <w:szCs w:val="18"/>
    </w:rPr>
  </w:style>
  <w:style w:type="paragraph" w:styleId="3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FA5F1-33C5-4B82-AFF3-E71F84AF3904}">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27</Pages>
  <Words>15308</Words>
  <Characters>16948</Characters>
  <Lines>129</Lines>
  <Paragraphs>36</Paragraphs>
  <TotalTime>116</TotalTime>
  <ScaleCrop>false</ScaleCrop>
  <LinksUpToDate>false</LinksUpToDate>
  <CharactersWithSpaces>17148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2021-08-26T06:56:00Z</dcterms:created>
  <dc:creator>y</dc:creator>
  <cp:lastModifiedBy>岂曰无衣</cp:lastModifiedBy>
  <cp:lastPrinted>2021-05-31T02:11:00Z</cp:lastPrinted>
  <dcterms:modified xsi:type="dcterms:W3CDTF">2024-03-12T06:35:49Z</dcterms:modified>
  <dc:title>益财会〔2002〕4号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87FDBF502DB440AEA6E4A46DF0201AEC</vt:lpwstr>
  </property>
</Properties>
</file>