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lang w:val="en-US" w:eastAsia="zh-CN"/>
        </w:rPr>
      </w:pPr>
      <w:r>
        <w:rPr>
          <w:rFonts w:hint="eastAsia" w:ascii="方正小标宋简体" w:hAnsi="方正小标宋简体" w:eastAsia="方正小标宋简体" w:cs="方正小标宋简体"/>
          <w:color w:val="auto"/>
          <w:sz w:val="44"/>
          <w:szCs w:val="44"/>
          <w:lang w:val="en-US" w:eastAsia="zh-CN"/>
        </w:rPr>
        <w:t>舍块乡脱贫成效巩固监测预警户产业帮扶项目实施方案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巩固脱贫攻坚成效，精准实施监测预警户长效帮扶机制，牢牢守住“不发生规模性返贫”底线，着力增加监测预警户收益，</w:t>
      </w:r>
      <w:r>
        <w:rPr>
          <w:rFonts w:hint="eastAsia" w:ascii="仿宋_GB2312" w:hAnsi="仿宋_GB2312" w:eastAsia="仿宋_GB2312" w:cs="仿宋_GB2312"/>
          <w:color w:val="auto"/>
          <w:sz w:val="32"/>
          <w:szCs w:val="32"/>
        </w:rPr>
        <w:t>特</w:t>
      </w:r>
      <w:r>
        <w:rPr>
          <w:rFonts w:hint="eastAsia" w:ascii="仿宋_GB2312" w:hAnsi="仿宋_GB2312" w:eastAsia="仿宋_GB2312" w:cs="仿宋_GB2312"/>
          <w:color w:val="auto"/>
          <w:sz w:val="32"/>
          <w:szCs w:val="32"/>
          <w:lang w:val="en-US" w:eastAsia="zh-CN"/>
        </w:rPr>
        <w:t>制定本方案</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rPr>
          <w:rFonts w:ascii="Times New Roman" w:hAnsi="Times New Roman" w:eastAsia="黑体"/>
          <w:bCs/>
          <w:color w:val="000000"/>
          <w:kern w:val="0"/>
          <w:sz w:val="32"/>
          <w:szCs w:val="32"/>
        </w:rPr>
      </w:pPr>
      <w:r>
        <w:rPr>
          <w:rFonts w:ascii="Times New Roman" w:hAnsi="黑体" w:eastAsia="黑体"/>
          <w:bCs/>
          <w:color w:val="000000"/>
          <w:kern w:val="0"/>
          <w:sz w:val="32"/>
          <w:szCs w:val="32"/>
        </w:rPr>
        <w:t>一、项目摘要</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（一）项目名称：</w:t>
      </w:r>
      <w:r>
        <w:rPr>
          <w:rFonts w:hint="eastAsia" w:ascii="Times New Roman" w:hAnsi="Times New Roman" w:eastAsia="仿宋_GB2312"/>
          <w:bCs/>
          <w:color w:val="000000"/>
          <w:sz w:val="32"/>
          <w:szCs w:val="32"/>
        </w:rPr>
        <w:t>舍块乡脱贫成效巩固监测预警户产业帮扶项目</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（二）建设单位：</w:t>
      </w:r>
      <w:r>
        <w:rPr>
          <w:rFonts w:ascii="Times New Roman" w:hAnsi="Times New Roman" w:eastAsia="仿宋_GB2312"/>
          <w:color w:val="000000"/>
          <w:kern w:val="0"/>
          <w:sz w:val="32"/>
          <w:szCs w:val="32"/>
        </w:rPr>
        <w:t>东川区舍块乡人民政府</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（三）项目执行单位：</w:t>
      </w:r>
      <w:r>
        <w:rPr>
          <w:rFonts w:hint="eastAsia" w:ascii="Times New Roman" w:hAnsi="Times New Roman" w:eastAsia="仿宋_GB2312"/>
          <w:color w:val="000000"/>
          <w:kern w:val="0"/>
          <w:sz w:val="32"/>
          <w:szCs w:val="32"/>
          <w:lang w:val="en-US" w:eastAsia="zh-CN"/>
        </w:rPr>
        <w:t>东川区</w:t>
      </w:r>
      <w:r>
        <w:rPr>
          <w:rFonts w:ascii="Times New Roman" w:hAnsi="Times New Roman" w:eastAsia="仿宋_GB2312"/>
          <w:color w:val="000000"/>
          <w:kern w:val="0"/>
          <w:sz w:val="32"/>
          <w:szCs w:val="32"/>
        </w:rPr>
        <w:t>舍块乡</w:t>
      </w:r>
      <w:r>
        <w:rPr>
          <w:rFonts w:ascii="Times New Roman" w:hAnsi="Times New Roman" w:eastAsia="仿宋_GB2312"/>
          <w:sz w:val="32"/>
          <w:szCs w:val="32"/>
        </w:rPr>
        <w:t>人民政府</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（四）建设地点：</w:t>
      </w:r>
      <w:r>
        <w:rPr>
          <w:rFonts w:hint="eastAsia" w:ascii="Times New Roman" w:hAnsi="Times New Roman" w:eastAsia="仿宋_GB2312"/>
          <w:color w:val="000000"/>
          <w:sz w:val="32"/>
          <w:szCs w:val="32"/>
          <w:lang w:val="en-US" w:eastAsia="zh-CN"/>
        </w:rPr>
        <w:t>云坪</w:t>
      </w:r>
      <w:r>
        <w:rPr>
          <w:rFonts w:hint="eastAsia" w:ascii="Times New Roman" w:hAnsi="Times New Roman" w:eastAsia="仿宋_GB2312"/>
          <w:color w:val="000000"/>
          <w:sz w:val="32"/>
          <w:szCs w:val="32"/>
        </w:rPr>
        <w:t>村</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万只生态羊养殖基地</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000000"/>
          <w:kern w:val="0"/>
          <w:sz w:val="32"/>
          <w:szCs w:val="32"/>
        </w:rPr>
      </w:pPr>
      <w:r>
        <w:rPr>
          <w:rFonts w:ascii="Times New Roman" w:hAnsi="Times New Roman" w:eastAsia="楷体_GB2312"/>
          <w:color w:val="000000"/>
          <w:kern w:val="0"/>
          <w:sz w:val="32"/>
          <w:szCs w:val="32"/>
        </w:rPr>
        <w:t>（六）建设目标：</w:t>
      </w:r>
      <w:r>
        <w:rPr>
          <w:rFonts w:ascii="Times New Roman" w:hAnsi="Times New Roman" w:eastAsia="仿宋_GB2312"/>
          <w:color w:val="000000"/>
          <w:kern w:val="0"/>
          <w:sz w:val="32"/>
          <w:szCs w:val="32"/>
        </w:rPr>
        <w:t>利用舍块乡</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万亩高山草山资源优势，</w:t>
      </w:r>
      <w:r>
        <w:rPr>
          <w:rFonts w:hint="eastAsia" w:ascii="Times New Roman" w:hAnsi="Times New Roman" w:eastAsia="仿宋_GB2312"/>
          <w:color w:val="000000"/>
          <w:kern w:val="0"/>
          <w:sz w:val="32"/>
          <w:szCs w:val="32"/>
          <w:lang w:eastAsia="zh-CN"/>
        </w:rPr>
        <w:t>依托</w:t>
      </w:r>
      <w:r>
        <w:rPr>
          <w:rFonts w:hint="eastAsia" w:ascii="Times New Roman" w:hAnsi="Times New Roman" w:eastAsia="仿宋_GB2312"/>
          <w:color w:val="000000"/>
          <w:kern w:val="0"/>
          <w:sz w:val="32"/>
          <w:szCs w:val="32"/>
        </w:rPr>
        <w:t>已建成的</w:t>
      </w:r>
      <w:r>
        <w:rPr>
          <w:rFonts w:hint="eastAsia" w:ascii="Times New Roman" w:hAnsi="Times New Roman" w:eastAsia="仿宋_GB2312"/>
          <w:color w:val="000000"/>
          <w:kern w:val="0"/>
          <w:sz w:val="32"/>
          <w:szCs w:val="32"/>
          <w:lang w:val="en-US" w:eastAsia="zh-CN"/>
        </w:rPr>
        <w:t>万只生态羊</w:t>
      </w:r>
      <w:r>
        <w:rPr>
          <w:rFonts w:hint="eastAsia" w:ascii="Times New Roman" w:hAnsi="Times New Roman" w:eastAsia="仿宋_GB2312"/>
          <w:color w:val="000000"/>
          <w:kern w:val="0"/>
          <w:sz w:val="32"/>
          <w:szCs w:val="32"/>
        </w:rPr>
        <w:t>养殖</w:t>
      </w:r>
      <w:r>
        <w:rPr>
          <w:rFonts w:hint="eastAsia" w:ascii="Times New Roman" w:hAnsi="Times New Roman" w:eastAsia="仿宋_GB2312"/>
          <w:color w:val="000000"/>
          <w:kern w:val="0"/>
          <w:sz w:val="32"/>
          <w:szCs w:val="32"/>
          <w:lang w:val="en-US" w:eastAsia="zh-CN"/>
        </w:rPr>
        <w:t>基地</w:t>
      </w:r>
      <w:r>
        <w:rPr>
          <w:rFonts w:hint="eastAsia" w:ascii="Times New Roman" w:hAnsi="Times New Roman" w:eastAsia="仿宋_GB2312"/>
          <w:color w:val="000000"/>
          <w:kern w:val="0"/>
          <w:sz w:val="32"/>
          <w:szCs w:val="32"/>
        </w:rPr>
        <w:t>为基础，</w:t>
      </w:r>
      <w:r>
        <w:rPr>
          <w:rFonts w:hint="eastAsia" w:ascii="Times New Roman" w:hAnsi="Times New Roman" w:eastAsia="仿宋_GB2312"/>
          <w:color w:val="000000"/>
          <w:kern w:val="0"/>
          <w:sz w:val="32"/>
          <w:szCs w:val="32"/>
          <w:lang w:val="en-US" w:eastAsia="zh-CN"/>
        </w:rPr>
        <w:t>采购种羊100只，按各村脱贫预警户户数进行分配，分配后托管种羊由万只生态羊养殖基地（金麦农业有限公司）代养，</w:t>
      </w:r>
      <w:r>
        <w:rPr>
          <w:rFonts w:ascii="Times New Roman" w:hAnsi="Times New Roman" w:eastAsia="仿宋_GB2312"/>
          <w:color w:val="000000"/>
          <w:kern w:val="0"/>
          <w:sz w:val="32"/>
          <w:szCs w:val="32"/>
        </w:rPr>
        <w:t>所产生利润</w:t>
      </w:r>
      <w:r>
        <w:rPr>
          <w:rFonts w:hint="eastAsia" w:ascii="Times New Roman" w:hAnsi="Times New Roman" w:eastAsia="仿宋_GB2312"/>
          <w:color w:val="000000"/>
          <w:kern w:val="0"/>
          <w:sz w:val="32"/>
          <w:szCs w:val="32"/>
          <w:lang w:val="en-US" w:eastAsia="zh-CN"/>
        </w:rPr>
        <w:t>分成归入村集体资金管理，再由村集体动态调整，将利润分配至各村监测预警户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脱贫不稳定户、边缘易致贫户、突发严重困难户等困难群体</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最终实现</w:t>
      </w:r>
      <w:r>
        <w:rPr>
          <w:rFonts w:hint="eastAsia" w:ascii="Times New Roman" w:hAnsi="Times New Roman" w:eastAsia="仿宋_GB2312"/>
          <w:color w:val="000000"/>
          <w:kern w:val="0"/>
          <w:sz w:val="32"/>
          <w:szCs w:val="32"/>
          <w:lang w:val="en-US" w:eastAsia="zh-CN"/>
        </w:rPr>
        <w:t>监测预警户全部稳定脱贫，牢牢守住不发生规模性返贫底线，以达到巩固脱贫成效与乡村振兴有效衔接的目标</w:t>
      </w:r>
      <w:r>
        <w:rPr>
          <w:rFonts w:ascii="Times New Roman" w:hAnsi="Times New Roman" w:eastAsia="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hint="eastAsia" w:ascii="Times New Roman" w:hAnsi="Times New Roman" w:eastAsia="仿宋_GB2312"/>
          <w:color w:val="FF0000"/>
          <w:kern w:val="0"/>
          <w:sz w:val="32"/>
          <w:szCs w:val="32"/>
          <w:lang w:val="en-US" w:eastAsia="zh-CN"/>
        </w:rPr>
      </w:pPr>
      <w:r>
        <w:rPr>
          <w:rFonts w:ascii="Times New Roman" w:hAnsi="Times New Roman" w:eastAsia="楷体_GB2312"/>
          <w:color w:val="000000"/>
          <w:kern w:val="0"/>
          <w:sz w:val="32"/>
          <w:szCs w:val="32"/>
        </w:rPr>
        <w:t>（七）建设规模：</w:t>
      </w:r>
      <w:r>
        <w:rPr>
          <w:rFonts w:hint="eastAsia" w:ascii="仿宋_GB2312" w:hAnsi="仿宋_GB2312" w:eastAsia="仿宋_GB2312" w:cs="仿宋_GB2312"/>
          <w:color w:val="000000"/>
          <w:kern w:val="0"/>
          <w:sz w:val="32"/>
          <w:szCs w:val="32"/>
          <w:lang w:val="en-US" w:eastAsia="zh-CN"/>
        </w:rPr>
        <w:t>采购种羊100只</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（八）建设内容：</w:t>
      </w:r>
    </w:p>
    <w:p>
      <w:pPr>
        <w:keepNext w:val="0"/>
        <w:keepLines w:val="0"/>
        <w:pageBreakBefore w:val="0"/>
        <w:kinsoku/>
        <w:wordWrap/>
        <w:overflowPunct/>
        <w:topLinePunct w:val="0"/>
        <w:autoSpaceDE/>
        <w:autoSpaceDN/>
        <w:bidi w:val="0"/>
        <w:adjustRightInd/>
        <w:snapToGrid/>
        <w:spacing w:line="560" w:lineRule="exact"/>
        <w:ind w:leftChars="0" w:firstLine="643"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种羊采购。</w:t>
      </w:r>
      <w:r>
        <w:rPr>
          <w:rFonts w:hint="eastAsia" w:ascii="仿宋_GB2312" w:hAnsi="仿宋_GB2312" w:eastAsia="仿宋_GB2312" w:cs="仿宋_GB2312"/>
          <w:color w:val="000000"/>
          <w:kern w:val="0"/>
          <w:sz w:val="32"/>
          <w:szCs w:val="32"/>
          <w:lang w:val="en-US" w:eastAsia="zh-CN"/>
        </w:rPr>
        <w:t>按照监测预警户中收入最低的50户，每户2只，共计采购种羊100只。</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仿宋_GB2312" w:hAnsi="仿宋_GB2312" w:eastAsia="仿宋_GB2312" w:cs="仿宋_GB2312"/>
          <w:color w:val="000000"/>
          <w:kern w:val="0"/>
          <w:sz w:val="32"/>
          <w:szCs w:val="32"/>
          <w:highlight w:val="yellow"/>
          <w:lang w:val="en-US" w:eastAsia="zh-CN"/>
        </w:rPr>
      </w:pPr>
      <w:r>
        <w:rPr>
          <w:rFonts w:hint="eastAsia" w:ascii="楷体" w:hAnsi="楷体" w:eastAsia="楷体" w:cs="楷体"/>
          <w:color w:val="000000"/>
          <w:kern w:val="0"/>
          <w:sz w:val="32"/>
          <w:szCs w:val="32"/>
          <w:highlight w:val="none"/>
          <w:lang w:val="en-US" w:eastAsia="zh-CN"/>
        </w:rPr>
        <w:t>（九）</w:t>
      </w:r>
      <w:r>
        <w:rPr>
          <w:rFonts w:hint="eastAsia" w:ascii="楷体" w:hAnsi="楷体" w:eastAsia="楷体" w:cs="楷体"/>
          <w:sz w:val="32"/>
          <w:szCs w:val="32"/>
          <w:highlight w:val="none"/>
          <w:lang w:val="en-US" w:eastAsia="zh-CN"/>
        </w:rPr>
        <w:t>养殖利润分配：</w:t>
      </w:r>
      <w:r>
        <w:rPr>
          <w:rFonts w:hint="eastAsia" w:ascii="仿宋_GB2312" w:hAnsi="仿宋_GB2312" w:eastAsia="仿宋_GB2312" w:cs="仿宋_GB2312"/>
          <w:color w:val="auto"/>
          <w:kern w:val="0"/>
          <w:sz w:val="32"/>
          <w:szCs w:val="32"/>
          <w:highlight w:val="none"/>
          <w:lang w:val="en-US" w:eastAsia="zh-CN"/>
        </w:rPr>
        <w:t>与金麦农业有限公司建立合作期限五年，第一年按每户分配利润1000元，第二年按每户分配利润1000元，第三年至第五年每年按每户分配利润2000元。</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FF0000"/>
          <w:kern w:val="0"/>
          <w:sz w:val="32"/>
          <w:szCs w:val="32"/>
        </w:rPr>
      </w:pPr>
      <w:r>
        <w:rPr>
          <w:rFonts w:hint="eastAsia" w:ascii="Times New Roman" w:hAnsi="Times New Roman" w:eastAsia="楷体_GB2312"/>
          <w:color w:val="000000"/>
          <w:kern w:val="0"/>
          <w:sz w:val="32"/>
          <w:szCs w:val="32"/>
          <w:lang w:val="en-US" w:eastAsia="zh-CN"/>
        </w:rPr>
        <w:t>（十）</w:t>
      </w:r>
      <w:r>
        <w:rPr>
          <w:rFonts w:ascii="Times New Roman" w:hAnsi="Times New Roman" w:eastAsia="楷体_GB2312"/>
          <w:color w:val="000000"/>
          <w:kern w:val="0"/>
          <w:sz w:val="32"/>
          <w:szCs w:val="32"/>
        </w:rPr>
        <w:t>项目投资：</w:t>
      </w:r>
      <w:r>
        <w:rPr>
          <w:rFonts w:hint="eastAsia" w:ascii="Times New Roman" w:hAnsi="Times New Roman" w:eastAsia="仿宋_GB2312"/>
          <w:color w:val="000000"/>
          <w:sz w:val="32"/>
          <w:szCs w:val="32"/>
        </w:rPr>
        <w:t>共投入</w:t>
      </w:r>
      <w:r>
        <w:rPr>
          <w:rFonts w:hint="eastAsia" w:ascii="Times New Roman" w:hAnsi="Times New Roman" w:eastAsia="仿宋_GB2312"/>
          <w:color w:val="000000"/>
          <w:sz w:val="32"/>
          <w:szCs w:val="32"/>
          <w:lang w:val="en-US" w:eastAsia="zh-CN"/>
        </w:rPr>
        <w:t>22万元万元</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全部由</w:t>
      </w:r>
      <w:r>
        <w:rPr>
          <w:rFonts w:hint="eastAsia" w:ascii="Times New Roman" w:hAnsi="Times New Roman" w:eastAsia="仿宋_GB2312"/>
          <w:color w:val="000000"/>
          <w:sz w:val="32"/>
          <w:szCs w:val="32"/>
        </w:rPr>
        <w:t>政府投入</w:t>
      </w:r>
      <w:r>
        <w:rPr>
          <w:rFonts w:hint="eastAsia" w:ascii="Times New Roman" w:hAnsi="Times New Roman" w:eastAsia="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000000"/>
          <w:kern w:val="0"/>
          <w:sz w:val="32"/>
          <w:szCs w:val="32"/>
        </w:rPr>
      </w:pPr>
      <w:r>
        <w:rPr>
          <w:rFonts w:hint="eastAsia" w:ascii="Times New Roman" w:hAnsi="Times New Roman" w:eastAsia="楷体_GB2312"/>
          <w:color w:val="000000"/>
          <w:kern w:val="0"/>
          <w:sz w:val="32"/>
          <w:szCs w:val="32"/>
          <w:lang w:val="en-US" w:eastAsia="zh-CN"/>
        </w:rPr>
        <w:t>（十一）</w:t>
      </w:r>
      <w:r>
        <w:rPr>
          <w:rFonts w:ascii="Times New Roman" w:hAnsi="Times New Roman" w:eastAsia="楷体_GB2312"/>
          <w:color w:val="000000"/>
          <w:kern w:val="0"/>
          <w:sz w:val="32"/>
          <w:szCs w:val="32"/>
        </w:rPr>
        <w:t>建设期限：</w:t>
      </w:r>
      <w:r>
        <w:rPr>
          <w:rFonts w:ascii="Times New Roman" w:hAnsi="Times New Roman" w:eastAsia="仿宋_GB2312"/>
          <w:color w:val="000000"/>
          <w:kern w:val="0"/>
          <w:sz w:val="32"/>
          <w:szCs w:val="32"/>
        </w:rPr>
        <w:t>1年。</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rPr>
          <w:rFonts w:hint="default" w:ascii="Times New Roman" w:hAnsi="Times New Roman" w:eastAsia="楷体_GB2312"/>
          <w:sz w:val="32"/>
          <w:szCs w:val="32"/>
          <w:lang w:val="en-US" w:eastAsia="zh-CN"/>
        </w:rPr>
      </w:pPr>
      <w:r>
        <w:rPr>
          <w:rFonts w:hint="eastAsia" w:ascii="Times New Roman" w:hAnsi="Times New Roman" w:eastAsia="楷体_GB2312"/>
          <w:color w:val="000000"/>
          <w:kern w:val="0"/>
          <w:sz w:val="32"/>
          <w:szCs w:val="32"/>
          <w:lang w:val="en-US" w:eastAsia="zh-CN"/>
        </w:rPr>
        <w:t>（十二）</w:t>
      </w:r>
      <w:r>
        <w:rPr>
          <w:rFonts w:ascii="Times New Roman" w:hAnsi="Times New Roman" w:eastAsia="楷体_GB2312"/>
          <w:color w:val="000000"/>
          <w:kern w:val="0"/>
          <w:sz w:val="32"/>
          <w:szCs w:val="32"/>
        </w:rPr>
        <w:t>建设方式：</w:t>
      </w:r>
      <w:r>
        <w:rPr>
          <w:rFonts w:hint="eastAsia" w:ascii="仿宋_GB2312" w:hAnsi="仿宋_GB2312" w:eastAsia="仿宋_GB2312" w:cs="仿宋_GB2312"/>
          <w:color w:val="000000"/>
          <w:kern w:val="0"/>
          <w:sz w:val="32"/>
          <w:szCs w:val="32"/>
          <w:lang w:val="en-US" w:eastAsia="zh-CN"/>
        </w:rPr>
        <w:t>舍块乡</w:t>
      </w:r>
      <w:r>
        <w:rPr>
          <w:rFonts w:hint="eastAsia" w:ascii="Times New Roman" w:hAnsi="Times New Roman" w:eastAsia="仿宋_GB2312"/>
          <w:sz w:val="32"/>
          <w:szCs w:val="32"/>
          <w:lang w:val="en-US" w:eastAsia="zh-CN"/>
        </w:rPr>
        <w:t>与舍块现有养殖企业（昆明金麦农业有限公司）合作养殖生态羊，各村与昆明金麦农业有限公司建立利益联结关系，稳步增加村集体经济收益。</w:t>
      </w:r>
    </w:p>
    <w:p>
      <w:pPr>
        <w:pStyle w:val="2"/>
        <w:keepNext w:val="0"/>
        <w:keepLines w:val="0"/>
        <w:pageBreakBefore w:val="0"/>
        <w:kinsoku/>
        <w:wordWrap/>
        <w:overflowPunct/>
        <w:topLinePunct w:val="0"/>
        <w:autoSpaceDE/>
        <w:autoSpaceDN/>
        <w:bidi w:val="0"/>
        <w:adjustRightInd/>
        <w:snapToGrid/>
        <w:spacing w:line="560" w:lineRule="exact"/>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二、项目区基本情况</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楷体_GB2312"/>
          <w:sz w:val="32"/>
          <w:szCs w:val="40"/>
        </w:rPr>
      </w:pPr>
      <w:r>
        <w:rPr>
          <w:rFonts w:ascii="Times New Roman" w:hAnsi="Times New Roman" w:eastAsia="楷体_GB2312"/>
          <w:sz w:val="32"/>
          <w:szCs w:val="40"/>
        </w:rPr>
        <w:t>（一）自然状况</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sz w:val="32"/>
          <w:szCs w:val="40"/>
        </w:rPr>
      </w:pPr>
      <w:r>
        <w:rPr>
          <w:rFonts w:ascii="Times New Roman" w:hAnsi="Times New Roman" w:eastAsia="仿宋_GB2312"/>
          <w:sz w:val="32"/>
          <w:szCs w:val="40"/>
        </w:rPr>
        <w:t>舍块乡位于东川区北部，东与因民镇接壤，西与汤丹镇毗邻，南沿普渡河临禄劝县雪山乡、则黑乡展布，北与四川省会东县普咩乡隔金沙江相望。乡政府驻地舍块村距离昆明城区324公里，距离东川城区143公里，是整个昆明最为偏远的乡镇。国土面积166.31平方公里，耕地面积6582亩，林地面积12195.7公顷。境内最高点九龙雪火岭海拔4344.4米，最低点茂</w:t>
      </w:r>
      <w:r>
        <w:rPr>
          <w:rFonts w:hint="eastAsia" w:ascii="Times New Roman" w:hAnsi="Times New Roman" w:eastAsia="仿宋_GB2312"/>
          <w:sz w:val="32"/>
          <w:szCs w:val="40"/>
          <w:lang w:val="en-US" w:eastAsia="zh-CN"/>
        </w:rPr>
        <w:t>炉</w:t>
      </w:r>
      <w:r>
        <w:rPr>
          <w:rFonts w:ascii="Times New Roman" w:hAnsi="Times New Roman" w:eastAsia="仿宋_GB2312"/>
          <w:sz w:val="32"/>
          <w:szCs w:val="40"/>
        </w:rPr>
        <w:t>石窝子海拔725米，高差3619.4米。东川民谚有云“养儿不用教，</w:t>
      </w:r>
      <w:r>
        <w:rPr>
          <w:rFonts w:hint="eastAsia" w:ascii="Times New Roman" w:hAnsi="Times New Roman" w:eastAsia="仿宋_GB2312"/>
          <w:sz w:val="32"/>
          <w:szCs w:val="40"/>
        </w:rPr>
        <w:t>舍块茂</w:t>
      </w:r>
      <w:r>
        <w:rPr>
          <w:rFonts w:hint="eastAsia" w:ascii="Times New Roman" w:hAnsi="Times New Roman" w:eastAsia="仿宋_GB2312"/>
          <w:sz w:val="32"/>
          <w:szCs w:val="40"/>
          <w:lang w:val="en-US" w:eastAsia="zh-CN"/>
        </w:rPr>
        <w:t>炉</w:t>
      </w:r>
      <w:r>
        <w:rPr>
          <w:rFonts w:ascii="Times New Roman" w:hAnsi="Times New Roman" w:eastAsia="仿宋_GB2312"/>
          <w:sz w:val="32"/>
          <w:szCs w:val="40"/>
        </w:rPr>
        <w:t>走一遭”，道出了舍块整乡生存发展的艰辛。</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楷体_GB2312"/>
          <w:sz w:val="32"/>
          <w:szCs w:val="40"/>
        </w:rPr>
      </w:pPr>
      <w:bookmarkStart w:id="0" w:name="_Toc509655668"/>
      <w:r>
        <w:rPr>
          <w:rFonts w:ascii="Times New Roman" w:hAnsi="Times New Roman" w:eastAsia="楷体_GB2312"/>
          <w:sz w:val="32"/>
          <w:szCs w:val="40"/>
        </w:rPr>
        <w:t>（二）人口状况</w:t>
      </w:r>
      <w:bookmarkEnd w:id="0"/>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eastAsia="仿宋_GB2312"/>
          <w:sz w:val="32"/>
          <w:szCs w:val="40"/>
        </w:rPr>
      </w:pPr>
      <w:r>
        <w:rPr>
          <w:rFonts w:ascii="Times New Roman" w:hAnsi="Times New Roman" w:eastAsia="仿宋_GB2312"/>
          <w:sz w:val="32"/>
          <w:szCs w:val="40"/>
        </w:rPr>
        <w:t>全乡辖舍块、团结、新和、云坪、</w:t>
      </w:r>
      <w:r>
        <w:rPr>
          <w:rFonts w:hint="eastAsia" w:ascii="Times New Roman" w:hAnsi="Times New Roman" w:eastAsia="仿宋_GB2312"/>
          <w:sz w:val="32"/>
          <w:szCs w:val="40"/>
          <w:lang w:eastAsia="zh-CN"/>
        </w:rPr>
        <w:t>茂炉</w:t>
      </w:r>
      <w:r>
        <w:rPr>
          <w:rFonts w:ascii="Times New Roman" w:hAnsi="Times New Roman" w:eastAsia="仿宋_GB2312"/>
          <w:sz w:val="32"/>
          <w:szCs w:val="40"/>
        </w:rPr>
        <w:t>、白鹤、新山8个村民委员会56个村民小组，</w:t>
      </w:r>
      <w:r>
        <w:rPr>
          <w:rFonts w:hint="eastAsia" w:ascii="Times New Roman" w:hAnsi="Times New Roman" w:eastAsia="仿宋_GB2312"/>
          <w:sz w:val="32"/>
          <w:szCs w:val="40"/>
        </w:rPr>
        <w:t>8</w:t>
      </w:r>
      <w:r>
        <w:rPr>
          <w:rFonts w:ascii="Times New Roman" w:hAnsi="Times New Roman" w:eastAsia="仿宋_GB2312"/>
          <w:sz w:val="32"/>
          <w:szCs w:val="40"/>
        </w:rPr>
        <w:t>个行政村属省级建档立卡贫困村，</w:t>
      </w:r>
      <w:r>
        <w:rPr>
          <w:rFonts w:hint="eastAsia" w:ascii="仿宋_GB2312" w:hAnsi="仿宋_GB2312" w:eastAsia="仿宋_GB2312" w:cs="仿宋_GB2312"/>
          <w:sz w:val="32"/>
          <w:szCs w:val="32"/>
        </w:rPr>
        <w:t>其中</w:t>
      </w:r>
      <w:r>
        <w:rPr>
          <w:rFonts w:ascii="Times New Roman" w:hAnsi="Times New Roman" w:eastAsia="仿宋_GB2312"/>
          <w:sz w:val="32"/>
          <w:szCs w:val="32"/>
        </w:rPr>
        <w:t>6</w:t>
      </w:r>
      <w:r>
        <w:rPr>
          <w:rFonts w:hint="eastAsia" w:ascii="仿宋_GB2312" w:hAnsi="仿宋_GB2312" w:eastAsia="仿宋_GB2312" w:cs="仿宋_GB2312"/>
          <w:sz w:val="32"/>
          <w:szCs w:val="32"/>
        </w:rPr>
        <w:t>个为深度贫困村</w:t>
      </w:r>
      <w:r>
        <w:rPr>
          <w:rFonts w:ascii="Times New Roman" w:hAnsi="Times New Roman" w:eastAsia="仿宋_GB2312"/>
          <w:sz w:val="32"/>
          <w:szCs w:val="40"/>
        </w:rPr>
        <w:t>。</w:t>
      </w:r>
      <w:r>
        <w:rPr>
          <w:rFonts w:hint="eastAsia" w:ascii="Times New Roman" w:hAnsi="Times New Roman" w:eastAsia="仿宋_GB2312" w:cs="仿宋_GB2312"/>
          <w:b w:val="0"/>
          <w:bCs w:val="0"/>
          <w:i w:val="0"/>
          <w:iCs w:val="0"/>
          <w:smallCaps w:val="0"/>
          <w:strike w:val="0"/>
          <w:color w:val="auto"/>
          <w:spacing w:val="0"/>
          <w:w w:val="100"/>
          <w:kern w:val="2"/>
          <w:position w:val="0"/>
          <w:sz w:val="32"/>
          <w:szCs w:val="32"/>
          <w:highlight w:val="none"/>
          <w:u w:val="none"/>
          <w:shd w:val="clear" w:color="auto" w:fill="auto"/>
          <w:lang w:val="en-US" w:eastAsia="zh-CN" w:bidi="ar-SA"/>
        </w:rPr>
        <w:t>截止2021年7月份，舍块乡户籍人数为880户，2546人，国办系统已脱贫户1143户，4465人。</w:t>
      </w:r>
      <w:r>
        <w:rPr>
          <w:rFonts w:ascii="Times New Roman" w:hAnsi="Times New Roman" w:eastAsia="仿宋_GB2312"/>
          <w:sz w:val="32"/>
          <w:szCs w:val="40"/>
        </w:rPr>
        <w:t>舍块乡人民群众极其渴盼通过</w:t>
      </w:r>
      <w:r>
        <w:rPr>
          <w:rFonts w:hint="eastAsia" w:ascii="Times New Roman" w:hAnsi="Times New Roman" w:eastAsia="仿宋_GB2312"/>
          <w:sz w:val="32"/>
          <w:szCs w:val="40"/>
          <w:lang w:val="en-US" w:eastAsia="zh-CN"/>
        </w:rPr>
        <w:t>易地</w:t>
      </w:r>
      <w:r>
        <w:rPr>
          <w:rFonts w:ascii="Times New Roman" w:hAnsi="Times New Roman" w:eastAsia="仿宋_GB2312"/>
          <w:sz w:val="32"/>
          <w:szCs w:val="40"/>
        </w:rPr>
        <w:t>搬迁后推进产业发展，实现“整合资源、连片开发、综合推进、整体脱贫”的目的。</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楷体_GB2312"/>
          <w:sz w:val="32"/>
          <w:szCs w:val="40"/>
        </w:rPr>
      </w:pPr>
      <w:bookmarkStart w:id="1" w:name="_Toc509655669"/>
      <w:r>
        <w:rPr>
          <w:rFonts w:ascii="Times New Roman" w:hAnsi="Times New Roman" w:eastAsia="楷体_GB2312"/>
          <w:sz w:val="32"/>
          <w:szCs w:val="40"/>
        </w:rPr>
        <w:t>（三）土地资源</w:t>
      </w:r>
      <w:bookmarkEnd w:id="1"/>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sz w:val="32"/>
          <w:szCs w:val="40"/>
        </w:rPr>
      </w:pPr>
      <w:r>
        <w:rPr>
          <w:rFonts w:ascii="Times New Roman" w:hAnsi="Times New Roman" w:eastAsia="仿宋_GB2312"/>
          <w:sz w:val="32"/>
          <w:szCs w:val="40"/>
        </w:rPr>
        <w:t>全乡总面积为166.31平方公里，林地面积</w:t>
      </w:r>
      <w:r>
        <w:rPr>
          <w:rFonts w:hint="eastAsia" w:ascii="Times New Roman" w:hAnsi="Times New Roman" w:eastAsia="仿宋_GB2312"/>
          <w:sz w:val="32"/>
          <w:szCs w:val="40"/>
        </w:rPr>
        <w:t>182935.5</w:t>
      </w:r>
      <w:r>
        <w:rPr>
          <w:rFonts w:ascii="Times New Roman" w:hAnsi="Times New Roman" w:eastAsia="仿宋_GB2312"/>
          <w:sz w:val="32"/>
          <w:szCs w:val="40"/>
        </w:rPr>
        <w:t>亩，森林覆盖率为32%；耕地面积13499亩，人均占有耕地1.61亩。在高寒山区和半山区村，土地多为坡地，以红壤土和黑壤土为主，土壤肥沃，但因多为25度以上坡地，水土流失严重，土地利用率较低。在河谷区金沙江沿岸，有842亩水浇地，土地较为平整，土壤多为红褐色，土地肥沃，出产率较高。</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楷体_GB2312"/>
          <w:sz w:val="32"/>
          <w:szCs w:val="40"/>
        </w:rPr>
      </w:pPr>
      <w:bookmarkStart w:id="2" w:name="_Toc509655670"/>
      <w:r>
        <w:rPr>
          <w:rFonts w:ascii="Times New Roman" w:hAnsi="Times New Roman" w:eastAsia="楷体_GB2312"/>
          <w:sz w:val="32"/>
          <w:szCs w:val="40"/>
        </w:rPr>
        <w:t>（四）气候资源</w:t>
      </w:r>
      <w:bookmarkEnd w:id="2"/>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sz w:val="32"/>
          <w:szCs w:val="40"/>
        </w:rPr>
      </w:pPr>
      <w:r>
        <w:rPr>
          <w:rFonts w:ascii="Times New Roman" w:hAnsi="Times New Roman" w:eastAsia="仿宋_GB2312"/>
          <w:sz w:val="32"/>
          <w:szCs w:val="40"/>
        </w:rPr>
        <w:t>舍块乡立体气候显著，境内高差3619.4米。“一山分四季，十里不同天”是舍块乡气候的真实写照。</w:t>
      </w:r>
      <w:r>
        <w:rPr>
          <w:rFonts w:hint="eastAsia" w:ascii="Times New Roman" w:hAnsi="Times New Roman" w:eastAsia="仿宋_GB2312"/>
          <w:sz w:val="32"/>
          <w:szCs w:val="40"/>
        </w:rPr>
        <w:t>低</w:t>
      </w:r>
      <w:r>
        <w:rPr>
          <w:rFonts w:ascii="Times New Roman" w:hAnsi="Times New Roman" w:eastAsia="仿宋_GB2312"/>
          <w:sz w:val="32"/>
          <w:szCs w:val="40"/>
        </w:rPr>
        <w:t>海拔区——年平均气温在19℃左右，无霜期300天左右。年平均降雨量740毫米～810毫米，干湿季节分明，平均日照时数2236小时。中海拔区——年平均气温在17.5℃左右，无霜期270天左右。年平均降雨量为830毫米～890毫米。高海拔区——年平均气温在13.1℃左右，无霜期257天左右。</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三</w:t>
      </w:r>
      <w:r>
        <w:rPr>
          <w:rFonts w:hint="eastAsia" w:ascii="黑体" w:hAnsi="黑体" w:eastAsia="黑体" w:cs="仿宋_GB2312"/>
          <w:color w:val="auto"/>
          <w:sz w:val="32"/>
          <w:szCs w:val="32"/>
        </w:rPr>
        <w:t>、指导思想</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auto"/>
          <w:sz w:val="32"/>
          <w:szCs w:val="32"/>
        </w:rPr>
      </w:pPr>
      <w:r>
        <w:rPr>
          <w:rFonts w:ascii="Times New Roman" w:eastAsia="仿宋_GB2312"/>
          <w:color w:val="000000"/>
          <w:sz w:val="32"/>
          <w:szCs w:val="32"/>
        </w:rPr>
        <w:t>以</w:t>
      </w:r>
      <w:r>
        <w:rPr>
          <w:rFonts w:hint="eastAsia" w:ascii="Times New Roman" w:eastAsia="仿宋_GB2312"/>
          <w:color w:val="000000"/>
          <w:sz w:val="32"/>
          <w:szCs w:val="32"/>
          <w:lang w:val="en-US" w:eastAsia="zh-CN"/>
        </w:rPr>
        <w:t>党的</w:t>
      </w:r>
      <w:bookmarkStart w:id="3" w:name="_GoBack"/>
      <w:r>
        <w:rPr>
          <w:rFonts w:ascii="Times New Roman" w:eastAsia="仿宋_GB2312"/>
          <w:color w:val="000000"/>
          <w:sz w:val="32"/>
          <w:szCs w:val="32"/>
        </w:rPr>
        <w:t>十九大</w:t>
      </w:r>
      <w:bookmarkEnd w:id="3"/>
      <w:r>
        <w:rPr>
          <w:rFonts w:ascii="Times New Roman" w:eastAsia="仿宋_GB2312"/>
          <w:color w:val="000000"/>
          <w:sz w:val="32"/>
          <w:szCs w:val="32"/>
        </w:rPr>
        <w:t>精神为指导，</w:t>
      </w:r>
      <w:r>
        <w:rPr>
          <w:rFonts w:ascii="Times New Roman" w:eastAsia="仿宋_GB2312"/>
          <w:sz w:val="32"/>
          <w:szCs w:val="32"/>
        </w:rPr>
        <w:t>深入贯彻习近平总书记关于乡村振兴重要讲话和指示精神，全面落实</w:t>
      </w:r>
      <w:r>
        <w:rPr>
          <w:rFonts w:hint="eastAsia" w:ascii="Times New Roman" w:eastAsia="仿宋_GB2312"/>
          <w:sz w:val="32"/>
          <w:szCs w:val="32"/>
          <w:lang w:val="en-US" w:eastAsia="zh-CN"/>
        </w:rPr>
        <w:t>国家、省市区</w:t>
      </w:r>
      <w:r>
        <w:rPr>
          <w:rFonts w:ascii="Times New Roman" w:eastAsia="仿宋_GB2312"/>
          <w:sz w:val="32"/>
          <w:szCs w:val="32"/>
        </w:rPr>
        <w:t>决策部署，扎实推进巩固拓展脱贫攻坚成果同乡村振兴有效衔接。牢固树立和贯彻落实</w:t>
      </w:r>
      <w:r>
        <w:rPr>
          <w:rFonts w:ascii="Times New Roman" w:hAnsi="Times New Roman" w:eastAsia="仿宋_GB2312"/>
          <w:sz w:val="32"/>
          <w:szCs w:val="32"/>
        </w:rPr>
        <w:t>“</w:t>
      </w:r>
      <w:r>
        <w:rPr>
          <w:rFonts w:ascii="Times New Roman" w:eastAsia="仿宋_GB2312"/>
          <w:sz w:val="32"/>
          <w:szCs w:val="32"/>
        </w:rPr>
        <w:t>创新、协调、绿色、开放、共享</w:t>
      </w:r>
      <w:r>
        <w:rPr>
          <w:rFonts w:ascii="Times New Roman" w:hAnsi="Times New Roman" w:eastAsia="仿宋_GB2312"/>
          <w:sz w:val="32"/>
          <w:szCs w:val="32"/>
        </w:rPr>
        <w:t>”</w:t>
      </w:r>
      <w:r>
        <w:rPr>
          <w:rFonts w:ascii="Times New Roman" w:eastAsia="仿宋_GB2312"/>
          <w:sz w:val="32"/>
          <w:szCs w:val="32"/>
        </w:rPr>
        <w:t>的发展理念，围绕省委、省政府着力推进高原特色现代农业的决策部署，立足昆明市把东川定位为生态涵养区的功能定位的优势。坚持以市场为导向，以企业为主体、以产业链为主线，以发展高山特色养殖产业规模化发展为重点，</w:t>
      </w:r>
      <w:r>
        <w:rPr>
          <w:rFonts w:hint="eastAsia" w:ascii="仿宋_GB2312" w:hAnsi="仿宋_GB2312" w:eastAsia="仿宋_GB2312" w:cs="仿宋_GB2312"/>
          <w:color w:val="auto"/>
          <w:sz w:val="32"/>
          <w:szCs w:val="32"/>
        </w:rPr>
        <w:t>全力推进巩固拓展脱贫攻坚成果，全面推进乡村振兴，加快农业农村现代化，坚持把解决好“三农”问题作为全党工作重中之重，举全党全社会之力推动乡村振兴，促进农业高质高效、乡村宜居宜业、农民富裕富足。</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发展思路</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sz w:val="32"/>
          <w:szCs w:val="32"/>
        </w:rPr>
      </w:pPr>
      <w:r>
        <w:rPr>
          <w:rFonts w:ascii="Times New Roman" w:hAnsi="Times New Roman" w:eastAsia="仿宋_GB2312"/>
          <w:sz w:val="32"/>
          <w:szCs w:val="32"/>
        </w:rPr>
        <w:t>紧扣舍块乡重点发展高原特色</w:t>
      </w:r>
      <w:r>
        <w:rPr>
          <w:rFonts w:hint="eastAsia" w:ascii="Times New Roman" w:hAnsi="Times New Roman" w:eastAsia="仿宋_GB2312"/>
          <w:sz w:val="32"/>
          <w:szCs w:val="32"/>
          <w:lang w:val="en-US" w:eastAsia="zh-CN"/>
        </w:rPr>
        <w:t>生态农业产业</w:t>
      </w:r>
      <w:r>
        <w:rPr>
          <w:rFonts w:ascii="Times New Roman" w:hAnsi="Times New Roman" w:eastAsia="仿宋_GB2312"/>
          <w:sz w:val="32"/>
          <w:szCs w:val="32"/>
        </w:rPr>
        <w:t>的发展思路，以促进群众持续增收为目标，通过优化区域布局，强化政策扶持，加强产销对接，完善良种繁育和疫病防控体系，加快推进标准化规模养殖，全面提升舍块羊产业发展能力和水平，着力打造舍块乡高原特色农业新品牌、新亮点。</w:t>
      </w:r>
    </w:p>
    <w:p>
      <w:pPr>
        <w:keepNext w:val="0"/>
        <w:keepLines w:val="0"/>
        <w:pageBreakBefore w:val="0"/>
        <w:kinsoku/>
        <w:wordWrap/>
        <w:overflowPunct/>
        <w:topLinePunct w:val="0"/>
        <w:autoSpaceDE/>
        <w:autoSpaceDN/>
        <w:bidi w:val="0"/>
        <w:adjustRightInd/>
        <w:snapToGrid/>
        <w:spacing w:line="560" w:lineRule="exact"/>
        <w:ind w:leftChars="0" w:firstLine="643" w:firstLineChars="200"/>
        <w:rPr>
          <w:rFonts w:hint="eastAsia" w:ascii="Times New Roman" w:hAnsi="Times New Roman" w:eastAsia="仿宋_GB2312"/>
          <w:sz w:val="32"/>
          <w:szCs w:val="32"/>
          <w:lang w:eastAsia="zh-CN"/>
        </w:rPr>
      </w:pPr>
      <w:r>
        <w:rPr>
          <w:rFonts w:ascii="Times New Roman" w:hAnsi="Times New Roman" w:eastAsia="仿宋_GB2312"/>
          <w:b/>
          <w:sz w:val="32"/>
          <w:szCs w:val="32"/>
        </w:rPr>
        <w:t>——坚持产业带动。</w:t>
      </w:r>
      <w:r>
        <w:rPr>
          <w:rFonts w:ascii="Times New Roman" w:hAnsi="Times New Roman" w:eastAsia="仿宋_GB2312"/>
          <w:sz w:val="32"/>
          <w:szCs w:val="32"/>
        </w:rPr>
        <w:t>培育壮大一批带动能力强的养殖、加工龙头企业，构建合理的产业链利益联结机制，提高舍块乡</w:t>
      </w:r>
      <w:r>
        <w:rPr>
          <w:rFonts w:hint="eastAsia" w:ascii="Times New Roman" w:hAnsi="Times New Roman" w:eastAsia="仿宋_GB2312"/>
          <w:sz w:val="32"/>
          <w:szCs w:val="32"/>
          <w:lang w:val="en-US" w:eastAsia="zh-CN"/>
        </w:rPr>
        <w:t>生态羊</w:t>
      </w:r>
      <w:r>
        <w:rPr>
          <w:rFonts w:ascii="Times New Roman" w:hAnsi="Times New Roman" w:eastAsia="仿宋_GB2312"/>
          <w:sz w:val="32"/>
          <w:szCs w:val="32"/>
        </w:rPr>
        <w:t>生产的组织化、产业化、品牌化程度，提升养殖效益</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3" w:firstLineChars="200"/>
        <w:rPr>
          <w:rFonts w:ascii="Times New Roman" w:hAnsi="Times New Roman" w:eastAsia="仿宋_GB2312"/>
          <w:sz w:val="32"/>
          <w:szCs w:val="32"/>
        </w:rPr>
      </w:pPr>
      <w:r>
        <w:rPr>
          <w:rFonts w:ascii="Times New Roman" w:hAnsi="Times New Roman" w:eastAsia="仿宋_GB2312"/>
          <w:b/>
          <w:sz w:val="32"/>
          <w:szCs w:val="32"/>
        </w:rPr>
        <w:t>——坚持市场主导。</w:t>
      </w:r>
      <w:r>
        <w:rPr>
          <w:rFonts w:ascii="Times New Roman" w:hAnsi="Times New Roman" w:eastAsia="仿宋_GB2312"/>
          <w:sz w:val="32"/>
          <w:szCs w:val="32"/>
        </w:rPr>
        <w:t>充分发挥市场机制在资源配置中的基础性作用，引导资金、技术、人才进入舍块乡</w:t>
      </w:r>
      <w:r>
        <w:rPr>
          <w:rFonts w:hint="eastAsia" w:ascii="Times New Roman" w:hAnsi="Times New Roman" w:eastAsia="仿宋_GB2312"/>
          <w:sz w:val="32"/>
          <w:szCs w:val="32"/>
          <w:lang w:val="en-US" w:eastAsia="zh-CN"/>
        </w:rPr>
        <w:t>羊</w:t>
      </w:r>
      <w:r>
        <w:rPr>
          <w:rFonts w:ascii="Times New Roman" w:hAnsi="Times New Roman" w:eastAsia="仿宋_GB2312"/>
          <w:sz w:val="32"/>
          <w:szCs w:val="32"/>
        </w:rPr>
        <w:t>产业，提升自身发展能力。以标准化规模养殖为重点，发展适度规模养殖，打造“</w:t>
      </w:r>
      <w:r>
        <w:rPr>
          <w:rFonts w:hint="eastAsia" w:ascii="Times New Roman" w:hAnsi="Times New Roman" w:eastAsia="仿宋_GB2312"/>
          <w:sz w:val="32"/>
          <w:szCs w:val="32"/>
          <w:lang w:val="en-US" w:eastAsia="zh-CN"/>
        </w:rPr>
        <w:t>舍块乡生态羊</w:t>
      </w:r>
      <w:r>
        <w:rPr>
          <w:rFonts w:ascii="Times New Roman" w:hAnsi="Times New Roman" w:eastAsia="仿宋_GB2312"/>
          <w:sz w:val="32"/>
          <w:szCs w:val="32"/>
        </w:rPr>
        <w:t>”商标和品牌，建设无公害生产基地。强化政策扶持和宏观调控，抓好行业管理和服务，推动肉羊产业健康发展。</w:t>
      </w:r>
    </w:p>
    <w:p>
      <w:pPr>
        <w:keepNext w:val="0"/>
        <w:keepLines w:val="0"/>
        <w:pageBreakBefore w:val="0"/>
        <w:kinsoku/>
        <w:wordWrap/>
        <w:overflowPunct/>
        <w:topLinePunct w:val="0"/>
        <w:autoSpaceDE/>
        <w:autoSpaceDN/>
        <w:bidi w:val="0"/>
        <w:adjustRightInd/>
        <w:snapToGrid/>
        <w:spacing w:line="560" w:lineRule="exact"/>
        <w:ind w:leftChars="0" w:firstLine="643" w:firstLineChars="200"/>
        <w:rPr>
          <w:rFonts w:ascii="Times New Roman" w:hAnsi="Times New Roman" w:eastAsia="仿宋_GB2312"/>
          <w:sz w:val="32"/>
          <w:szCs w:val="32"/>
        </w:rPr>
      </w:pPr>
      <w:r>
        <w:rPr>
          <w:rFonts w:ascii="Times New Roman" w:hAnsi="Times New Roman" w:eastAsia="仿宋_GB2312"/>
          <w:b/>
          <w:sz w:val="32"/>
          <w:szCs w:val="32"/>
        </w:rPr>
        <w:t>——坚持科技兴牧。</w:t>
      </w:r>
      <w:r>
        <w:rPr>
          <w:rFonts w:ascii="Times New Roman" w:hAnsi="Times New Roman" w:eastAsia="仿宋_GB2312"/>
          <w:sz w:val="32"/>
          <w:szCs w:val="32"/>
        </w:rPr>
        <w:t>以提高</w:t>
      </w:r>
      <w:r>
        <w:rPr>
          <w:rFonts w:hint="eastAsia" w:ascii="Times New Roman" w:hAnsi="Times New Roman" w:eastAsia="仿宋_GB2312"/>
          <w:sz w:val="32"/>
          <w:szCs w:val="32"/>
          <w:lang w:val="en-US" w:eastAsia="zh-CN"/>
        </w:rPr>
        <w:t>羊肉</w:t>
      </w:r>
      <w:r>
        <w:rPr>
          <w:rFonts w:ascii="Times New Roman" w:hAnsi="Times New Roman" w:eastAsia="仿宋_GB2312"/>
          <w:sz w:val="32"/>
          <w:szCs w:val="32"/>
        </w:rPr>
        <w:t>品质为核心，坚持良种良法配套，依靠科技创新和先进技术，增强良种培育能力，提高科技含量和效益；研究推广先进适用饲养技术和养殖模式，稳步提升舍块乡</w:t>
      </w:r>
      <w:r>
        <w:rPr>
          <w:rFonts w:hint="eastAsia" w:ascii="Times New Roman" w:hAnsi="Times New Roman" w:eastAsia="仿宋_GB2312"/>
          <w:sz w:val="32"/>
          <w:szCs w:val="32"/>
          <w:lang w:eastAsia="zh-CN"/>
        </w:rPr>
        <w:t>羊</w:t>
      </w:r>
      <w:r>
        <w:rPr>
          <w:rFonts w:ascii="Times New Roman" w:hAnsi="Times New Roman" w:eastAsia="仿宋_GB2312"/>
          <w:sz w:val="32"/>
          <w:szCs w:val="32"/>
        </w:rPr>
        <w:t>生产水平。</w:t>
      </w:r>
    </w:p>
    <w:p>
      <w:pPr>
        <w:keepNext w:val="0"/>
        <w:keepLines w:val="0"/>
        <w:pageBreakBefore w:val="0"/>
        <w:kinsoku/>
        <w:wordWrap/>
        <w:overflowPunct/>
        <w:topLinePunct w:val="0"/>
        <w:autoSpaceDE/>
        <w:autoSpaceDN/>
        <w:bidi w:val="0"/>
        <w:adjustRightInd/>
        <w:snapToGrid/>
        <w:spacing w:line="560" w:lineRule="exact"/>
        <w:ind w:leftChars="0" w:firstLine="643" w:firstLineChars="200"/>
        <w:rPr>
          <w:rFonts w:ascii="Times New Roman" w:hAnsi="Times New Roman" w:eastAsia="仿宋_GB2312"/>
          <w:sz w:val="32"/>
          <w:szCs w:val="32"/>
        </w:rPr>
      </w:pPr>
      <w:r>
        <w:rPr>
          <w:rFonts w:ascii="Times New Roman" w:hAnsi="Times New Roman" w:eastAsia="仿宋_GB2312"/>
          <w:b/>
          <w:sz w:val="32"/>
          <w:szCs w:val="32"/>
        </w:rPr>
        <w:t>——坚持预防为主。</w:t>
      </w:r>
      <w:r>
        <w:rPr>
          <w:rFonts w:ascii="Times New Roman" w:hAnsi="Times New Roman" w:eastAsia="仿宋_GB2312"/>
          <w:sz w:val="32"/>
          <w:szCs w:val="32"/>
        </w:rPr>
        <w:t>加强重大动物疫病防控，加快完善良种繁育体系、饲草料供应保障体系、生产技术服务体系、疫病防控体系和防灾减灾体系，不断增强舍块乡</w:t>
      </w:r>
      <w:r>
        <w:rPr>
          <w:rFonts w:hint="eastAsia" w:ascii="Times New Roman" w:hAnsi="Times New Roman" w:eastAsia="仿宋_GB2312"/>
          <w:sz w:val="32"/>
          <w:szCs w:val="32"/>
          <w:lang w:eastAsia="zh-CN"/>
        </w:rPr>
        <w:t>生态</w:t>
      </w:r>
      <w:r>
        <w:rPr>
          <w:rFonts w:ascii="Times New Roman" w:hAnsi="Times New Roman" w:eastAsia="仿宋_GB2312"/>
          <w:sz w:val="32"/>
          <w:szCs w:val="32"/>
        </w:rPr>
        <w:t>羊产业综合发展能力，确保舍块乡</w:t>
      </w:r>
      <w:r>
        <w:rPr>
          <w:rFonts w:hint="eastAsia" w:ascii="Times New Roman" w:hAnsi="Times New Roman" w:eastAsia="仿宋_GB2312"/>
          <w:sz w:val="32"/>
          <w:szCs w:val="32"/>
          <w:lang w:eastAsia="zh-CN"/>
        </w:rPr>
        <w:t>生态</w:t>
      </w:r>
      <w:r>
        <w:rPr>
          <w:rFonts w:ascii="Times New Roman" w:hAnsi="Times New Roman" w:eastAsia="仿宋_GB2312"/>
          <w:sz w:val="32"/>
          <w:szCs w:val="32"/>
        </w:rPr>
        <w:t>羊产品质量。</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黑体"/>
          <w:sz w:val="32"/>
          <w:szCs w:val="32"/>
        </w:rPr>
      </w:pPr>
      <w:r>
        <w:rPr>
          <w:rFonts w:hint="eastAsia" w:ascii="Times New Roman" w:hAnsi="黑体" w:eastAsia="黑体"/>
          <w:sz w:val="32"/>
          <w:szCs w:val="32"/>
        </w:rPr>
        <w:t>五</w:t>
      </w:r>
      <w:r>
        <w:rPr>
          <w:rFonts w:ascii="Times New Roman" w:hAnsi="黑体" w:eastAsia="黑体"/>
          <w:sz w:val="32"/>
          <w:szCs w:val="32"/>
        </w:rPr>
        <w:t>、项目建设目标和主要内容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（一）建设目标</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利用舍块乡</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万亩高山草山资源优势，</w:t>
      </w:r>
      <w:r>
        <w:rPr>
          <w:rFonts w:hint="eastAsia" w:ascii="Times New Roman" w:hAnsi="Times New Roman" w:eastAsia="仿宋_GB2312"/>
          <w:color w:val="000000"/>
          <w:kern w:val="0"/>
          <w:sz w:val="32"/>
          <w:szCs w:val="32"/>
        </w:rPr>
        <w:t>以已建成的</w:t>
      </w:r>
      <w:r>
        <w:rPr>
          <w:rFonts w:hint="eastAsia" w:ascii="Times New Roman" w:hAnsi="Times New Roman" w:eastAsia="仿宋_GB2312"/>
          <w:color w:val="000000"/>
          <w:kern w:val="0"/>
          <w:sz w:val="32"/>
          <w:szCs w:val="32"/>
          <w:lang w:val="en-US" w:eastAsia="zh-CN"/>
        </w:rPr>
        <w:t>万只生态羊</w:t>
      </w:r>
      <w:r>
        <w:rPr>
          <w:rFonts w:hint="eastAsia" w:ascii="Times New Roman" w:hAnsi="Times New Roman" w:eastAsia="仿宋_GB2312"/>
          <w:color w:val="000000"/>
          <w:kern w:val="0"/>
          <w:sz w:val="32"/>
          <w:szCs w:val="32"/>
        </w:rPr>
        <w:t>养殖</w:t>
      </w:r>
      <w:r>
        <w:rPr>
          <w:rFonts w:hint="eastAsia" w:ascii="Times New Roman" w:hAnsi="Times New Roman" w:eastAsia="仿宋_GB2312"/>
          <w:color w:val="000000"/>
          <w:kern w:val="0"/>
          <w:sz w:val="32"/>
          <w:szCs w:val="32"/>
          <w:lang w:val="en-US" w:eastAsia="zh-CN"/>
        </w:rPr>
        <w:t>基地</w:t>
      </w:r>
      <w:r>
        <w:rPr>
          <w:rFonts w:hint="eastAsia" w:ascii="Times New Roman" w:hAnsi="Times New Roman" w:eastAsia="仿宋_GB2312"/>
          <w:color w:val="000000"/>
          <w:kern w:val="0"/>
          <w:sz w:val="32"/>
          <w:szCs w:val="32"/>
        </w:rPr>
        <w:t>为基础，</w:t>
      </w:r>
      <w:r>
        <w:rPr>
          <w:rFonts w:hint="eastAsia" w:ascii="Times New Roman" w:hAnsi="Times New Roman" w:eastAsia="仿宋_GB2312"/>
          <w:color w:val="000000"/>
          <w:kern w:val="0"/>
          <w:sz w:val="32"/>
          <w:szCs w:val="32"/>
          <w:lang w:val="en-US" w:eastAsia="zh-CN"/>
        </w:rPr>
        <w:t>采购种羊100只，按各村脱贫预警户户数比例进行分配，分配后托管种羊由万只生态羊养殖基地（金麦农业有限公司）代养，</w:t>
      </w:r>
      <w:r>
        <w:rPr>
          <w:rFonts w:ascii="Times New Roman" w:hAnsi="Times New Roman" w:eastAsia="仿宋_GB2312"/>
          <w:color w:val="000000"/>
          <w:kern w:val="0"/>
          <w:sz w:val="32"/>
          <w:szCs w:val="32"/>
        </w:rPr>
        <w:t>所产生利润</w:t>
      </w:r>
      <w:r>
        <w:rPr>
          <w:rFonts w:hint="eastAsia" w:ascii="Times New Roman" w:hAnsi="Times New Roman" w:eastAsia="仿宋_GB2312"/>
          <w:color w:val="000000"/>
          <w:kern w:val="0"/>
          <w:sz w:val="32"/>
          <w:szCs w:val="32"/>
          <w:lang w:val="en-US" w:eastAsia="zh-CN"/>
        </w:rPr>
        <w:t>分成归入村集体资金管理，再由村集体动态调整，将利润分配至各村监测预警户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脱贫不稳定户、边缘易致贫户、突发严重困难户等困难群体</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最终实现</w:t>
      </w:r>
      <w:r>
        <w:rPr>
          <w:rFonts w:hint="eastAsia" w:ascii="Times New Roman" w:hAnsi="Times New Roman" w:eastAsia="仿宋_GB2312"/>
          <w:color w:val="000000"/>
          <w:kern w:val="0"/>
          <w:sz w:val="32"/>
          <w:szCs w:val="32"/>
          <w:lang w:val="en-US" w:eastAsia="zh-CN"/>
        </w:rPr>
        <w:t>监测预警户全部稳定脱贫，牢牢守住不发生规模性返贫底线，以达到巩固脱贫成效与乡村振兴有效衔接的目标</w:t>
      </w:r>
      <w:r>
        <w:rPr>
          <w:rFonts w:ascii="Times New Roman" w:hAnsi="Times New Roman" w:eastAsia="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rPr>
          <w:rFonts w:hint="eastAsia" w:ascii="Times New Roman" w:hAnsi="Times New Roman" w:eastAsia="楷体_GB2312"/>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建设内容</w:t>
      </w:r>
    </w:p>
    <w:p>
      <w:pPr>
        <w:keepNext w:val="0"/>
        <w:keepLines w:val="0"/>
        <w:pageBreakBefore w:val="0"/>
        <w:kinsoku/>
        <w:wordWrap/>
        <w:overflowPunct/>
        <w:topLinePunct w:val="0"/>
        <w:autoSpaceDE/>
        <w:autoSpaceDN/>
        <w:bidi w:val="0"/>
        <w:adjustRightInd/>
        <w:snapToGrid/>
        <w:spacing w:line="560" w:lineRule="exact"/>
        <w:ind w:leftChars="0" w:firstLine="643"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1.种羊采购。</w:t>
      </w:r>
      <w:r>
        <w:rPr>
          <w:rFonts w:hint="eastAsia" w:ascii="仿宋_GB2312" w:hAnsi="仿宋_GB2312" w:eastAsia="仿宋_GB2312" w:cs="仿宋_GB2312"/>
          <w:color w:val="000000"/>
          <w:kern w:val="0"/>
          <w:sz w:val="32"/>
          <w:szCs w:val="32"/>
          <w:lang w:val="en-US" w:eastAsia="zh-CN"/>
        </w:rPr>
        <w:t>按照监测预警户中收入最低的50户，每户2只，共计采购种羊100只。</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六、投资估算</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该项目共需投资22万元。均用来进行种羊采购。</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按每户2只种羊采购计划，50户共采购100只种羊，单价按每只2200元测算，需投资22万元。</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leftChars="0"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养殖利润分析</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按目前的普通绵羊计算，圈养一天的饲料成本是2.5元左右，而一只绵羊从幼崽涨成可以出售的绵羊，一般需要10个月，可以长到40-50kg，单单只是饲料成本就需2.5元X360=900元，养大一只绵羊到出售要花900元人民币。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只绵羊所获得的利润为：按现在市场价是30元/kg，则一只绵羊的利润为30元X45=1350元=1350元-900元=450元，还有幼崽的成本、圈舍、防疫等共计在100元左右，也就是说每只绵羊除去其他的成本可以获利450元-100元=350元左右。</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黑体" w:hAnsi="黑体" w:eastAsia="黑体" w:cs="黑体"/>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一只能繁母羊采购后第一年可产2只幼崽（按一公一母算），第二年幼崽（母羊）长大后可产崽加上采购的能繁母羊可产4只，出售上年所产公羊，第三年产8只，第四年产16只，第五年32只。养殖5年共计可产出可出栏公羊15只，公羊幼崽16只幼崽，能繁母羊16只，母羊幼崽16只。公羊幼崽、母羊幼崽和能繁母羊三类合计按一只出栏公羊测算，全部出栏可获利（15+16）*350=10850元。采购100只能繁母羊养殖5年可获利达108.5万元。</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七、养殖利润分配</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50户收入最低的监测预警户每户购买2只种羊。每户2只种羊，其中：1只由村集体所有，另外1只作为昆明金麦农业有限公司的代养费用，归昆明金麦农业有限公司所有。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lang w:val="en-US" w:eastAsia="zh-CN"/>
        </w:rPr>
        <w:t>各村养殖数分配见下表：</w:t>
      </w:r>
    </w:p>
    <w:tbl>
      <w:tblPr>
        <w:tblStyle w:val="6"/>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170"/>
        <w:gridCol w:w="2170"/>
        <w:gridCol w:w="189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村名</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各村监测预警户数（户）</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各村养殖数量（只）</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投资金额（万元）</w:t>
            </w:r>
          </w:p>
        </w:tc>
        <w:tc>
          <w:tcPr>
            <w:tcW w:w="1212"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团结村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6</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12</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2.64</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茂炉村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7</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14</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3.08</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舍块村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7</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14</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3.08</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新山村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5</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10</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2.2</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云坪村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7</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14</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3.08</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白鹤村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15</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30</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3.3</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新和村</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3</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6</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1.32</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合计</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50</w:t>
            </w:r>
          </w:p>
        </w:tc>
        <w:tc>
          <w:tcPr>
            <w:tcW w:w="217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100</w:t>
            </w:r>
          </w:p>
        </w:tc>
        <w:tc>
          <w:tcPr>
            <w:tcW w:w="1890" w:type="dxa"/>
          </w:tcPr>
          <w:p>
            <w:pPr>
              <w:pStyle w:val="2"/>
              <w:numPr>
                <w:ilvl w:val="0"/>
                <w:numId w:val="0"/>
              </w:numPr>
              <w:jc w:val="center"/>
              <w:rPr>
                <w:rFonts w:hint="default" w:ascii="仿宋_GB2312" w:hAnsi="仿宋_GB2312" w:eastAsia="仿宋_GB2312" w:cs="仿宋_GB2312"/>
                <w:color w:val="auto"/>
                <w:kern w:val="0"/>
                <w:sz w:val="32"/>
                <w:szCs w:val="32"/>
                <w:highlight w:val="none"/>
                <w:vertAlign w:val="baseline"/>
                <w:lang w:val="en-US" w:eastAsia="zh-CN"/>
              </w:rPr>
            </w:pPr>
            <w:r>
              <w:rPr>
                <w:rFonts w:hint="eastAsia" w:ascii="仿宋_GB2312" w:hAnsi="仿宋_GB2312" w:eastAsia="仿宋_GB2312" w:cs="仿宋_GB2312"/>
                <w:color w:val="auto"/>
                <w:kern w:val="0"/>
                <w:sz w:val="32"/>
                <w:szCs w:val="32"/>
                <w:highlight w:val="none"/>
                <w:vertAlign w:val="baseline"/>
                <w:lang w:val="en-US" w:eastAsia="zh-CN"/>
              </w:rPr>
              <w:t>22</w:t>
            </w:r>
          </w:p>
        </w:tc>
        <w:tc>
          <w:tcPr>
            <w:tcW w:w="1212" w:type="dxa"/>
          </w:tcPr>
          <w:p>
            <w:pPr>
              <w:pStyle w:val="2"/>
              <w:numPr>
                <w:ilvl w:val="0"/>
                <w:numId w:val="0"/>
              </w:numPr>
              <w:jc w:val="center"/>
              <w:rPr>
                <w:rFonts w:hint="eastAsia" w:ascii="仿宋_GB2312" w:hAnsi="仿宋_GB2312" w:eastAsia="仿宋_GB2312" w:cs="仿宋_GB2312"/>
                <w:color w:val="auto"/>
                <w:kern w:val="0"/>
                <w:sz w:val="32"/>
                <w:szCs w:val="32"/>
                <w:highlight w:val="none"/>
                <w:vertAlign w:val="baseline"/>
                <w:lang w:val="en-US" w:eastAsia="zh-CN"/>
              </w:rPr>
            </w:pP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养殖利润分配：</w:t>
      </w:r>
      <w:r>
        <w:rPr>
          <w:rFonts w:hint="eastAsia" w:ascii="仿宋_GB2312" w:hAnsi="仿宋_GB2312" w:eastAsia="仿宋_GB2312" w:cs="仿宋_GB2312"/>
          <w:color w:val="auto"/>
          <w:kern w:val="0"/>
          <w:sz w:val="32"/>
          <w:szCs w:val="32"/>
          <w:highlight w:val="none"/>
          <w:lang w:val="en-US" w:eastAsia="zh-CN"/>
        </w:rPr>
        <w:t>与金麦农业有限公司建立合作期限五年，第一年按每户分配利润1000元，第二年按每户分配利润1000元，第三年至第五年每年按每户分配利润2000元。</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养殖利润统一分配为各村集体经济收益，保障</w:t>
      </w:r>
      <w:r>
        <w:rPr>
          <w:rFonts w:hint="eastAsia" w:ascii="Times New Roman" w:hAnsi="Times New Roman" w:eastAsia="仿宋_GB2312"/>
          <w:color w:val="auto"/>
          <w:kern w:val="0"/>
          <w:sz w:val="32"/>
          <w:szCs w:val="32"/>
          <w:highlight w:val="none"/>
          <w:lang w:val="en-US" w:eastAsia="zh-CN"/>
        </w:rPr>
        <w:t>监测预警户</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lang w:val="en-US" w:eastAsia="zh-CN"/>
        </w:rPr>
        <w:t>脱贫不稳定户、边缘易致贫户、突发严重困难户等困难群体</w:t>
      </w:r>
      <w:r>
        <w:rPr>
          <w:rFonts w:hint="eastAsia" w:ascii="Times New Roman" w:hAnsi="Times New Roman" w:eastAsia="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lang w:val="en-US" w:eastAsia="zh-CN"/>
        </w:rPr>
        <w:t>稳定脱贫，</w:t>
      </w:r>
      <w:r>
        <w:rPr>
          <w:rFonts w:hint="eastAsia" w:ascii="仿宋_GB2312" w:hAnsi="仿宋_GB2312" w:eastAsia="仿宋_GB2312" w:cs="仿宋_GB2312"/>
          <w:color w:val="auto"/>
          <w:kern w:val="0"/>
          <w:sz w:val="32"/>
          <w:szCs w:val="32"/>
          <w:highlight w:val="none"/>
          <w:lang w:val="en-US" w:eastAsia="zh-CN"/>
        </w:rPr>
        <w:t>根据实际情况，资金分配经乡农经站根据各村监测预警户占比进行分配，由村集体动态调整，按程序将利润分配给当年的监测预警户。</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八、风险防控</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为确保各村集体投入昆明金麦农业有限公司的资金及各年稳定收益安全，昆明金麦农业有限公司按程序与各村集体签订合作发展协议，对使用资金及收益提供担保或提供与投资相当的资产抵押。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九、效益分析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left"/>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（一）社会效益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rPr>
          <w:rFonts w:hint="eastAsia"/>
          <w:color w:val="auto"/>
          <w:highlight w:val="none"/>
          <w:lang w:val="en-US" w:eastAsia="zh-CN"/>
        </w:rPr>
      </w:pPr>
      <w:r>
        <w:rPr>
          <w:rFonts w:hint="eastAsia" w:ascii="仿宋_GB2312" w:hAnsi="宋体" w:eastAsia="仿宋_GB2312" w:cs="宋体"/>
          <w:color w:val="auto"/>
          <w:kern w:val="0"/>
          <w:sz w:val="32"/>
          <w:szCs w:val="32"/>
          <w:highlight w:val="none"/>
        </w:rPr>
        <w:t>项目的实施，推进项目区产业化进程和农村经济发展，增加农民收入，提升企业效益，具有重要意义，长期示范带动效益好，社会效益明显。</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1.解决对监测预警户帮扶措施单一的问题，形成长效机制。</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通过项目的实施，调整50户监测预警户帮扶措施，稳步增加舍块乡监测预警户年均经济收入，以达到稳步脱贫的目的。</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2.发展壮大舍块乡生态羊养殖产业，使舍块的羊产业规模逐步壮大，打造舍块生态羊品牌产业，达到巩固脱贫成效与乡村振兴有效衔接的目的。</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（二）经济效益</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解决各村集体利益联结机制单一问题，稳步壮大村集体经济收益。100只种羊养殖，第一年可增加村集体收入共计10万元，第二年可增加村集体收入共计10万元，第三至第五年每年可增加20万元，养殖五年共计可增加舍块乡村集体经济收入达80万元。</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.项目投资合理，经济效益明显，风险性小，具有较强可行性，且对当地环境不会造成负面影响。</w:t>
      </w:r>
    </w:p>
    <w:p>
      <w:pPr>
        <w:pStyle w:val="2"/>
        <w:keepNext w:val="0"/>
        <w:keepLines w:val="0"/>
        <w:pageBreakBefore w:val="0"/>
        <w:kinsoku/>
        <w:wordWrap/>
        <w:overflowPunct/>
        <w:topLinePunct w:val="0"/>
        <w:autoSpaceDE/>
        <w:autoSpaceDN/>
        <w:bidi w:val="0"/>
        <w:adjustRightInd/>
        <w:snapToGrid/>
        <w:spacing w:line="560" w:lineRule="exact"/>
        <w:ind w:leftChars="0"/>
        <w:rPr>
          <w:rFonts w:hint="eastAsia"/>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通过</w:t>
      </w:r>
      <w:r>
        <w:rPr>
          <w:rFonts w:hint="eastAsia" w:ascii="仿宋_GB2312" w:hAnsi="宋体" w:eastAsia="仿宋_GB2312" w:cs="宋体"/>
          <w:kern w:val="0"/>
          <w:sz w:val="32"/>
          <w:szCs w:val="32"/>
          <w:lang w:val="en-US" w:eastAsia="zh-CN"/>
        </w:rPr>
        <w:t>该</w:t>
      </w:r>
      <w:r>
        <w:rPr>
          <w:rFonts w:hint="eastAsia" w:ascii="仿宋_GB2312" w:hAnsi="宋体" w:eastAsia="仿宋_GB2312" w:cs="宋体"/>
          <w:kern w:val="0"/>
          <w:sz w:val="32"/>
          <w:szCs w:val="32"/>
        </w:rPr>
        <w:t>项目的实施，将全面提高项目村</w:t>
      </w:r>
      <w:r>
        <w:rPr>
          <w:rFonts w:hint="eastAsia" w:ascii="仿宋_GB2312" w:hAnsi="宋体" w:eastAsia="仿宋_GB2312" w:cs="宋体"/>
          <w:kern w:val="0"/>
          <w:sz w:val="32"/>
          <w:szCs w:val="32"/>
          <w:lang w:val="en-US" w:eastAsia="zh-CN"/>
        </w:rPr>
        <w:t>群众</w:t>
      </w:r>
      <w:r>
        <w:rPr>
          <w:rFonts w:hint="eastAsia" w:ascii="仿宋_GB2312" w:hAnsi="宋体" w:eastAsia="仿宋_GB2312" w:cs="宋体"/>
          <w:kern w:val="0"/>
          <w:sz w:val="32"/>
          <w:szCs w:val="32"/>
        </w:rPr>
        <w:t>的自我发展能力，使其收入有逐年增长。</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基于上述几点，该项目符合国家产业政策和扶持政策，项目示范带动效果明显，经济效益、社会效益比较突出，且具有很强的抗风险能力。</w:t>
      </w:r>
    </w:p>
    <w:p>
      <w:pPr>
        <w:pStyle w:val="2"/>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附件：舍块乡收入最低50户监测预警户名单</w:t>
      </w:r>
    </w:p>
    <w:p>
      <w:pPr>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br w:type="page"/>
      </w:r>
    </w:p>
    <w:p>
      <w:pPr>
        <w:pStyle w:val="2"/>
        <w:ind w:left="0" w:leftChars="0" w:firstLine="0" w:firstLineChars="0"/>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附件：</w:t>
      </w:r>
    </w:p>
    <w:tbl>
      <w:tblPr>
        <w:tblStyle w:val="5"/>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4"/>
        <w:gridCol w:w="1440"/>
        <w:gridCol w:w="1770"/>
        <w:gridCol w:w="1005"/>
        <w:gridCol w:w="156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行政村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自然村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易返贫致贫户(监测对象)类别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姓名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家庭人口数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b/>
                <w:i w:val="0"/>
                <w:color w:val="000000"/>
                <w:sz w:val="22"/>
                <w:szCs w:val="22"/>
                <w:u w:val="none"/>
              </w:rPr>
            </w:pPr>
            <w:r>
              <w:rPr>
                <w:rFonts w:hint="default" w:ascii="Courier New" w:hAnsi="Courier New" w:eastAsia="宋体" w:cs="Courier New"/>
                <w:b/>
                <w:i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白鹤村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柴山小组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田兴周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老房子小组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田兴祥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老房子小组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黄功明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大梁子小组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田天华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白房子小组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刘申里</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白鹤厂小组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刘大贵</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白房子小组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刘大春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新店房小组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尹怀真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老房子小组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王顺云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新店房小组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李兴贵</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红地小组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赵辉全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老房子小组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张兴祥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新店房小组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李开学</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白房子小组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林永美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红地小组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付照才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茂</w:t>
            </w:r>
            <w:r>
              <w:rPr>
                <w:rFonts w:hint="eastAsia" w:ascii="Courier New" w:hAnsi="Courier New" w:eastAsia="宋体" w:cs="Courier New"/>
                <w:i w:val="0"/>
                <w:color w:val="000000"/>
                <w:kern w:val="0"/>
                <w:sz w:val="20"/>
                <w:szCs w:val="20"/>
                <w:u w:val="none"/>
                <w:lang w:val="en-US" w:eastAsia="zh-CN" w:bidi="ar"/>
              </w:rPr>
              <w:t>炉</w:t>
            </w:r>
            <w:r>
              <w:rPr>
                <w:rFonts w:hint="default" w:ascii="Courier New" w:hAnsi="Courier New" w:eastAsia="宋体" w:cs="Courier New"/>
                <w:i w:val="0"/>
                <w:color w:val="000000"/>
                <w:kern w:val="0"/>
                <w:sz w:val="20"/>
                <w:szCs w:val="20"/>
                <w:u w:val="none"/>
                <w:lang w:val="en-US" w:eastAsia="zh-CN" w:bidi="ar"/>
              </w:rPr>
              <w:t>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田坝小组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李金香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菜园子小组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张天才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厂上小组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把兴平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厂上小组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李顺明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厂上小组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张天珍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新官房小组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毛培宽</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田坝小组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突发严重困难户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明朝发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舍块村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中木刻小组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施继龙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中木刻小组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突发严重困难户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陈显华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梨树棵小组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李金山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中木刻小组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荀石秀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中木刻小组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孙乔英</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中木刻小组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罗天能</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中木刻小组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突发严重困难户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张学美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团结村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汤德小组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突发严重困难户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谢顺学</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汤德小组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莫文福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大扭小组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罗朝有</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汤德小组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张大学</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汤德小组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王顺香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汤德小组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张开奎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新和村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落乌小组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柏老四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赵家村小组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罗选平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赵家村小组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毕国章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新山村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长地小组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普东香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下中村小组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张建琼</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长地小组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张进明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长地小组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余秋珍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新山小组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张五斤</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云坪村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长海子小组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张兰芬</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陷塘小组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谢兴美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长海子小组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边缘易致贫户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冯艳春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长海子小组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杨开瑞</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大马槽小组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何天甫</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中梁子小组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脱贫不稳定户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高兴美</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中梁子小组</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突发严重困难户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高兴周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ourier New" w:hAnsi="Courier New" w:cs="Courier New"/>
                <w:i w:val="0"/>
                <w:color w:val="000000"/>
                <w:sz w:val="20"/>
                <w:szCs w:val="20"/>
                <w:u w:val="none"/>
              </w:rPr>
            </w:pPr>
            <w:r>
              <w:rPr>
                <w:rFonts w:hint="default" w:ascii="Courier New" w:hAnsi="Courier New" w:eastAsia="宋体" w:cs="Courier New"/>
                <w:i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ourier New" w:hAnsi="Courier New" w:cs="Courier New"/>
                <w:i w:val="0"/>
                <w:color w:val="000000"/>
                <w:sz w:val="20"/>
                <w:szCs w:val="20"/>
                <w:u w:val="none"/>
              </w:rPr>
            </w:pPr>
          </w:p>
        </w:tc>
      </w:tr>
    </w:tbl>
    <w:p>
      <w:pPr>
        <w:pStyle w:val="2"/>
        <w:rPr>
          <w:rFonts w:hint="default" w:ascii="仿宋_GB2312" w:hAnsi="宋体" w:eastAsia="仿宋_GB2312" w:cs="宋体"/>
          <w:b/>
          <w:bCs/>
          <w:kern w:val="0"/>
          <w:sz w:val="32"/>
          <w:szCs w:val="32"/>
          <w:lang w:val="en-US" w:eastAsia="zh-CN"/>
        </w:rPr>
      </w:pPr>
    </w:p>
    <w:sectPr>
      <w:footerReference r:id="rId3" w:type="default"/>
      <w:pgSz w:w="11906" w:h="16838"/>
      <w:pgMar w:top="2098" w:right="1474" w:bottom="1984" w:left="1587" w:header="1020"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CBB1C"/>
    <w:multiLevelType w:val="singleLevel"/>
    <w:tmpl w:val="DA4CBB1C"/>
    <w:lvl w:ilvl="0" w:tentative="0">
      <w:start w:val="4"/>
      <w:numFmt w:val="chineseCounting"/>
      <w:suff w:val="nothing"/>
      <w:lvlText w:val="%1、"/>
      <w:lvlJc w:val="left"/>
      <w:rPr>
        <w:rFonts w:hint="eastAsia"/>
      </w:rPr>
    </w:lvl>
  </w:abstractNum>
  <w:abstractNum w:abstractNumId="1">
    <w:nsid w:val="1E21E1A1"/>
    <w:multiLevelType w:val="singleLevel"/>
    <w:tmpl w:val="1E21E1A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000000"/>
    <w:rsid w:val="010C675D"/>
    <w:rsid w:val="021A5664"/>
    <w:rsid w:val="05456AB9"/>
    <w:rsid w:val="054E433D"/>
    <w:rsid w:val="064930B7"/>
    <w:rsid w:val="080E6A1F"/>
    <w:rsid w:val="08B5538F"/>
    <w:rsid w:val="0AE20424"/>
    <w:rsid w:val="0B7C4DFD"/>
    <w:rsid w:val="12EF7943"/>
    <w:rsid w:val="1445368F"/>
    <w:rsid w:val="161C1A70"/>
    <w:rsid w:val="1C4F5672"/>
    <w:rsid w:val="204179EA"/>
    <w:rsid w:val="20FD6001"/>
    <w:rsid w:val="223C7957"/>
    <w:rsid w:val="23431922"/>
    <w:rsid w:val="2A192AF2"/>
    <w:rsid w:val="2DDC483A"/>
    <w:rsid w:val="304912CC"/>
    <w:rsid w:val="31B21D98"/>
    <w:rsid w:val="325F2B77"/>
    <w:rsid w:val="3280503E"/>
    <w:rsid w:val="35B65580"/>
    <w:rsid w:val="377938F5"/>
    <w:rsid w:val="380134EA"/>
    <w:rsid w:val="3B0C7149"/>
    <w:rsid w:val="3C5E0939"/>
    <w:rsid w:val="3CFE37DB"/>
    <w:rsid w:val="416704CC"/>
    <w:rsid w:val="43226BF1"/>
    <w:rsid w:val="47C60154"/>
    <w:rsid w:val="491A59E3"/>
    <w:rsid w:val="513A52B4"/>
    <w:rsid w:val="537A33E9"/>
    <w:rsid w:val="544C7340"/>
    <w:rsid w:val="547A61EC"/>
    <w:rsid w:val="568E03EE"/>
    <w:rsid w:val="58FC1F48"/>
    <w:rsid w:val="59E02120"/>
    <w:rsid w:val="5BD52A81"/>
    <w:rsid w:val="5D2A5C50"/>
    <w:rsid w:val="5F2C44BA"/>
    <w:rsid w:val="60BC7FCA"/>
    <w:rsid w:val="6C9E1C03"/>
    <w:rsid w:val="7079518A"/>
    <w:rsid w:val="714E3B41"/>
    <w:rsid w:val="727E262F"/>
    <w:rsid w:val="73737D9B"/>
    <w:rsid w:val="74791BDF"/>
    <w:rsid w:val="74BE1E82"/>
    <w:rsid w:val="798E6E70"/>
    <w:rsid w:val="7DF3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basedOn w:val="1"/>
    <w:autoRedefine/>
    <w:qFormat/>
    <w:uiPriority w:val="0"/>
    <w:pPr>
      <w:ind w:firstLine="566" w:firstLineChars="202"/>
      <w:jc w:val="both"/>
      <w:textAlignment w:val="baseline"/>
    </w:pPr>
    <w:rPr>
      <w:rFonts w:ascii="Calibri" w:hAnsi="Calibri"/>
      <w:kern w:val="2"/>
      <w:sz w:val="21"/>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实施方案正文"/>
    <w:basedOn w:val="9"/>
    <w:qFormat/>
    <w:uiPriority w:val="0"/>
    <w:pPr>
      <w:ind w:firstLine="566" w:firstLineChars="202"/>
    </w:pPr>
  </w:style>
  <w:style w:type="paragraph" w:customStyle="1" w:styleId="9">
    <w:name w:val="正文 New"/>
    <w:next w:val="8"/>
    <w:autoRedefine/>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2021-11-25T06:55:00Z</dcterms:created>
  <dc:creator>Administrator</dc:creator>
  <cp:lastModifiedBy>岂曰无衣</cp:lastModifiedBy>
  <dcterms:modified xsi:type="dcterms:W3CDTF">2024-03-01T02:27:37Z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ABD616A02FDC435E8EBD40979AED3358</vt:lpwstr>
  </property>
</Properties>
</file>