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rPr>
          <w:rFonts w:ascii="方正小标宋_GBK" w:hAnsi="方正小标宋_GBK" w:eastAsia="方正小标宋_GBK" w:cs="方正小标宋简体"/>
          <w:sz w:val="44"/>
          <w:szCs w:val="44"/>
        </w:rPr>
      </w:pPr>
      <w:bookmarkStart w:id="319" w:name="_GoBack"/>
      <w:bookmarkEnd w:id="319"/>
      <w:r>
        <w:rPr>
          <w:rFonts w:hint="eastAsia" w:ascii="方正小标宋_GBK" w:hAnsi="方正小标宋_GBK" w:eastAsia="方正小标宋_GBK" w:cs="方正小标宋简体"/>
          <w:sz w:val="44"/>
          <w:szCs w:val="44"/>
        </w:rPr>
        <w:t>东川区基本公共服务实施标准（2023年版）</w:t>
      </w:r>
    </w:p>
    <w:p>
      <w:pPr>
        <w:pStyle w:val="8"/>
        <w:spacing w:line="578" w:lineRule="exact"/>
        <w:jc w:val="center"/>
        <w:rPr>
          <w:rFonts w:eastAsia="楷体_GB2312" w:cs="黑体"/>
          <w:sz w:val="32"/>
          <w:szCs w:val="32"/>
        </w:rPr>
      </w:pPr>
    </w:p>
    <w:p>
      <w:pPr>
        <w:pStyle w:val="8"/>
        <w:spacing w:line="578" w:lineRule="exact"/>
        <w:jc w:val="center"/>
        <w:rPr>
          <w:rFonts w:eastAsia="楷体_GB2312" w:cs="黑体"/>
          <w:sz w:val="32"/>
          <w:szCs w:val="32"/>
        </w:rPr>
      </w:pPr>
      <w:r>
        <w:rPr>
          <w:rFonts w:hint="eastAsia" w:eastAsia="楷体_GB2312" w:cs="黑体"/>
          <w:sz w:val="32"/>
          <w:szCs w:val="32"/>
        </w:rPr>
        <w:t>目　录</w:t>
      </w:r>
    </w:p>
    <w:p>
      <w:pPr>
        <w:pStyle w:val="11"/>
        <w:tabs>
          <w:tab w:val="right" w:leader="dot" w:pos="8306"/>
        </w:tabs>
        <w:spacing w:line="400" w:lineRule="exact"/>
        <w:ind w:left="0" w:leftChars="0"/>
      </w:pPr>
    </w:p>
    <w:p>
      <w:pPr>
        <w:pStyle w:val="19"/>
        <w:tabs>
          <w:tab w:val="right" w:leader="dot" w:pos="8306"/>
        </w:tabs>
        <w:spacing w:line="578" w:lineRule="exact"/>
        <w:rPr>
          <w:kern w:val="2"/>
          <w:szCs w:val="24"/>
        </w:rPr>
      </w:pPr>
      <w:r>
        <w:rPr>
          <w:rFonts w:hint="eastAsia"/>
        </w:rPr>
        <w:fldChar w:fldCharType="begin" w:fldLock="1"/>
      </w:r>
      <w:r>
        <w:rPr>
          <w:rFonts w:hint="eastAsia"/>
        </w:rPr>
        <w:instrText xml:space="preserve">TOC \o "1-3" \f \h \u </w:instrText>
      </w:r>
      <w:r>
        <w:rPr>
          <w:rFonts w:hint="eastAsia"/>
        </w:rPr>
        <w:fldChar w:fldCharType="separate"/>
      </w:r>
      <w:r>
        <w:fldChar w:fldCharType="begin"/>
      </w:r>
      <w:r>
        <w:instrText xml:space="preserve"> HYPERLINK \l "_Toc11849" </w:instrText>
      </w:r>
      <w:r>
        <w:fldChar w:fldCharType="separate"/>
      </w:r>
      <w:r>
        <w:rPr>
          <w:rFonts w:hAnsi="Calibri"/>
          <w:kern w:val="2"/>
          <w:szCs w:val="24"/>
        </w:rPr>
        <w:t>一</w:t>
      </w:r>
      <w:r>
        <w:rPr>
          <w:rFonts w:hint="eastAsia" w:hAnsi="黑体" w:eastAsia="黑体" w:cs="黑体"/>
          <w:kern w:val="2"/>
          <w:szCs w:val="32"/>
        </w:rPr>
        <w:t>、幼有所育</w:t>
      </w:r>
      <w:r>
        <w:rPr>
          <w:kern w:val="2"/>
          <w:szCs w:val="24"/>
        </w:rPr>
        <w:tab/>
      </w:r>
      <w:r>
        <w:rPr>
          <w:kern w:val="2"/>
          <w:szCs w:val="24"/>
        </w:rPr>
        <w:fldChar w:fldCharType="begin" w:fldLock="1"/>
      </w:r>
      <w:r>
        <w:rPr>
          <w:kern w:val="2"/>
          <w:szCs w:val="24"/>
        </w:rPr>
        <w:instrText xml:space="preserve"> PAGEREF _Toc11849 </w:instrText>
      </w:r>
      <w:r>
        <w:rPr>
          <w:kern w:val="2"/>
          <w:szCs w:val="24"/>
        </w:rPr>
        <w:fldChar w:fldCharType="separate"/>
      </w:r>
      <w:r>
        <w:rPr>
          <w:kern w:val="2"/>
          <w:szCs w:val="24"/>
        </w:rPr>
        <w:t>7</w:t>
      </w:r>
      <w:r>
        <w:rPr>
          <w:kern w:val="2"/>
          <w:szCs w:val="24"/>
        </w:rPr>
        <w:fldChar w:fldCharType="end"/>
      </w:r>
      <w:r>
        <w:rPr>
          <w:kern w:val="2"/>
          <w:szCs w:val="24"/>
        </w:rPr>
        <w:fldChar w:fldCharType="end"/>
      </w:r>
    </w:p>
    <w:p>
      <w:pPr>
        <w:pStyle w:val="23"/>
        <w:tabs>
          <w:tab w:val="right" w:leader="dot" w:pos="8306"/>
        </w:tabs>
        <w:spacing w:line="578" w:lineRule="exact"/>
        <w:rPr>
          <w:kern w:val="2"/>
          <w:szCs w:val="24"/>
        </w:rPr>
      </w:pPr>
      <w:r>
        <w:fldChar w:fldCharType="begin"/>
      </w:r>
      <w:r>
        <w:instrText xml:space="preserve"> HYPERLINK \l "_Toc16745" </w:instrText>
      </w:r>
      <w:r>
        <w:fldChar w:fldCharType="separate"/>
      </w:r>
      <w:r>
        <w:rPr>
          <w:rFonts w:hint="eastAsia" w:hAnsi="楷体_GB2312" w:eastAsia="楷体_GB2312" w:cs="楷体_GB2312"/>
          <w:kern w:val="2"/>
          <w:szCs w:val="32"/>
        </w:rPr>
        <w:t>（一）优孕优生服务</w:t>
      </w:r>
      <w:r>
        <w:rPr>
          <w:kern w:val="2"/>
          <w:szCs w:val="24"/>
        </w:rPr>
        <w:tab/>
      </w:r>
      <w:r>
        <w:rPr>
          <w:kern w:val="2"/>
          <w:szCs w:val="24"/>
        </w:rPr>
        <w:fldChar w:fldCharType="begin" w:fldLock="1"/>
      </w:r>
      <w:r>
        <w:rPr>
          <w:kern w:val="2"/>
          <w:szCs w:val="24"/>
        </w:rPr>
        <w:instrText xml:space="preserve"> PAGEREF _Toc16745 </w:instrText>
      </w:r>
      <w:r>
        <w:rPr>
          <w:kern w:val="2"/>
          <w:szCs w:val="24"/>
        </w:rPr>
        <w:fldChar w:fldCharType="separate"/>
      </w:r>
      <w:r>
        <w:rPr>
          <w:kern w:val="2"/>
          <w:szCs w:val="24"/>
        </w:rPr>
        <w:t>7</w:t>
      </w:r>
      <w:r>
        <w:rPr>
          <w:kern w:val="2"/>
          <w:szCs w:val="24"/>
        </w:rPr>
        <w:fldChar w:fldCharType="end"/>
      </w:r>
      <w:r>
        <w:rPr>
          <w:kern w:val="2"/>
          <w:szCs w:val="24"/>
        </w:rPr>
        <w:fldChar w:fldCharType="end"/>
      </w:r>
    </w:p>
    <w:p>
      <w:pPr>
        <w:pStyle w:val="11"/>
        <w:tabs>
          <w:tab w:val="right" w:leader="dot" w:pos="8306"/>
        </w:tabs>
        <w:spacing w:line="578" w:lineRule="exact"/>
      </w:pPr>
      <w:r>
        <w:fldChar w:fldCharType="begin"/>
      </w:r>
      <w:r>
        <w:instrText xml:space="preserve"> HYPERLINK \l "_Toc2085" </w:instrText>
      </w:r>
      <w:r>
        <w:fldChar w:fldCharType="separate"/>
      </w:r>
      <w:r>
        <w:rPr>
          <w:rFonts w:hint="eastAsia" w:eastAsia="仿宋_GB2312" w:cs="仿宋_GB2312"/>
        </w:rPr>
        <w:t>1.</w:t>
      </w:r>
      <w:r>
        <w:rPr>
          <w:rFonts w:hint="eastAsia" w:hAnsi="仿宋_GB2312" w:eastAsia="仿宋_GB2312" w:cs="仿宋_GB2312"/>
        </w:rPr>
        <w:t>农村免费孕前优生健康检查</w:t>
      </w:r>
      <w:r>
        <w:tab/>
      </w:r>
      <w:r>
        <w:fldChar w:fldCharType="begin" w:fldLock="1"/>
      </w:r>
      <w:r>
        <w:instrText xml:space="preserve"> PAGEREF _Toc2085 </w:instrText>
      </w:r>
      <w:r>
        <w:fldChar w:fldCharType="separate"/>
      </w:r>
      <w:r>
        <w:t>7</w:t>
      </w:r>
      <w:r>
        <w:fldChar w:fldCharType="end"/>
      </w:r>
      <w:r>
        <w:fldChar w:fldCharType="end"/>
      </w:r>
    </w:p>
    <w:p>
      <w:pPr>
        <w:pStyle w:val="11"/>
        <w:tabs>
          <w:tab w:val="right" w:leader="dot" w:pos="8306"/>
        </w:tabs>
        <w:spacing w:line="578" w:lineRule="exact"/>
      </w:pPr>
      <w:r>
        <w:fldChar w:fldCharType="begin"/>
      </w:r>
      <w:r>
        <w:instrText xml:space="preserve"> HYPERLINK \l "_Toc21834" </w:instrText>
      </w:r>
      <w:r>
        <w:fldChar w:fldCharType="separate"/>
      </w:r>
      <w:r>
        <w:rPr>
          <w:rFonts w:hint="eastAsia" w:eastAsia="仿宋_GB2312" w:cs="仿宋_GB2312"/>
        </w:rPr>
        <w:t>2.</w:t>
      </w:r>
      <w:r>
        <w:rPr>
          <w:rFonts w:hint="eastAsia" w:hAnsi="仿宋_GB2312" w:eastAsia="仿宋_GB2312" w:cs="仿宋_GB2312"/>
        </w:rPr>
        <w:t>孕产妇健康服务</w:t>
      </w:r>
      <w:r>
        <w:tab/>
      </w:r>
      <w:r>
        <w:fldChar w:fldCharType="begin" w:fldLock="1"/>
      </w:r>
      <w:r>
        <w:instrText xml:space="preserve"> PAGEREF _Toc21834 </w:instrText>
      </w:r>
      <w:r>
        <w:fldChar w:fldCharType="separate"/>
      </w:r>
      <w:r>
        <w:t>7</w:t>
      </w:r>
      <w:r>
        <w:fldChar w:fldCharType="end"/>
      </w:r>
      <w:r>
        <w:fldChar w:fldCharType="end"/>
      </w:r>
    </w:p>
    <w:p>
      <w:pPr>
        <w:pStyle w:val="11"/>
        <w:tabs>
          <w:tab w:val="right" w:leader="dot" w:pos="8306"/>
        </w:tabs>
        <w:spacing w:line="578" w:lineRule="exact"/>
      </w:pPr>
      <w:r>
        <w:fldChar w:fldCharType="begin"/>
      </w:r>
      <w:r>
        <w:instrText xml:space="preserve"> HYPERLINK \l "_Toc25788" </w:instrText>
      </w:r>
      <w:r>
        <w:fldChar w:fldCharType="separate"/>
      </w:r>
      <w:r>
        <w:rPr>
          <w:rFonts w:hint="eastAsia" w:eastAsia="仿宋_GB2312" w:cs="仿宋_GB2312"/>
        </w:rPr>
        <w:t>3.</w:t>
      </w:r>
      <w:r>
        <w:rPr>
          <w:rFonts w:hint="eastAsia" w:hAnsi="仿宋_GB2312" w:eastAsia="仿宋_GB2312" w:cs="仿宋_GB2312"/>
        </w:rPr>
        <w:t>基本避孕服务</w:t>
      </w:r>
      <w:r>
        <w:tab/>
      </w:r>
      <w:r>
        <w:fldChar w:fldCharType="begin" w:fldLock="1"/>
      </w:r>
      <w:r>
        <w:instrText xml:space="preserve"> PAGEREF _Toc25788 </w:instrText>
      </w:r>
      <w:r>
        <w:fldChar w:fldCharType="separate"/>
      </w:r>
      <w:r>
        <w:t>8</w:t>
      </w:r>
      <w:r>
        <w:fldChar w:fldCharType="end"/>
      </w:r>
      <w:r>
        <w:fldChar w:fldCharType="end"/>
      </w:r>
    </w:p>
    <w:p>
      <w:pPr>
        <w:pStyle w:val="11"/>
        <w:tabs>
          <w:tab w:val="right" w:leader="dot" w:pos="8306"/>
        </w:tabs>
        <w:spacing w:line="578" w:lineRule="exact"/>
      </w:pPr>
      <w:r>
        <w:fldChar w:fldCharType="begin"/>
      </w:r>
      <w:r>
        <w:instrText xml:space="preserve"> HYPERLINK \l "_Toc240" </w:instrText>
      </w:r>
      <w:r>
        <w:fldChar w:fldCharType="separate"/>
      </w:r>
      <w:r>
        <w:rPr>
          <w:rFonts w:hint="eastAsia" w:eastAsia="仿宋_GB2312" w:cs="仿宋_GB2312"/>
          <w:szCs w:val="32"/>
        </w:rPr>
        <w:t>4.</w:t>
      </w:r>
      <w:r>
        <w:rPr>
          <w:rFonts w:hint="eastAsia" w:hAnsi="仿宋_GB2312" w:eastAsia="仿宋_GB2312" w:cs="仿宋_GB2312"/>
          <w:szCs w:val="32"/>
        </w:rPr>
        <w:t>生育保险</w:t>
      </w:r>
      <w:r>
        <w:tab/>
      </w:r>
      <w:r>
        <w:fldChar w:fldCharType="begin" w:fldLock="1"/>
      </w:r>
      <w:r>
        <w:instrText xml:space="preserve"> PAGEREF _Toc240 </w:instrText>
      </w:r>
      <w:r>
        <w:fldChar w:fldCharType="separate"/>
      </w:r>
      <w:r>
        <w:t>10</w:t>
      </w:r>
      <w:r>
        <w:fldChar w:fldCharType="end"/>
      </w:r>
      <w:r>
        <w:fldChar w:fldCharType="end"/>
      </w:r>
    </w:p>
    <w:p>
      <w:pPr>
        <w:pStyle w:val="23"/>
        <w:tabs>
          <w:tab w:val="right" w:leader="dot" w:pos="8306"/>
        </w:tabs>
        <w:spacing w:line="578" w:lineRule="exact"/>
        <w:rPr>
          <w:kern w:val="2"/>
          <w:szCs w:val="24"/>
        </w:rPr>
      </w:pPr>
      <w:r>
        <w:fldChar w:fldCharType="begin"/>
      </w:r>
      <w:r>
        <w:instrText xml:space="preserve"> HYPERLINK \l "_Toc32551" </w:instrText>
      </w:r>
      <w:r>
        <w:fldChar w:fldCharType="separate"/>
      </w:r>
      <w:r>
        <w:rPr>
          <w:rFonts w:hint="eastAsia" w:hAnsi="楷体_GB2312" w:eastAsia="楷体_GB2312" w:cs="楷体_GB2312"/>
          <w:kern w:val="2"/>
          <w:szCs w:val="32"/>
        </w:rPr>
        <w:t>（二）儿童健康服务</w:t>
      </w:r>
      <w:r>
        <w:rPr>
          <w:kern w:val="2"/>
          <w:szCs w:val="24"/>
        </w:rPr>
        <w:tab/>
      </w:r>
      <w:r>
        <w:rPr>
          <w:kern w:val="2"/>
          <w:szCs w:val="24"/>
        </w:rPr>
        <w:fldChar w:fldCharType="begin" w:fldLock="1"/>
      </w:r>
      <w:r>
        <w:rPr>
          <w:kern w:val="2"/>
          <w:szCs w:val="24"/>
        </w:rPr>
        <w:instrText xml:space="preserve"> PAGEREF _Toc32551 </w:instrText>
      </w:r>
      <w:r>
        <w:rPr>
          <w:kern w:val="2"/>
          <w:szCs w:val="24"/>
        </w:rPr>
        <w:fldChar w:fldCharType="separate"/>
      </w:r>
      <w:r>
        <w:rPr>
          <w:kern w:val="2"/>
          <w:szCs w:val="24"/>
        </w:rPr>
        <w:t>11</w:t>
      </w:r>
      <w:r>
        <w:rPr>
          <w:kern w:val="2"/>
          <w:szCs w:val="24"/>
        </w:rPr>
        <w:fldChar w:fldCharType="end"/>
      </w:r>
      <w:r>
        <w:rPr>
          <w:kern w:val="2"/>
          <w:szCs w:val="24"/>
        </w:rPr>
        <w:fldChar w:fldCharType="end"/>
      </w:r>
    </w:p>
    <w:p>
      <w:pPr>
        <w:pStyle w:val="11"/>
        <w:tabs>
          <w:tab w:val="right" w:leader="dot" w:pos="8306"/>
        </w:tabs>
        <w:spacing w:line="578" w:lineRule="exact"/>
      </w:pPr>
      <w:r>
        <w:fldChar w:fldCharType="begin"/>
      </w:r>
      <w:r>
        <w:instrText xml:space="preserve"> HYPERLINK \l "_Toc13499" </w:instrText>
      </w:r>
      <w:r>
        <w:fldChar w:fldCharType="separate"/>
      </w:r>
      <w:r>
        <w:rPr>
          <w:rFonts w:hint="eastAsia" w:eastAsia="仿宋_GB2312" w:cs="仿宋_GB2312"/>
          <w:szCs w:val="32"/>
        </w:rPr>
        <w:t>5.</w:t>
      </w:r>
      <w:r>
        <w:rPr>
          <w:rFonts w:hint="eastAsia" w:hAnsi="仿宋_GB2312" w:eastAsia="仿宋_GB2312" w:cs="仿宋_GB2312"/>
          <w:szCs w:val="32"/>
        </w:rPr>
        <w:t>预防接种</w:t>
      </w:r>
      <w:r>
        <w:tab/>
      </w:r>
      <w:r>
        <w:fldChar w:fldCharType="begin" w:fldLock="1"/>
      </w:r>
      <w:r>
        <w:instrText xml:space="preserve"> PAGEREF _Toc13499 </w:instrText>
      </w:r>
      <w:r>
        <w:fldChar w:fldCharType="separate"/>
      </w:r>
      <w:r>
        <w:t>11</w:t>
      </w:r>
      <w:r>
        <w:fldChar w:fldCharType="end"/>
      </w:r>
      <w:r>
        <w:fldChar w:fldCharType="end"/>
      </w:r>
    </w:p>
    <w:p>
      <w:pPr>
        <w:pStyle w:val="11"/>
        <w:tabs>
          <w:tab w:val="right" w:leader="dot" w:pos="8306"/>
        </w:tabs>
        <w:spacing w:line="578" w:lineRule="exact"/>
      </w:pPr>
      <w:r>
        <w:fldChar w:fldCharType="begin"/>
      </w:r>
      <w:r>
        <w:instrText xml:space="preserve"> HYPERLINK \l "_Toc18757" </w:instrText>
      </w:r>
      <w:r>
        <w:fldChar w:fldCharType="separate"/>
      </w:r>
      <w:r>
        <w:rPr>
          <w:rFonts w:hint="eastAsia" w:eastAsia="仿宋_GB2312" w:cs="仿宋_GB2312"/>
        </w:rPr>
        <w:t>6.</w:t>
      </w:r>
      <w:r>
        <w:rPr>
          <w:rFonts w:hint="eastAsia" w:hAnsi="仿宋_GB2312" w:eastAsia="仿宋_GB2312" w:cs="仿宋_GB2312"/>
        </w:rPr>
        <w:t>儿童健康管理</w:t>
      </w:r>
      <w:r>
        <w:tab/>
      </w:r>
      <w:r>
        <w:fldChar w:fldCharType="begin" w:fldLock="1"/>
      </w:r>
      <w:r>
        <w:instrText xml:space="preserve"> PAGEREF _Toc18757 </w:instrText>
      </w:r>
      <w:r>
        <w:fldChar w:fldCharType="separate"/>
      </w:r>
      <w:r>
        <w:t>12</w:t>
      </w:r>
      <w:r>
        <w:fldChar w:fldCharType="end"/>
      </w:r>
      <w:r>
        <w:fldChar w:fldCharType="end"/>
      </w:r>
    </w:p>
    <w:p>
      <w:pPr>
        <w:pStyle w:val="23"/>
        <w:tabs>
          <w:tab w:val="right" w:leader="dot" w:pos="8306"/>
        </w:tabs>
        <w:spacing w:line="578" w:lineRule="exact"/>
        <w:rPr>
          <w:kern w:val="2"/>
          <w:szCs w:val="24"/>
        </w:rPr>
      </w:pPr>
      <w:r>
        <w:fldChar w:fldCharType="begin"/>
      </w:r>
      <w:r>
        <w:instrText xml:space="preserve"> HYPERLINK \l "_Toc23047" </w:instrText>
      </w:r>
      <w:r>
        <w:fldChar w:fldCharType="separate"/>
      </w:r>
      <w:r>
        <w:rPr>
          <w:rFonts w:hint="eastAsia" w:hAnsi="楷体_GB2312" w:eastAsia="楷体_GB2312" w:cs="楷体_GB2312"/>
          <w:kern w:val="2"/>
          <w:szCs w:val="32"/>
        </w:rPr>
        <w:t>（三）儿童关爱服务</w:t>
      </w:r>
      <w:r>
        <w:rPr>
          <w:kern w:val="2"/>
          <w:szCs w:val="24"/>
        </w:rPr>
        <w:tab/>
      </w:r>
      <w:r>
        <w:rPr>
          <w:kern w:val="2"/>
          <w:szCs w:val="24"/>
        </w:rPr>
        <w:fldChar w:fldCharType="begin" w:fldLock="1"/>
      </w:r>
      <w:r>
        <w:rPr>
          <w:kern w:val="2"/>
          <w:szCs w:val="24"/>
        </w:rPr>
        <w:instrText xml:space="preserve"> PAGEREF _Toc23047 </w:instrText>
      </w:r>
      <w:r>
        <w:rPr>
          <w:kern w:val="2"/>
          <w:szCs w:val="24"/>
        </w:rPr>
        <w:fldChar w:fldCharType="separate"/>
      </w:r>
      <w:r>
        <w:rPr>
          <w:kern w:val="2"/>
          <w:szCs w:val="24"/>
        </w:rPr>
        <w:t>13</w:t>
      </w:r>
      <w:r>
        <w:rPr>
          <w:kern w:val="2"/>
          <w:szCs w:val="24"/>
        </w:rPr>
        <w:fldChar w:fldCharType="end"/>
      </w:r>
      <w:r>
        <w:rPr>
          <w:kern w:val="2"/>
          <w:szCs w:val="24"/>
        </w:rPr>
        <w:fldChar w:fldCharType="end"/>
      </w:r>
    </w:p>
    <w:p>
      <w:pPr>
        <w:pStyle w:val="11"/>
        <w:tabs>
          <w:tab w:val="right" w:leader="dot" w:pos="8306"/>
        </w:tabs>
        <w:spacing w:line="578" w:lineRule="exact"/>
      </w:pPr>
      <w:r>
        <w:fldChar w:fldCharType="begin"/>
      </w:r>
      <w:r>
        <w:instrText xml:space="preserve"> HYPERLINK \l "_Toc12820" </w:instrText>
      </w:r>
      <w:r>
        <w:fldChar w:fldCharType="separate"/>
      </w:r>
      <w:r>
        <w:rPr>
          <w:rFonts w:hint="eastAsia" w:eastAsia="仿宋_GB2312" w:cs="仿宋_GB2312"/>
          <w:spacing w:val="2"/>
          <w:szCs w:val="32"/>
        </w:rPr>
        <w:t>7.</w:t>
      </w:r>
      <w:r>
        <w:rPr>
          <w:rFonts w:hint="eastAsia" w:hAnsi="仿宋_GB2312" w:eastAsia="仿宋_GB2312" w:cs="仿宋_GB2312"/>
          <w:spacing w:val="2"/>
          <w:szCs w:val="32"/>
        </w:rPr>
        <w:t>特殊儿童群体基本生活保障</w:t>
      </w:r>
      <w:r>
        <w:tab/>
      </w:r>
      <w:r>
        <w:fldChar w:fldCharType="begin" w:fldLock="1"/>
      </w:r>
      <w:r>
        <w:instrText xml:space="preserve"> PAGEREF _Toc12820 </w:instrText>
      </w:r>
      <w:r>
        <w:fldChar w:fldCharType="separate"/>
      </w:r>
      <w:r>
        <w:t>13</w:t>
      </w:r>
      <w:r>
        <w:fldChar w:fldCharType="end"/>
      </w:r>
      <w:r>
        <w:fldChar w:fldCharType="end"/>
      </w:r>
    </w:p>
    <w:p>
      <w:pPr>
        <w:pStyle w:val="11"/>
        <w:tabs>
          <w:tab w:val="right" w:leader="dot" w:pos="8306"/>
        </w:tabs>
        <w:spacing w:line="578" w:lineRule="exact"/>
      </w:pPr>
      <w:r>
        <w:fldChar w:fldCharType="begin"/>
      </w:r>
      <w:r>
        <w:instrText xml:space="preserve"> HYPERLINK \l "_Toc27296" </w:instrText>
      </w:r>
      <w:r>
        <w:fldChar w:fldCharType="separate"/>
      </w:r>
      <w:r>
        <w:rPr>
          <w:rFonts w:hint="eastAsia" w:eastAsia="仿宋_GB2312" w:cs="仿宋_GB2312"/>
          <w:spacing w:val="2"/>
          <w:szCs w:val="32"/>
        </w:rPr>
        <w:t>8.</w:t>
      </w:r>
      <w:r>
        <w:rPr>
          <w:rFonts w:hint="eastAsia" w:hAnsi="仿宋_GB2312" w:eastAsia="仿宋_GB2312" w:cs="仿宋_GB2312"/>
          <w:spacing w:val="2"/>
          <w:szCs w:val="32"/>
        </w:rPr>
        <w:t>困境儿童保障</w:t>
      </w:r>
      <w:r>
        <w:tab/>
      </w:r>
      <w:r>
        <w:fldChar w:fldCharType="begin" w:fldLock="1"/>
      </w:r>
      <w:r>
        <w:instrText xml:space="preserve"> PAGEREF _Toc27296 </w:instrText>
      </w:r>
      <w:r>
        <w:fldChar w:fldCharType="separate"/>
      </w:r>
      <w:r>
        <w:t>14</w:t>
      </w:r>
      <w:r>
        <w:fldChar w:fldCharType="end"/>
      </w:r>
      <w:r>
        <w:fldChar w:fldCharType="end"/>
      </w:r>
    </w:p>
    <w:p>
      <w:pPr>
        <w:pStyle w:val="11"/>
        <w:tabs>
          <w:tab w:val="right" w:leader="dot" w:pos="8306"/>
        </w:tabs>
        <w:spacing w:line="578" w:lineRule="exact"/>
      </w:pPr>
      <w:r>
        <w:fldChar w:fldCharType="begin"/>
      </w:r>
      <w:r>
        <w:instrText xml:space="preserve"> HYPERLINK \l "_Toc8146" </w:instrText>
      </w:r>
      <w:r>
        <w:fldChar w:fldCharType="separate"/>
      </w:r>
      <w:r>
        <w:rPr>
          <w:rFonts w:hint="eastAsia" w:eastAsia="仿宋_GB2312" w:cs="仿宋_GB2312"/>
          <w:spacing w:val="2"/>
          <w:szCs w:val="32"/>
        </w:rPr>
        <w:t>9.</w:t>
      </w:r>
      <w:r>
        <w:rPr>
          <w:rFonts w:hint="eastAsia" w:hAnsi="仿宋_GB2312" w:eastAsia="仿宋_GB2312" w:cs="仿宋_GB2312"/>
          <w:spacing w:val="2"/>
          <w:szCs w:val="32"/>
        </w:rPr>
        <w:t>农村留守儿童关爱保护</w:t>
      </w:r>
      <w:r>
        <w:tab/>
      </w:r>
      <w:r>
        <w:fldChar w:fldCharType="begin" w:fldLock="1"/>
      </w:r>
      <w:r>
        <w:instrText xml:space="preserve"> PAGEREF _Toc8146 </w:instrText>
      </w:r>
      <w:r>
        <w:fldChar w:fldCharType="separate"/>
      </w:r>
      <w:r>
        <w:t>16</w:t>
      </w:r>
      <w:r>
        <w:fldChar w:fldCharType="end"/>
      </w:r>
      <w:r>
        <w:fldChar w:fldCharType="end"/>
      </w:r>
    </w:p>
    <w:p>
      <w:pPr>
        <w:pStyle w:val="19"/>
        <w:tabs>
          <w:tab w:val="right" w:leader="dot" w:pos="8306"/>
        </w:tabs>
        <w:spacing w:line="578" w:lineRule="exact"/>
        <w:rPr>
          <w:kern w:val="2"/>
          <w:szCs w:val="24"/>
        </w:rPr>
      </w:pPr>
      <w:r>
        <w:fldChar w:fldCharType="begin"/>
      </w:r>
      <w:r>
        <w:instrText xml:space="preserve"> HYPERLINK \l "_Toc16619" </w:instrText>
      </w:r>
      <w:r>
        <w:fldChar w:fldCharType="separate"/>
      </w:r>
      <w:r>
        <w:rPr>
          <w:rFonts w:hint="eastAsia" w:hAnsi="黑体" w:eastAsia="黑体" w:cs="黑体"/>
          <w:kern w:val="2"/>
          <w:szCs w:val="32"/>
        </w:rPr>
        <w:t>二、学有所教</w:t>
      </w:r>
      <w:r>
        <w:rPr>
          <w:kern w:val="2"/>
          <w:szCs w:val="24"/>
        </w:rPr>
        <w:tab/>
      </w:r>
      <w:r>
        <w:rPr>
          <w:kern w:val="2"/>
          <w:szCs w:val="24"/>
        </w:rPr>
        <w:fldChar w:fldCharType="begin" w:fldLock="1"/>
      </w:r>
      <w:r>
        <w:rPr>
          <w:kern w:val="2"/>
          <w:szCs w:val="24"/>
        </w:rPr>
        <w:instrText xml:space="preserve"> PAGEREF _Toc16619 </w:instrText>
      </w:r>
      <w:r>
        <w:rPr>
          <w:kern w:val="2"/>
          <w:szCs w:val="24"/>
        </w:rPr>
        <w:fldChar w:fldCharType="separate"/>
      </w:r>
      <w:r>
        <w:rPr>
          <w:kern w:val="2"/>
          <w:szCs w:val="24"/>
        </w:rPr>
        <w:t>17</w:t>
      </w:r>
      <w:r>
        <w:rPr>
          <w:kern w:val="2"/>
          <w:szCs w:val="24"/>
        </w:rPr>
        <w:fldChar w:fldCharType="end"/>
      </w:r>
      <w:r>
        <w:rPr>
          <w:kern w:val="2"/>
          <w:szCs w:val="24"/>
        </w:rPr>
        <w:fldChar w:fldCharType="end"/>
      </w:r>
    </w:p>
    <w:p>
      <w:pPr>
        <w:pStyle w:val="23"/>
        <w:tabs>
          <w:tab w:val="right" w:leader="dot" w:pos="8306"/>
        </w:tabs>
        <w:spacing w:line="578" w:lineRule="exact"/>
        <w:rPr>
          <w:kern w:val="2"/>
          <w:szCs w:val="24"/>
        </w:rPr>
      </w:pPr>
      <w:r>
        <w:fldChar w:fldCharType="begin"/>
      </w:r>
      <w:r>
        <w:instrText xml:space="preserve"> HYPERLINK \l "_Toc17411" </w:instrText>
      </w:r>
      <w:r>
        <w:fldChar w:fldCharType="separate"/>
      </w:r>
      <w:r>
        <w:rPr>
          <w:rFonts w:hint="eastAsia" w:hAnsi="楷体_GB2312" w:eastAsia="楷体_GB2312" w:cs="楷体_GB2312"/>
          <w:kern w:val="2"/>
          <w:szCs w:val="32"/>
        </w:rPr>
        <w:t>（四）学前教育助学服务</w:t>
      </w:r>
      <w:r>
        <w:rPr>
          <w:kern w:val="2"/>
          <w:szCs w:val="24"/>
        </w:rPr>
        <w:tab/>
      </w:r>
      <w:r>
        <w:rPr>
          <w:kern w:val="2"/>
          <w:szCs w:val="24"/>
        </w:rPr>
        <w:fldChar w:fldCharType="begin" w:fldLock="1"/>
      </w:r>
      <w:r>
        <w:rPr>
          <w:kern w:val="2"/>
          <w:szCs w:val="24"/>
        </w:rPr>
        <w:instrText xml:space="preserve"> PAGEREF _Toc17411 </w:instrText>
      </w:r>
      <w:r>
        <w:rPr>
          <w:kern w:val="2"/>
          <w:szCs w:val="24"/>
        </w:rPr>
        <w:fldChar w:fldCharType="separate"/>
      </w:r>
      <w:r>
        <w:rPr>
          <w:kern w:val="2"/>
          <w:szCs w:val="24"/>
        </w:rPr>
        <w:t>17</w:t>
      </w:r>
      <w:r>
        <w:rPr>
          <w:kern w:val="2"/>
          <w:szCs w:val="24"/>
        </w:rPr>
        <w:fldChar w:fldCharType="end"/>
      </w:r>
      <w:r>
        <w:rPr>
          <w:kern w:val="2"/>
          <w:szCs w:val="24"/>
        </w:rPr>
        <w:fldChar w:fldCharType="end"/>
      </w:r>
    </w:p>
    <w:p>
      <w:pPr>
        <w:pStyle w:val="11"/>
        <w:tabs>
          <w:tab w:val="right" w:leader="dot" w:pos="8306"/>
        </w:tabs>
        <w:spacing w:line="578" w:lineRule="exact"/>
      </w:pPr>
      <w:r>
        <w:fldChar w:fldCharType="begin"/>
      </w:r>
      <w:r>
        <w:instrText xml:space="preserve"> HYPERLINK \l "_Toc20036" </w:instrText>
      </w:r>
      <w:r>
        <w:fldChar w:fldCharType="separate"/>
      </w:r>
      <w:r>
        <w:rPr>
          <w:rFonts w:hint="eastAsia" w:eastAsia="仿宋_GB2312" w:cs="仿宋_GB2312"/>
        </w:rPr>
        <w:t>10.</w:t>
      </w:r>
      <w:r>
        <w:rPr>
          <w:rFonts w:hint="eastAsia" w:hAnsi="仿宋_GB2312" w:eastAsia="仿宋_GB2312" w:cs="仿宋_GB2312"/>
          <w:lang w:val="zh-TW"/>
        </w:rPr>
        <w:t>学前教育幼儿资助</w:t>
      </w:r>
      <w:r>
        <w:tab/>
      </w:r>
      <w:r>
        <w:fldChar w:fldCharType="begin" w:fldLock="1"/>
      </w:r>
      <w:r>
        <w:instrText xml:space="preserve"> PAGEREF _Toc20036 </w:instrText>
      </w:r>
      <w:r>
        <w:fldChar w:fldCharType="separate"/>
      </w:r>
      <w:r>
        <w:t>17</w:t>
      </w:r>
      <w:r>
        <w:fldChar w:fldCharType="end"/>
      </w:r>
      <w:r>
        <w:fldChar w:fldCharType="end"/>
      </w:r>
    </w:p>
    <w:p>
      <w:pPr>
        <w:pStyle w:val="23"/>
        <w:tabs>
          <w:tab w:val="right" w:leader="dot" w:pos="8306"/>
        </w:tabs>
        <w:spacing w:line="578" w:lineRule="exact"/>
        <w:rPr>
          <w:kern w:val="2"/>
          <w:szCs w:val="24"/>
        </w:rPr>
      </w:pPr>
      <w:r>
        <w:fldChar w:fldCharType="begin"/>
      </w:r>
      <w:r>
        <w:instrText xml:space="preserve"> HYPERLINK \l "_Toc4449" </w:instrText>
      </w:r>
      <w:r>
        <w:fldChar w:fldCharType="separate"/>
      </w:r>
      <w:r>
        <w:rPr>
          <w:rFonts w:hint="eastAsia" w:hAnsi="楷体_GB2312" w:eastAsia="楷体_GB2312" w:cs="楷体_GB2312"/>
          <w:kern w:val="2"/>
          <w:szCs w:val="32"/>
        </w:rPr>
        <w:t>（五）义务教育服务</w:t>
      </w:r>
      <w:r>
        <w:rPr>
          <w:kern w:val="2"/>
          <w:szCs w:val="24"/>
        </w:rPr>
        <w:tab/>
      </w:r>
      <w:r>
        <w:rPr>
          <w:kern w:val="2"/>
          <w:szCs w:val="24"/>
        </w:rPr>
        <w:fldChar w:fldCharType="begin" w:fldLock="1"/>
      </w:r>
      <w:r>
        <w:rPr>
          <w:kern w:val="2"/>
          <w:szCs w:val="24"/>
        </w:rPr>
        <w:instrText xml:space="preserve"> PAGEREF _Toc4449 </w:instrText>
      </w:r>
      <w:r>
        <w:rPr>
          <w:kern w:val="2"/>
          <w:szCs w:val="24"/>
        </w:rPr>
        <w:fldChar w:fldCharType="separate"/>
      </w:r>
      <w:r>
        <w:rPr>
          <w:kern w:val="2"/>
          <w:szCs w:val="24"/>
        </w:rPr>
        <w:t>18</w:t>
      </w:r>
      <w:r>
        <w:rPr>
          <w:kern w:val="2"/>
          <w:szCs w:val="24"/>
        </w:rPr>
        <w:fldChar w:fldCharType="end"/>
      </w:r>
      <w:r>
        <w:rPr>
          <w:kern w:val="2"/>
          <w:szCs w:val="24"/>
        </w:rPr>
        <w:fldChar w:fldCharType="end"/>
      </w:r>
    </w:p>
    <w:p>
      <w:pPr>
        <w:pStyle w:val="11"/>
        <w:tabs>
          <w:tab w:val="right" w:leader="dot" w:pos="8306"/>
        </w:tabs>
        <w:spacing w:line="578" w:lineRule="exact"/>
      </w:pPr>
      <w:r>
        <w:fldChar w:fldCharType="begin"/>
      </w:r>
      <w:r>
        <w:instrText xml:space="preserve"> HYPERLINK \l "_Toc4722" </w:instrText>
      </w:r>
      <w:r>
        <w:fldChar w:fldCharType="separate"/>
      </w:r>
      <w:r>
        <w:rPr>
          <w:rFonts w:hint="eastAsia" w:eastAsia="仿宋_GB2312" w:cs="仿宋_GB2312"/>
          <w:spacing w:val="2"/>
          <w:szCs w:val="32"/>
        </w:rPr>
        <w:t>11.</w:t>
      </w:r>
      <w:r>
        <w:rPr>
          <w:rFonts w:hAnsi="仿宋_GB2312" w:eastAsia="仿宋_GB2312" w:cs="仿宋_GB2312"/>
          <w:spacing w:val="2"/>
          <w:szCs w:val="32"/>
          <w:lang w:val="zh-TW"/>
        </w:rPr>
        <w:t>义务教育阶段免除学杂费</w:t>
      </w:r>
      <w:r>
        <w:tab/>
      </w:r>
      <w:r>
        <w:fldChar w:fldCharType="begin" w:fldLock="1"/>
      </w:r>
      <w:r>
        <w:instrText xml:space="preserve"> PAGEREF _Toc4722 </w:instrText>
      </w:r>
      <w:r>
        <w:fldChar w:fldCharType="separate"/>
      </w:r>
      <w:r>
        <w:t>18</w:t>
      </w:r>
      <w:r>
        <w:fldChar w:fldCharType="end"/>
      </w:r>
      <w:r>
        <w:fldChar w:fldCharType="end"/>
      </w:r>
    </w:p>
    <w:p>
      <w:pPr>
        <w:pStyle w:val="11"/>
        <w:tabs>
          <w:tab w:val="right" w:leader="dot" w:pos="8306"/>
        </w:tabs>
        <w:spacing w:line="578" w:lineRule="exact"/>
      </w:pPr>
      <w:r>
        <w:fldChar w:fldCharType="begin"/>
      </w:r>
      <w:r>
        <w:instrText xml:space="preserve"> HYPERLINK \l "_Toc13501" </w:instrText>
      </w:r>
      <w:r>
        <w:fldChar w:fldCharType="separate"/>
      </w:r>
      <w:r>
        <w:rPr>
          <w:rFonts w:hint="eastAsia" w:eastAsia="仿宋_GB2312" w:cs="仿宋_GB2312"/>
          <w:spacing w:val="2"/>
          <w:szCs w:val="32"/>
        </w:rPr>
        <w:t>12.</w:t>
      </w:r>
      <w:r>
        <w:rPr>
          <w:rFonts w:hAnsi="仿宋_GB2312" w:eastAsia="仿宋_GB2312" w:cs="仿宋_GB2312"/>
          <w:spacing w:val="2"/>
          <w:szCs w:val="32"/>
          <w:lang w:val="zh-TW"/>
        </w:rPr>
        <w:t>义务教育免费提供教科书</w:t>
      </w:r>
      <w:r>
        <w:tab/>
      </w:r>
      <w:r>
        <w:fldChar w:fldCharType="begin" w:fldLock="1"/>
      </w:r>
      <w:r>
        <w:instrText xml:space="preserve"> PAGEREF _Toc13501 </w:instrText>
      </w:r>
      <w:r>
        <w:fldChar w:fldCharType="separate"/>
      </w:r>
      <w:r>
        <w:t>19</w:t>
      </w:r>
      <w:r>
        <w:fldChar w:fldCharType="end"/>
      </w:r>
      <w:r>
        <w:fldChar w:fldCharType="end"/>
      </w:r>
    </w:p>
    <w:p>
      <w:pPr>
        <w:pStyle w:val="11"/>
        <w:tabs>
          <w:tab w:val="right" w:leader="dot" w:pos="8306"/>
        </w:tabs>
        <w:spacing w:line="578" w:lineRule="exact"/>
      </w:pPr>
      <w:r>
        <w:fldChar w:fldCharType="begin"/>
      </w:r>
      <w:r>
        <w:instrText xml:space="preserve"> HYPERLINK \l "_Toc1111" </w:instrText>
      </w:r>
      <w:r>
        <w:fldChar w:fldCharType="separate"/>
      </w:r>
      <w:r>
        <w:rPr>
          <w:rFonts w:hint="eastAsia" w:eastAsia="仿宋_GB2312" w:cs="仿宋_GB2312"/>
          <w:spacing w:val="2"/>
          <w:szCs w:val="32"/>
        </w:rPr>
        <w:t>13.</w:t>
      </w:r>
      <w:r>
        <w:rPr>
          <w:rFonts w:hAnsi="仿宋_GB2312" w:eastAsia="仿宋_GB2312" w:cs="仿宋_GB2312"/>
          <w:spacing w:val="2"/>
          <w:szCs w:val="32"/>
          <w:lang w:val="zh-TW"/>
        </w:rPr>
        <w:t>义务教育家庭经济困难学生生活补助</w:t>
      </w:r>
      <w:r>
        <w:tab/>
      </w:r>
      <w:r>
        <w:fldChar w:fldCharType="begin" w:fldLock="1"/>
      </w:r>
      <w:r>
        <w:instrText xml:space="preserve"> PAGEREF _Toc1111 </w:instrText>
      </w:r>
      <w:r>
        <w:fldChar w:fldCharType="separate"/>
      </w:r>
      <w:r>
        <w:t>20</w:t>
      </w:r>
      <w:r>
        <w:fldChar w:fldCharType="end"/>
      </w:r>
      <w:r>
        <w:fldChar w:fldCharType="end"/>
      </w:r>
    </w:p>
    <w:p>
      <w:pPr>
        <w:pStyle w:val="11"/>
        <w:tabs>
          <w:tab w:val="right" w:leader="dot" w:pos="8306"/>
        </w:tabs>
        <w:spacing w:line="578" w:lineRule="exact"/>
      </w:pPr>
      <w:r>
        <w:fldChar w:fldCharType="begin"/>
      </w:r>
      <w:r>
        <w:instrText xml:space="preserve"> HYPERLINK \l "_Toc15693" </w:instrText>
      </w:r>
      <w:r>
        <w:fldChar w:fldCharType="separate"/>
      </w:r>
      <w:r>
        <w:rPr>
          <w:rFonts w:hint="eastAsia" w:eastAsia="仿宋_GB2312" w:cs="仿宋_GB2312"/>
          <w:spacing w:val="2"/>
          <w:szCs w:val="32"/>
        </w:rPr>
        <w:t>14.</w:t>
      </w:r>
      <w:r>
        <w:rPr>
          <w:rFonts w:hint="eastAsia" w:hAnsi="仿宋_GB2312" w:eastAsia="仿宋_GB2312" w:cs="仿宋_GB2312"/>
          <w:spacing w:val="2"/>
          <w:szCs w:val="32"/>
          <w:lang w:val="zh-TW"/>
        </w:rPr>
        <w:t>农村义务教育学生营养改善计划补助</w:t>
      </w:r>
      <w:r>
        <w:tab/>
      </w:r>
      <w:r>
        <w:fldChar w:fldCharType="begin" w:fldLock="1"/>
      </w:r>
      <w:r>
        <w:instrText xml:space="preserve"> PAGEREF _Toc15693 </w:instrText>
      </w:r>
      <w:r>
        <w:fldChar w:fldCharType="separate"/>
      </w:r>
      <w:r>
        <w:t>20</w:t>
      </w:r>
      <w:r>
        <w:fldChar w:fldCharType="end"/>
      </w:r>
      <w:r>
        <w:fldChar w:fldCharType="end"/>
      </w:r>
    </w:p>
    <w:p>
      <w:pPr>
        <w:pStyle w:val="23"/>
        <w:tabs>
          <w:tab w:val="right" w:leader="dot" w:pos="8306"/>
        </w:tabs>
        <w:spacing w:line="578" w:lineRule="exact"/>
        <w:rPr>
          <w:kern w:val="2"/>
          <w:szCs w:val="24"/>
        </w:rPr>
      </w:pPr>
      <w:r>
        <w:fldChar w:fldCharType="begin"/>
      </w:r>
      <w:r>
        <w:instrText xml:space="preserve"> HYPERLINK \l "_Toc31115" </w:instrText>
      </w:r>
      <w:r>
        <w:fldChar w:fldCharType="separate"/>
      </w:r>
      <w:r>
        <w:rPr>
          <w:rFonts w:hint="eastAsia" w:hAnsi="楷体_GB2312" w:eastAsia="楷体_GB2312" w:cs="楷体_GB2312"/>
          <w:kern w:val="2"/>
          <w:szCs w:val="32"/>
        </w:rPr>
        <w:t>（六）普通高中助学服务</w:t>
      </w:r>
      <w:r>
        <w:rPr>
          <w:kern w:val="2"/>
          <w:szCs w:val="24"/>
        </w:rPr>
        <w:tab/>
      </w:r>
      <w:r>
        <w:rPr>
          <w:kern w:val="2"/>
          <w:szCs w:val="24"/>
        </w:rPr>
        <w:fldChar w:fldCharType="begin" w:fldLock="1"/>
      </w:r>
      <w:r>
        <w:rPr>
          <w:kern w:val="2"/>
          <w:szCs w:val="24"/>
        </w:rPr>
        <w:instrText xml:space="preserve"> PAGEREF _Toc31115 </w:instrText>
      </w:r>
      <w:r>
        <w:rPr>
          <w:kern w:val="2"/>
          <w:szCs w:val="24"/>
        </w:rPr>
        <w:fldChar w:fldCharType="separate"/>
      </w:r>
      <w:r>
        <w:rPr>
          <w:kern w:val="2"/>
          <w:szCs w:val="24"/>
        </w:rPr>
        <w:t>21</w:t>
      </w:r>
      <w:r>
        <w:rPr>
          <w:kern w:val="2"/>
          <w:szCs w:val="24"/>
        </w:rPr>
        <w:fldChar w:fldCharType="end"/>
      </w:r>
      <w:r>
        <w:rPr>
          <w:kern w:val="2"/>
          <w:szCs w:val="24"/>
        </w:rPr>
        <w:fldChar w:fldCharType="end"/>
      </w:r>
    </w:p>
    <w:p>
      <w:pPr>
        <w:pStyle w:val="11"/>
        <w:tabs>
          <w:tab w:val="right" w:leader="dot" w:pos="8306"/>
        </w:tabs>
        <w:spacing w:line="578" w:lineRule="exact"/>
      </w:pPr>
      <w:r>
        <w:fldChar w:fldCharType="begin"/>
      </w:r>
      <w:r>
        <w:instrText xml:space="preserve"> HYPERLINK \l "_Toc13342" </w:instrText>
      </w:r>
      <w:r>
        <w:fldChar w:fldCharType="separate"/>
      </w:r>
      <w:r>
        <w:rPr>
          <w:rFonts w:hint="eastAsia" w:eastAsia="仿宋_GB2312" w:cs="仿宋_GB2312"/>
          <w:spacing w:val="2"/>
          <w:szCs w:val="32"/>
        </w:rPr>
        <w:t>15.</w:t>
      </w:r>
      <w:r>
        <w:rPr>
          <w:rFonts w:hAnsi="仿宋_GB2312" w:eastAsia="仿宋_GB2312" w:cs="仿宋_GB2312"/>
          <w:spacing w:val="2"/>
          <w:szCs w:val="32"/>
          <w:lang w:val="zh-TW"/>
        </w:rPr>
        <w:t>普通高中国家助学金</w:t>
      </w:r>
      <w:r>
        <w:tab/>
      </w:r>
      <w:r>
        <w:fldChar w:fldCharType="begin" w:fldLock="1"/>
      </w:r>
      <w:r>
        <w:instrText xml:space="preserve"> PAGEREF _Toc13342 </w:instrText>
      </w:r>
      <w:r>
        <w:fldChar w:fldCharType="separate"/>
      </w:r>
      <w:r>
        <w:t>21</w:t>
      </w:r>
      <w:r>
        <w:fldChar w:fldCharType="end"/>
      </w:r>
      <w:r>
        <w:fldChar w:fldCharType="end"/>
      </w:r>
    </w:p>
    <w:p>
      <w:pPr>
        <w:pStyle w:val="11"/>
        <w:tabs>
          <w:tab w:val="right" w:leader="dot" w:pos="8306"/>
        </w:tabs>
        <w:spacing w:line="578" w:lineRule="exact"/>
      </w:pPr>
      <w:r>
        <w:fldChar w:fldCharType="begin"/>
      </w:r>
      <w:r>
        <w:instrText xml:space="preserve"> HYPERLINK \l "_Toc2161" </w:instrText>
      </w:r>
      <w:r>
        <w:fldChar w:fldCharType="separate"/>
      </w:r>
      <w:r>
        <w:rPr>
          <w:rFonts w:hint="eastAsia" w:eastAsia="仿宋_GB2312" w:cs="仿宋_GB2312"/>
          <w:spacing w:val="2"/>
          <w:szCs w:val="32"/>
        </w:rPr>
        <w:t>16.</w:t>
      </w:r>
      <w:r>
        <w:rPr>
          <w:rFonts w:hAnsi="仿宋_GB2312" w:eastAsia="仿宋_GB2312" w:cs="仿宋_GB2312"/>
          <w:spacing w:val="2"/>
          <w:szCs w:val="32"/>
          <w:lang w:val="zh-TW"/>
        </w:rPr>
        <w:t>普通高中免学杂费</w:t>
      </w:r>
      <w:r>
        <w:tab/>
      </w:r>
      <w:r>
        <w:fldChar w:fldCharType="begin" w:fldLock="1"/>
      </w:r>
      <w:r>
        <w:instrText xml:space="preserve"> PAGEREF _Toc2161 </w:instrText>
      </w:r>
      <w:r>
        <w:fldChar w:fldCharType="separate"/>
      </w:r>
      <w:r>
        <w:t>22</w:t>
      </w:r>
      <w:r>
        <w:fldChar w:fldCharType="end"/>
      </w:r>
      <w:r>
        <w:fldChar w:fldCharType="end"/>
      </w:r>
    </w:p>
    <w:p>
      <w:pPr>
        <w:pStyle w:val="23"/>
        <w:tabs>
          <w:tab w:val="right" w:leader="dot" w:pos="8306"/>
        </w:tabs>
        <w:spacing w:line="578" w:lineRule="exact"/>
        <w:rPr>
          <w:kern w:val="2"/>
          <w:szCs w:val="24"/>
        </w:rPr>
      </w:pPr>
      <w:r>
        <w:fldChar w:fldCharType="begin"/>
      </w:r>
      <w:r>
        <w:instrText xml:space="preserve"> HYPERLINK \l "_Toc18817" </w:instrText>
      </w:r>
      <w:r>
        <w:fldChar w:fldCharType="separate"/>
      </w:r>
      <w:r>
        <w:rPr>
          <w:rFonts w:hint="eastAsia" w:hAnsi="楷体_GB2312" w:eastAsia="楷体_GB2312" w:cs="仿宋_GB2312"/>
          <w:kern w:val="2"/>
          <w:szCs w:val="32"/>
        </w:rPr>
        <w:t>（七）中等职业教育助学服务</w:t>
      </w:r>
      <w:r>
        <w:rPr>
          <w:kern w:val="2"/>
          <w:szCs w:val="24"/>
        </w:rPr>
        <w:tab/>
      </w:r>
      <w:r>
        <w:rPr>
          <w:kern w:val="2"/>
          <w:szCs w:val="24"/>
        </w:rPr>
        <w:fldChar w:fldCharType="begin" w:fldLock="1"/>
      </w:r>
      <w:r>
        <w:rPr>
          <w:kern w:val="2"/>
          <w:szCs w:val="24"/>
        </w:rPr>
        <w:instrText xml:space="preserve"> PAGEREF _Toc18817 </w:instrText>
      </w:r>
      <w:r>
        <w:rPr>
          <w:kern w:val="2"/>
          <w:szCs w:val="24"/>
        </w:rPr>
        <w:fldChar w:fldCharType="separate"/>
      </w:r>
      <w:r>
        <w:rPr>
          <w:kern w:val="2"/>
          <w:szCs w:val="24"/>
        </w:rPr>
        <w:t>23</w:t>
      </w:r>
      <w:r>
        <w:rPr>
          <w:kern w:val="2"/>
          <w:szCs w:val="24"/>
        </w:rPr>
        <w:fldChar w:fldCharType="end"/>
      </w:r>
      <w:r>
        <w:rPr>
          <w:kern w:val="2"/>
          <w:szCs w:val="24"/>
        </w:rPr>
        <w:fldChar w:fldCharType="end"/>
      </w:r>
    </w:p>
    <w:p>
      <w:pPr>
        <w:pStyle w:val="11"/>
        <w:tabs>
          <w:tab w:val="right" w:leader="dot" w:pos="8306"/>
        </w:tabs>
        <w:spacing w:line="578" w:lineRule="exact"/>
      </w:pPr>
      <w:r>
        <w:fldChar w:fldCharType="begin"/>
      </w:r>
      <w:r>
        <w:instrText xml:space="preserve"> HYPERLINK \l "_Toc11686" </w:instrText>
      </w:r>
      <w:r>
        <w:fldChar w:fldCharType="separate"/>
      </w:r>
      <w:r>
        <w:rPr>
          <w:rFonts w:hint="eastAsia" w:eastAsia="仿宋_GB2312" w:cs="仿宋_GB2312"/>
          <w:spacing w:val="2"/>
          <w:szCs w:val="32"/>
        </w:rPr>
        <w:t>17.</w:t>
      </w:r>
      <w:r>
        <w:rPr>
          <w:rFonts w:hAnsi="仿宋_GB2312" w:eastAsia="仿宋_GB2312" w:cs="仿宋_GB2312"/>
          <w:spacing w:val="2"/>
          <w:szCs w:val="32"/>
          <w:lang w:val="zh-TW"/>
        </w:rPr>
        <w:t>中等职业教育国家助学金</w:t>
      </w:r>
      <w:r>
        <w:tab/>
      </w:r>
      <w:r>
        <w:fldChar w:fldCharType="begin" w:fldLock="1"/>
      </w:r>
      <w:r>
        <w:instrText xml:space="preserve"> PAGEREF _Toc11686 </w:instrText>
      </w:r>
      <w:r>
        <w:fldChar w:fldCharType="separate"/>
      </w:r>
      <w:r>
        <w:t>23</w:t>
      </w:r>
      <w:r>
        <w:fldChar w:fldCharType="end"/>
      </w:r>
      <w:r>
        <w:fldChar w:fldCharType="end"/>
      </w:r>
    </w:p>
    <w:p>
      <w:pPr>
        <w:pStyle w:val="11"/>
        <w:tabs>
          <w:tab w:val="right" w:leader="dot" w:pos="8306"/>
        </w:tabs>
        <w:spacing w:line="578" w:lineRule="exact"/>
      </w:pPr>
      <w:r>
        <w:fldChar w:fldCharType="begin"/>
      </w:r>
      <w:r>
        <w:instrText xml:space="preserve"> HYPERLINK \l "_Toc9966" </w:instrText>
      </w:r>
      <w:r>
        <w:fldChar w:fldCharType="separate"/>
      </w:r>
      <w:r>
        <w:rPr>
          <w:rFonts w:hint="eastAsia" w:eastAsia="仿宋_GB2312" w:cs="仿宋_GB2312"/>
        </w:rPr>
        <w:t>18.</w:t>
      </w:r>
      <w:r>
        <w:rPr>
          <w:rFonts w:hint="eastAsia" w:hAnsi="仿宋_GB2312" w:eastAsia="仿宋_GB2312" w:cs="仿宋_GB2312"/>
          <w:lang w:val="zh-TW"/>
        </w:rPr>
        <w:t>中等职业教育免除学费</w:t>
      </w:r>
      <w:r>
        <w:tab/>
      </w:r>
      <w:r>
        <w:fldChar w:fldCharType="begin" w:fldLock="1"/>
      </w:r>
      <w:r>
        <w:instrText xml:space="preserve"> PAGEREF _Toc9966 </w:instrText>
      </w:r>
      <w:r>
        <w:fldChar w:fldCharType="separate"/>
      </w:r>
      <w:r>
        <w:t>24</w:t>
      </w:r>
      <w:r>
        <w:fldChar w:fldCharType="end"/>
      </w:r>
      <w:r>
        <w:fldChar w:fldCharType="end"/>
      </w:r>
    </w:p>
    <w:p>
      <w:pPr>
        <w:pStyle w:val="19"/>
        <w:tabs>
          <w:tab w:val="right" w:leader="dot" w:pos="8306"/>
        </w:tabs>
        <w:spacing w:line="578" w:lineRule="exact"/>
        <w:rPr>
          <w:kern w:val="2"/>
          <w:szCs w:val="24"/>
        </w:rPr>
      </w:pPr>
      <w:r>
        <w:fldChar w:fldCharType="begin"/>
      </w:r>
      <w:r>
        <w:instrText xml:space="preserve"> HYPERLINK \l "_Toc14049" </w:instrText>
      </w:r>
      <w:r>
        <w:fldChar w:fldCharType="separate"/>
      </w:r>
      <w:r>
        <w:rPr>
          <w:rFonts w:hAnsi="Calibri"/>
          <w:kern w:val="2"/>
          <w:szCs w:val="24"/>
        </w:rPr>
        <w:t>三</w:t>
      </w:r>
      <w:r>
        <w:rPr>
          <w:rFonts w:hint="eastAsia" w:hAnsi="方正小标宋简体" w:eastAsia="方正小标宋简体" w:cs="方正小标宋简体"/>
          <w:kern w:val="2"/>
          <w:szCs w:val="32"/>
        </w:rPr>
        <w:t>、劳有所得</w:t>
      </w:r>
      <w:r>
        <w:rPr>
          <w:kern w:val="2"/>
          <w:szCs w:val="24"/>
        </w:rPr>
        <w:tab/>
      </w:r>
      <w:r>
        <w:rPr>
          <w:kern w:val="2"/>
          <w:szCs w:val="24"/>
        </w:rPr>
        <w:fldChar w:fldCharType="begin" w:fldLock="1"/>
      </w:r>
      <w:r>
        <w:rPr>
          <w:kern w:val="2"/>
          <w:szCs w:val="24"/>
        </w:rPr>
        <w:instrText xml:space="preserve"> PAGEREF _Toc14049 </w:instrText>
      </w:r>
      <w:r>
        <w:rPr>
          <w:kern w:val="2"/>
          <w:szCs w:val="24"/>
        </w:rPr>
        <w:fldChar w:fldCharType="separate"/>
      </w:r>
      <w:r>
        <w:rPr>
          <w:kern w:val="2"/>
          <w:szCs w:val="24"/>
        </w:rPr>
        <w:t>25</w:t>
      </w:r>
      <w:r>
        <w:rPr>
          <w:kern w:val="2"/>
          <w:szCs w:val="24"/>
        </w:rPr>
        <w:fldChar w:fldCharType="end"/>
      </w:r>
      <w:r>
        <w:rPr>
          <w:kern w:val="2"/>
          <w:szCs w:val="24"/>
        </w:rPr>
        <w:fldChar w:fldCharType="end"/>
      </w:r>
    </w:p>
    <w:p>
      <w:pPr>
        <w:pStyle w:val="23"/>
        <w:tabs>
          <w:tab w:val="right" w:leader="dot" w:pos="8306"/>
        </w:tabs>
        <w:spacing w:line="578" w:lineRule="exact"/>
        <w:rPr>
          <w:kern w:val="2"/>
          <w:szCs w:val="24"/>
        </w:rPr>
      </w:pPr>
      <w:r>
        <w:fldChar w:fldCharType="begin"/>
      </w:r>
      <w:r>
        <w:instrText xml:space="preserve"> HYPERLINK \l "_Toc3283" </w:instrText>
      </w:r>
      <w:r>
        <w:fldChar w:fldCharType="separate"/>
      </w:r>
      <w:r>
        <w:rPr>
          <w:rFonts w:hint="eastAsia" w:hAnsi="楷体_GB2312" w:eastAsia="楷体_GB2312" w:cs="楷体_GB2312"/>
          <w:kern w:val="2"/>
          <w:szCs w:val="32"/>
        </w:rPr>
        <w:t>（八）就业创业服务</w:t>
      </w:r>
      <w:r>
        <w:rPr>
          <w:kern w:val="2"/>
          <w:szCs w:val="24"/>
        </w:rPr>
        <w:tab/>
      </w:r>
      <w:r>
        <w:rPr>
          <w:kern w:val="2"/>
          <w:szCs w:val="24"/>
        </w:rPr>
        <w:fldChar w:fldCharType="begin" w:fldLock="1"/>
      </w:r>
      <w:r>
        <w:rPr>
          <w:kern w:val="2"/>
          <w:szCs w:val="24"/>
        </w:rPr>
        <w:instrText xml:space="preserve"> PAGEREF _Toc3283 </w:instrText>
      </w:r>
      <w:r>
        <w:rPr>
          <w:kern w:val="2"/>
          <w:szCs w:val="24"/>
        </w:rPr>
        <w:fldChar w:fldCharType="separate"/>
      </w:r>
      <w:r>
        <w:rPr>
          <w:kern w:val="2"/>
          <w:szCs w:val="24"/>
        </w:rPr>
        <w:t>25</w:t>
      </w:r>
      <w:r>
        <w:rPr>
          <w:kern w:val="2"/>
          <w:szCs w:val="24"/>
        </w:rPr>
        <w:fldChar w:fldCharType="end"/>
      </w:r>
      <w:r>
        <w:rPr>
          <w:kern w:val="2"/>
          <w:szCs w:val="24"/>
        </w:rPr>
        <w:fldChar w:fldCharType="end"/>
      </w:r>
    </w:p>
    <w:p>
      <w:pPr>
        <w:pStyle w:val="11"/>
        <w:tabs>
          <w:tab w:val="right" w:leader="dot" w:pos="8306"/>
        </w:tabs>
        <w:spacing w:line="578" w:lineRule="exact"/>
      </w:pPr>
      <w:r>
        <w:fldChar w:fldCharType="begin"/>
      </w:r>
      <w:r>
        <w:instrText xml:space="preserve"> HYPERLINK \l "_Toc19982" </w:instrText>
      </w:r>
      <w:r>
        <w:fldChar w:fldCharType="separate"/>
      </w:r>
      <w:r>
        <w:rPr>
          <w:rFonts w:hint="eastAsia" w:eastAsia="仿宋_GB2312" w:cs="仿宋_GB2312"/>
          <w:szCs w:val="32"/>
        </w:rPr>
        <w:t>19.</w:t>
      </w:r>
      <w:r>
        <w:rPr>
          <w:rFonts w:hint="eastAsia" w:hAnsi="仿宋_GB2312" w:eastAsia="仿宋_GB2312" w:cs="仿宋_GB2312"/>
          <w:szCs w:val="32"/>
        </w:rPr>
        <w:t>就业信息服务</w:t>
      </w:r>
      <w:r>
        <w:tab/>
      </w:r>
      <w:r>
        <w:fldChar w:fldCharType="begin" w:fldLock="1"/>
      </w:r>
      <w:r>
        <w:instrText xml:space="preserve"> PAGEREF _Toc19982 </w:instrText>
      </w:r>
      <w:r>
        <w:fldChar w:fldCharType="separate"/>
      </w:r>
      <w:r>
        <w:t>25</w:t>
      </w:r>
      <w:r>
        <w:fldChar w:fldCharType="end"/>
      </w:r>
      <w:r>
        <w:fldChar w:fldCharType="end"/>
      </w:r>
    </w:p>
    <w:p>
      <w:pPr>
        <w:pStyle w:val="11"/>
        <w:tabs>
          <w:tab w:val="right" w:leader="dot" w:pos="8306"/>
        </w:tabs>
        <w:spacing w:line="578" w:lineRule="exact"/>
      </w:pPr>
      <w:r>
        <w:fldChar w:fldCharType="begin"/>
      </w:r>
      <w:r>
        <w:instrText xml:space="preserve"> HYPERLINK \l "_Toc985" </w:instrText>
      </w:r>
      <w:r>
        <w:fldChar w:fldCharType="separate"/>
      </w:r>
      <w:r>
        <w:rPr>
          <w:rFonts w:hint="eastAsia" w:eastAsia="仿宋_GB2312" w:cs="仿宋_GB2312"/>
          <w:szCs w:val="32"/>
        </w:rPr>
        <w:t>20.</w:t>
      </w:r>
      <w:r>
        <w:rPr>
          <w:rFonts w:hint="eastAsia" w:hAnsi="仿宋_GB2312" w:eastAsia="仿宋_GB2312" w:cs="仿宋_GB2312"/>
          <w:szCs w:val="32"/>
        </w:rPr>
        <w:t>职业介绍、职业指导和创业培训</w:t>
      </w:r>
      <w:r>
        <w:tab/>
      </w:r>
      <w:r>
        <w:fldChar w:fldCharType="begin" w:fldLock="1"/>
      </w:r>
      <w:r>
        <w:instrText xml:space="preserve"> PAGEREF _Toc985 </w:instrText>
      </w:r>
      <w:r>
        <w:fldChar w:fldCharType="separate"/>
      </w:r>
      <w:r>
        <w:t>26</w:t>
      </w:r>
      <w:r>
        <w:fldChar w:fldCharType="end"/>
      </w:r>
      <w:r>
        <w:fldChar w:fldCharType="end"/>
      </w:r>
    </w:p>
    <w:p>
      <w:pPr>
        <w:pStyle w:val="11"/>
        <w:tabs>
          <w:tab w:val="right" w:leader="dot" w:pos="8306"/>
        </w:tabs>
        <w:spacing w:line="578" w:lineRule="exact"/>
      </w:pPr>
      <w:r>
        <w:fldChar w:fldCharType="begin"/>
      </w:r>
      <w:r>
        <w:instrText xml:space="preserve"> HYPERLINK \l "_Toc28144" </w:instrText>
      </w:r>
      <w:r>
        <w:fldChar w:fldCharType="separate"/>
      </w:r>
      <w:r>
        <w:rPr>
          <w:rFonts w:hint="eastAsia" w:eastAsia="仿宋_GB2312" w:cs="仿宋_GB2312"/>
          <w:szCs w:val="32"/>
        </w:rPr>
        <w:t>21.</w:t>
      </w:r>
      <w:r>
        <w:rPr>
          <w:rFonts w:hint="eastAsia" w:hAnsi="仿宋_GB2312" w:eastAsia="仿宋_GB2312" w:cs="仿宋_GB2312"/>
          <w:szCs w:val="32"/>
        </w:rPr>
        <w:t>就业登记与失业登记</w:t>
      </w:r>
      <w:r>
        <w:tab/>
      </w:r>
      <w:r>
        <w:fldChar w:fldCharType="begin" w:fldLock="1"/>
      </w:r>
      <w:r>
        <w:instrText xml:space="preserve"> PAGEREF _Toc28144 </w:instrText>
      </w:r>
      <w:r>
        <w:fldChar w:fldCharType="separate"/>
      </w:r>
      <w:r>
        <w:t>28</w:t>
      </w:r>
      <w:r>
        <w:fldChar w:fldCharType="end"/>
      </w:r>
      <w:r>
        <w:fldChar w:fldCharType="end"/>
      </w:r>
    </w:p>
    <w:p>
      <w:pPr>
        <w:pStyle w:val="11"/>
        <w:tabs>
          <w:tab w:val="right" w:leader="dot" w:pos="8306"/>
        </w:tabs>
        <w:spacing w:line="578" w:lineRule="exact"/>
      </w:pPr>
      <w:r>
        <w:fldChar w:fldCharType="begin"/>
      </w:r>
      <w:r>
        <w:instrText xml:space="preserve"> HYPERLINK \l "_Toc25970" </w:instrText>
      </w:r>
      <w:r>
        <w:fldChar w:fldCharType="separate"/>
      </w:r>
      <w:r>
        <w:rPr>
          <w:rFonts w:hint="eastAsia" w:eastAsia="仿宋_GB2312" w:cs="仿宋_GB2312"/>
          <w:szCs w:val="32"/>
        </w:rPr>
        <w:t>22.</w:t>
      </w:r>
      <w:r>
        <w:rPr>
          <w:rFonts w:hint="eastAsia" w:hAnsi="仿宋_GB2312" w:eastAsia="仿宋_GB2312" w:cs="仿宋_GB2312"/>
          <w:szCs w:val="32"/>
        </w:rPr>
        <w:t>流动人员人事档案管理服务</w:t>
      </w:r>
      <w:r>
        <w:tab/>
      </w:r>
      <w:r>
        <w:fldChar w:fldCharType="begin" w:fldLock="1"/>
      </w:r>
      <w:r>
        <w:instrText xml:space="preserve"> PAGEREF _Toc25970 </w:instrText>
      </w:r>
      <w:r>
        <w:fldChar w:fldCharType="separate"/>
      </w:r>
      <w:r>
        <w:t>29</w:t>
      </w:r>
      <w:r>
        <w:fldChar w:fldCharType="end"/>
      </w:r>
      <w:r>
        <w:fldChar w:fldCharType="end"/>
      </w:r>
    </w:p>
    <w:p>
      <w:pPr>
        <w:pStyle w:val="11"/>
        <w:tabs>
          <w:tab w:val="right" w:leader="dot" w:pos="8306"/>
        </w:tabs>
        <w:spacing w:line="578" w:lineRule="exact"/>
      </w:pPr>
      <w:r>
        <w:fldChar w:fldCharType="begin"/>
      </w:r>
      <w:r>
        <w:instrText xml:space="preserve"> HYPERLINK \l "_Toc5384" </w:instrText>
      </w:r>
      <w:r>
        <w:fldChar w:fldCharType="separate"/>
      </w:r>
      <w:r>
        <w:rPr>
          <w:rFonts w:hint="eastAsia" w:eastAsia="仿宋_GB2312" w:cs="仿宋_GB2312"/>
          <w:szCs w:val="32"/>
        </w:rPr>
        <w:t>23.</w:t>
      </w:r>
      <w:r>
        <w:rPr>
          <w:rFonts w:hint="eastAsia" w:hAnsi="仿宋_GB2312" w:eastAsia="仿宋_GB2312" w:cs="仿宋_GB2312"/>
          <w:szCs w:val="32"/>
        </w:rPr>
        <w:t>就业见习服务</w:t>
      </w:r>
      <w:r>
        <w:tab/>
      </w:r>
      <w:r>
        <w:fldChar w:fldCharType="begin" w:fldLock="1"/>
      </w:r>
      <w:r>
        <w:instrText xml:space="preserve"> PAGEREF _Toc5384 </w:instrText>
      </w:r>
      <w:r>
        <w:fldChar w:fldCharType="separate"/>
      </w:r>
      <w:r>
        <w:t>31</w:t>
      </w:r>
      <w:r>
        <w:fldChar w:fldCharType="end"/>
      </w:r>
      <w:r>
        <w:fldChar w:fldCharType="end"/>
      </w:r>
    </w:p>
    <w:p>
      <w:pPr>
        <w:pStyle w:val="11"/>
        <w:tabs>
          <w:tab w:val="right" w:leader="dot" w:pos="8306"/>
        </w:tabs>
        <w:spacing w:line="578" w:lineRule="exact"/>
      </w:pPr>
      <w:r>
        <w:fldChar w:fldCharType="begin"/>
      </w:r>
      <w:r>
        <w:instrText xml:space="preserve"> HYPERLINK \l "_Toc23974" </w:instrText>
      </w:r>
      <w:r>
        <w:fldChar w:fldCharType="separate"/>
      </w:r>
      <w:r>
        <w:rPr>
          <w:rFonts w:hint="eastAsia" w:eastAsia="仿宋_GB2312" w:cs="仿宋_GB2312"/>
          <w:szCs w:val="32"/>
        </w:rPr>
        <w:t>24.</w:t>
      </w:r>
      <w:r>
        <w:rPr>
          <w:rFonts w:hint="eastAsia" w:hAnsi="仿宋_GB2312" w:eastAsia="仿宋_GB2312" w:cs="仿宋_GB2312"/>
          <w:szCs w:val="32"/>
        </w:rPr>
        <w:t>就业援助</w:t>
      </w:r>
      <w:r>
        <w:tab/>
      </w:r>
      <w:r>
        <w:fldChar w:fldCharType="begin" w:fldLock="1"/>
      </w:r>
      <w:r>
        <w:instrText xml:space="preserve"> PAGEREF _Toc23974 </w:instrText>
      </w:r>
      <w:r>
        <w:fldChar w:fldCharType="separate"/>
      </w:r>
      <w:r>
        <w:t>32</w:t>
      </w:r>
      <w:r>
        <w:fldChar w:fldCharType="end"/>
      </w:r>
      <w:r>
        <w:fldChar w:fldCharType="end"/>
      </w:r>
    </w:p>
    <w:p>
      <w:pPr>
        <w:pStyle w:val="11"/>
        <w:tabs>
          <w:tab w:val="right" w:leader="dot" w:pos="8306"/>
        </w:tabs>
        <w:spacing w:line="578" w:lineRule="exact"/>
      </w:pPr>
      <w:r>
        <w:fldChar w:fldCharType="begin"/>
      </w:r>
      <w:r>
        <w:instrText xml:space="preserve"> HYPERLINK \l "_Toc28828" </w:instrText>
      </w:r>
      <w:r>
        <w:fldChar w:fldCharType="separate"/>
      </w:r>
      <w:r>
        <w:rPr>
          <w:rFonts w:hint="eastAsia" w:eastAsia="仿宋_GB2312" w:cs="仿宋_GB2312"/>
          <w:szCs w:val="32"/>
        </w:rPr>
        <w:t>25.</w:t>
      </w:r>
      <w:r>
        <w:rPr>
          <w:rFonts w:hint="eastAsia" w:hAnsi="仿宋_GB2312" w:eastAsia="仿宋_GB2312" w:cs="仿宋_GB2312"/>
          <w:szCs w:val="32"/>
        </w:rPr>
        <w:t>职业技能培训和生活费补贴</w:t>
      </w:r>
      <w:r>
        <w:tab/>
      </w:r>
      <w:r>
        <w:fldChar w:fldCharType="begin" w:fldLock="1"/>
      </w:r>
      <w:r>
        <w:instrText xml:space="preserve"> PAGEREF _Toc28828 </w:instrText>
      </w:r>
      <w:r>
        <w:fldChar w:fldCharType="separate"/>
      </w:r>
      <w:r>
        <w:t>34</w:t>
      </w:r>
      <w:r>
        <w:fldChar w:fldCharType="end"/>
      </w:r>
      <w:r>
        <w:fldChar w:fldCharType="end"/>
      </w:r>
    </w:p>
    <w:p>
      <w:pPr>
        <w:pStyle w:val="11"/>
        <w:tabs>
          <w:tab w:val="right" w:leader="dot" w:pos="8306"/>
        </w:tabs>
        <w:spacing w:line="578" w:lineRule="exact"/>
      </w:pPr>
      <w:r>
        <w:fldChar w:fldCharType="begin"/>
      </w:r>
      <w:r>
        <w:instrText xml:space="preserve"> HYPERLINK \l "_Toc22650" </w:instrText>
      </w:r>
      <w:r>
        <w:fldChar w:fldCharType="separate"/>
      </w:r>
      <w:r>
        <w:rPr>
          <w:rFonts w:hint="eastAsia" w:eastAsia="仿宋_GB2312" w:cs="仿宋_GB2312"/>
          <w:szCs w:val="32"/>
        </w:rPr>
        <w:t>26.“12333”</w:t>
      </w:r>
      <w:r>
        <w:rPr>
          <w:rFonts w:hint="eastAsia" w:hAnsi="仿宋_GB2312" w:eastAsia="仿宋_GB2312" w:cs="仿宋_GB2312"/>
          <w:szCs w:val="32"/>
        </w:rPr>
        <w:t>人力资源和社会保障电话服务</w:t>
      </w:r>
      <w:r>
        <w:tab/>
      </w:r>
      <w:r>
        <w:fldChar w:fldCharType="begin" w:fldLock="1"/>
      </w:r>
      <w:r>
        <w:instrText xml:space="preserve"> PAGEREF _Toc22650 </w:instrText>
      </w:r>
      <w:r>
        <w:fldChar w:fldCharType="separate"/>
      </w:r>
      <w:r>
        <w:t>35</w:t>
      </w:r>
      <w:r>
        <w:fldChar w:fldCharType="end"/>
      </w:r>
      <w:r>
        <w:fldChar w:fldCharType="end"/>
      </w:r>
    </w:p>
    <w:p>
      <w:pPr>
        <w:pStyle w:val="11"/>
        <w:tabs>
          <w:tab w:val="right" w:leader="dot" w:pos="8306"/>
        </w:tabs>
        <w:spacing w:line="578" w:lineRule="exact"/>
      </w:pPr>
      <w:r>
        <w:fldChar w:fldCharType="begin"/>
      </w:r>
      <w:r>
        <w:instrText xml:space="preserve"> HYPERLINK \l "_Toc18705" </w:instrText>
      </w:r>
      <w:r>
        <w:fldChar w:fldCharType="separate"/>
      </w:r>
      <w:r>
        <w:rPr>
          <w:rFonts w:hint="eastAsia" w:eastAsia="仿宋_GB2312" w:cs="仿宋_GB2312"/>
          <w:kern w:val="0"/>
          <w:szCs w:val="32"/>
        </w:rPr>
        <w:t>27.</w:t>
      </w:r>
      <w:r>
        <w:rPr>
          <w:rFonts w:hint="eastAsia" w:hAnsi="仿宋_GB2312" w:eastAsia="仿宋_GB2312" w:cs="仿宋_GB2312"/>
          <w:kern w:val="0"/>
          <w:szCs w:val="32"/>
        </w:rPr>
        <w:t>劳动关系协调</w:t>
      </w:r>
      <w:r>
        <w:tab/>
      </w:r>
      <w:r>
        <w:fldChar w:fldCharType="begin" w:fldLock="1"/>
      </w:r>
      <w:r>
        <w:instrText xml:space="preserve"> PAGEREF _Toc18705 </w:instrText>
      </w:r>
      <w:r>
        <w:fldChar w:fldCharType="separate"/>
      </w:r>
      <w:r>
        <w:t>36</w:t>
      </w:r>
      <w:r>
        <w:fldChar w:fldCharType="end"/>
      </w:r>
      <w:r>
        <w:fldChar w:fldCharType="end"/>
      </w:r>
    </w:p>
    <w:p>
      <w:pPr>
        <w:pStyle w:val="11"/>
        <w:tabs>
          <w:tab w:val="right" w:leader="dot" w:pos="8306"/>
        </w:tabs>
        <w:spacing w:line="578" w:lineRule="exact"/>
      </w:pPr>
      <w:r>
        <w:fldChar w:fldCharType="begin"/>
      </w:r>
      <w:r>
        <w:instrText xml:space="preserve"> HYPERLINK \l "_Toc8041" </w:instrText>
      </w:r>
      <w:r>
        <w:fldChar w:fldCharType="separate"/>
      </w:r>
      <w:r>
        <w:rPr>
          <w:rFonts w:hint="eastAsia" w:eastAsia="仿宋_GB2312" w:cs="仿宋_GB2312"/>
          <w:szCs w:val="32"/>
        </w:rPr>
        <w:t>28.</w:t>
      </w:r>
      <w:r>
        <w:rPr>
          <w:rFonts w:hint="eastAsia" w:hAnsi="仿宋_GB2312" w:eastAsia="仿宋_GB2312" w:cs="仿宋_GB2312"/>
          <w:szCs w:val="32"/>
        </w:rPr>
        <w:t>劳动用工保障</w:t>
      </w:r>
      <w:r>
        <w:tab/>
      </w:r>
      <w:r>
        <w:fldChar w:fldCharType="begin" w:fldLock="1"/>
      </w:r>
      <w:r>
        <w:instrText xml:space="preserve"> PAGEREF _Toc8041 </w:instrText>
      </w:r>
      <w:r>
        <w:fldChar w:fldCharType="separate"/>
      </w:r>
      <w:r>
        <w:t>39</w:t>
      </w:r>
      <w:r>
        <w:fldChar w:fldCharType="end"/>
      </w:r>
      <w:r>
        <w:fldChar w:fldCharType="end"/>
      </w:r>
    </w:p>
    <w:p>
      <w:pPr>
        <w:pStyle w:val="23"/>
        <w:tabs>
          <w:tab w:val="right" w:leader="dot" w:pos="8306"/>
        </w:tabs>
        <w:spacing w:line="578" w:lineRule="exact"/>
        <w:rPr>
          <w:kern w:val="2"/>
          <w:szCs w:val="24"/>
        </w:rPr>
      </w:pPr>
      <w:r>
        <w:fldChar w:fldCharType="begin"/>
      </w:r>
      <w:r>
        <w:instrText xml:space="preserve"> HYPERLINK \l "_Toc501" </w:instrText>
      </w:r>
      <w:r>
        <w:fldChar w:fldCharType="separate"/>
      </w:r>
      <w:r>
        <w:rPr>
          <w:rFonts w:hint="eastAsia" w:hAnsi="楷体_GB2312" w:eastAsia="楷体_GB2312" w:cs="楷体_GB2312"/>
          <w:kern w:val="2"/>
          <w:szCs w:val="32"/>
        </w:rPr>
        <w:t>（九）工伤失业保险服务</w:t>
      </w:r>
      <w:r>
        <w:rPr>
          <w:kern w:val="2"/>
          <w:szCs w:val="24"/>
        </w:rPr>
        <w:tab/>
      </w:r>
      <w:r>
        <w:rPr>
          <w:kern w:val="2"/>
          <w:szCs w:val="24"/>
        </w:rPr>
        <w:fldChar w:fldCharType="begin" w:fldLock="1"/>
      </w:r>
      <w:r>
        <w:rPr>
          <w:kern w:val="2"/>
          <w:szCs w:val="24"/>
        </w:rPr>
        <w:instrText xml:space="preserve"> PAGEREF _Toc501 </w:instrText>
      </w:r>
      <w:r>
        <w:rPr>
          <w:kern w:val="2"/>
          <w:szCs w:val="24"/>
        </w:rPr>
        <w:fldChar w:fldCharType="separate"/>
      </w:r>
      <w:r>
        <w:rPr>
          <w:kern w:val="2"/>
          <w:szCs w:val="24"/>
        </w:rPr>
        <w:t>42</w:t>
      </w:r>
      <w:r>
        <w:rPr>
          <w:kern w:val="2"/>
          <w:szCs w:val="24"/>
        </w:rPr>
        <w:fldChar w:fldCharType="end"/>
      </w:r>
      <w:r>
        <w:rPr>
          <w:kern w:val="2"/>
          <w:szCs w:val="24"/>
        </w:rPr>
        <w:fldChar w:fldCharType="end"/>
      </w:r>
    </w:p>
    <w:p>
      <w:pPr>
        <w:pStyle w:val="11"/>
        <w:tabs>
          <w:tab w:val="right" w:leader="dot" w:pos="8306"/>
        </w:tabs>
        <w:spacing w:line="578" w:lineRule="exact"/>
      </w:pPr>
      <w:r>
        <w:fldChar w:fldCharType="begin"/>
      </w:r>
      <w:r>
        <w:instrText xml:space="preserve"> HYPERLINK \l "_Toc20421" </w:instrText>
      </w:r>
      <w:r>
        <w:fldChar w:fldCharType="separate"/>
      </w:r>
      <w:r>
        <w:rPr>
          <w:rFonts w:hint="eastAsia" w:eastAsia="仿宋_GB2312" w:cs="仿宋_GB2312"/>
          <w:szCs w:val="32"/>
        </w:rPr>
        <w:t>29.</w:t>
      </w:r>
      <w:r>
        <w:rPr>
          <w:rFonts w:hint="eastAsia" w:hAnsi="仿宋_GB2312" w:eastAsia="仿宋_GB2312" w:cs="仿宋_GB2312"/>
          <w:szCs w:val="32"/>
        </w:rPr>
        <w:t>失业保险</w:t>
      </w:r>
      <w:r>
        <w:tab/>
      </w:r>
      <w:r>
        <w:fldChar w:fldCharType="begin" w:fldLock="1"/>
      </w:r>
      <w:r>
        <w:instrText xml:space="preserve"> PAGEREF _Toc20421 </w:instrText>
      </w:r>
      <w:r>
        <w:fldChar w:fldCharType="separate"/>
      </w:r>
      <w:r>
        <w:t>42</w:t>
      </w:r>
      <w:r>
        <w:fldChar w:fldCharType="end"/>
      </w:r>
      <w:r>
        <w:fldChar w:fldCharType="end"/>
      </w:r>
    </w:p>
    <w:p>
      <w:pPr>
        <w:pStyle w:val="11"/>
        <w:tabs>
          <w:tab w:val="right" w:leader="dot" w:pos="8306"/>
        </w:tabs>
        <w:spacing w:line="578" w:lineRule="exact"/>
      </w:pPr>
      <w:r>
        <w:fldChar w:fldCharType="begin"/>
      </w:r>
      <w:r>
        <w:instrText xml:space="preserve"> HYPERLINK \l "_Toc21352" </w:instrText>
      </w:r>
      <w:r>
        <w:fldChar w:fldCharType="separate"/>
      </w:r>
      <w:r>
        <w:rPr>
          <w:rFonts w:hint="eastAsia" w:eastAsia="仿宋_GB2312" w:cs="仿宋_GB2312"/>
          <w:szCs w:val="32"/>
        </w:rPr>
        <w:t>30.</w:t>
      </w:r>
      <w:r>
        <w:rPr>
          <w:rFonts w:hint="eastAsia" w:hAnsi="仿宋_GB2312" w:eastAsia="仿宋_GB2312" w:cs="仿宋_GB2312"/>
          <w:szCs w:val="32"/>
        </w:rPr>
        <w:t>工伤保险</w:t>
      </w:r>
      <w:r>
        <w:tab/>
      </w:r>
      <w:r>
        <w:fldChar w:fldCharType="begin" w:fldLock="1"/>
      </w:r>
      <w:r>
        <w:instrText xml:space="preserve"> PAGEREF _Toc21352 </w:instrText>
      </w:r>
      <w:r>
        <w:fldChar w:fldCharType="separate"/>
      </w:r>
      <w:r>
        <w:t>43</w:t>
      </w:r>
      <w:r>
        <w:fldChar w:fldCharType="end"/>
      </w:r>
      <w:r>
        <w:fldChar w:fldCharType="end"/>
      </w:r>
    </w:p>
    <w:p>
      <w:pPr>
        <w:pStyle w:val="19"/>
        <w:tabs>
          <w:tab w:val="right" w:leader="dot" w:pos="8306"/>
        </w:tabs>
        <w:spacing w:line="578" w:lineRule="exact"/>
        <w:rPr>
          <w:kern w:val="2"/>
          <w:szCs w:val="24"/>
        </w:rPr>
      </w:pPr>
      <w:r>
        <w:fldChar w:fldCharType="begin"/>
      </w:r>
      <w:r>
        <w:instrText xml:space="preserve"> HYPERLINK \l "_Toc22778" </w:instrText>
      </w:r>
      <w:r>
        <w:fldChar w:fldCharType="separate"/>
      </w:r>
      <w:r>
        <w:rPr>
          <w:rFonts w:hint="eastAsia" w:hAnsi="方正小标宋简体" w:eastAsia="方正小标宋简体" w:cs="方正小标宋简体"/>
          <w:kern w:val="2"/>
          <w:szCs w:val="32"/>
        </w:rPr>
        <w:t>四、病有所医</w:t>
      </w:r>
      <w:r>
        <w:rPr>
          <w:kern w:val="2"/>
          <w:szCs w:val="24"/>
        </w:rPr>
        <w:tab/>
      </w:r>
      <w:r>
        <w:rPr>
          <w:kern w:val="2"/>
          <w:szCs w:val="24"/>
        </w:rPr>
        <w:fldChar w:fldCharType="begin" w:fldLock="1"/>
      </w:r>
      <w:r>
        <w:rPr>
          <w:kern w:val="2"/>
          <w:szCs w:val="24"/>
        </w:rPr>
        <w:instrText xml:space="preserve"> PAGEREF _Toc22778 </w:instrText>
      </w:r>
      <w:r>
        <w:rPr>
          <w:kern w:val="2"/>
          <w:szCs w:val="24"/>
        </w:rPr>
        <w:fldChar w:fldCharType="separate"/>
      </w:r>
      <w:r>
        <w:rPr>
          <w:kern w:val="2"/>
          <w:szCs w:val="24"/>
        </w:rPr>
        <w:t>44</w:t>
      </w:r>
      <w:r>
        <w:rPr>
          <w:kern w:val="2"/>
          <w:szCs w:val="24"/>
        </w:rPr>
        <w:fldChar w:fldCharType="end"/>
      </w:r>
      <w:r>
        <w:rPr>
          <w:kern w:val="2"/>
          <w:szCs w:val="24"/>
        </w:rPr>
        <w:fldChar w:fldCharType="end"/>
      </w:r>
    </w:p>
    <w:p>
      <w:pPr>
        <w:pStyle w:val="23"/>
        <w:tabs>
          <w:tab w:val="right" w:leader="dot" w:pos="8306"/>
        </w:tabs>
        <w:spacing w:line="578" w:lineRule="exact"/>
        <w:rPr>
          <w:kern w:val="2"/>
          <w:szCs w:val="24"/>
        </w:rPr>
      </w:pPr>
      <w:r>
        <w:fldChar w:fldCharType="begin"/>
      </w:r>
      <w:r>
        <w:instrText xml:space="preserve"> HYPERLINK \l "_Toc20423" </w:instrText>
      </w:r>
      <w:r>
        <w:fldChar w:fldCharType="separate"/>
      </w:r>
      <w:r>
        <w:rPr>
          <w:rFonts w:hint="eastAsia" w:hAnsi="楷体_GB2312" w:eastAsia="楷体_GB2312" w:cs="楷体_GB2312"/>
          <w:kern w:val="2"/>
          <w:szCs w:val="32"/>
        </w:rPr>
        <w:t>（十）公共卫生服务</w:t>
      </w:r>
      <w:r>
        <w:rPr>
          <w:kern w:val="2"/>
          <w:szCs w:val="24"/>
        </w:rPr>
        <w:tab/>
      </w:r>
      <w:r>
        <w:rPr>
          <w:kern w:val="2"/>
          <w:szCs w:val="24"/>
        </w:rPr>
        <w:fldChar w:fldCharType="begin" w:fldLock="1"/>
      </w:r>
      <w:r>
        <w:rPr>
          <w:kern w:val="2"/>
          <w:szCs w:val="24"/>
        </w:rPr>
        <w:instrText xml:space="preserve"> PAGEREF _Toc20423 </w:instrText>
      </w:r>
      <w:r>
        <w:rPr>
          <w:kern w:val="2"/>
          <w:szCs w:val="24"/>
        </w:rPr>
        <w:fldChar w:fldCharType="separate"/>
      </w:r>
      <w:r>
        <w:rPr>
          <w:kern w:val="2"/>
          <w:szCs w:val="24"/>
        </w:rPr>
        <w:t>44</w:t>
      </w:r>
      <w:r>
        <w:rPr>
          <w:kern w:val="2"/>
          <w:szCs w:val="24"/>
        </w:rPr>
        <w:fldChar w:fldCharType="end"/>
      </w:r>
      <w:r>
        <w:rPr>
          <w:kern w:val="2"/>
          <w:szCs w:val="24"/>
        </w:rPr>
        <w:fldChar w:fldCharType="end"/>
      </w:r>
    </w:p>
    <w:p>
      <w:pPr>
        <w:pStyle w:val="11"/>
        <w:tabs>
          <w:tab w:val="right" w:leader="dot" w:pos="8306"/>
        </w:tabs>
        <w:spacing w:line="578" w:lineRule="exact"/>
      </w:pPr>
      <w:r>
        <w:fldChar w:fldCharType="begin"/>
      </w:r>
      <w:r>
        <w:instrText xml:space="preserve"> HYPERLINK \l "_Toc27141" </w:instrText>
      </w:r>
      <w:r>
        <w:fldChar w:fldCharType="separate"/>
      </w:r>
      <w:r>
        <w:rPr>
          <w:rFonts w:hint="eastAsia" w:eastAsia="仿宋_GB2312" w:cs="仿宋_GB2312"/>
        </w:rPr>
        <w:t>31.</w:t>
      </w:r>
      <w:r>
        <w:rPr>
          <w:rFonts w:hint="eastAsia" w:hAnsi="仿宋_GB2312" w:eastAsia="仿宋_GB2312" w:cs="仿宋_GB2312"/>
        </w:rPr>
        <w:t>建立居民健康档案</w:t>
      </w:r>
      <w:r>
        <w:tab/>
      </w:r>
      <w:r>
        <w:fldChar w:fldCharType="begin" w:fldLock="1"/>
      </w:r>
      <w:r>
        <w:instrText xml:space="preserve"> PAGEREF _Toc27141 </w:instrText>
      </w:r>
      <w:r>
        <w:fldChar w:fldCharType="separate"/>
      </w:r>
      <w:r>
        <w:t>44</w:t>
      </w:r>
      <w:r>
        <w:fldChar w:fldCharType="end"/>
      </w:r>
      <w:r>
        <w:fldChar w:fldCharType="end"/>
      </w:r>
    </w:p>
    <w:p>
      <w:pPr>
        <w:pStyle w:val="11"/>
        <w:tabs>
          <w:tab w:val="right" w:leader="dot" w:pos="8306"/>
        </w:tabs>
        <w:spacing w:line="578" w:lineRule="exact"/>
      </w:pPr>
      <w:r>
        <w:fldChar w:fldCharType="begin"/>
      </w:r>
      <w:r>
        <w:instrText xml:space="preserve"> HYPERLINK \l "_Toc8140" </w:instrText>
      </w:r>
      <w:r>
        <w:fldChar w:fldCharType="separate"/>
      </w:r>
      <w:r>
        <w:rPr>
          <w:rFonts w:hint="eastAsia" w:eastAsia="仿宋_GB2312" w:cs="仿宋_GB2312"/>
        </w:rPr>
        <w:t>32.</w:t>
      </w:r>
      <w:r>
        <w:rPr>
          <w:rFonts w:hint="eastAsia" w:hAnsi="仿宋_GB2312" w:eastAsia="仿宋_GB2312" w:cs="仿宋_GB2312"/>
        </w:rPr>
        <w:t>健康教育与健康素养促进</w:t>
      </w:r>
      <w:r>
        <w:tab/>
      </w:r>
      <w:r>
        <w:fldChar w:fldCharType="begin" w:fldLock="1"/>
      </w:r>
      <w:r>
        <w:instrText xml:space="preserve"> PAGEREF _Toc8140 </w:instrText>
      </w:r>
      <w:r>
        <w:fldChar w:fldCharType="separate"/>
      </w:r>
      <w:r>
        <w:t>45</w:t>
      </w:r>
      <w:r>
        <w:fldChar w:fldCharType="end"/>
      </w:r>
      <w:r>
        <w:fldChar w:fldCharType="end"/>
      </w:r>
    </w:p>
    <w:p>
      <w:pPr>
        <w:pStyle w:val="11"/>
        <w:tabs>
          <w:tab w:val="right" w:leader="dot" w:pos="8306"/>
        </w:tabs>
        <w:spacing w:line="578" w:lineRule="exact"/>
      </w:pPr>
      <w:r>
        <w:fldChar w:fldCharType="begin"/>
      </w:r>
      <w:r>
        <w:instrText xml:space="preserve"> HYPERLINK \l "_Toc12197" </w:instrText>
      </w:r>
      <w:r>
        <w:fldChar w:fldCharType="separate"/>
      </w:r>
      <w:r>
        <w:rPr>
          <w:rFonts w:hint="eastAsia" w:eastAsia="仿宋_GB2312" w:cs="仿宋_GB2312"/>
        </w:rPr>
        <w:t>33.</w:t>
      </w:r>
      <w:r>
        <w:rPr>
          <w:rFonts w:hint="eastAsia" w:hAnsi="仿宋_GB2312" w:eastAsia="仿宋_GB2312" w:cs="仿宋_GB2312"/>
        </w:rPr>
        <w:t>传染病及突发公共卫生事件报告与处理</w:t>
      </w:r>
      <w:r>
        <w:tab/>
      </w:r>
      <w:r>
        <w:fldChar w:fldCharType="begin" w:fldLock="1"/>
      </w:r>
      <w:r>
        <w:instrText xml:space="preserve"> PAGEREF _Toc12197 </w:instrText>
      </w:r>
      <w:r>
        <w:fldChar w:fldCharType="separate"/>
      </w:r>
      <w:r>
        <w:t>46</w:t>
      </w:r>
      <w:r>
        <w:fldChar w:fldCharType="end"/>
      </w:r>
      <w:r>
        <w:fldChar w:fldCharType="end"/>
      </w:r>
    </w:p>
    <w:p>
      <w:pPr>
        <w:pStyle w:val="11"/>
        <w:tabs>
          <w:tab w:val="right" w:leader="dot" w:pos="8306"/>
        </w:tabs>
        <w:spacing w:line="578" w:lineRule="exact"/>
      </w:pPr>
      <w:r>
        <w:fldChar w:fldCharType="begin"/>
      </w:r>
      <w:r>
        <w:instrText xml:space="preserve"> HYPERLINK \l "_Toc28793" </w:instrText>
      </w:r>
      <w:r>
        <w:fldChar w:fldCharType="separate"/>
      </w:r>
      <w:r>
        <w:rPr>
          <w:rFonts w:hint="eastAsia" w:eastAsia="仿宋_GB2312" w:cs="仿宋_GB2312"/>
        </w:rPr>
        <w:t>34.</w:t>
      </w:r>
      <w:r>
        <w:rPr>
          <w:rFonts w:hint="eastAsia" w:hAnsi="仿宋_GB2312" w:eastAsia="仿宋_GB2312" w:cs="仿宋_GB2312"/>
        </w:rPr>
        <w:t>卫生监督协管服务</w:t>
      </w:r>
      <w:r>
        <w:tab/>
      </w:r>
      <w:r>
        <w:fldChar w:fldCharType="begin" w:fldLock="1"/>
      </w:r>
      <w:r>
        <w:instrText xml:space="preserve"> PAGEREF _Toc28793 </w:instrText>
      </w:r>
      <w:r>
        <w:fldChar w:fldCharType="separate"/>
      </w:r>
      <w:r>
        <w:t>47</w:t>
      </w:r>
      <w:r>
        <w:fldChar w:fldCharType="end"/>
      </w:r>
      <w:r>
        <w:fldChar w:fldCharType="end"/>
      </w:r>
    </w:p>
    <w:p>
      <w:pPr>
        <w:pStyle w:val="11"/>
        <w:tabs>
          <w:tab w:val="right" w:leader="dot" w:pos="8306"/>
        </w:tabs>
        <w:spacing w:line="578" w:lineRule="exact"/>
      </w:pPr>
      <w:r>
        <w:fldChar w:fldCharType="begin"/>
      </w:r>
      <w:r>
        <w:instrText xml:space="preserve"> HYPERLINK \l "_Toc4367" </w:instrText>
      </w:r>
      <w:r>
        <w:fldChar w:fldCharType="separate"/>
      </w:r>
      <w:r>
        <w:rPr>
          <w:rFonts w:hint="eastAsia" w:eastAsia="仿宋_GB2312" w:cs="仿宋_GB2312"/>
        </w:rPr>
        <w:t>35.</w:t>
      </w:r>
      <w:r>
        <w:rPr>
          <w:rFonts w:hint="eastAsia" w:hAnsi="仿宋_GB2312" w:eastAsia="仿宋_GB2312" w:cs="仿宋_GB2312"/>
        </w:rPr>
        <w:t>慢性病患者健康管理</w:t>
      </w:r>
      <w:r>
        <w:tab/>
      </w:r>
      <w:r>
        <w:fldChar w:fldCharType="begin" w:fldLock="1"/>
      </w:r>
      <w:r>
        <w:instrText xml:space="preserve"> PAGEREF _Toc4367 </w:instrText>
      </w:r>
      <w:r>
        <w:fldChar w:fldCharType="separate"/>
      </w:r>
      <w:r>
        <w:t>48</w:t>
      </w:r>
      <w:r>
        <w:fldChar w:fldCharType="end"/>
      </w:r>
      <w:r>
        <w:fldChar w:fldCharType="end"/>
      </w:r>
    </w:p>
    <w:p>
      <w:pPr>
        <w:pStyle w:val="11"/>
        <w:tabs>
          <w:tab w:val="right" w:leader="dot" w:pos="8306"/>
        </w:tabs>
        <w:spacing w:line="578" w:lineRule="exact"/>
      </w:pPr>
      <w:r>
        <w:fldChar w:fldCharType="begin"/>
      </w:r>
      <w:r>
        <w:instrText xml:space="preserve"> HYPERLINK \l "_Toc10631" </w:instrText>
      </w:r>
      <w:r>
        <w:fldChar w:fldCharType="separate"/>
      </w:r>
      <w:r>
        <w:rPr>
          <w:rFonts w:hint="eastAsia" w:eastAsia="仿宋_GB2312" w:cs="仿宋_GB2312"/>
        </w:rPr>
        <w:t>36.</w:t>
      </w:r>
      <w:r>
        <w:rPr>
          <w:rFonts w:hint="eastAsia" w:hAnsi="仿宋_GB2312" w:eastAsia="仿宋_GB2312" w:cs="仿宋_GB2312"/>
        </w:rPr>
        <w:t>地方病患者健康管理</w:t>
      </w:r>
      <w:r>
        <w:tab/>
      </w:r>
      <w:r>
        <w:fldChar w:fldCharType="begin" w:fldLock="1"/>
      </w:r>
      <w:r>
        <w:instrText xml:space="preserve"> PAGEREF _Toc10631 </w:instrText>
      </w:r>
      <w:r>
        <w:fldChar w:fldCharType="separate"/>
      </w:r>
      <w:r>
        <w:t>48</w:t>
      </w:r>
      <w:r>
        <w:fldChar w:fldCharType="end"/>
      </w:r>
      <w:r>
        <w:fldChar w:fldCharType="end"/>
      </w:r>
    </w:p>
    <w:p>
      <w:pPr>
        <w:pStyle w:val="11"/>
        <w:tabs>
          <w:tab w:val="right" w:leader="dot" w:pos="8306"/>
        </w:tabs>
        <w:spacing w:line="578" w:lineRule="exact"/>
      </w:pPr>
      <w:r>
        <w:fldChar w:fldCharType="begin"/>
      </w:r>
      <w:r>
        <w:instrText xml:space="preserve"> HYPERLINK \l "_Toc18211" </w:instrText>
      </w:r>
      <w:r>
        <w:fldChar w:fldCharType="separate"/>
      </w:r>
      <w:r>
        <w:rPr>
          <w:rFonts w:hint="eastAsia" w:eastAsia="仿宋_GB2312" w:cs="仿宋_GB2312"/>
        </w:rPr>
        <w:t>37.</w:t>
      </w:r>
      <w:r>
        <w:rPr>
          <w:rFonts w:hint="eastAsia" w:hAnsi="仿宋_GB2312" w:eastAsia="仿宋_GB2312" w:cs="仿宋_GB2312"/>
        </w:rPr>
        <w:t>严重精神障碍患者健康管理</w:t>
      </w:r>
      <w:r>
        <w:tab/>
      </w:r>
      <w:r>
        <w:fldChar w:fldCharType="begin" w:fldLock="1"/>
      </w:r>
      <w:r>
        <w:instrText xml:space="preserve"> PAGEREF _Toc18211 </w:instrText>
      </w:r>
      <w:r>
        <w:fldChar w:fldCharType="separate"/>
      </w:r>
      <w:r>
        <w:t>49</w:t>
      </w:r>
      <w:r>
        <w:fldChar w:fldCharType="end"/>
      </w:r>
      <w:r>
        <w:fldChar w:fldCharType="end"/>
      </w:r>
    </w:p>
    <w:p>
      <w:pPr>
        <w:pStyle w:val="11"/>
        <w:tabs>
          <w:tab w:val="right" w:leader="dot" w:pos="8306"/>
        </w:tabs>
        <w:spacing w:line="578" w:lineRule="exact"/>
      </w:pPr>
      <w:r>
        <w:fldChar w:fldCharType="begin"/>
      </w:r>
      <w:r>
        <w:instrText xml:space="preserve"> HYPERLINK \l "_Toc30773" </w:instrText>
      </w:r>
      <w:r>
        <w:fldChar w:fldCharType="separate"/>
      </w:r>
      <w:r>
        <w:rPr>
          <w:rFonts w:hint="eastAsia" w:eastAsia="仿宋_GB2312" w:cs="仿宋_GB2312"/>
        </w:rPr>
        <w:t>38.</w:t>
      </w:r>
      <w:r>
        <w:rPr>
          <w:rFonts w:hint="eastAsia" w:hAnsi="仿宋_GB2312" w:eastAsia="仿宋_GB2312" w:cs="仿宋_GB2312"/>
        </w:rPr>
        <w:t>结核病患者健康管理</w:t>
      </w:r>
      <w:r>
        <w:tab/>
      </w:r>
      <w:r>
        <w:fldChar w:fldCharType="begin" w:fldLock="1"/>
      </w:r>
      <w:r>
        <w:instrText xml:space="preserve"> PAGEREF _Toc30773 </w:instrText>
      </w:r>
      <w:r>
        <w:fldChar w:fldCharType="separate"/>
      </w:r>
      <w:r>
        <w:t>50</w:t>
      </w:r>
      <w:r>
        <w:fldChar w:fldCharType="end"/>
      </w:r>
      <w:r>
        <w:fldChar w:fldCharType="end"/>
      </w:r>
    </w:p>
    <w:p>
      <w:pPr>
        <w:pStyle w:val="11"/>
        <w:tabs>
          <w:tab w:val="right" w:leader="dot" w:pos="8306"/>
        </w:tabs>
        <w:spacing w:line="578" w:lineRule="exact"/>
      </w:pPr>
      <w:r>
        <w:fldChar w:fldCharType="begin"/>
      </w:r>
      <w:r>
        <w:instrText xml:space="preserve"> HYPERLINK \l "_Toc19066" </w:instrText>
      </w:r>
      <w:r>
        <w:fldChar w:fldCharType="separate"/>
      </w:r>
      <w:r>
        <w:rPr>
          <w:rFonts w:hint="eastAsia" w:eastAsia="仿宋_GB2312" w:cs="仿宋_GB2312"/>
        </w:rPr>
        <w:t>39.</w:t>
      </w:r>
      <w:r>
        <w:rPr>
          <w:rFonts w:hint="eastAsia" w:hAnsi="仿宋_GB2312" w:eastAsia="仿宋_GB2312" w:cs="仿宋_GB2312"/>
        </w:rPr>
        <w:t>艾滋病病毒感染者和病人随访管理</w:t>
      </w:r>
      <w:r>
        <w:tab/>
      </w:r>
      <w:r>
        <w:fldChar w:fldCharType="begin" w:fldLock="1"/>
      </w:r>
      <w:r>
        <w:instrText xml:space="preserve"> PAGEREF _Toc19066 </w:instrText>
      </w:r>
      <w:r>
        <w:fldChar w:fldCharType="separate"/>
      </w:r>
      <w:r>
        <w:t>51</w:t>
      </w:r>
      <w:r>
        <w:fldChar w:fldCharType="end"/>
      </w:r>
      <w:r>
        <w:fldChar w:fldCharType="end"/>
      </w:r>
    </w:p>
    <w:p>
      <w:pPr>
        <w:pStyle w:val="11"/>
        <w:tabs>
          <w:tab w:val="right" w:leader="dot" w:pos="8306"/>
        </w:tabs>
        <w:spacing w:line="578" w:lineRule="exact"/>
      </w:pPr>
      <w:r>
        <w:fldChar w:fldCharType="begin"/>
      </w:r>
      <w:r>
        <w:instrText xml:space="preserve"> HYPERLINK \l "_Toc22955" </w:instrText>
      </w:r>
      <w:r>
        <w:fldChar w:fldCharType="separate"/>
      </w:r>
      <w:r>
        <w:rPr>
          <w:rFonts w:hint="eastAsia" w:eastAsia="仿宋_GB2312" w:cs="仿宋_GB2312"/>
        </w:rPr>
        <w:t>40.</w:t>
      </w:r>
      <w:r>
        <w:rPr>
          <w:rFonts w:hint="eastAsia" w:hAnsi="仿宋_GB2312" w:eastAsia="仿宋_GB2312" w:cs="仿宋_GB2312"/>
        </w:rPr>
        <w:t>社区易感染艾滋病高危行为人群干预</w:t>
      </w:r>
      <w:r>
        <w:tab/>
      </w:r>
      <w:r>
        <w:fldChar w:fldCharType="begin" w:fldLock="1"/>
      </w:r>
      <w:r>
        <w:instrText xml:space="preserve"> PAGEREF _Toc22955 </w:instrText>
      </w:r>
      <w:r>
        <w:fldChar w:fldCharType="separate"/>
      </w:r>
      <w:r>
        <w:t>52</w:t>
      </w:r>
      <w:r>
        <w:fldChar w:fldCharType="end"/>
      </w:r>
      <w:r>
        <w:fldChar w:fldCharType="end"/>
      </w:r>
    </w:p>
    <w:p>
      <w:pPr>
        <w:pStyle w:val="11"/>
        <w:tabs>
          <w:tab w:val="right" w:leader="dot" w:pos="8306"/>
        </w:tabs>
        <w:spacing w:line="578" w:lineRule="exact"/>
      </w:pPr>
      <w:r>
        <w:fldChar w:fldCharType="begin"/>
      </w:r>
      <w:r>
        <w:instrText xml:space="preserve"> HYPERLINK \l "_Toc14025" </w:instrText>
      </w:r>
      <w:r>
        <w:fldChar w:fldCharType="separate"/>
      </w:r>
      <w:r>
        <w:rPr>
          <w:rFonts w:hint="eastAsia" w:eastAsia="仿宋_GB2312" w:cs="仿宋_GB2312"/>
        </w:rPr>
        <w:t>41.</w:t>
      </w:r>
      <w:r>
        <w:rPr>
          <w:rFonts w:hint="eastAsia" w:hAnsi="仿宋_GB2312" w:eastAsia="仿宋_GB2312" w:cs="仿宋_GB2312"/>
        </w:rPr>
        <w:t>基本药物供应保障服务</w:t>
      </w:r>
      <w:r>
        <w:tab/>
      </w:r>
      <w:r>
        <w:fldChar w:fldCharType="begin" w:fldLock="1"/>
      </w:r>
      <w:r>
        <w:instrText xml:space="preserve"> PAGEREF _Toc14025 </w:instrText>
      </w:r>
      <w:r>
        <w:fldChar w:fldCharType="separate"/>
      </w:r>
      <w:r>
        <w:t>53</w:t>
      </w:r>
      <w:r>
        <w:fldChar w:fldCharType="end"/>
      </w:r>
      <w:r>
        <w:fldChar w:fldCharType="end"/>
      </w:r>
    </w:p>
    <w:p>
      <w:pPr>
        <w:pStyle w:val="11"/>
        <w:tabs>
          <w:tab w:val="right" w:leader="dot" w:pos="8306"/>
        </w:tabs>
        <w:spacing w:line="578" w:lineRule="exact"/>
      </w:pPr>
      <w:r>
        <w:fldChar w:fldCharType="begin"/>
      </w:r>
      <w:r>
        <w:instrText xml:space="preserve"> HYPERLINK \l "_Toc26954" </w:instrText>
      </w:r>
      <w:r>
        <w:fldChar w:fldCharType="separate"/>
      </w:r>
      <w:r>
        <w:rPr>
          <w:rFonts w:hint="eastAsia" w:eastAsia="仿宋_GB2312" w:cs="仿宋_GB2312"/>
        </w:rPr>
        <w:t>42.</w:t>
      </w:r>
      <w:r>
        <w:rPr>
          <w:rFonts w:hint="eastAsia" w:hAnsi="仿宋_GB2312" w:eastAsia="仿宋_GB2312" w:cs="仿宋_GB2312"/>
        </w:rPr>
        <w:t>农村适龄妇女宫颈癌和乳腺癌筛查</w:t>
      </w:r>
      <w:r>
        <w:tab/>
      </w:r>
      <w:r>
        <w:fldChar w:fldCharType="begin" w:fldLock="1"/>
      </w:r>
      <w:r>
        <w:instrText xml:space="preserve"> PAGEREF _Toc26954 </w:instrText>
      </w:r>
      <w:r>
        <w:fldChar w:fldCharType="separate"/>
      </w:r>
      <w:r>
        <w:t>54</w:t>
      </w:r>
      <w:r>
        <w:fldChar w:fldCharType="end"/>
      </w:r>
      <w:r>
        <w:fldChar w:fldCharType="end"/>
      </w:r>
    </w:p>
    <w:p>
      <w:pPr>
        <w:pStyle w:val="11"/>
        <w:tabs>
          <w:tab w:val="right" w:leader="dot" w:pos="8306"/>
        </w:tabs>
        <w:spacing w:line="578" w:lineRule="exact"/>
      </w:pPr>
      <w:r>
        <w:fldChar w:fldCharType="begin"/>
      </w:r>
      <w:r>
        <w:instrText xml:space="preserve"> HYPERLINK \l "_Toc30313" </w:instrText>
      </w:r>
      <w:r>
        <w:fldChar w:fldCharType="separate"/>
      </w:r>
      <w:r>
        <w:rPr>
          <w:rFonts w:hint="eastAsia" w:eastAsia="仿宋_GB2312" w:cs="仿宋_GB2312"/>
        </w:rPr>
        <w:t>43.</w:t>
      </w:r>
      <w:r>
        <w:rPr>
          <w:rFonts w:hint="eastAsia" w:hAnsi="仿宋_GB2312" w:eastAsia="仿宋_GB2312" w:cs="仿宋_GB2312"/>
        </w:rPr>
        <w:t>食品药品安全保障</w:t>
      </w:r>
      <w:r>
        <w:tab/>
      </w:r>
      <w:r>
        <w:fldChar w:fldCharType="begin" w:fldLock="1"/>
      </w:r>
      <w:r>
        <w:instrText xml:space="preserve"> PAGEREF _Toc30313 </w:instrText>
      </w:r>
      <w:r>
        <w:fldChar w:fldCharType="separate"/>
      </w:r>
      <w:r>
        <w:t>55</w:t>
      </w:r>
      <w:r>
        <w:fldChar w:fldCharType="end"/>
      </w:r>
      <w:r>
        <w:fldChar w:fldCharType="end"/>
      </w:r>
    </w:p>
    <w:p>
      <w:pPr>
        <w:pStyle w:val="23"/>
        <w:tabs>
          <w:tab w:val="right" w:leader="dot" w:pos="8306"/>
        </w:tabs>
        <w:spacing w:line="578" w:lineRule="exact"/>
        <w:rPr>
          <w:kern w:val="2"/>
          <w:szCs w:val="24"/>
        </w:rPr>
      </w:pPr>
      <w:r>
        <w:fldChar w:fldCharType="begin"/>
      </w:r>
      <w:r>
        <w:instrText xml:space="preserve"> HYPERLINK \l "_Toc6812" </w:instrText>
      </w:r>
      <w:r>
        <w:fldChar w:fldCharType="separate"/>
      </w:r>
      <w:r>
        <w:rPr>
          <w:rFonts w:hint="eastAsia" w:hAnsi="楷体_GB2312" w:eastAsia="楷体_GB2312" w:cs="楷体_GB2312"/>
          <w:kern w:val="2"/>
          <w:szCs w:val="32"/>
        </w:rPr>
        <w:t>（十一）医疗保险服务</w:t>
      </w:r>
      <w:r>
        <w:rPr>
          <w:kern w:val="2"/>
          <w:szCs w:val="24"/>
        </w:rPr>
        <w:tab/>
      </w:r>
      <w:r>
        <w:rPr>
          <w:kern w:val="2"/>
          <w:szCs w:val="24"/>
        </w:rPr>
        <w:fldChar w:fldCharType="begin" w:fldLock="1"/>
      </w:r>
      <w:r>
        <w:rPr>
          <w:kern w:val="2"/>
          <w:szCs w:val="24"/>
        </w:rPr>
        <w:instrText xml:space="preserve"> PAGEREF _Toc6812 </w:instrText>
      </w:r>
      <w:r>
        <w:rPr>
          <w:kern w:val="2"/>
          <w:szCs w:val="24"/>
        </w:rPr>
        <w:fldChar w:fldCharType="separate"/>
      </w:r>
      <w:r>
        <w:rPr>
          <w:kern w:val="2"/>
          <w:szCs w:val="24"/>
        </w:rPr>
        <w:t>57</w:t>
      </w:r>
      <w:r>
        <w:rPr>
          <w:kern w:val="2"/>
          <w:szCs w:val="24"/>
        </w:rPr>
        <w:fldChar w:fldCharType="end"/>
      </w:r>
      <w:r>
        <w:rPr>
          <w:kern w:val="2"/>
          <w:szCs w:val="24"/>
        </w:rPr>
        <w:fldChar w:fldCharType="end"/>
      </w:r>
    </w:p>
    <w:p>
      <w:pPr>
        <w:pStyle w:val="11"/>
        <w:tabs>
          <w:tab w:val="right" w:leader="dot" w:pos="8306"/>
        </w:tabs>
        <w:spacing w:line="578" w:lineRule="exact"/>
      </w:pPr>
      <w:r>
        <w:fldChar w:fldCharType="begin"/>
      </w:r>
      <w:r>
        <w:instrText xml:space="preserve"> HYPERLINK \l "_Toc24320" </w:instrText>
      </w:r>
      <w:r>
        <w:fldChar w:fldCharType="separate"/>
      </w:r>
      <w:r>
        <w:rPr>
          <w:rFonts w:hint="eastAsia" w:eastAsia="仿宋_GB2312" w:cs="仿宋_GB2312"/>
          <w:szCs w:val="32"/>
        </w:rPr>
        <w:t>44.</w:t>
      </w:r>
      <w:r>
        <w:rPr>
          <w:rFonts w:hint="eastAsia" w:hAnsi="仿宋_GB2312" w:eastAsia="仿宋_GB2312" w:cs="仿宋_GB2312"/>
          <w:szCs w:val="32"/>
        </w:rPr>
        <w:t>职工基本医疗保险</w:t>
      </w:r>
      <w:r>
        <w:tab/>
      </w:r>
      <w:r>
        <w:fldChar w:fldCharType="begin" w:fldLock="1"/>
      </w:r>
      <w:r>
        <w:instrText xml:space="preserve"> PAGEREF _Toc24320 </w:instrText>
      </w:r>
      <w:r>
        <w:fldChar w:fldCharType="separate"/>
      </w:r>
      <w:r>
        <w:t>57</w:t>
      </w:r>
      <w:r>
        <w:fldChar w:fldCharType="end"/>
      </w:r>
      <w:r>
        <w:fldChar w:fldCharType="end"/>
      </w:r>
    </w:p>
    <w:p>
      <w:pPr>
        <w:pStyle w:val="11"/>
        <w:tabs>
          <w:tab w:val="right" w:leader="dot" w:pos="8306"/>
        </w:tabs>
        <w:spacing w:line="578" w:lineRule="exact"/>
      </w:pPr>
      <w:r>
        <w:fldChar w:fldCharType="begin"/>
      </w:r>
      <w:r>
        <w:instrText xml:space="preserve"> HYPERLINK \l "_Toc974" </w:instrText>
      </w:r>
      <w:r>
        <w:fldChar w:fldCharType="separate"/>
      </w:r>
      <w:r>
        <w:rPr>
          <w:rFonts w:hint="eastAsia" w:eastAsia="仿宋_GB2312" w:cs="仿宋_GB2312"/>
          <w:szCs w:val="32"/>
        </w:rPr>
        <w:t>45.</w:t>
      </w:r>
      <w:r>
        <w:rPr>
          <w:rFonts w:hint="eastAsia" w:hAnsi="仿宋_GB2312" w:eastAsia="仿宋_GB2312" w:cs="仿宋_GB2312"/>
          <w:szCs w:val="32"/>
        </w:rPr>
        <w:t>城乡居民基本医疗保险</w:t>
      </w:r>
      <w:r>
        <w:tab/>
      </w:r>
      <w:r>
        <w:fldChar w:fldCharType="begin" w:fldLock="1"/>
      </w:r>
      <w:r>
        <w:instrText xml:space="preserve"> PAGEREF _Toc974 </w:instrText>
      </w:r>
      <w:r>
        <w:fldChar w:fldCharType="separate"/>
      </w:r>
      <w:r>
        <w:t>58</w:t>
      </w:r>
      <w:r>
        <w:fldChar w:fldCharType="end"/>
      </w:r>
      <w:r>
        <w:fldChar w:fldCharType="end"/>
      </w:r>
    </w:p>
    <w:p>
      <w:pPr>
        <w:pStyle w:val="23"/>
        <w:tabs>
          <w:tab w:val="right" w:leader="dot" w:pos="8306"/>
        </w:tabs>
        <w:spacing w:line="578" w:lineRule="exact"/>
        <w:rPr>
          <w:kern w:val="2"/>
          <w:szCs w:val="24"/>
        </w:rPr>
      </w:pPr>
      <w:r>
        <w:fldChar w:fldCharType="begin"/>
      </w:r>
      <w:r>
        <w:instrText xml:space="preserve"> HYPERLINK \l "_Toc28837" </w:instrText>
      </w:r>
      <w:r>
        <w:fldChar w:fldCharType="separate"/>
      </w:r>
      <w:r>
        <w:rPr>
          <w:rFonts w:hint="eastAsia" w:hAnsi="楷体_GB2312" w:eastAsia="楷体_GB2312" w:cs="楷体_GB2312"/>
          <w:kern w:val="2"/>
          <w:szCs w:val="32"/>
        </w:rPr>
        <w:t>（十二）计划生育扶助服务</w:t>
      </w:r>
      <w:r>
        <w:rPr>
          <w:kern w:val="2"/>
          <w:szCs w:val="24"/>
        </w:rPr>
        <w:tab/>
      </w:r>
      <w:r>
        <w:rPr>
          <w:kern w:val="2"/>
          <w:szCs w:val="24"/>
        </w:rPr>
        <w:fldChar w:fldCharType="begin" w:fldLock="1"/>
      </w:r>
      <w:r>
        <w:rPr>
          <w:kern w:val="2"/>
          <w:szCs w:val="24"/>
        </w:rPr>
        <w:instrText xml:space="preserve"> PAGEREF _Toc28837 </w:instrText>
      </w:r>
      <w:r>
        <w:rPr>
          <w:kern w:val="2"/>
          <w:szCs w:val="24"/>
        </w:rPr>
        <w:fldChar w:fldCharType="separate"/>
      </w:r>
      <w:r>
        <w:rPr>
          <w:kern w:val="2"/>
          <w:szCs w:val="24"/>
        </w:rPr>
        <w:t>60</w:t>
      </w:r>
      <w:r>
        <w:rPr>
          <w:kern w:val="2"/>
          <w:szCs w:val="24"/>
        </w:rPr>
        <w:fldChar w:fldCharType="end"/>
      </w:r>
      <w:r>
        <w:rPr>
          <w:kern w:val="2"/>
          <w:szCs w:val="24"/>
        </w:rPr>
        <w:fldChar w:fldCharType="end"/>
      </w:r>
    </w:p>
    <w:p>
      <w:pPr>
        <w:pStyle w:val="11"/>
        <w:tabs>
          <w:tab w:val="right" w:leader="dot" w:pos="8306"/>
        </w:tabs>
        <w:spacing w:line="578" w:lineRule="exact"/>
      </w:pPr>
      <w:r>
        <w:fldChar w:fldCharType="begin"/>
      </w:r>
      <w:r>
        <w:instrText xml:space="preserve"> HYPERLINK \l "_Toc17614" </w:instrText>
      </w:r>
      <w:r>
        <w:fldChar w:fldCharType="separate"/>
      </w:r>
      <w:r>
        <w:rPr>
          <w:rFonts w:hint="eastAsia" w:eastAsia="仿宋_GB2312" w:cs="仿宋_GB2312"/>
          <w:szCs w:val="32"/>
        </w:rPr>
        <w:t>46.</w:t>
      </w:r>
      <w:r>
        <w:rPr>
          <w:rFonts w:hint="eastAsia" w:hAnsi="仿宋_GB2312" w:eastAsia="仿宋_GB2312" w:cs="仿宋_GB2312"/>
          <w:szCs w:val="32"/>
        </w:rPr>
        <w:t>农村符合条件的计划生育家庭奖励扶助</w:t>
      </w:r>
      <w:r>
        <w:tab/>
      </w:r>
      <w:r>
        <w:fldChar w:fldCharType="begin" w:fldLock="1"/>
      </w:r>
      <w:r>
        <w:instrText xml:space="preserve"> PAGEREF _Toc17614 </w:instrText>
      </w:r>
      <w:r>
        <w:fldChar w:fldCharType="separate"/>
      </w:r>
      <w:r>
        <w:t>60</w:t>
      </w:r>
      <w:r>
        <w:fldChar w:fldCharType="end"/>
      </w:r>
      <w:r>
        <w:fldChar w:fldCharType="end"/>
      </w:r>
    </w:p>
    <w:p>
      <w:pPr>
        <w:pStyle w:val="11"/>
        <w:tabs>
          <w:tab w:val="right" w:leader="dot" w:pos="8306"/>
        </w:tabs>
        <w:spacing w:line="578" w:lineRule="exact"/>
      </w:pPr>
      <w:r>
        <w:fldChar w:fldCharType="begin"/>
      </w:r>
      <w:r>
        <w:instrText xml:space="preserve"> HYPERLINK \l "_Toc13045" </w:instrText>
      </w:r>
      <w:r>
        <w:fldChar w:fldCharType="separate"/>
      </w:r>
      <w:r>
        <w:rPr>
          <w:rFonts w:hint="eastAsia" w:eastAsia="仿宋_GB2312" w:cs="仿宋_GB2312"/>
          <w:szCs w:val="32"/>
        </w:rPr>
        <w:t>47.</w:t>
      </w:r>
      <w:r>
        <w:rPr>
          <w:rFonts w:hint="eastAsia" w:hAnsi="仿宋_GB2312" w:eastAsia="仿宋_GB2312" w:cs="仿宋_GB2312"/>
          <w:szCs w:val="32"/>
        </w:rPr>
        <w:t>计划生育特殊家庭补助</w:t>
      </w:r>
      <w:r>
        <w:tab/>
      </w:r>
      <w:r>
        <w:fldChar w:fldCharType="begin" w:fldLock="1"/>
      </w:r>
      <w:r>
        <w:instrText xml:space="preserve"> PAGEREF _Toc13045 </w:instrText>
      </w:r>
      <w:r>
        <w:fldChar w:fldCharType="separate"/>
      </w:r>
      <w:r>
        <w:t>61</w:t>
      </w:r>
      <w:r>
        <w:fldChar w:fldCharType="end"/>
      </w:r>
      <w:r>
        <w:fldChar w:fldCharType="end"/>
      </w:r>
    </w:p>
    <w:p>
      <w:pPr>
        <w:pStyle w:val="19"/>
        <w:tabs>
          <w:tab w:val="right" w:leader="dot" w:pos="8306"/>
        </w:tabs>
        <w:spacing w:line="578" w:lineRule="exact"/>
        <w:rPr>
          <w:kern w:val="2"/>
          <w:szCs w:val="24"/>
        </w:rPr>
      </w:pPr>
      <w:r>
        <w:fldChar w:fldCharType="begin"/>
      </w:r>
      <w:r>
        <w:instrText xml:space="preserve"> HYPERLINK \l "_Toc18415" </w:instrText>
      </w:r>
      <w:r>
        <w:fldChar w:fldCharType="separate"/>
      </w:r>
      <w:r>
        <w:rPr>
          <w:rFonts w:hint="eastAsia" w:hAnsi="方正小标宋简体" w:eastAsia="方正小标宋简体" w:cs="方正小标宋简体"/>
          <w:kern w:val="2"/>
          <w:szCs w:val="32"/>
        </w:rPr>
        <w:t>五、老有所养</w:t>
      </w:r>
      <w:r>
        <w:rPr>
          <w:kern w:val="2"/>
          <w:szCs w:val="24"/>
        </w:rPr>
        <w:tab/>
      </w:r>
      <w:r>
        <w:rPr>
          <w:kern w:val="2"/>
          <w:szCs w:val="24"/>
        </w:rPr>
        <w:fldChar w:fldCharType="begin" w:fldLock="1"/>
      </w:r>
      <w:r>
        <w:rPr>
          <w:kern w:val="2"/>
          <w:szCs w:val="24"/>
        </w:rPr>
        <w:instrText xml:space="preserve"> PAGEREF _Toc18415 </w:instrText>
      </w:r>
      <w:r>
        <w:rPr>
          <w:kern w:val="2"/>
          <w:szCs w:val="24"/>
        </w:rPr>
        <w:fldChar w:fldCharType="separate"/>
      </w:r>
      <w:r>
        <w:rPr>
          <w:kern w:val="2"/>
          <w:szCs w:val="24"/>
        </w:rPr>
        <w:t>63</w:t>
      </w:r>
      <w:r>
        <w:rPr>
          <w:kern w:val="2"/>
          <w:szCs w:val="24"/>
        </w:rPr>
        <w:fldChar w:fldCharType="end"/>
      </w:r>
      <w:r>
        <w:rPr>
          <w:kern w:val="2"/>
          <w:szCs w:val="24"/>
        </w:rPr>
        <w:fldChar w:fldCharType="end"/>
      </w:r>
    </w:p>
    <w:p>
      <w:pPr>
        <w:pStyle w:val="23"/>
        <w:tabs>
          <w:tab w:val="right" w:leader="dot" w:pos="8306"/>
        </w:tabs>
        <w:spacing w:line="578" w:lineRule="exact"/>
        <w:rPr>
          <w:kern w:val="2"/>
          <w:szCs w:val="24"/>
        </w:rPr>
      </w:pPr>
      <w:r>
        <w:fldChar w:fldCharType="begin"/>
      </w:r>
      <w:r>
        <w:instrText xml:space="preserve"> HYPERLINK \l "_Toc18640" </w:instrText>
      </w:r>
      <w:r>
        <w:fldChar w:fldCharType="separate"/>
      </w:r>
      <w:r>
        <w:rPr>
          <w:rFonts w:hint="eastAsia" w:hAnsi="楷体_GB2312" w:eastAsia="楷体_GB2312" w:cs="楷体_GB2312"/>
          <w:kern w:val="2"/>
          <w:szCs w:val="32"/>
        </w:rPr>
        <w:t>（十三）养老助老服务</w:t>
      </w:r>
      <w:r>
        <w:rPr>
          <w:kern w:val="2"/>
          <w:szCs w:val="24"/>
        </w:rPr>
        <w:tab/>
      </w:r>
      <w:r>
        <w:rPr>
          <w:kern w:val="2"/>
          <w:szCs w:val="24"/>
        </w:rPr>
        <w:fldChar w:fldCharType="begin" w:fldLock="1"/>
      </w:r>
      <w:r>
        <w:rPr>
          <w:kern w:val="2"/>
          <w:szCs w:val="24"/>
        </w:rPr>
        <w:instrText xml:space="preserve"> PAGEREF _Toc18640 </w:instrText>
      </w:r>
      <w:r>
        <w:rPr>
          <w:kern w:val="2"/>
          <w:szCs w:val="24"/>
        </w:rPr>
        <w:fldChar w:fldCharType="separate"/>
      </w:r>
      <w:r>
        <w:rPr>
          <w:kern w:val="2"/>
          <w:szCs w:val="24"/>
        </w:rPr>
        <w:t>64</w:t>
      </w:r>
      <w:r>
        <w:rPr>
          <w:kern w:val="2"/>
          <w:szCs w:val="24"/>
        </w:rPr>
        <w:fldChar w:fldCharType="end"/>
      </w:r>
      <w:r>
        <w:rPr>
          <w:kern w:val="2"/>
          <w:szCs w:val="24"/>
        </w:rPr>
        <w:fldChar w:fldCharType="end"/>
      </w:r>
    </w:p>
    <w:p>
      <w:pPr>
        <w:pStyle w:val="11"/>
        <w:tabs>
          <w:tab w:val="right" w:leader="dot" w:pos="8306"/>
        </w:tabs>
        <w:spacing w:line="578" w:lineRule="exact"/>
      </w:pPr>
      <w:r>
        <w:fldChar w:fldCharType="begin"/>
      </w:r>
      <w:r>
        <w:instrText xml:space="preserve"> HYPERLINK \l "_Toc19090" </w:instrText>
      </w:r>
      <w:r>
        <w:fldChar w:fldCharType="separate"/>
      </w:r>
      <w:r>
        <w:rPr>
          <w:rFonts w:hint="eastAsia" w:eastAsia="仿宋_GB2312" w:cs="仿宋_GB2312"/>
          <w:szCs w:val="32"/>
        </w:rPr>
        <w:t>48.</w:t>
      </w:r>
      <w:r>
        <w:rPr>
          <w:rFonts w:hint="eastAsia" w:hAnsi="仿宋_GB2312" w:eastAsia="仿宋_GB2312" w:cs="仿宋_GB2312"/>
          <w:szCs w:val="32"/>
        </w:rPr>
        <w:t>老年人健康管理</w:t>
      </w:r>
      <w:r>
        <w:tab/>
      </w:r>
      <w:r>
        <w:fldChar w:fldCharType="begin" w:fldLock="1"/>
      </w:r>
      <w:r>
        <w:instrText xml:space="preserve"> PAGEREF _Toc19090 </w:instrText>
      </w:r>
      <w:r>
        <w:fldChar w:fldCharType="separate"/>
      </w:r>
      <w:r>
        <w:t>64</w:t>
      </w:r>
      <w:r>
        <w:fldChar w:fldCharType="end"/>
      </w:r>
      <w:r>
        <w:fldChar w:fldCharType="end"/>
      </w:r>
    </w:p>
    <w:p>
      <w:pPr>
        <w:pStyle w:val="11"/>
        <w:tabs>
          <w:tab w:val="right" w:leader="dot" w:pos="8306"/>
        </w:tabs>
        <w:spacing w:line="578" w:lineRule="exact"/>
      </w:pPr>
      <w:r>
        <w:fldChar w:fldCharType="begin"/>
      </w:r>
      <w:r>
        <w:instrText xml:space="preserve"> HYPERLINK \l "_Toc17164" </w:instrText>
      </w:r>
      <w:r>
        <w:fldChar w:fldCharType="separate"/>
      </w:r>
      <w:r>
        <w:rPr>
          <w:rFonts w:hint="eastAsia" w:eastAsia="仿宋_GB2312" w:cs="仿宋_GB2312"/>
          <w:szCs w:val="32"/>
        </w:rPr>
        <w:t>49.</w:t>
      </w:r>
      <w:r>
        <w:rPr>
          <w:rFonts w:hint="eastAsia" w:hAnsi="仿宋_GB2312" w:eastAsia="仿宋_GB2312" w:cs="仿宋_GB2312"/>
          <w:szCs w:val="32"/>
        </w:rPr>
        <w:t>老年人福利补贴</w:t>
      </w:r>
      <w:r>
        <w:tab/>
      </w:r>
      <w:r>
        <w:fldChar w:fldCharType="begin" w:fldLock="1"/>
      </w:r>
      <w:r>
        <w:instrText xml:space="preserve"> PAGEREF _Toc17164 </w:instrText>
      </w:r>
      <w:r>
        <w:fldChar w:fldCharType="separate"/>
      </w:r>
      <w:r>
        <w:t>64</w:t>
      </w:r>
      <w:r>
        <w:fldChar w:fldCharType="end"/>
      </w:r>
      <w:r>
        <w:fldChar w:fldCharType="end"/>
      </w:r>
    </w:p>
    <w:p>
      <w:pPr>
        <w:pStyle w:val="23"/>
        <w:tabs>
          <w:tab w:val="right" w:leader="dot" w:pos="8306"/>
        </w:tabs>
        <w:spacing w:line="578" w:lineRule="exact"/>
        <w:rPr>
          <w:kern w:val="2"/>
          <w:szCs w:val="24"/>
        </w:rPr>
      </w:pPr>
      <w:r>
        <w:fldChar w:fldCharType="begin"/>
      </w:r>
      <w:r>
        <w:instrText xml:space="preserve"> HYPERLINK \l "_Toc14986" </w:instrText>
      </w:r>
      <w:r>
        <w:fldChar w:fldCharType="separate"/>
      </w:r>
      <w:r>
        <w:rPr>
          <w:rFonts w:hint="eastAsia" w:hAnsi="楷体_GB2312" w:eastAsia="楷体_GB2312" w:cs="楷体_GB2312"/>
          <w:kern w:val="2"/>
          <w:szCs w:val="32"/>
        </w:rPr>
        <w:t>（十四）养老保险服务</w:t>
      </w:r>
      <w:r>
        <w:rPr>
          <w:kern w:val="2"/>
          <w:szCs w:val="24"/>
        </w:rPr>
        <w:tab/>
      </w:r>
      <w:r>
        <w:rPr>
          <w:kern w:val="2"/>
          <w:szCs w:val="24"/>
        </w:rPr>
        <w:fldChar w:fldCharType="begin" w:fldLock="1"/>
      </w:r>
      <w:r>
        <w:rPr>
          <w:kern w:val="2"/>
          <w:szCs w:val="24"/>
        </w:rPr>
        <w:instrText xml:space="preserve"> PAGEREF _Toc14986 </w:instrText>
      </w:r>
      <w:r>
        <w:rPr>
          <w:kern w:val="2"/>
          <w:szCs w:val="24"/>
        </w:rPr>
        <w:fldChar w:fldCharType="separate"/>
      </w:r>
      <w:r>
        <w:rPr>
          <w:kern w:val="2"/>
          <w:szCs w:val="24"/>
        </w:rPr>
        <w:t>67</w:t>
      </w:r>
      <w:r>
        <w:rPr>
          <w:kern w:val="2"/>
          <w:szCs w:val="24"/>
        </w:rPr>
        <w:fldChar w:fldCharType="end"/>
      </w:r>
      <w:r>
        <w:rPr>
          <w:kern w:val="2"/>
          <w:szCs w:val="24"/>
        </w:rPr>
        <w:fldChar w:fldCharType="end"/>
      </w:r>
    </w:p>
    <w:p>
      <w:pPr>
        <w:pStyle w:val="11"/>
        <w:tabs>
          <w:tab w:val="right" w:leader="dot" w:pos="8306"/>
        </w:tabs>
        <w:spacing w:line="578" w:lineRule="exact"/>
      </w:pPr>
      <w:r>
        <w:fldChar w:fldCharType="begin"/>
      </w:r>
      <w:r>
        <w:instrText xml:space="preserve"> HYPERLINK \l "_Toc20652" </w:instrText>
      </w:r>
      <w:r>
        <w:fldChar w:fldCharType="separate"/>
      </w:r>
      <w:r>
        <w:rPr>
          <w:rFonts w:hint="eastAsia" w:eastAsia="仿宋_GB2312" w:cs="仿宋_GB2312"/>
          <w:szCs w:val="32"/>
        </w:rPr>
        <w:t>50.</w:t>
      </w:r>
      <w:r>
        <w:rPr>
          <w:rFonts w:hint="eastAsia" w:hAnsi="仿宋_GB2312" w:eastAsia="仿宋_GB2312" w:cs="仿宋_GB2312"/>
          <w:szCs w:val="32"/>
        </w:rPr>
        <w:t>职工基本养老保险</w:t>
      </w:r>
      <w:r>
        <w:tab/>
      </w:r>
      <w:r>
        <w:fldChar w:fldCharType="begin" w:fldLock="1"/>
      </w:r>
      <w:r>
        <w:instrText xml:space="preserve"> PAGEREF _Toc20652 </w:instrText>
      </w:r>
      <w:r>
        <w:fldChar w:fldCharType="separate"/>
      </w:r>
      <w:r>
        <w:t>67</w:t>
      </w:r>
      <w:r>
        <w:fldChar w:fldCharType="end"/>
      </w:r>
      <w:r>
        <w:fldChar w:fldCharType="end"/>
      </w:r>
    </w:p>
    <w:p>
      <w:pPr>
        <w:pStyle w:val="11"/>
        <w:tabs>
          <w:tab w:val="right" w:leader="dot" w:pos="8306"/>
        </w:tabs>
        <w:spacing w:line="578" w:lineRule="exact"/>
      </w:pPr>
      <w:r>
        <w:fldChar w:fldCharType="begin"/>
      </w:r>
      <w:r>
        <w:instrText xml:space="preserve"> HYPERLINK \l "_Toc12071" </w:instrText>
      </w:r>
      <w:r>
        <w:fldChar w:fldCharType="separate"/>
      </w:r>
      <w:r>
        <w:rPr>
          <w:rFonts w:hint="eastAsia" w:eastAsia="仿宋_GB2312" w:cs="仿宋_GB2312"/>
          <w:szCs w:val="32"/>
        </w:rPr>
        <w:t>51.</w:t>
      </w:r>
      <w:r>
        <w:rPr>
          <w:rFonts w:hint="eastAsia" w:hAnsi="仿宋_GB2312" w:eastAsia="仿宋_GB2312" w:cs="仿宋_GB2312"/>
          <w:szCs w:val="32"/>
        </w:rPr>
        <w:t>城乡居民基本养老保险</w:t>
      </w:r>
      <w:r>
        <w:tab/>
      </w:r>
      <w:r>
        <w:fldChar w:fldCharType="begin" w:fldLock="1"/>
      </w:r>
      <w:r>
        <w:instrText xml:space="preserve"> PAGEREF _Toc12071 </w:instrText>
      </w:r>
      <w:r>
        <w:fldChar w:fldCharType="separate"/>
      </w:r>
      <w:r>
        <w:t>68</w:t>
      </w:r>
      <w:r>
        <w:fldChar w:fldCharType="end"/>
      </w:r>
      <w:r>
        <w:fldChar w:fldCharType="end"/>
      </w:r>
    </w:p>
    <w:p>
      <w:pPr>
        <w:pStyle w:val="19"/>
        <w:tabs>
          <w:tab w:val="right" w:leader="dot" w:pos="8306"/>
        </w:tabs>
        <w:spacing w:line="578" w:lineRule="exact"/>
        <w:rPr>
          <w:kern w:val="2"/>
          <w:szCs w:val="24"/>
        </w:rPr>
      </w:pPr>
      <w:r>
        <w:fldChar w:fldCharType="begin"/>
      </w:r>
      <w:r>
        <w:instrText xml:space="preserve"> HYPERLINK \l "_Toc3905" </w:instrText>
      </w:r>
      <w:r>
        <w:fldChar w:fldCharType="separate"/>
      </w:r>
      <w:r>
        <w:rPr>
          <w:rFonts w:hint="eastAsia" w:hAnsi="黑体" w:eastAsia="黑体" w:cs="黑体"/>
          <w:kern w:val="2"/>
          <w:szCs w:val="32"/>
        </w:rPr>
        <w:t>六、住有所居</w:t>
      </w:r>
      <w:r>
        <w:rPr>
          <w:kern w:val="2"/>
          <w:szCs w:val="24"/>
        </w:rPr>
        <w:tab/>
      </w:r>
      <w:r>
        <w:rPr>
          <w:kern w:val="2"/>
          <w:szCs w:val="24"/>
        </w:rPr>
        <w:fldChar w:fldCharType="begin" w:fldLock="1"/>
      </w:r>
      <w:r>
        <w:rPr>
          <w:kern w:val="2"/>
          <w:szCs w:val="24"/>
        </w:rPr>
        <w:instrText xml:space="preserve"> PAGEREF _Toc3905 </w:instrText>
      </w:r>
      <w:r>
        <w:rPr>
          <w:kern w:val="2"/>
          <w:szCs w:val="24"/>
        </w:rPr>
        <w:fldChar w:fldCharType="separate"/>
      </w:r>
      <w:r>
        <w:rPr>
          <w:kern w:val="2"/>
          <w:szCs w:val="24"/>
        </w:rPr>
        <w:t>70</w:t>
      </w:r>
      <w:r>
        <w:rPr>
          <w:kern w:val="2"/>
          <w:szCs w:val="24"/>
        </w:rPr>
        <w:fldChar w:fldCharType="end"/>
      </w:r>
      <w:r>
        <w:rPr>
          <w:kern w:val="2"/>
          <w:szCs w:val="24"/>
        </w:rPr>
        <w:fldChar w:fldCharType="end"/>
      </w:r>
    </w:p>
    <w:p>
      <w:pPr>
        <w:pStyle w:val="23"/>
        <w:tabs>
          <w:tab w:val="right" w:leader="dot" w:pos="8306"/>
        </w:tabs>
        <w:spacing w:line="578" w:lineRule="exact"/>
        <w:rPr>
          <w:kern w:val="2"/>
          <w:szCs w:val="24"/>
        </w:rPr>
      </w:pPr>
      <w:r>
        <w:fldChar w:fldCharType="begin"/>
      </w:r>
      <w:r>
        <w:instrText xml:space="preserve"> HYPERLINK \l "_Toc8643" </w:instrText>
      </w:r>
      <w:r>
        <w:fldChar w:fldCharType="separate"/>
      </w:r>
      <w:r>
        <w:rPr>
          <w:rFonts w:hint="eastAsia" w:hAnsi="楷体_GB2312" w:eastAsia="楷体_GB2312" w:cs="楷体_GB2312"/>
          <w:kern w:val="2"/>
          <w:szCs w:val="32"/>
        </w:rPr>
        <w:t>（十五）公租房服务</w:t>
      </w:r>
      <w:r>
        <w:rPr>
          <w:kern w:val="2"/>
          <w:szCs w:val="24"/>
        </w:rPr>
        <w:tab/>
      </w:r>
      <w:r>
        <w:rPr>
          <w:kern w:val="2"/>
          <w:szCs w:val="24"/>
        </w:rPr>
        <w:fldChar w:fldCharType="begin" w:fldLock="1"/>
      </w:r>
      <w:r>
        <w:rPr>
          <w:kern w:val="2"/>
          <w:szCs w:val="24"/>
        </w:rPr>
        <w:instrText xml:space="preserve"> PAGEREF _Toc8643 </w:instrText>
      </w:r>
      <w:r>
        <w:rPr>
          <w:kern w:val="2"/>
          <w:szCs w:val="24"/>
        </w:rPr>
        <w:fldChar w:fldCharType="separate"/>
      </w:r>
      <w:r>
        <w:rPr>
          <w:kern w:val="2"/>
          <w:szCs w:val="24"/>
        </w:rPr>
        <w:t>70</w:t>
      </w:r>
      <w:r>
        <w:rPr>
          <w:kern w:val="2"/>
          <w:szCs w:val="24"/>
        </w:rPr>
        <w:fldChar w:fldCharType="end"/>
      </w:r>
      <w:r>
        <w:rPr>
          <w:kern w:val="2"/>
          <w:szCs w:val="24"/>
        </w:rPr>
        <w:fldChar w:fldCharType="end"/>
      </w:r>
    </w:p>
    <w:p>
      <w:pPr>
        <w:pStyle w:val="11"/>
        <w:tabs>
          <w:tab w:val="right" w:leader="dot" w:pos="8306"/>
        </w:tabs>
        <w:spacing w:line="578" w:lineRule="exact"/>
      </w:pPr>
      <w:r>
        <w:fldChar w:fldCharType="begin"/>
      </w:r>
      <w:r>
        <w:instrText xml:space="preserve"> HYPERLINK \l "_Toc8574" </w:instrText>
      </w:r>
      <w:r>
        <w:fldChar w:fldCharType="separate"/>
      </w:r>
      <w:r>
        <w:rPr>
          <w:rFonts w:hint="eastAsia" w:eastAsia="仿宋_GB2312" w:cs="仿宋_GB2312"/>
          <w:szCs w:val="32"/>
        </w:rPr>
        <w:t>52.</w:t>
      </w:r>
      <w:r>
        <w:rPr>
          <w:rFonts w:hint="eastAsia" w:hAnsi="仿宋_GB2312" w:eastAsia="仿宋_GB2312" w:cs="仿宋_GB2312"/>
          <w:szCs w:val="32"/>
        </w:rPr>
        <w:t>公租房保障</w:t>
      </w:r>
      <w:r>
        <w:tab/>
      </w:r>
      <w:r>
        <w:fldChar w:fldCharType="begin" w:fldLock="1"/>
      </w:r>
      <w:r>
        <w:instrText xml:space="preserve"> PAGEREF _Toc8574 </w:instrText>
      </w:r>
      <w:r>
        <w:fldChar w:fldCharType="separate"/>
      </w:r>
      <w:r>
        <w:t>70</w:t>
      </w:r>
      <w:r>
        <w:fldChar w:fldCharType="end"/>
      </w:r>
      <w:r>
        <w:fldChar w:fldCharType="end"/>
      </w:r>
    </w:p>
    <w:p>
      <w:pPr>
        <w:pStyle w:val="23"/>
        <w:tabs>
          <w:tab w:val="right" w:leader="dot" w:pos="8306"/>
        </w:tabs>
        <w:spacing w:line="578" w:lineRule="exact"/>
        <w:rPr>
          <w:kern w:val="2"/>
          <w:szCs w:val="24"/>
        </w:rPr>
      </w:pPr>
      <w:r>
        <w:fldChar w:fldCharType="begin"/>
      </w:r>
      <w:r>
        <w:instrText xml:space="preserve"> HYPERLINK \l "_Toc19838" </w:instrText>
      </w:r>
      <w:r>
        <w:fldChar w:fldCharType="separate"/>
      </w:r>
      <w:r>
        <w:rPr>
          <w:rFonts w:hint="eastAsia" w:hAnsi="楷体_GB2312" w:eastAsia="楷体_GB2312" w:cs="楷体_GB2312"/>
          <w:kern w:val="2"/>
          <w:szCs w:val="32"/>
        </w:rPr>
        <w:t>（十六）住房改造服务</w:t>
      </w:r>
      <w:r>
        <w:rPr>
          <w:kern w:val="2"/>
          <w:szCs w:val="24"/>
        </w:rPr>
        <w:tab/>
      </w:r>
      <w:r>
        <w:rPr>
          <w:kern w:val="2"/>
          <w:szCs w:val="24"/>
        </w:rPr>
        <w:fldChar w:fldCharType="begin" w:fldLock="1"/>
      </w:r>
      <w:r>
        <w:rPr>
          <w:kern w:val="2"/>
          <w:szCs w:val="24"/>
        </w:rPr>
        <w:instrText xml:space="preserve"> PAGEREF _Toc19838 </w:instrText>
      </w:r>
      <w:r>
        <w:rPr>
          <w:kern w:val="2"/>
          <w:szCs w:val="24"/>
        </w:rPr>
        <w:fldChar w:fldCharType="separate"/>
      </w:r>
      <w:r>
        <w:rPr>
          <w:kern w:val="2"/>
          <w:szCs w:val="24"/>
        </w:rPr>
        <w:t>72</w:t>
      </w:r>
      <w:r>
        <w:rPr>
          <w:kern w:val="2"/>
          <w:szCs w:val="24"/>
        </w:rPr>
        <w:fldChar w:fldCharType="end"/>
      </w:r>
      <w:r>
        <w:rPr>
          <w:kern w:val="2"/>
          <w:szCs w:val="24"/>
        </w:rPr>
        <w:fldChar w:fldCharType="end"/>
      </w:r>
    </w:p>
    <w:p>
      <w:pPr>
        <w:pStyle w:val="11"/>
        <w:tabs>
          <w:tab w:val="right" w:leader="dot" w:pos="8306"/>
        </w:tabs>
        <w:spacing w:line="578" w:lineRule="exact"/>
      </w:pPr>
      <w:r>
        <w:fldChar w:fldCharType="begin"/>
      </w:r>
      <w:r>
        <w:instrText xml:space="preserve"> HYPERLINK \l "_Toc5401" </w:instrText>
      </w:r>
      <w:r>
        <w:fldChar w:fldCharType="separate"/>
      </w:r>
      <w:r>
        <w:rPr>
          <w:rFonts w:hint="eastAsia" w:eastAsia="仿宋_GB2312" w:cs="仿宋_GB2312"/>
          <w:szCs w:val="32"/>
        </w:rPr>
        <w:t>53.</w:t>
      </w:r>
      <w:r>
        <w:rPr>
          <w:rFonts w:hint="eastAsia" w:hAnsi="仿宋_GB2312" w:eastAsia="仿宋_GB2312" w:cs="仿宋_GB2312"/>
          <w:szCs w:val="32"/>
        </w:rPr>
        <w:t>城镇棚户区住房改造</w:t>
      </w:r>
      <w:r>
        <w:tab/>
      </w:r>
      <w:r>
        <w:fldChar w:fldCharType="begin" w:fldLock="1"/>
      </w:r>
      <w:r>
        <w:instrText xml:space="preserve"> PAGEREF _Toc5401 </w:instrText>
      </w:r>
      <w:r>
        <w:fldChar w:fldCharType="separate"/>
      </w:r>
      <w:r>
        <w:t>73</w:t>
      </w:r>
      <w:r>
        <w:fldChar w:fldCharType="end"/>
      </w:r>
      <w:r>
        <w:fldChar w:fldCharType="end"/>
      </w:r>
    </w:p>
    <w:p>
      <w:pPr>
        <w:pStyle w:val="11"/>
        <w:tabs>
          <w:tab w:val="right" w:leader="dot" w:pos="8306"/>
        </w:tabs>
        <w:spacing w:line="578" w:lineRule="exact"/>
      </w:pPr>
      <w:r>
        <w:fldChar w:fldCharType="begin"/>
      </w:r>
      <w:r>
        <w:instrText xml:space="preserve"> HYPERLINK \l "_Toc13286" </w:instrText>
      </w:r>
      <w:r>
        <w:fldChar w:fldCharType="separate"/>
      </w:r>
      <w:r>
        <w:rPr>
          <w:rFonts w:hint="eastAsia" w:eastAsia="仿宋_GB2312" w:cs="仿宋_GB2312"/>
          <w:szCs w:val="32"/>
        </w:rPr>
        <w:t>54.</w:t>
      </w:r>
      <w:r>
        <w:rPr>
          <w:rFonts w:hint="eastAsia" w:hAnsi="仿宋_GB2312" w:eastAsia="仿宋_GB2312" w:cs="仿宋_GB2312"/>
          <w:szCs w:val="32"/>
        </w:rPr>
        <w:t>农村危房改造</w:t>
      </w:r>
      <w:r>
        <w:tab/>
      </w:r>
      <w:r>
        <w:fldChar w:fldCharType="begin" w:fldLock="1"/>
      </w:r>
      <w:r>
        <w:instrText xml:space="preserve"> PAGEREF _Toc13286 </w:instrText>
      </w:r>
      <w:r>
        <w:fldChar w:fldCharType="separate"/>
      </w:r>
      <w:r>
        <w:t>74</w:t>
      </w:r>
      <w:r>
        <w:fldChar w:fldCharType="end"/>
      </w:r>
      <w:r>
        <w:fldChar w:fldCharType="end"/>
      </w:r>
    </w:p>
    <w:p>
      <w:pPr>
        <w:pStyle w:val="19"/>
        <w:tabs>
          <w:tab w:val="right" w:leader="dot" w:pos="8306"/>
        </w:tabs>
        <w:spacing w:line="578" w:lineRule="exact"/>
        <w:rPr>
          <w:kern w:val="2"/>
          <w:szCs w:val="24"/>
        </w:rPr>
      </w:pPr>
      <w:r>
        <w:fldChar w:fldCharType="begin"/>
      </w:r>
      <w:r>
        <w:instrText xml:space="preserve"> HYPERLINK \l "_Toc11606" </w:instrText>
      </w:r>
      <w:r>
        <w:fldChar w:fldCharType="separate"/>
      </w:r>
      <w:r>
        <w:rPr>
          <w:rFonts w:hint="eastAsia" w:hAnsi="黑体" w:eastAsia="黑体" w:cs="黑体"/>
          <w:kern w:val="2"/>
          <w:szCs w:val="32"/>
        </w:rPr>
        <w:t>七、弱有所扶</w:t>
      </w:r>
      <w:r>
        <w:rPr>
          <w:kern w:val="2"/>
          <w:szCs w:val="24"/>
        </w:rPr>
        <w:tab/>
      </w:r>
      <w:r>
        <w:rPr>
          <w:kern w:val="2"/>
          <w:szCs w:val="24"/>
        </w:rPr>
        <w:fldChar w:fldCharType="begin" w:fldLock="1"/>
      </w:r>
      <w:r>
        <w:rPr>
          <w:kern w:val="2"/>
          <w:szCs w:val="24"/>
        </w:rPr>
        <w:instrText xml:space="preserve"> PAGEREF _Toc11606 </w:instrText>
      </w:r>
      <w:r>
        <w:rPr>
          <w:kern w:val="2"/>
          <w:szCs w:val="24"/>
        </w:rPr>
        <w:fldChar w:fldCharType="separate"/>
      </w:r>
      <w:r>
        <w:rPr>
          <w:kern w:val="2"/>
          <w:szCs w:val="24"/>
        </w:rPr>
        <w:t>77</w:t>
      </w:r>
      <w:r>
        <w:rPr>
          <w:kern w:val="2"/>
          <w:szCs w:val="24"/>
        </w:rPr>
        <w:fldChar w:fldCharType="end"/>
      </w:r>
      <w:r>
        <w:rPr>
          <w:kern w:val="2"/>
          <w:szCs w:val="24"/>
        </w:rPr>
        <w:fldChar w:fldCharType="end"/>
      </w:r>
    </w:p>
    <w:p>
      <w:pPr>
        <w:pStyle w:val="23"/>
        <w:tabs>
          <w:tab w:val="right" w:leader="dot" w:pos="8306"/>
        </w:tabs>
        <w:spacing w:line="578" w:lineRule="exact"/>
        <w:rPr>
          <w:kern w:val="2"/>
          <w:szCs w:val="24"/>
        </w:rPr>
      </w:pPr>
      <w:r>
        <w:fldChar w:fldCharType="begin"/>
      </w:r>
      <w:r>
        <w:instrText xml:space="preserve"> HYPERLINK \l "_Toc28165" </w:instrText>
      </w:r>
      <w:r>
        <w:fldChar w:fldCharType="separate"/>
      </w:r>
      <w:r>
        <w:rPr>
          <w:rFonts w:hint="eastAsia" w:hAnsi="楷体_GB2312" w:eastAsia="楷体_GB2312" w:cs="楷体_GB2312"/>
          <w:kern w:val="2"/>
          <w:szCs w:val="32"/>
        </w:rPr>
        <w:t>（十七）社会救助服务</w:t>
      </w:r>
      <w:r>
        <w:rPr>
          <w:kern w:val="2"/>
          <w:szCs w:val="24"/>
        </w:rPr>
        <w:tab/>
      </w:r>
      <w:r>
        <w:rPr>
          <w:kern w:val="2"/>
          <w:szCs w:val="24"/>
        </w:rPr>
        <w:fldChar w:fldCharType="begin" w:fldLock="1"/>
      </w:r>
      <w:r>
        <w:rPr>
          <w:kern w:val="2"/>
          <w:szCs w:val="24"/>
        </w:rPr>
        <w:instrText xml:space="preserve"> PAGEREF _Toc28165 </w:instrText>
      </w:r>
      <w:r>
        <w:rPr>
          <w:kern w:val="2"/>
          <w:szCs w:val="24"/>
        </w:rPr>
        <w:fldChar w:fldCharType="separate"/>
      </w:r>
      <w:r>
        <w:rPr>
          <w:kern w:val="2"/>
          <w:szCs w:val="24"/>
        </w:rPr>
        <w:t>77</w:t>
      </w:r>
      <w:r>
        <w:rPr>
          <w:kern w:val="2"/>
          <w:szCs w:val="24"/>
        </w:rPr>
        <w:fldChar w:fldCharType="end"/>
      </w:r>
      <w:r>
        <w:rPr>
          <w:kern w:val="2"/>
          <w:szCs w:val="24"/>
        </w:rPr>
        <w:fldChar w:fldCharType="end"/>
      </w:r>
    </w:p>
    <w:p>
      <w:pPr>
        <w:pStyle w:val="11"/>
        <w:tabs>
          <w:tab w:val="right" w:leader="dot" w:pos="8306"/>
        </w:tabs>
        <w:spacing w:line="578" w:lineRule="exact"/>
      </w:pPr>
      <w:r>
        <w:fldChar w:fldCharType="begin"/>
      </w:r>
      <w:r>
        <w:instrText xml:space="preserve"> HYPERLINK \l "_Toc23301" </w:instrText>
      </w:r>
      <w:r>
        <w:fldChar w:fldCharType="separate"/>
      </w:r>
      <w:r>
        <w:rPr>
          <w:rFonts w:hint="eastAsia" w:eastAsia="仿宋_GB2312" w:cs="仿宋_GB2312"/>
          <w:szCs w:val="32"/>
        </w:rPr>
        <w:t>55.</w:t>
      </w:r>
      <w:r>
        <w:rPr>
          <w:rFonts w:hint="eastAsia" w:hAnsi="仿宋_GB2312" w:eastAsia="仿宋_GB2312" w:cs="仿宋_GB2312"/>
          <w:szCs w:val="32"/>
        </w:rPr>
        <w:t>最低生活保障</w:t>
      </w:r>
      <w:r>
        <w:tab/>
      </w:r>
      <w:r>
        <w:fldChar w:fldCharType="begin" w:fldLock="1"/>
      </w:r>
      <w:r>
        <w:instrText xml:space="preserve"> PAGEREF _Toc23301 </w:instrText>
      </w:r>
      <w:r>
        <w:fldChar w:fldCharType="separate"/>
      </w:r>
      <w:r>
        <w:t>77</w:t>
      </w:r>
      <w:r>
        <w:fldChar w:fldCharType="end"/>
      </w:r>
      <w:r>
        <w:fldChar w:fldCharType="end"/>
      </w:r>
    </w:p>
    <w:p>
      <w:pPr>
        <w:pStyle w:val="11"/>
        <w:tabs>
          <w:tab w:val="right" w:leader="dot" w:pos="8306"/>
        </w:tabs>
        <w:spacing w:line="578" w:lineRule="exact"/>
      </w:pPr>
      <w:r>
        <w:fldChar w:fldCharType="begin"/>
      </w:r>
      <w:r>
        <w:instrText xml:space="preserve"> HYPERLINK \l "_Toc29582" </w:instrText>
      </w:r>
      <w:r>
        <w:fldChar w:fldCharType="separate"/>
      </w:r>
      <w:r>
        <w:rPr>
          <w:rFonts w:hint="eastAsia" w:eastAsia="仿宋_GB2312" w:cs="仿宋_GB2312"/>
          <w:szCs w:val="32"/>
        </w:rPr>
        <w:t>56.</w:t>
      </w:r>
      <w:r>
        <w:rPr>
          <w:rFonts w:hint="eastAsia" w:hAnsi="仿宋_GB2312" w:eastAsia="仿宋_GB2312" w:cs="仿宋_GB2312"/>
          <w:szCs w:val="32"/>
        </w:rPr>
        <w:t>特困人员救助供养</w:t>
      </w:r>
      <w:r>
        <w:tab/>
      </w:r>
      <w:r>
        <w:fldChar w:fldCharType="begin" w:fldLock="1"/>
      </w:r>
      <w:r>
        <w:instrText xml:space="preserve"> PAGEREF _Toc29582 </w:instrText>
      </w:r>
      <w:r>
        <w:fldChar w:fldCharType="separate"/>
      </w:r>
      <w:r>
        <w:t>78</w:t>
      </w:r>
      <w:r>
        <w:fldChar w:fldCharType="end"/>
      </w:r>
      <w:r>
        <w:fldChar w:fldCharType="end"/>
      </w:r>
    </w:p>
    <w:p>
      <w:pPr>
        <w:pStyle w:val="11"/>
        <w:tabs>
          <w:tab w:val="right" w:leader="dot" w:pos="8306"/>
        </w:tabs>
        <w:spacing w:line="578" w:lineRule="exact"/>
      </w:pPr>
      <w:r>
        <w:fldChar w:fldCharType="begin"/>
      </w:r>
      <w:r>
        <w:instrText xml:space="preserve"> HYPERLINK \l "_Toc25160" </w:instrText>
      </w:r>
      <w:r>
        <w:fldChar w:fldCharType="separate"/>
      </w:r>
      <w:r>
        <w:rPr>
          <w:rFonts w:hint="eastAsia" w:eastAsia="仿宋_GB2312" w:cs="仿宋_GB2312"/>
          <w:szCs w:val="32"/>
        </w:rPr>
        <w:t>57.</w:t>
      </w:r>
      <w:r>
        <w:rPr>
          <w:rFonts w:hint="eastAsia" w:hAnsi="仿宋_GB2312" w:eastAsia="仿宋_GB2312" w:cs="仿宋_GB2312"/>
          <w:szCs w:val="32"/>
        </w:rPr>
        <w:t>医疗救助</w:t>
      </w:r>
      <w:r>
        <w:tab/>
      </w:r>
      <w:r>
        <w:fldChar w:fldCharType="begin" w:fldLock="1"/>
      </w:r>
      <w:r>
        <w:instrText xml:space="preserve"> PAGEREF _Toc25160 </w:instrText>
      </w:r>
      <w:r>
        <w:fldChar w:fldCharType="separate"/>
      </w:r>
      <w:r>
        <w:t>79</w:t>
      </w:r>
      <w:r>
        <w:fldChar w:fldCharType="end"/>
      </w:r>
      <w:r>
        <w:fldChar w:fldCharType="end"/>
      </w:r>
    </w:p>
    <w:p>
      <w:pPr>
        <w:pStyle w:val="11"/>
        <w:tabs>
          <w:tab w:val="right" w:leader="dot" w:pos="8306"/>
        </w:tabs>
        <w:spacing w:line="578" w:lineRule="exact"/>
      </w:pPr>
      <w:r>
        <w:fldChar w:fldCharType="begin"/>
      </w:r>
      <w:r>
        <w:instrText xml:space="preserve"> HYPERLINK \l "_Toc10315" </w:instrText>
      </w:r>
      <w:r>
        <w:fldChar w:fldCharType="separate"/>
      </w:r>
      <w:r>
        <w:rPr>
          <w:rFonts w:hint="eastAsia" w:eastAsia="仿宋_GB2312" w:cs="仿宋_GB2312"/>
          <w:szCs w:val="32"/>
        </w:rPr>
        <w:t>58.</w:t>
      </w:r>
      <w:r>
        <w:rPr>
          <w:rFonts w:hint="eastAsia" w:hAnsi="仿宋_GB2312" w:eastAsia="仿宋_GB2312" w:cs="仿宋_GB2312"/>
          <w:szCs w:val="32"/>
        </w:rPr>
        <w:t>临时救助</w:t>
      </w:r>
      <w:r>
        <w:tab/>
      </w:r>
      <w:r>
        <w:fldChar w:fldCharType="begin" w:fldLock="1"/>
      </w:r>
      <w:r>
        <w:instrText xml:space="preserve"> PAGEREF _Toc10315 </w:instrText>
      </w:r>
      <w:r>
        <w:fldChar w:fldCharType="separate"/>
      </w:r>
      <w:r>
        <w:t>83</w:t>
      </w:r>
      <w:r>
        <w:fldChar w:fldCharType="end"/>
      </w:r>
      <w:r>
        <w:fldChar w:fldCharType="end"/>
      </w:r>
    </w:p>
    <w:p>
      <w:pPr>
        <w:pStyle w:val="11"/>
        <w:tabs>
          <w:tab w:val="right" w:leader="dot" w:pos="8306"/>
        </w:tabs>
        <w:spacing w:line="578" w:lineRule="exact"/>
      </w:pPr>
      <w:r>
        <w:fldChar w:fldCharType="begin"/>
      </w:r>
      <w:r>
        <w:instrText xml:space="preserve"> HYPERLINK \l "_Toc11806" </w:instrText>
      </w:r>
      <w:r>
        <w:fldChar w:fldCharType="separate"/>
      </w:r>
      <w:r>
        <w:rPr>
          <w:rFonts w:hint="eastAsia" w:eastAsia="仿宋_GB2312" w:cs="仿宋_GB2312"/>
          <w:szCs w:val="32"/>
        </w:rPr>
        <w:t>59.</w:t>
      </w:r>
      <w:r>
        <w:rPr>
          <w:rFonts w:hint="eastAsia" w:hAnsi="仿宋_GB2312" w:eastAsia="仿宋_GB2312" w:cs="仿宋_GB2312"/>
          <w:szCs w:val="32"/>
        </w:rPr>
        <w:t>受灾人员救助</w:t>
      </w:r>
      <w:r>
        <w:tab/>
      </w:r>
      <w:r>
        <w:fldChar w:fldCharType="begin" w:fldLock="1"/>
      </w:r>
      <w:r>
        <w:instrText xml:space="preserve"> PAGEREF _Toc11806 </w:instrText>
      </w:r>
      <w:r>
        <w:fldChar w:fldCharType="separate"/>
      </w:r>
      <w:r>
        <w:t>84</w:t>
      </w:r>
      <w:r>
        <w:fldChar w:fldCharType="end"/>
      </w:r>
      <w:r>
        <w:fldChar w:fldCharType="end"/>
      </w:r>
    </w:p>
    <w:p>
      <w:pPr>
        <w:pStyle w:val="23"/>
        <w:tabs>
          <w:tab w:val="right" w:leader="dot" w:pos="8306"/>
        </w:tabs>
        <w:spacing w:line="578" w:lineRule="exact"/>
        <w:rPr>
          <w:kern w:val="2"/>
          <w:szCs w:val="24"/>
        </w:rPr>
      </w:pPr>
      <w:r>
        <w:fldChar w:fldCharType="begin"/>
      </w:r>
      <w:r>
        <w:instrText xml:space="preserve"> HYPERLINK \l "_Toc10686" </w:instrText>
      </w:r>
      <w:r>
        <w:fldChar w:fldCharType="separate"/>
      </w:r>
      <w:r>
        <w:rPr>
          <w:rFonts w:hint="eastAsia" w:hAnsi="楷体_GB2312" w:eastAsia="楷体_GB2312" w:cs="楷体_GB2312"/>
          <w:kern w:val="2"/>
          <w:szCs w:val="32"/>
        </w:rPr>
        <w:t>（十八）公共法律服务</w:t>
      </w:r>
      <w:r>
        <w:rPr>
          <w:kern w:val="2"/>
          <w:szCs w:val="24"/>
        </w:rPr>
        <w:tab/>
      </w:r>
      <w:r>
        <w:rPr>
          <w:kern w:val="2"/>
          <w:szCs w:val="24"/>
        </w:rPr>
        <w:fldChar w:fldCharType="begin" w:fldLock="1"/>
      </w:r>
      <w:r>
        <w:rPr>
          <w:kern w:val="2"/>
          <w:szCs w:val="24"/>
        </w:rPr>
        <w:instrText xml:space="preserve"> PAGEREF _Toc10686 </w:instrText>
      </w:r>
      <w:r>
        <w:rPr>
          <w:kern w:val="2"/>
          <w:szCs w:val="24"/>
        </w:rPr>
        <w:fldChar w:fldCharType="separate"/>
      </w:r>
      <w:r>
        <w:rPr>
          <w:kern w:val="2"/>
          <w:szCs w:val="24"/>
        </w:rPr>
        <w:t>87</w:t>
      </w:r>
      <w:r>
        <w:rPr>
          <w:kern w:val="2"/>
          <w:szCs w:val="24"/>
        </w:rPr>
        <w:fldChar w:fldCharType="end"/>
      </w:r>
      <w:r>
        <w:rPr>
          <w:kern w:val="2"/>
          <w:szCs w:val="24"/>
        </w:rPr>
        <w:fldChar w:fldCharType="end"/>
      </w:r>
    </w:p>
    <w:p>
      <w:pPr>
        <w:pStyle w:val="11"/>
        <w:tabs>
          <w:tab w:val="right" w:leader="dot" w:pos="8306"/>
        </w:tabs>
        <w:spacing w:line="578" w:lineRule="exact"/>
      </w:pPr>
      <w:r>
        <w:fldChar w:fldCharType="begin"/>
      </w:r>
      <w:r>
        <w:instrText xml:space="preserve"> HYPERLINK \l "_Toc4486" </w:instrText>
      </w:r>
      <w:r>
        <w:fldChar w:fldCharType="separate"/>
      </w:r>
      <w:r>
        <w:rPr>
          <w:rFonts w:hint="eastAsia" w:eastAsia="仿宋_GB2312" w:cs="仿宋_GB2312"/>
          <w:szCs w:val="32"/>
        </w:rPr>
        <w:t>60.</w:t>
      </w:r>
      <w:r>
        <w:rPr>
          <w:rFonts w:hint="eastAsia" w:hAnsi="仿宋_GB2312" w:eastAsia="仿宋_GB2312" w:cs="仿宋_GB2312"/>
          <w:szCs w:val="32"/>
        </w:rPr>
        <w:t>法律援助</w:t>
      </w:r>
      <w:r>
        <w:tab/>
      </w:r>
      <w:r>
        <w:fldChar w:fldCharType="begin" w:fldLock="1"/>
      </w:r>
      <w:r>
        <w:instrText xml:space="preserve"> PAGEREF _Toc4486 </w:instrText>
      </w:r>
      <w:r>
        <w:fldChar w:fldCharType="separate"/>
      </w:r>
      <w:r>
        <w:t>87</w:t>
      </w:r>
      <w:r>
        <w:fldChar w:fldCharType="end"/>
      </w:r>
      <w:r>
        <w:fldChar w:fldCharType="end"/>
      </w:r>
    </w:p>
    <w:p>
      <w:pPr>
        <w:pStyle w:val="23"/>
        <w:tabs>
          <w:tab w:val="right" w:leader="dot" w:pos="8306"/>
        </w:tabs>
        <w:spacing w:line="578" w:lineRule="exact"/>
        <w:rPr>
          <w:kern w:val="2"/>
          <w:szCs w:val="24"/>
        </w:rPr>
      </w:pPr>
      <w:r>
        <w:fldChar w:fldCharType="begin"/>
      </w:r>
      <w:r>
        <w:instrText xml:space="preserve"> HYPERLINK \l "_Toc1123" </w:instrText>
      </w:r>
      <w:r>
        <w:fldChar w:fldCharType="separate"/>
      </w:r>
      <w:r>
        <w:rPr>
          <w:rFonts w:hint="eastAsia" w:hAnsi="楷体_GB2312" w:eastAsia="楷体_GB2312" w:cs="楷体_GB2312"/>
          <w:kern w:val="2"/>
          <w:szCs w:val="32"/>
        </w:rPr>
        <w:t>（十九）扶残助残服务</w:t>
      </w:r>
      <w:r>
        <w:rPr>
          <w:kern w:val="2"/>
          <w:szCs w:val="24"/>
        </w:rPr>
        <w:tab/>
      </w:r>
      <w:r>
        <w:rPr>
          <w:kern w:val="2"/>
          <w:szCs w:val="24"/>
        </w:rPr>
        <w:fldChar w:fldCharType="begin" w:fldLock="1"/>
      </w:r>
      <w:r>
        <w:rPr>
          <w:kern w:val="2"/>
          <w:szCs w:val="24"/>
        </w:rPr>
        <w:instrText xml:space="preserve"> PAGEREF _Toc1123 </w:instrText>
      </w:r>
      <w:r>
        <w:rPr>
          <w:kern w:val="2"/>
          <w:szCs w:val="24"/>
        </w:rPr>
        <w:fldChar w:fldCharType="separate"/>
      </w:r>
      <w:r>
        <w:rPr>
          <w:kern w:val="2"/>
          <w:szCs w:val="24"/>
        </w:rPr>
        <w:t>91</w:t>
      </w:r>
      <w:r>
        <w:rPr>
          <w:kern w:val="2"/>
          <w:szCs w:val="24"/>
        </w:rPr>
        <w:fldChar w:fldCharType="end"/>
      </w:r>
      <w:r>
        <w:rPr>
          <w:kern w:val="2"/>
          <w:szCs w:val="24"/>
        </w:rPr>
        <w:fldChar w:fldCharType="end"/>
      </w:r>
    </w:p>
    <w:p>
      <w:pPr>
        <w:pStyle w:val="11"/>
        <w:tabs>
          <w:tab w:val="right" w:leader="dot" w:pos="8306"/>
        </w:tabs>
        <w:spacing w:line="578" w:lineRule="exact"/>
      </w:pPr>
      <w:r>
        <w:fldChar w:fldCharType="begin"/>
      </w:r>
      <w:r>
        <w:instrText xml:space="preserve"> HYPERLINK \l "_Toc16029" </w:instrText>
      </w:r>
      <w:r>
        <w:fldChar w:fldCharType="separate"/>
      </w:r>
      <w:r>
        <w:rPr>
          <w:rFonts w:hint="eastAsia" w:eastAsia="仿宋_GB2312" w:cs="仿宋_GB2312"/>
          <w:szCs w:val="32"/>
        </w:rPr>
        <w:t>61.</w:t>
      </w:r>
      <w:r>
        <w:rPr>
          <w:rFonts w:hint="eastAsia" w:hAnsi="仿宋_GB2312" w:eastAsia="仿宋_GB2312" w:cs="仿宋_GB2312"/>
          <w:szCs w:val="32"/>
        </w:rPr>
        <w:t>困难残疾人生活补贴和重度残疾人护理补贴</w:t>
      </w:r>
      <w:r>
        <w:tab/>
      </w:r>
      <w:r>
        <w:fldChar w:fldCharType="begin" w:fldLock="1"/>
      </w:r>
      <w:r>
        <w:instrText xml:space="preserve"> PAGEREF _Toc16029 </w:instrText>
      </w:r>
      <w:r>
        <w:fldChar w:fldCharType="separate"/>
      </w:r>
      <w:r>
        <w:t>91</w:t>
      </w:r>
      <w:r>
        <w:fldChar w:fldCharType="end"/>
      </w:r>
      <w:r>
        <w:fldChar w:fldCharType="end"/>
      </w:r>
    </w:p>
    <w:p>
      <w:pPr>
        <w:pStyle w:val="11"/>
        <w:tabs>
          <w:tab w:val="right" w:leader="dot" w:pos="8306"/>
        </w:tabs>
        <w:spacing w:line="578" w:lineRule="exact"/>
      </w:pPr>
      <w:r>
        <w:fldChar w:fldCharType="begin"/>
      </w:r>
      <w:r>
        <w:instrText xml:space="preserve"> HYPERLINK \l "_Toc25392" </w:instrText>
      </w:r>
      <w:r>
        <w:fldChar w:fldCharType="separate"/>
      </w:r>
      <w:r>
        <w:rPr>
          <w:rFonts w:hint="eastAsia" w:eastAsia="仿宋_GB2312" w:cs="仿宋_GB2312"/>
          <w:szCs w:val="32"/>
        </w:rPr>
        <w:t>62.</w:t>
      </w:r>
      <w:r>
        <w:rPr>
          <w:rFonts w:hint="eastAsia" w:hAnsi="仿宋_GB2312" w:eastAsia="仿宋_GB2312" w:cs="仿宋_GB2312"/>
          <w:szCs w:val="32"/>
        </w:rPr>
        <w:t>无业重度残疾人最低生活保障</w:t>
      </w:r>
      <w:r>
        <w:tab/>
      </w:r>
      <w:r>
        <w:fldChar w:fldCharType="begin" w:fldLock="1"/>
      </w:r>
      <w:r>
        <w:instrText xml:space="preserve"> PAGEREF _Toc25392 </w:instrText>
      </w:r>
      <w:r>
        <w:fldChar w:fldCharType="separate"/>
      </w:r>
      <w:r>
        <w:t>94</w:t>
      </w:r>
      <w:r>
        <w:fldChar w:fldCharType="end"/>
      </w:r>
      <w:r>
        <w:fldChar w:fldCharType="end"/>
      </w:r>
    </w:p>
    <w:p>
      <w:pPr>
        <w:pStyle w:val="11"/>
        <w:tabs>
          <w:tab w:val="right" w:leader="dot" w:pos="8306"/>
        </w:tabs>
        <w:spacing w:line="578" w:lineRule="exact"/>
      </w:pPr>
      <w:r>
        <w:fldChar w:fldCharType="begin"/>
      </w:r>
      <w:r>
        <w:instrText xml:space="preserve"> HYPERLINK \l "_Toc6304" </w:instrText>
      </w:r>
      <w:r>
        <w:fldChar w:fldCharType="separate"/>
      </w:r>
      <w:r>
        <w:rPr>
          <w:rFonts w:hint="eastAsia" w:eastAsia="仿宋_GB2312" w:cs="仿宋_GB2312"/>
          <w:szCs w:val="32"/>
        </w:rPr>
        <w:t>63.</w:t>
      </w:r>
      <w:r>
        <w:rPr>
          <w:rFonts w:hint="eastAsia" w:hAnsi="仿宋_GB2312" w:eastAsia="仿宋_GB2312" w:cs="仿宋_GB2312"/>
          <w:szCs w:val="32"/>
        </w:rPr>
        <w:t>残疾人托养服务</w:t>
      </w:r>
      <w:r>
        <w:tab/>
      </w:r>
      <w:r>
        <w:fldChar w:fldCharType="begin" w:fldLock="1"/>
      </w:r>
      <w:r>
        <w:instrText xml:space="preserve"> PAGEREF _Toc6304 </w:instrText>
      </w:r>
      <w:r>
        <w:fldChar w:fldCharType="separate"/>
      </w:r>
      <w:r>
        <w:t>95</w:t>
      </w:r>
      <w:r>
        <w:fldChar w:fldCharType="end"/>
      </w:r>
      <w:r>
        <w:fldChar w:fldCharType="end"/>
      </w:r>
    </w:p>
    <w:p>
      <w:pPr>
        <w:pStyle w:val="11"/>
        <w:tabs>
          <w:tab w:val="right" w:leader="dot" w:pos="8306"/>
        </w:tabs>
        <w:spacing w:line="578" w:lineRule="exact"/>
      </w:pPr>
      <w:r>
        <w:fldChar w:fldCharType="begin"/>
      </w:r>
      <w:r>
        <w:instrText xml:space="preserve"> HYPERLINK \l "_Toc30726" </w:instrText>
      </w:r>
      <w:r>
        <w:fldChar w:fldCharType="separate"/>
      </w:r>
      <w:r>
        <w:rPr>
          <w:rFonts w:hint="eastAsia" w:eastAsia="仿宋_GB2312" w:cs="仿宋_GB2312"/>
          <w:szCs w:val="32"/>
        </w:rPr>
        <w:t>64.</w:t>
      </w:r>
      <w:r>
        <w:rPr>
          <w:rFonts w:hint="eastAsia" w:hAnsi="仿宋_GB2312" w:eastAsia="仿宋_GB2312" w:cs="仿宋_GB2312"/>
          <w:szCs w:val="32"/>
        </w:rPr>
        <w:t>残疾人康复服务</w:t>
      </w:r>
      <w:r>
        <w:tab/>
      </w:r>
      <w:r>
        <w:fldChar w:fldCharType="begin" w:fldLock="1"/>
      </w:r>
      <w:r>
        <w:instrText xml:space="preserve"> PAGEREF _Toc30726 </w:instrText>
      </w:r>
      <w:r>
        <w:fldChar w:fldCharType="separate"/>
      </w:r>
      <w:r>
        <w:t>96</w:t>
      </w:r>
      <w:r>
        <w:fldChar w:fldCharType="end"/>
      </w:r>
      <w:r>
        <w:fldChar w:fldCharType="end"/>
      </w:r>
    </w:p>
    <w:p>
      <w:pPr>
        <w:pStyle w:val="11"/>
        <w:tabs>
          <w:tab w:val="right" w:leader="dot" w:pos="8306"/>
        </w:tabs>
        <w:spacing w:line="578" w:lineRule="exact"/>
      </w:pPr>
      <w:r>
        <w:fldChar w:fldCharType="begin"/>
      </w:r>
      <w:r>
        <w:instrText xml:space="preserve"> HYPERLINK \l "_Toc24355" </w:instrText>
      </w:r>
      <w:r>
        <w:fldChar w:fldCharType="separate"/>
      </w:r>
      <w:r>
        <w:rPr>
          <w:rFonts w:hint="eastAsia" w:eastAsia="仿宋_GB2312" w:cs="仿宋_GB2312"/>
          <w:szCs w:val="32"/>
        </w:rPr>
        <w:t>65.</w:t>
      </w:r>
      <w:r>
        <w:rPr>
          <w:rFonts w:hint="eastAsia" w:hAnsi="仿宋_GB2312" w:eastAsia="仿宋_GB2312" w:cs="仿宋_GB2312"/>
          <w:szCs w:val="32"/>
        </w:rPr>
        <w:t>残疾儿童及青少年教育</w:t>
      </w:r>
      <w:r>
        <w:tab/>
      </w:r>
      <w:r>
        <w:fldChar w:fldCharType="begin" w:fldLock="1"/>
      </w:r>
      <w:r>
        <w:instrText xml:space="preserve"> PAGEREF _Toc24355 </w:instrText>
      </w:r>
      <w:r>
        <w:fldChar w:fldCharType="separate"/>
      </w:r>
      <w:r>
        <w:t>99</w:t>
      </w:r>
      <w:r>
        <w:fldChar w:fldCharType="end"/>
      </w:r>
      <w:r>
        <w:fldChar w:fldCharType="end"/>
      </w:r>
    </w:p>
    <w:p>
      <w:pPr>
        <w:pStyle w:val="11"/>
        <w:tabs>
          <w:tab w:val="right" w:leader="dot" w:pos="8306"/>
        </w:tabs>
        <w:spacing w:line="578" w:lineRule="exact"/>
      </w:pPr>
      <w:r>
        <w:fldChar w:fldCharType="begin"/>
      </w:r>
      <w:r>
        <w:instrText xml:space="preserve"> HYPERLINK \l "_Toc19604" </w:instrText>
      </w:r>
      <w:r>
        <w:fldChar w:fldCharType="separate"/>
      </w:r>
      <w:r>
        <w:rPr>
          <w:rFonts w:hint="eastAsia" w:eastAsia="仿宋_GB2312" w:cs="仿宋_GB2312"/>
          <w:szCs w:val="32"/>
        </w:rPr>
        <w:t>66.</w:t>
      </w:r>
      <w:r>
        <w:rPr>
          <w:rFonts w:hint="eastAsia" w:hAnsi="仿宋_GB2312" w:eastAsia="仿宋_GB2312" w:cs="仿宋_GB2312"/>
          <w:szCs w:val="32"/>
        </w:rPr>
        <w:t>残疾人职业培训和创业就业服务</w:t>
      </w:r>
      <w:r>
        <w:tab/>
      </w:r>
      <w:r>
        <w:fldChar w:fldCharType="begin" w:fldLock="1"/>
      </w:r>
      <w:r>
        <w:instrText xml:space="preserve"> PAGEREF _Toc19604 </w:instrText>
      </w:r>
      <w:r>
        <w:fldChar w:fldCharType="separate"/>
      </w:r>
      <w:r>
        <w:t>99</w:t>
      </w:r>
      <w:r>
        <w:fldChar w:fldCharType="end"/>
      </w:r>
      <w:r>
        <w:fldChar w:fldCharType="end"/>
      </w:r>
    </w:p>
    <w:p>
      <w:pPr>
        <w:pStyle w:val="11"/>
        <w:tabs>
          <w:tab w:val="right" w:leader="dot" w:pos="8306"/>
        </w:tabs>
        <w:spacing w:line="578" w:lineRule="exact"/>
      </w:pPr>
      <w:r>
        <w:fldChar w:fldCharType="begin"/>
      </w:r>
      <w:r>
        <w:instrText xml:space="preserve"> HYPERLINK \l "_Toc17364" </w:instrText>
      </w:r>
      <w:r>
        <w:fldChar w:fldCharType="separate"/>
      </w:r>
      <w:r>
        <w:rPr>
          <w:rFonts w:hint="eastAsia" w:eastAsia="仿宋_GB2312" w:cs="仿宋_GB2312"/>
          <w:kern w:val="0"/>
          <w:szCs w:val="32"/>
        </w:rPr>
        <w:t>67.</w:t>
      </w:r>
      <w:r>
        <w:rPr>
          <w:rFonts w:hint="eastAsia" w:hAnsi="仿宋_GB2312" w:eastAsia="仿宋_GB2312" w:cs="仿宋_GB2312"/>
          <w:kern w:val="0"/>
          <w:szCs w:val="32"/>
        </w:rPr>
        <w:t>残疾人文化体育服务</w:t>
      </w:r>
      <w:r>
        <w:tab/>
      </w:r>
      <w:r>
        <w:fldChar w:fldCharType="begin" w:fldLock="1"/>
      </w:r>
      <w:r>
        <w:instrText xml:space="preserve"> PAGEREF _Toc17364 </w:instrText>
      </w:r>
      <w:r>
        <w:fldChar w:fldCharType="separate"/>
      </w:r>
      <w:r>
        <w:t>104</w:t>
      </w:r>
      <w:r>
        <w:fldChar w:fldCharType="end"/>
      </w:r>
      <w:r>
        <w:fldChar w:fldCharType="end"/>
      </w:r>
    </w:p>
    <w:p>
      <w:pPr>
        <w:pStyle w:val="11"/>
        <w:tabs>
          <w:tab w:val="right" w:leader="dot" w:pos="8306"/>
        </w:tabs>
        <w:spacing w:line="578" w:lineRule="exact"/>
      </w:pPr>
      <w:r>
        <w:fldChar w:fldCharType="begin"/>
      </w:r>
      <w:r>
        <w:instrText xml:space="preserve"> HYPERLINK \l "_Toc26503" </w:instrText>
      </w:r>
      <w:r>
        <w:fldChar w:fldCharType="separate"/>
      </w:r>
      <w:r>
        <w:rPr>
          <w:rFonts w:hint="eastAsia" w:eastAsia="仿宋_GB2312" w:cs="仿宋_GB2312"/>
          <w:kern w:val="0"/>
          <w:szCs w:val="32"/>
        </w:rPr>
        <w:t>68.</w:t>
      </w:r>
      <w:r>
        <w:rPr>
          <w:rFonts w:hint="eastAsia" w:hAnsi="仿宋_GB2312" w:eastAsia="仿宋_GB2312" w:cs="仿宋_GB2312"/>
          <w:kern w:val="0"/>
          <w:szCs w:val="32"/>
        </w:rPr>
        <w:t>残疾人和老年人无障碍环境建设</w:t>
      </w:r>
      <w:r>
        <w:tab/>
      </w:r>
      <w:r>
        <w:fldChar w:fldCharType="begin" w:fldLock="1"/>
      </w:r>
      <w:r>
        <w:instrText xml:space="preserve"> PAGEREF _Toc26503 </w:instrText>
      </w:r>
      <w:r>
        <w:fldChar w:fldCharType="separate"/>
      </w:r>
      <w:r>
        <w:t>105</w:t>
      </w:r>
      <w:r>
        <w:fldChar w:fldCharType="end"/>
      </w:r>
      <w:r>
        <w:fldChar w:fldCharType="end"/>
      </w:r>
    </w:p>
    <w:p>
      <w:pPr>
        <w:pStyle w:val="19"/>
        <w:tabs>
          <w:tab w:val="right" w:leader="dot" w:pos="8306"/>
        </w:tabs>
        <w:spacing w:line="578" w:lineRule="exact"/>
        <w:rPr>
          <w:kern w:val="2"/>
          <w:szCs w:val="24"/>
        </w:rPr>
      </w:pPr>
      <w:r>
        <w:fldChar w:fldCharType="begin"/>
      </w:r>
      <w:r>
        <w:instrText xml:space="preserve"> HYPERLINK \l "_Toc18310" </w:instrText>
      </w:r>
      <w:r>
        <w:fldChar w:fldCharType="separate"/>
      </w:r>
      <w:r>
        <w:rPr>
          <w:rFonts w:hint="eastAsia" w:hAnsi="黑体" w:eastAsia="黑体" w:cs="黑体"/>
          <w:kern w:val="2"/>
          <w:szCs w:val="32"/>
        </w:rPr>
        <w:t>八、优军服务保障</w:t>
      </w:r>
      <w:r>
        <w:rPr>
          <w:kern w:val="2"/>
          <w:szCs w:val="24"/>
        </w:rPr>
        <w:tab/>
      </w:r>
      <w:r>
        <w:rPr>
          <w:kern w:val="2"/>
          <w:szCs w:val="24"/>
        </w:rPr>
        <w:fldChar w:fldCharType="begin" w:fldLock="1"/>
      </w:r>
      <w:r>
        <w:rPr>
          <w:kern w:val="2"/>
          <w:szCs w:val="24"/>
        </w:rPr>
        <w:instrText xml:space="preserve"> PAGEREF _Toc18310 </w:instrText>
      </w:r>
      <w:r>
        <w:rPr>
          <w:kern w:val="2"/>
          <w:szCs w:val="24"/>
        </w:rPr>
        <w:fldChar w:fldCharType="separate"/>
      </w:r>
      <w:r>
        <w:rPr>
          <w:kern w:val="2"/>
          <w:szCs w:val="24"/>
        </w:rPr>
        <w:t>106</w:t>
      </w:r>
      <w:r>
        <w:rPr>
          <w:kern w:val="2"/>
          <w:szCs w:val="24"/>
        </w:rPr>
        <w:fldChar w:fldCharType="end"/>
      </w:r>
      <w:r>
        <w:rPr>
          <w:kern w:val="2"/>
          <w:szCs w:val="24"/>
        </w:rPr>
        <w:fldChar w:fldCharType="end"/>
      </w:r>
    </w:p>
    <w:p>
      <w:pPr>
        <w:pStyle w:val="23"/>
        <w:tabs>
          <w:tab w:val="right" w:leader="dot" w:pos="8306"/>
        </w:tabs>
        <w:spacing w:line="578" w:lineRule="exact"/>
        <w:rPr>
          <w:kern w:val="2"/>
          <w:szCs w:val="24"/>
        </w:rPr>
      </w:pPr>
      <w:r>
        <w:fldChar w:fldCharType="begin"/>
      </w:r>
      <w:r>
        <w:instrText xml:space="preserve"> HYPERLINK \l "_Toc20469" </w:instrText>
      </w:r>
      <w:r>
        <w:fldChar w:fldCharType="separate"/>
      </w:r>
      <w:r>
        <w:rPr>
          <w:rFonts w:hint="eastAsia" w:hAnsi="楷体_GB2312" w:eastAsia="楷体_GB2312" w:cs="楷体_GB2312"/>
          <w:kern w:val="2"/>
          <w:szCs w:val="32"/>
        </w:rPr>
        <w:t>（二十）优军优抚服务</w:t>
      </w:r>
      <w:r>
        <w:rPr>
          <w:kern w:val="2"/>
          <w:szCs w:val="24"/>
        </w:rPr>
        <w:tab/>
      </w:r>
      <w:r>
        <w:rPr>
          <w:kern w:val="2"/>
          <w:szCs w:val="24"/>
        </w:rPr>
        <w:fldChar w:fldCharType="begin" w:fldLock="1"/>
      </w:r>
      <w:r>
        <w:rPr>
          <w:kern w:val="2"/>
          <w:szCs w:val="24"/>
        </w:rPr>
        <w:instrText xml:space="preserve"> PAGEREF _Toc20469 </w:instrText>
      </w:r>
      <w:r>
        <w:rPr>
          <w:kern w:val="2"/>
          <w:szCs w:val="24"/>
        </w:rPr>
        <w:fldChar w:fldCharType="separate"/>
      </w:r>
      <w:r>
        <w:rPr>
          <w:kern w:val="2"/>
          <w:szCs w:val="24"/>
        </w:rPr>
        <w:t>106</w:t>
      </w:r>
      <w:r>
        <w:rPr>
          <w:kern w:val="2"/>
          <w:szCs w:val="24"/>
        </w:rPr>
        <w:fldChar w:fldCharType="end"/>
      </w:r>
      <w:r>
        <w:rPr>
          <w:kern w:val="2"/>
          <w:szCs w:val="24"/>
        </w:rPr>
        <w:fldChar w:fldCharType="end"/>
      </w:r>
    </w:p>
    <w:p>
      <w:pPr>
        <w:pStyle w:val="11"/>
        <w:tabs>
          <w:tab w:val="right" w:leader="dot" w:pos="8306"/>
        </w:tabs>
        <w:spacing w:line="578" w:lineRule="exact"/>
      </w:pPr>
      <w:r>
        <w:fldChar w:fldCharType="begin"/>
      </w:r>
      <w:r>
        <w:instrText xml:space="preserve"> HYPERLINK \l "_Toc24659" </w:instrText>
      </w:r>
      <w:r>
        <w:fldChar w:fldCharType="separate"/>
      </w:r>
      <w:r>
        <w:rPr>
          <w:rFonts w:hint="eastAsia" w:eastAsia="仿宋_GB2312" w:cs="仿宋_GB2312"/>
          <w:szCs w:val="32"/>
        </w:rPr>
        <w:t>69.</w:t>
      </w:r>
      <w:r>
        <w:rPr>
          <w:rFonts w:hint="eastAsia" w:hAnsi="仿宋_GB2312" w:eastAsia="仿宋_GB2312" w:cs="仿宋_GB2312"/>
          <w:szCs w:val="32"/>
        </w:rPr>
        <w:t>优待抚恤</w:t>
      </w:r>
      <w:r>
        <w:tab/>
      </w:r>
      <w:r>
        <w:fldChar w:fldCharType="begin" w:fldLock="1"/>
      </w:r>
      <w:r>
        <w:instrText xml:space="preserve"> PAGEREF _Toc24659 </w:instrText>
      </w:r>
      <w:r>
        <w:fldChar w:fldCharType="separate"/>
      </w:r>
      <w:r>
        <w:t>106</w:t>
      </w:r>
      <w:r>
        <w:fldChar w:fldCharType="end"/>
      </w:r>
      <w:r>
        <w:fldChar w:fldCharType="end"/>
      </w:r>
    </w:p>
    <w:p>
      <w:pPr>
        <w:pStyle w:val="11"/>
        <w:tabs>
          <w:tab w:val="right" w:leader="dot" w:pos="8306"/>
        </w:tabs>
        <w:spacing w:line="578" w:lineRule="exact"/>
      </w:pPr>
      <w:r>
        <w:fldChar w:fldCharType="begin"/>
      </w:r>
      <w:r>
        <w:instrText xml:space="preserve"> HYPERLINK \l "_Toc2406" </w:instrText>
      </w:r>
      <w:r>
        <w:fldChar w:fldCharType="separate"/>
      </w:r>
      <w:r>
        <w:rPr>
          <w:rFonts w:hint="eastAsia" w:eastAsia="仿宋_GB2312" w:cs="仿宋_GB2312"/>
          <w:szCs w:val="32"/>
        </w:rPr>
        <w:t>70.</w:t>
      </w:r>
      <w:r>
        <w:rPr>
          <w:rFonts w:hint="eastAsia" w:hAnsi="仿宋_GB2312" w:eastAsia="仿宋_GB2312" w:cs="仿宋_GB2312"/>
          <w:szCs w:val="32"/>
        </w:rPr>
        <w:t>退役军人安置</w:t>
      </w:r>
      <w:r>
        <w:tab/>
      </w:r>
      <w:r>
        <w:fldChar w:fldCharType="begin" w:fldLock="1"/>
      </w:r>
      <w:r>
        <w:instrText xml:space="preserve"> PAGEREF _Toc2406 </w:instrText>
      </w:r>
      <w:r>
        <w:fldChar w:fldCharType="separate"/>
      </w:r>
      <w:r>
        <w:t>107</w:t>
      </w:r>
      <w:r>
        <w:fldChar w:fldCharType="end"/>
      </w:r>
      <w:r>
        <w:fldChar w:fldCharType="end"/>
      </w:r>
    </w:p>
    <w:p>
      <w:pPr>
        <w:pStyle w:val="11"/>
        <w:tabs>
          <w:tab w:val="right" w:leader="dot" w:pos="8306"/>
        </w:tabs>
        <w:spacing w:line="578" w:lineRule="exact"/>
      </w:pPr>
      <w:r>
        <w:fldChar w:fldCharType="begin"/>
      </w:r>
      <w:r>
        <w:instrText xml:space="preserve"> HYPERLINK \l "_Toc14873" </w:instrText>
      </w:r>
      <w:r>
        <w:fldChar w:fldCharType="separate"/>
      </w:r>
      <w:r>
        <w:rPr>
          <w:rFonts w:hint="eastAsia" w:eastAsia="仿宋_GB2312" w:cs="仿宋_GB2312"/>
          <w:szCs w:val="32"/>
        </w:rPr>
        <w:t>71.</w:t>
      </w:r>
      <w:r>
        <w:rPr>
          <w:rFonts w:hint="eastAsia" w:hAnsi="仿宋_GB2312" w:eastAsia="仿宋_GB2312" w:cs="仿宋_GB2312"/>
          <w:szCs w:val="32"/>
        </w:rPr>
        <w:t>退役军人就业创业服务</w:t>
      </w:r>
      <w:r>
        <w:tab/>
      </w:r>
      <w:r>
        <w:fldChar w:fldCharType="begin" w:fldLock="1"/>
      </w:r>
      <w:r>
        <w:instrText xml:space="preserve"> PAGEREF _Toc14873 </w:instrText>
      </w:r>
      <w:r>
        <w:fldChar w:fldCharType="separate"/>
      </w:r>
      <w:r>
        <w:t>108</w:t>
      </w:r>
      <w:r>
        <w:fldChar w:fldCharType="end"/>
      </w:r>
      <w:r>
        <w:fldChar w:fldCharType="end"/>
      </w:r>
    </w:p>
    <w:p>
      <w:pPr>
        <w:pStyle w:val="11"/>
        <w:tabs>
          <w:tab w:val="right" w:leader="dot" w:pos="8306"/>
        </w:tabs>
        <w:spacing w:line="578" w:lineRule="exact"/>
      </w:pPr>
      <w:r>
        <w:fldChar w:fldCharType="begin"/>
      </w:r>
      <w:r>
        <w:instrText xml:space="preserve"> HYPERLINK \l "_Toc13548" </w:instrText>
      </w:r>
      <w:r>
        <w:fldChar w:fldCharType="separate"/>
      </w:r>
      <w:r>
        <w:rPr>
          <w:rFonts w:hint="eastAsia" w:eastAsia="仿宋_GB2312" w:cs="仿宋_GB2312"/>
          <w:szCs w:val="32"/>
        </w:rPr>
        <w:t>72.</w:t>
      </w:r>
      <w:r>
        <w:rPr>
          <w:rFonts w:hint="eastAsia" w:hAnsi="仿宋_GB2312" w:eastAsia="仿宋_GB2312" w:cs="仿宋_GB2312"/>
          <w:szCs w:val="32"/>
        </w:rPr>
        <w:t>特殊群体集中供养</w:t>
      </w:r>
      <w:r>
        <w:tab/>
      </w:r>
      <w:r>
        <w:fldChar w:fldCharType="begin" w:fldLock="1"/>
      </w:r>
      <w:r>
        <w:instrText xml:space="preserve"> PAGEREF _Toc13548 </w:instrText>
      </w:r>
      <w:r>
        <w:fldChar w:fldCharType="separate"/>
      </w:r>
      <w:r>
        <w:t>110</w:t>
      </w:r>
      <w:r>
        <w:fldChar w:fldCharType="end"/>
      </w:r>
      <w:r>
        <w:fldChar w:fldCharType="end"/>
      </w:r>
    </w:p>
    <w:p>
      <w:pPr>
        <w:pStyle w:val="19"/>
        <w:tabs>
          <w:tab w:val="right" w:leader="dot" w:pos="8306"/>
        </w:tabs>
        <w:spacing w:line="578" w:lineRule="exact"/>
        <w:rPr>
          <w:kern w:val="2"/>
          <w:szCs w:val="24"/>
        </w:rPr>
      </w:pPr>
      <w:r>
        <w:fldChar w:fldCharType="begin"/>
      </w:r>
      <w:r>
        <w:instrText xml:space="preserve"> HYPERLINK \l "_Toc11169" </w:instrText>
      </w:r>
      <w:r>
        <w:fldChar w:fldCharType="separate"/>
      </w:r>
      <w:r>
        <w:rPr>
          <w:rFonts w:hint="eastAsia" w:hAnsi="黑体" w:eastAsia="黑体" w:cs="黑体"/>
          <w:kern w:val="2"/>
          <w:szCs w:val="32"/>
        </w:rPr>
        <w:t>九、文体服务保障</w:t>
      </w:r>
      <w:r>
        <w:rPr>
          <w:kern w:val="2"/>
          <w:szCs w:val="24"/>
        </w:rPr>
        <w:tab/>
      </w:r>
      <w:r>
        <w:rPr>
          <w:kern w:val="2"/>
          <w:szCs w:val="24"/>
        </w:rPr>
        <w:fldChar w:fldCharType="begin" w:fldLock="1"/>
      </w:r>
      <w:r>
        <w:rPr>
          <w:kern w:val="2"/>
          <w:szCs w:val="24"/>
        </w:rPr>
        <w:instrText xml:space="preserve"> PAGEREF _Toc11169 </w:instrText>
      </w:r>
      <w:r>
        <w:rPr>
          <w:kern w:val="2"/>
          <w:szCs w:val="24"/>
        </w:rPr>
        <w:fldChar w:fldCharType="separate"/>
      </w:r>
      <w:r>
        <w:rPr>
          <w:kern w:val="2"/>
          <w:szCs w:val="24"/>
        </w:rPr>
        <w:t>111</w:t>
      </w:r>
      <w:r>
        <w:rPr>
          <w:kern w:val="2"/>
          <w:szCs w:val="24"/>
        </w:rPr>
        <w:fldChar w:fldCharType="end"/>
      </w:r>
      <w:r>
        <w:rPr>
          <w:kern w:val="2"/>
          <w:szCs w:val="24"/>
        </w:rPr>
        <w:fldChar w:fldCharType="end"/>
      </w:r>
    </w:p>
    <w:p>
      <w:pPr>
        <w:pStyle w:val="23"/>
        <w:tabs>
          <w:tab w:val="right" w:leader="dot" w:pos="8306"/>
        </w:tabs>
        <w:spacing w:line="578" w:lineRule="exact"/>
        <w:rPr>
          <w:kern w:val="2"/>
          <w:szCs w:val="24"/>
        </w:rPr>
      </w:pPr>
      <w:r>
        <w:fldChar w:fldCharType="begin"/>
      </w:r>
      <w:r>
        <w:instrText xml:space="preserve"> HYPERLINK \l "_Toc10275" </w:instrText>
      </w:r>
      <w:r>
        <w:fldChar w:fldCharType="separate"/>
      </w:r>
      <w:r>
        <w:rPr>
          <w:rFonts w:hint="eastAsia" w:hAnsi="楷体_GB2312" w:eastAsia="楷体_GB2312" w:cs="楷体_GB2312"/>
          <w:kern w:val="2"/>
          <w:szCs w:val="32"/>
        </w:rPr>
        <w:t>（二十一）公共文化服务</w:t>
      </w:r>
      <w:r>
        <w:rPr>
          <w:kern w:val="2"/>
          <w:szCs w:val="24"/>
        </w:rPr>
        <w:tab/>
      </w:r>
      <w:r>
        <w:rPr>
          <w:kern w:val="2"/>
          <w:szCs w:val="24"/>
        </w:rPr>
        <w:fldChar w:fldCharType="begin" w:fldLock="1"/>
      </w:r>
      <w:r>
        <w:rPr>
          <w:kern w:val="2"/>
          <w:szCs w:val="24"/>
        </w:rPr>
        <w:instrText xml:space="preserve"> PAGEREF _Toc10275 </w:instrText>
      </w:r>
      <w:r>
        <w:rPr>
          <w:kern w:val="2"/>
          <w:szCs w:val="24"/>
        </w:rPr>
        <w:fldChar w:fldCharType="separate"/>
      </w:r>
      <w:r>
        <w:rPr>
          <w:kern w:val="2"/>
          <w:szCs w:val="24"/>
        </w:rPr>
        <w:t>111</w:t>
      </w:r>
      <w:r>
        <w:rPr>
          <w:kern w:val="2"/>
          <w:szCs w:val="24"/>
        </w:rPr>
        <w:fldChar w:fldCharType="end"/>
      </w:r>
      <w:r>
        <w:rPr>
          <w:kern w:val="2"/>
          <w:szCs w:val="24"/>
        </w:rPr>
        <w:fldChar w:fldCharType="end"/>
      </w:r>
    </w:p>
    <w:p>
      <w:pPr>
        <w:pStyle w:val="11"/>
        <w:tabs>
          <w:tab w:val="right" w:leader="dot" w:pos="8306"/>
        </w:tabs>
        <w:spacing w:line="578" w:lineRule="exact"/>
      </w:pPr>
      <w:r>
        <w:fldChar w:fldCharType="begin"/>
      </w:r>
      <w:r>
        <w:instrText xml:space="preserve"> HYPERLINK \l "_Toc3629" </w:instrText>
      </w:r>
      <w:r>
        <w:fldChar w:fldCharType="separate"/>
      </w:r>
      <w:r>
        <w:rPr>
          <w:rFonts w:hint="eastAsia" w:eastAsia="仿宋_GB2312" w:cs="仿宋_GB2312"/>
          <w:szCs w:val="32"/>
        </w:rPr>
        <w:t>73.</w:t>
      </w:r>
      <w:r>
        <w:rPr>
          <w:rFonts w:hint="eastAsia" w:hAnsi="仿宋_GB2312" w:eastAsia="仿宋_GB2312" w:cs="仿宋_GB2312"/>
          <w:szCs w:val="32"/>
        </w:rPr>
        <w:t>公共文化设施免费开放</w:t>
      </w:r>
      <w:r>
        <w:tab/>
      </w:r>
      <w:r>
        <w:fldChar w:fldCharType="begin" w:fldLock="1"/>
      </w:r>
      <w:r>
        <w:instrText xml:space="preserve"> PAGEREF _Toc3629 </w:instrText>
      </w:r>
      <w:r>
        <w:fldChar w:fldCharType="separate"/>
      </w:r>
      <w:r>
        <w:t>111</w:t>
      </w:r>
      <w:r>
        <w:fldChar w:fldCharType="end"/>
      </w:r>
      <w:r>
        <w:fldChar w:fldCharType="end"/>
      </w:r>
    </w:p>
    <w:p>
      <w:pPr>
        <w:pStyle w:val="11"/>
        <w:tabs>
          <w:tab w:val="right" w:leader="dot" w:pos="8306"/>
        </w:tabs>
        <w:spacing w:line="578" w:lineRule="exact"/>
      </w:pPr>
      <w:r>
        <w:fldChar w:fldCharType="begin"/>
      </w:r>
      <w:r>
        <w:instrText xml:space="preserve"> HYPERLINK \l "_Toc4372" </w:instrText>
      </w:r>
      <w:r>
        <w:fldChar w:fldCharType="separate"/>
      </w:r>
      <w:r>
        <w:rPr>
          <w:rFonts w:hint="eastAsia" w:eastAsia="仿宋_GB2312"/>
          <w:szCs w:val="32"/>
        </w:rPr>
        <w:t>74.送戏曲下乡</w:t>
      </w:r>
      <w:r>
        <w:tab/>
      </w:r>
      <w:r>
        <w:fldChar w:fldCharType="begin" w:fldLock="1"/>
      </w:r>
      <w:r>
        <w:instrText xml:space="preserve"> PAGEREF _Toc4372 </w:instrText>
      </w:r>
      <w:r>
        <w:fldChar w:fldCharType="separate"/>
      </w:r>
      <w:r>
        <w:t>113</w:t>
      </w:r>
      <w:r>
        <w:fldChar w:fldCharType="end"/>
      </w:r>
      <w:r>
        <w:fldChar w:fldCharType="end"/>
      </w:r>
    </w:p>
    <w:p>
      <w:pPr>
        <w:pStyle w:val="11"/>
        <w:tabs>
          <w:tab w:val="right" w:leader="dot" w:pos="8306"/>
        </w:tabs>
        <w:spacing w:line="578" w:lineRule="exact"/>
      </w:pPr>
      <w:r>
        <w:fldChar w:fldCharType="begin"/>
      </w:r>
      <w:r>
        <w:instrText xml:space="preserve"> HYPERLINK \l "_Toc21054" </w:instrText>
      </w:r>
      <w:r>
        <w:fldChar w:fldCharType="separate"/>
      </w:r>
      <w:r>
        <w:rPr>
          <w:rFonts w:hint="eastAsia" w:eastAsia="仿宋_GB2312" w:cs="仿宋_GB2312"/>
          <w:szCs w:val="32"/>
        </w:rPr>
        <w:t>75.</w:t>
      </w:r>
      <w:r>
        <w:rPr>
          <w:rFonts w:hint="eastAsia" w:hAnsi="仿宋_GB2312" w:eastAsia="仿宋_GB2312" w:cs="仿宋_GB2312"/>
          <w:szCs w:val="32"/>
        </w:rPr>
        <w:t>收听广播</w:t>
      </w:r>
      <w:r>
        <w:tab/>
      </w:r>
      <w:r>
        <w:fldChar w:fldCharType="begin" w:fldLock="1"/>
      </w:r>
      <w:r>
        <w:instrText xml:space="preserve"> PAGEREF _Toc21054 </w:instrText>
      </w:r>
      <w:r>
        <w:fldChar w:fldCharType="separate"/>
      </w:r>
      <w:r>
        <w:t>114</w:t>
      </w:r>
      <w:r>
        <w:fldChar w:fldCharType="end"/>
      </w:r>
      <w:r>
        <w:fldChar w:fldCharType="end"/>
      </w:r>
    </w:p>
    <w:p>
      <w:pPr>
        <w:pStyle w:val="11"/>
        <w:tabs>
          <w:tab w:val="right" w:leader="dot" w:pos="8306"/>
        </w:tabs>
        <w:spacing w:line="578" w:lineRule="exact"/>
      </w:pPr>
      <w:r>
        <w:fldChar w:fldCharType="begin"/>
      </w:r>
      <w:r>
        <w:instrText xml:space="preserve"> HYPERLINK \l "_Toc13904" </w:instrText>
      </w:r>
      <w:r>
        <w:fldChar w:fldCharType="separate"/>
      </w:r>
      <w:r>
        <w:rPr>
          <w:rFonts w:hint="eastAsia" w:eastAsia="仿宋_GB2312" w:cs="仿宋_GB2312"/>
          <w:szCs w:val="32"/>
        </w:rPr>
        <w:t>76.</w:t>
      </w:r>
      <w:r>
        <w:rPr>
          <w:rFonts w:hint="eastAsia" w:hAnsi="仿宋_GB2312" w:eastAsia="仿宋_GB2312" w:cs="仿宋_GB2312"/>
          <w:szCs w:val="32"/>
        </w:rPr>
        <w:t>观看电视</w:t>
      </w:r>
      <w:r>
        <w:tab/>
      </w:r>
      <w:r>
        <w:fldChar w:fldCharType="begin" w:fldLock="1"/>
      </w:r>
      <w:r>
        <w:instrText xml:space="preserve"> PAGEREF _Toc13904 </w:instrText>
      </w:r>
      <w:r>
        <w:fldChar w:fldCharType="separate"/>
      </w:r>
      <w:r>
        <w:t>115</w:t>
      </w:r>
      <w:r>
        <w:fldChar w:fldCharType="end"/>
      </w:r>
      <w:r>
        <w:fldChar w:fldCharType="end"/>
      </w:r>
    </w:p>
    <w:p>
      <w:pPr>
        <w:pStyle w:val="11"/>
        <w:tabs>
          <w:tab w:val="right" w:leader="dot" w:pos="8306"/>
        </w:tabs>
        <w:spacing w:line="578" w:lineRule="exact"/>
      </w:pPr>
      <w:r>
        <w:fldChar w:fldCharType="begin"/>
      </w:r>
      <w:r>
        <w:instrText xml:space="preserve"> HYPERLINK \l "_Toc17367" </w:instrText>
      </w:r>
      <w:r>
        <w:fldChar w:fldCharType="separate"/>
      </w:r>
      <w:r>
        <w:rPr>
          <w:rFonts w:hint="eastAsia" w:eastAsia="仿宋_GB2312" w:cs="仿宋_GB2312"/>
          <w:szCs w:val="32"/>
        </w:rPr>
        <w:t>77.</w:t>
      </w:r>
      <w:r>
        <w:rPr>
          <w:rFonts w:hint="eastAsia" w:hAnsi="仿宋_GB2312" w:eastAsia="仿宋_GB2312" w:cs="仿宋_GB2312"/>
          <w:szCs w:val="32"/>
        </w:rPr>
        <w:t>观赏电影</w:t>
      </w:r>
      <w:r>
        <w:tab/>
      </w:r>
      <w:r>
        <w:fldChar w:fldCharType="begin" w:fldLock="1"/>
      </w:r>
      <w:r>
        <w:instrText xml:space="preserve"> PAGEREF _Toc17367 </w:instrText>
      </w:r>
      <w:r>
        <w:fldChar w:fldCharType="separate"/>
      </w:r>
      <w:r>
        <w:t>115</w:t>
      </w:r>
      <w:r>
        <w:fldChar w:fldCharType="end"/>
      </w:r>
      <w:r>
        <w:fldChar w:fldCharType="end"/>
      </w:r>
    </w:p>
    <w:p>
      <w:pPr>
        <w:pStyle w:val="11"/>
        <w:tabs>
          <w:tab w:val="right" w:leader="dot" w:pos="8306"/>
        </w:tabs>
        <w:spacing w:line="578" w:lineRule="exact"/>
      </w:pPr>
      <w:r>
        <w:fldChar w:fldCharType="begin"/>
      </w:r>
      <w:r>
        <w:instrText xml:space="preserve"> HYPERLINK \l "_Toc7357" </w:instrText>
      </w:r>
      <w:r>
        <w:fldChar w:fldCharType="separate"/>
      </w:r>
      <w:r>
        <w:rPr>
          <w:rFonts w:hint="eastAsia" w:eastAsia="仿宋_GB2312" w:cs="仿宋_GB2312"/>
          <w:szCs w:val="32"/>
        </w:rPr>
        <w:t>78.</w:t>
      </w:r>
      <w:r>
        <w:rPr>
          <w:rFonts w:hint="eastAsia" w:hAnsi="仿宋_GB2312" w:eastAsia="仿宋_GB2312" w:cs="仿宋_GB2312"/>
          <w:szCs w:val="32"/>
        </w:rPr>
        <w:t>读书看报</w:t>
      </w:r>
      <w:r>
        <w:tab/>
      </w:r>
      <w:r>
        <w:fldChar w:fldCharType="begin" w:fldLock="1"/>
      </w:r>
      <w:r>
        <w:instrText xml:space="preserve"> PAGEREF _Toc7357 </w:instrText>
      </w:r>
      <w:r>
        <w:fldChar w:fldCharType="separate"/>
      </w:r>
      <w:r>
        <w:t>117</w:t>
      </w:r>
      <w:r>
        <w:fldChar w:fldCharType="end"/>
      </w:r>
      <w:r>
        <w:fldChar w:fldCharType="end"/>
      </w:r>
    </w:p>
    <w:p>
      <w:pPr>
        <w:pStyle w:val="11"/>
        <w:tabs>
          <w:tab w:val="right" w:leader="dot" w:pos="8306"/>
        </w:tabs>
        <w:spacing w:line="578" w:lineRule="exact"/>
      </w:pPr>
      <w:r>
        <w:fldChar w:fldCharType="begin"/>
      </w:r>
      <w:r>
        <w:instrText xml:space="preserve"> HYPERLINK \l "_Toc16774" </w:instrText>
      </w:r>
      <w:r>
        <w:fldChar w:fldCharType="separate"/>
      </w:r>
      <w:r>
        <w:rPr>
          <w:rFonts w:hint="eastAsia" w:eastAsia="仿宋_GB2312" w:cs="仿宋_GB2312"/>
          <w:szCs w:val="32"/>
        </w:rPr>
        <w:t>79.</w:t>
      </w:r>
      <w:r>
        <w:rPr>
          <w:rFonts w:hint="eastAsia" w:hAnsi="仿宋_GB2312" w:eastAsia="仿宋_GB2312" w:cs="仿宋_GB2312"/>
          <w:szCs w:val="32"/>
        </w:rPr>
        <w:t>少数民族文化服务</w:t>
      </w:r>
      <w:r>
        <w:tab/>
      </w:r>
      <w:r>
        <w:fldChar w:fldCharType="begin" w:fldLock="1"/>
      </w:r>
      <w:r>
        <w:instrText xml:space="preserve"> PAGEREF _Toc16774 </w:instrText>
      </w:r>
      <w:r>
        <w:fldChar w:fldCharType="separate"/>
      </w:r>
      <w:r>
        <w:t>118</w:t>
      </w:r>
      <w:r>
        <w:fldChar w:fldCharType="end"/>
      </w:r>
      <w:r>
        <w:fldChar w:fldCharType="end"/>
      </w:r>
    </w:p>
    <w:p>
      <w:pPr>
        <w:pStyle w:val="23"/>
        <w:tabs>
          <w:tab w:val="right" w:leader="dot" w:pos="8306"/>
        </w:tabs>
        <w:spacing w:line="578" w:lineRule="exact"/>
        <w:rPr>
          <w:kern w:val="2"/>
          <w:szCs w:val="24"/>
        </w:rPr>
      </w:pPr>
      <w:r>
        <w:fldChar w:fldCharType="begin"/>
      </w:r>
      <w:r>
        <w:instrText xml:space="preserve"> HYPERLINK \l "_Toc26858" </w:instrText>
      </w:r>
      <w:r>
        <w:fldChar w:fldCharType="separate"/>
      </w:r>
      <w:r>
        <w:rPr>
          <w:rFonts w:hint="eastAsia" w:hAnsi="楷体_GB2312" w:eastAsia="楷体_GB2312" w:cs="楷体_GB2312"/>
          <w:kern w:val="2"/>
          <w:szCs w:val="32"/>
        </w:rPr>
        <w:t>（二十二）公共体育服务</w:t>
      </w:r>
      <w:r>
        <w:rPr>
          <w:kern w:val="2"/>
          <w:szCs w:val="24"/>
        </w:rPr>
        <w:tab/>
      </w:r>
      <w:r>
        <w:rPr>
          <w:kern w:val="2"/>
          <w:szCs w:val="24"/>
        </w:rPr>
        <w:fldChar w:fldCharType="begin" w:fldLock="1"/>
      </w:r>
      <w:r>
        <w:rPr>
          <w:kern w:val="2"/>
          <w:szCs w:val="24"/>
        </w:rPr>
        <w:instrText xml:space="preserve"> PAGEREF _Toc26858 </w:instrText>
      </w:r>
      <w:r>
        <w:rPr>
          <w:kern w:val="2"/>
          <w:szCs w:val="24"/>
        </w:rPr>
        <w:fldChar w:fldCharType="separate"/>
      </w:r>
      <w:r>
        <w:rPr>
          <w:kern w:val="2"/>
          <w:szCs w:val="24"/>
        </w:rPr>
        <w:t>119</w:t>
      </w:r>
      <w:r>
        <w:rPr>
          <w:kern w:val="2"/>
          <w:szCs w:val="24"/>
        </w:rPr>
        <w:fldChar w:fldCharType="end"/>
      </w:r>
      <w:r>
        <w:rPr>
          <w:kern w:val="2"/>
          <w:szCs w:val="24"/>
        </w:rPr>
        <w:fldChar w:fldCharType="end"/>
      </w:r>
    </w:p>
    <w:p>
      <w:pPr>
        <w:pStyle w:val="11"/>
        <w:tabs>
          <w:tab w:val="right" w:leader="dot" w:pos="8306"/>
        </w:tabs>
        <w:spacing w:line="578" w:lineRule="exact"/>
      </w:pPr>
      <w:r>
        <w:fldChar w:fldCharType="begin"/>
      </w:r>
      <w:r>
        <w:instrText xml:space="preserve"> HYPERLINK \l "_Toc1268" </w:instrText>
      </w:r>
      <w:r>
        <w:fldChar w:fldCharType="separate"/>
      </w:r>
      <w:r>
        <w:rPr>
          <w:rFonts w:hint="eastAsia" w:eastAsia="仿宋_GB2312" w:cs="仿宋_GB2312"/>
          <w:kern w:val="0"/>
          <w:szCs w:val="32"/>
        </w:rPr>
        <w:t>80.</w:t>
      </w:r>
      <w:r>
        <w:rPr>
          <w:rFonts w:hint="eastAsia" w:hAnsi="仿宋_GB2312" w:eastAsia="仿宋_GB2312" w:cs="仿宋_GB2312"/>
          <w:kern w:val="0"/>
          <w:szCs w:val="32"/>
        </w:rPr>
        <w:t>公共体育场馆开放</w:t>
      </w:r>
      <w:r>
        <w:tab/>
      </w:r>
      <w:r>
        <w:fldChar w:fldCharType="begin" w:fldLock="1"/>
      </w:r>
      <w:r>
        <w:instrText xml:space="preserve"> PAGEREF _Toc1268 </w:instrText>
      </w:r>
      <w:r>
        <w:fldChar w:fldCharType="separate"/>
      </w:r>
      <w:r>
        <w:t>119</w:t>
      </w:r>
      <w:r>
        <w:fldChar w:fldCharType="end"/>
      </w:r>
      <w:r>
        <w:fldChar w:fldCharType="end"/>
      </w:r>
    </w:p>
    <w:p>
      <w:pPr>
        <w:pStyle w:val="11"/>
        <w:tabs>
          <w:tab w:val="right" w:leader="dot" w:pos="8306"/>
        </w:tabs>
        <w:spacing w:line="578" w:lineRule="exact"/>
      </w:pPr>
      <w:r>
        <w:fldChar w:fldCharType="begin"/>
      </w:r>
      <w:r>
        <w:instrText xml:space="preserve"> HYPERLINK \l "_Toc16357" </w:instrText>
      </w:r>
      <w:r>
        <w:fldChar w:fldCharType="separate"/>
      </w:r>
      <w:r>
        <w:rPr>
          <w:rFonts w:hint="eastAsia" w:eastAsia="仿宋_GB2312" w:cs="仿宋_GB2312"/>
        </w:rPr>
        <w:t>81.</w:t>
      </w:r>
      <w:r>
        <w:rPr>
          <w:rFonts w:hint="eastAsia" w:hAnsi="仿宋_GB2312" w:eastAsia="仿宋_GB2312" w:cs="仿宋_GB2312"/>
        </w:rPr>
        <w:t>全民健身服务</w:t>
      </w:r>
      <w:r>
        <w:tab/>
      </w:r>
      <w:r>
        <w:fldChar w:fldCharType="begin" w:fldLock="1"/>
      </w:r>
      <w:r>
        <w:instrText xml:space="preserve"> PAGEREF _Toc16357 </w:instrText>
      </w:r>
      <w:r>
        <w:fldChar w:fldCharType="separate"/>
      </w:r>
      <w:r>
        <w:t>121</w:t>
      </w:r>
      <w:r>
        <w:fldChar w:fldCharType="end"/>
      </w:r>
      <w:r>
        <w:fldChar w:fldCharType="end"/>
      </w:r>
    </w:p>
    <w:p>
      <w:pPr>
        <w:pStyle w:val="10"/>
        <w:spacing w:line="578" w:lineRule="exact"/>
      </w:pPr>
      <w:r>
        <w:rPr>
          <w:rFonts w:hint="eastAsia"/>
        </w:rPr>
        <w:fldChar w:fldCharType="end"/>
      </w:r>
      <w:bookmarkStart w:id="0" w:name="_Toc11849"/>
    </w:p>
    <w:p/>
    <w:p/>
    <w:p/>
    <w:p/>
    <w:p>
      <w:pPr>
        <w:spacing w:line="578" w:lineRule="exact"/>
        <w:ind w:firstLine="640" w:firstLineChars="200"/>
        <w:rPr>
          <w:rFonts w:eastAsia="黑体"/>
          <w:sz w:val="32"/>
          <w:szCs w:val="32"/>
        </w:rPr>
      </w:pPr>
      <w:r>
        <w:rPr>
          <w:rFonts w:hint="eastAsia" w:hAnsi="黑体" w:eastAsia="黑体"/>
          <w:sz w:val="32"/>
          <w:szCs w:val="32"/>
        </w:rPr>
        <w:t>一、幼有所育</w:t>
      </w:r>
      <w:bookmarkEnd w:id="0"/>
    </w:p>
    <w:p>
      <w:pPr>
        <w:spacing w:line="578" w:lineRule="exact"/>
        <w:ind w:firstLine="640" w:firstLineChars="200"/>
        <w:rPr>
          <w:rFonts w:eastAsia="楷体_GB2312"/>
          <w:sz w:val="32"/>
          <w:szCs w:val="32"/>
        </w:rPr>
      </w:pPr>
      <w:bookmarkStart w:id="1" w:name="_Toc16745"/>
      <w:r>
        <w:rPr>
          <w:rFonts w:hint="eastAsia" w:eastAsia="楷体_GB2312"/>
          <w:sz w:val="32"/>
          <w:szCs w:val="32"/>
        </w:rPr>
        <w:t>（一）优孕优生服务</w:t>
      </w:r>
      <w:bookmarkEnd w:id="1"/>
    </w:p>
    <w:p>
      <w:pPr>
        <w:spacing w:line="578" w:lineRule="exact"/>
        <w:ind w:firstLine="640" w:firstLineChars="200"/>
        <w:rPr>
          <w:rFonts w:eastAsia="仿宋_GB2312"/>
          <w:sz w:val="32"/>
          <w:szCs w:val="32"/>
        </w:rPr>
      </w:pPr>
      <w:bookmarkStart w:id="2" w:name="_Toc2085"/>
      <w:bookmarkStart w:id="3" w:name="_Toc32660"/>
      <w:bookmarkStart w:id="4" w:name="_Toc981676297"/>
      <w:bookmarkStart w:id="5" w:name="_Toc3441"/>
      <w:bookmarkStart w:id="6" w:name="_Toc25607"/>
      <w:bookmarkStart w:id="7" w:name="_Toc14158"/>
      <w:bookmarkStart w:id="8" w:name="_Toc26766"/>
      <w:r>
        <w:rPr>
          <w:rFonts w:hint="eastAsia" w:eastAsia="仿宋_GB2312"/>
          <w:sz w:val="32"/>
          <w:szCs w:val="32"/>
        </w:rPr>
        <w:t>1.农村免费孕前优生健康检查</w:t>
      </w:r>
      <w:bookmarkEnd w:id="2"/>
      <w:bookmarkEnd w:id="3"/>
      <w:bookmarkEnd w:id="4"/>
      <w:bookmarkEnd w:id="5"/>
      <w:bookmarkEnd w:id="6"/>
      <w:bookmarkEnd w:id="7"/>
      <w:bookmarkEnd w:id="8"/>
    </w:p>
    <w:p>
      <w:pPr>
        <w:spacing w:line="578" w:lineRule="exact"/>
        <w:ind w:firstLine="640" w:firstLineChars="200"/>
        <w:rPr>
          <w:rFonts w:eastAsia="仿宋_GB2312"/>
          <w:sz w:val="32"/>
          <w:szCs w:val="32"/>
        </w:rPr>
      </w:pPr>
      <w:r>
        <w:rPr>
          <w:rFonts w:hint="eastAsia" w:eastAsia="仿宋_GB2312"/>
          <w:sz w:val="32"/>
          <w:szCs w:val="32"/>
        </w:rPr>
        <w:t>服务对象：农村计划怀孕夫妇。</w:t>
      </w:r>
    </w:p>
    <w:p>
      <w:pPr>
        <w:spacing w:line="578" w:lineRule="exact"/>
        <w:ind w:firstLine="640" w:firstLineChars="200"/>
        <w:rPr>
          <w:rFonts w:eastAsia="仿宋_GB2312"/>
          <w:sz w:val="32"/>
          <w:szCs w:val="32"/>
        </w:rPr>
      </w:pPr>
      <w:r>
        <w:rPr>
          <w:rFonts w:hint="eastAsia" w:eastAsia="仿宋_GB2312"/>
          <w:sz w:val="32"/>
          <w:szCs w:val="32"/>
        </w:rPr>
        <w:t>服务内容：免费为农村计划怀孕夫妇每孩次提供1次孕前优生健康检查。符合条件的流动人口计划怀孕夫妇，可在现居住地接受该项服务，享受与户籍人口同等待遇。</w:t>
      </w:r>
    </w:p>
    <w:p>
      <w:pPr>
        <w:spacing w:line="578" w:lineRule="exact"/>
        <w:ind w:firstLine="640" w:firstLineChars="200"/>
        <w:rPr>
          <w:rFonts w:eastAsia="仿宋_GB2312"/>
          <w:sz w:val="32"/>
          <w:szCs w:val="32"/>
        </w:rPr>
      </w:pPr>
      <w:r>
        <w:rPr>
          <w:rFonts w:hint="eastAsia" w:eastAsia="仿宋_GB2312"/>
          <w:sz w:val="32"/>
          <w:szCs w:val="32"/>
        </w:rPr>
        <w:t>服务标准：按照《国家免费孕前优生健康检查项目试点工作技术服务规范（试行）》执行。</w:t>
      </w:r>
    </w:p>
    <w:p>
      <w:pPr>
        <w:spacing w:line="578" w:lineRule="exact"/>
        <w:ind w:firstLine="640" w:firstLineChars="200"/>
        <w:rPr>
          <w:rFonts w:eastAsia="仿宋_GB2312"/>
          <w:sz w:val="32"/>
          <w:szCs w:val="32"/>
        </w:rPr>
      </w:pPr>
      <w:r>
        <w:rPr>
          <w:rFonts w:hint="eastAsia" w:eastAsia="仿宋_GB2312"/>
          <w:sz w:val="32"/>
          <w:szCs w:val="32"/>
        </w:rPr>
        <w:t>政策依据：《国家免费孕前优生健康检查项目试点专项资金管理办法（试行）》《国家卫生健康委员会 财政部 国家中医药局关于做好2019年基本公共卫生服务项目工作的通知》（国卫基层发〔2019〕52号）。</w:t>
      </w:r>
    </w:p>
    <w:p>
      <w:pPr>
        <w:spacing w:line="578" w:lineRule="exact"/>
        <w:ind w:firstLine="640" w:firstLineChars="200"/>
        <w:rPr>
          <w:rFonts w:eastAsia="仿宋_GB2312"/>
          <w:sz w:val="32"/>
          <w:szCs w:val="32"/>
        </w:rPr>
      </w:pPr>
      <w:r>
        <w:rPr>
          <w:rFonts w:hint="eastAsia" w:eastAsia="仿宋_GB2312"/>
          <w:sz w:val="32"/>
          <w:szCs w:val="32"/>
        </w:rPr>
        <w:t>支出责任：按照《昆明市人民政府办公室关于印发昆明市医疗卫生领域财政事权和支出责任划分改革实施方案的通知》（昆政办〔2020〕78号）中央、省、市、区按照80：4：14.4：1.6的比例分担。</w:t>
      </w:r>
    </w:p>
    <w:p>
      <w:pPr>
        <w:spacing w:line="578" w:lineRule="exact"/>
        <w:ind w:firstLine="640" w:firstLineChars="200"/>
        <w:rPr>
          <w:rFonts w:eastAsia="仿宋_GB2312"/>
          <w:sz w:val="32"/>
          <w:szCs w:val="32"/>
        </w:rPr>
      </w:pPr>
      <w:r>
        <w:rPr>
          <w:rFonts w:hint="eastAsia" w:eastAsia="仿宋_GB2312"/>
          <w:sz w:val="32"/>
          <w:szCs w:val="32"/>
        </w:rPr>
        <w:t>牵头负责单位：区卫生健康局</w:t>
      </w:r>
    </w:p>
    <w:p>
      <w:pPr>
        <w:spacing w:line="578" w:lineRule="exact"/>
        <w:ind w:firstLine="640" w:firstLineChars="200"/>
        <w:rPr>
          <w:rFonts w:eastAsia="仿宋_GB2312"/>
          <w:sz w:val="32"/>
          <w:szCs w:val="32"/>
        </w:rPr>
      </w:pPr>
      <w:r>
        <w:rPr>
          <w:rFonts w:hint="eastAsia" w:eastAsia="仿宋_GB2312"/>
          <w:sz w:val="32"/>
          <w:szCs w:val="32"/>
        </w:rPr>
        <w:t>服务流程：按照国家《新划入基本公共卫生服务相关工作规范（2019年版）》规定及《国家人口计生委关于印发国家免费孕前优生健康检查项目试点工作技术服务规范（试行）的通知》（国人口发〔2010〕31号）执行。</w:t>
      </w:r>
    </w:p>
    <w:p>
      <w:pPr>
        <w:spacing w:line="578" w:lineRule="exact"/>
        <w:ind w:firstLine="640" w:firstLineChars="200"/>
        <w:rPr>
          <w:rFonts w:eastAsia="仿宋_GB2312"/>
          <w:sz w:val="32"/>
          <w:szCs w:val="32"/>
        </w:rPr>
      </w:pPr>
      <w:bookmarkStart w:id="9" w:name="_Toc18096"/>
      <w:bookmarkStart w:id="10" w:name="_Toc1912672084"/>
      <w:bookmarkStart w:id="11" w:name="_Toc21834"/>
      <w:bookmarkStart w:id="12" w:name="_Toc12062"/>
      <w:bookmarkStart w:id="13" w:name="_Toc18241"/>
      <w:bookmarkStart w:id="14" w:name="_Toc20271"/>
      <w:bookmarkStart w:id="15" w:name="_Toc18206"/>
      <w:r>
        <w:rPr>
          <w:rFonts w:hint="eastAsia" w:eastAsia="仿宋_GB2312"/>
          <w:sz w:val="32"/>
          <w:szCs w:val="32"/>
        </w:rPr>
        <w:t>2.孕产妇健康服务</w:t>
      </w:r>
      <w:bookmarkEnd w:id="9"/>
      <w:bookmarkEnd w:id="10"/>
      <w:bookmarkEnd w:id="11"/>
      <w:bookmarkEnd w:id="12"/>
      <w:bookmarkEnd w:id="13"/>
      <w:bookmarkEnd w:id="14"/>
      <w:bookmarkEnd w:id="15"/>
    </w:p>
    <w:p>
      <w:pPr>
        <w:spacing w:line="578" w:lineRule="exact"/>
        <w:ind w:firstLine="640" w:firstLineChars="200"/>
        <w:rPr>
          <w:rFonts w:eastAsia="仿宋_GB2312"/>
          <w:sz w:val="32"/>
          <w:szCs w:val="32"/>
        </w:rPr>
      </w:pPr>
      <w:r>
        <w:rPr>
          <w:rFonts w:hint="eastAsia" w:eastAsia="仿宋_GB2312"/>
          <w:sz w:val="32"/>
          <w:szCs w:val="32"/>
        </w:rPr>
        <w:t>服务对象：孕产妇。</w:t>
      </w:r>
    </w:p>
    <w:p>
      <w:pPr>
        <w:spacing w:line="578" w:lineRule="exact"/>
        <w:ind w:firstLine="640" w:firstLineChars="200"/>
        <w:rPr>
          <w:rFonts w:eastAsia="仿宋_GB2312"/>
          <w:sz w:val="32"/>
          <w:szCs w:val="32"/>
        </w:rPr>
      </w:pPr>
      <w:r>
        <w:rPr>
          <w:rFonts w:hint="eastAsia" w:eastAsia="仿宋_GB2312"/>
          <w:sz w:val="32"/>
          <w:szCs w:val="32"/>
        </w:rPr>
        <w:t>服务内容：免费为孕产妇规范提供1次孕早期健康检查、2次孕中期健康检查、2次孕晚期健康检查、1次产后访视和健康指导、产后42天健康检查等服务。</w:t>
      </w:r>
    </w:p>
    <w:p>
      <w:pPr>
        <w:spacing w:line="578" w:lineRule="exact"/>
        <w:ind w:firstLine="640" w:firstLineChars="200"/>
        <w:rPr>
          <w:rFonts w:eastAsia="仿宋_GB2312"/>
          <w:sz w:val="32"/>
          <w:szCs w:val="32"/>
        </w:rPr>
      </w:pPr>
      <w:r>
        <w:rPr>
          <w:rFonts w:hint="eastAsia" w:eastAsia="仿宋_GB2312"/>
          <w:sz w:val="32"/>
          <w:szCs w:val="32"/>
        </w:rPr>
        <w:t>服务标准：按照《国家基本公共卫生服务规范（第三版）》及相应技术方案执行。</w:t>
      </w:r>
    </w:p>
    <w:p>
      <w:pPr>
        <w:spacing w:line="578" w:lineRule="exact"/>
        <w:ind w:firstLine="640" w:firstLineChars="200"/>
        <w:rPr>
          <w:rFonts w:eastAsia="仿宋_GB2312"/>
          <w:sz w:val="32"/>
          <w:szCs w:val="32"/>
        </w:rPr>
      </w:pPr>
      <w:r>
        <w:rPr>
          <w:rFonts w:hint="eastAsia" w:eastAsia="仿宋_GB2312"/>
          <w:sz w:val="32"/>
          <w:szCs w:val="32"/>
        </w:rPr>
        <w:t>政策依据：《中华人民共和国基本医疗卫生与健康促进法》、《中国妇女发展纲要（2010-2020）》、《云南省妇女发展规划（2010-2020）》、《卫生部 财政部 人口计生委关于促进</w:t>
      </w:r>
      <w:r>
        <w:rPr>
          <w:rFonts w:hint="eastAsia" w:eastAsia="仿宋_GB2312"/>
          <w:spacing w:val="-10"/>
          <w:sz w:val="32"/>
          <w:szCs w:val="32"/>
        </w:rPr>
        <w:t>基本公共卫生服务逐步均等化的意见》（卫妇社发〔2009〕70号）。</w:t>
      </w:r>
    </w:p>
    <w:p>
      <w:pPr>
        <w:spacing w:line="578" w:lineRule="exact"/>
        <w:ind w:firstLine="640" w:firstLineChars="200"/>
        <w:rPr>
          <w:rFonts w:eastAsia="仿宋_GB2312"/>
          <w:sz w:val="32"/>
          <w:szCs w:val="32"/>
        </w:rPr>
      </w:pPr>
      <w:r>
        <w:rPr>
          <w:rFonts w:hint="eastAsia" w:eastAsia="仿宋_GB2312"/>
          <w:sz w:val="32"/>
          <w:szCs w:val="32"/>
        </w:rPr>
        <w:t>支出责任：按照昆政办〔2020〕78号文件中央、省、市、区按照80：4：14.4：1.6的比例分担。</w:t>
      </w:r>
    </w:p>
    <w:p>
      <w:pPr>
        <w:spacing w:line="578" w:lineRule="exact"/>
        <w:ind w:firstLine="640" w:firstLineChars="200"/>
        <w:rPr>
          <w:rFonts w:eastAsia="仿宋_GB2312"/>
          <w:sz w:val="32"/>
          <w:szCs w:val="32"/>
        </w:rPr>
      </w:pPr>
      <w:r>
        <w:rPr>
          <w:rFonts w:hint="eastAsia" w:eastAsia="仿宋_GB2312"/>
          <w:sz w:val="32"/>
          <w:szCs w:val="32"/>
        </w:rPr>
        <w:t>牵头负责单位：区卫生健康局</w:t>
      </w:r>
    </w:p>
    <w:p>
      <w:pPr>
        <w:spacing w:line="578" w:lineRule="exact"/>
        <w:ind w:firstLine="640" w:firstLineChars="200"/>
        <w:rPr>
          <w:rFonts w:eastAsia="仿宋_GB2312"/>
          <w:sz w:val="32"/>
          <w:szCs w:val="32"/>
        </w:rPr>
      </w:pPr>
      <w:r>
        <w:rPr>
          <w:rFonts w:hint="eastAsia" w:eastAsia="仿宋_GB2312"/>
          <w:sz w:val="32"/>
          <w:szCs w:val="32"/>
        </w:rPr>
        <w:t>服务流程：按照《国家基本公共卫生服务规范（第三版）》执行。</w:t>
      </w:r>
    </w:p>
    <w:p>
      <w:pPr>
        <w:spacing w:line="578" w:lineRule="exact"/>
        <w:ind w:firstLine="640" w:firstLineChars="200"/>
        <w:rPr>
          <w:rFonts w:eastAsia="仿宋_GB2312"/>
          <w:sz w:val="32"/>
          <w:szCs w:val="32"/>
        </w:rPr>
      </w:pPr>
      <w:bookmarkStart w:id="16" w:name="_Toc32406"/>
      <w:bookmarkStart w:id="17" w:name="_Toc23504"/>
      <w:bookmarkStart w:id="18" w:name="_Toc29723"/>
      <w:bookmarkStart w:id="19" w:name="_Toc24787"/>
      <w:bookmarkStart w:id="20" w:name="_Toc1884854112"/>
      <w:bookmarkStart w:id="21" w:name="_Toc30373"/>
      <w:bookmarkStart w:id="22" w:name="_Toc25788"/>
      <w:r>
        <w:rPr>
          <w:rFonts w:hint="eastAsia" w:eastAsia="仿宋_GB2312"/>
          <w:sz w:val="32"/>
          <w:szCs w:val="32"/>
        </w:rPr>
        <w:t>3.基本避孕服务</w:t>
      </w:r>
      <w:bookmarkEnd w:id="16"/>
      <w:bookmarkEnd w:id="17"/>
      <w:bookmarkEnd w:id="18"/>
      <w:bookmarkEnd w:id="19"/>
      <w:bookmarkEnd w:id="20"/>
      <w:bookmarkEnd w:id="21"/>
      <w:bookmarkEnd w:id="22"/>
    </w:p>
    <w:p>
      <w:pPr>
        <w:spacing w:line="578" w:lineRule="exact"/>
        <w:ind w:firstLine="640" w:firstLineChars="200"/>
        <w:rPr>
          <w:rFonts w:eastAsia="仿宋_GB2312"/>
          <w:sz w:val="32"/>
          <w:szCs w:val="32"/>
        </w:rPr>
      </w:pPr>
      <w:r>
        <w:rPr>
          <w:rFonts w:hint="eastAsia" w:eastAsia="仿宋_GB2312"/>
          <w:sz w:val="32"/>
          <w:szCs w:val="32"/>
        </w:rPr>
        <w:t>服务对象：育龄夫妻。</w:t>
      </w:r>
    </w:p>
    <w:p>
      <w:pPr>
        <w:spacing w:line="578" w:lineRule="exact"/>
        <w:ind w:firstLine="640" w:firstLineChars="200"/>
        <w:rPr>
          <w:rFonts w:eastAsia="仿宋_GB2312"/>
          <w:sz w:val="32"/>
          <w:szCs w:val="32"/>
        </w:rPr>
      </w:pPr>
      <w:r>
        <w:rPr>
          <w:rFonts w:hint="eastAsia" w:eastAsia="仿宋_GB2312"/>
          <w:sz w:val="32"/>
          <w:szCs w:val="32"/>
        </w:rPr>
        <w:t>服务内容：免费提供基本避孕药具和免费实施基本避孕节育手术。</w:t>
      </w:r>
    </w:p>
    <w:p>
      <w:pPr>
        <w:spacing w:line="578" w:lineRule="exact"/>
        <w:ind w:firstLine="640" w:firstLineChars="200"/>
        <w:rPr>
          <w:rFonts w:eastAsia="仿宋_GB2312"/>
          <w:sz w:val="32"/>
          <w:szCs w:val="32"/>
        </w:rPr>
      </w:pPr>
      <w:r>
        <w:rPr>
          <w:rFonts w:hint="eastAsia" w:eastAsia="仿宋_GB2312"/>
          <w:sz w:val="32"/>
          <w:szCs w:val="32"/>
        </w:rPr>
        <w:t>免费提供基本避孕药具包括：提供基本口服避孕药和基本注射避孕针之前，按技术常规免费提供各项医学检查，即初诊排查服务。</w:t>
      </w:r>
    </w:p>
    <w:p>
      <w:pPr>
        <w:spacing w:line="578" w:lineRule="exact"/>
        <w:ind w:firstLine="640" w:firstLineChars="200"/>
        <w:rPr>
          <w:rFonts w:eastAsia="仿宋_GB2312"/>
          <w:sz w:val="32"/>
          <w:szCs w:val="32"/>
        </w:rPr>
      </w:pPr>
      <w:r>
        <w:rPr>
          <w:rFonts w:hint="eastAsia" w:eastAsia="仿宋_GB2312"/>
          <w:sz w:val="32"/>
          <w:szCs w:val="32"/>
        </w:rPr>
        <w:t>免费实施基本避孕手术包括：放置宫内节育器术及技术常规所规定的各项医学检查；取出宫内节育器术及技术常规所规定的各项医学检查；放置皮下埋植剂术及技术常规所规定的各项医学检查；取出皮下埋植剂术及技术常规所规定的各项医学检查；输卵管绝育术及技术常规所规定的各项医学检查；输卵管吻合术及技术常规所规定的各项医学检查；输精管绝育术及技术常规所规定的各项医学检查；输精管吻合术及技术常规所规定的各项医学检查；按照技术常规为服用避孕药、注射避孕针、放置宫内节育器和放置皮下埋置剂的妇女提供免费随访服务。</w:t>
      </w:r>
    </w:p>
    <w:p>
      <w:pPr>
        <w:spacing w:line="578" w:lineRule="exact"/>
        <w:ind w:firstLine="640" w:firstLineChars="200"/>
        <w:rPr>
          <w:rFonts w:eastAsia="仿宋_GB2312"/>
          <w:sz w:val="32"/>
          <w:szCs w:val="32"/>
        </w:rPr>
      </w:pPr>
      <w:r>
        <w:rPr>
          <w:rFonts w:hint="eastAsia" w:eastAsia="仿宋_GB2312"/>
          <w:sz w:val="32"/>
          <w:szCs w:val="32"/>
        </w:rPr>
        <w:t>服务标准：</w:t>
      </w:r>
    </w:p>
    <w:p>
      <w:pPr>
        <w:spacing w:line="578" w:lineRule="exact"/>
        <w:ind w:firstLine="640" w:firstLineChars="200"/>
        <w:rPr>
          <w:rFonts w:eastAsia="仿宋_GB2312"/>
          <w:sz w:val="32"/>
          <w:szCs w:val="32"/>
        </w:rPr>
      </w:pPr>
      <w:r>
        <w:rPr>
          <w:rFonts w:hint="eastAsia" w:eastAsia="仿宋_GB2312"/>
          <w:sz w:val="32"/>
          <w:szCs w:val="32"/>
        </w:rPr>
        <w:t>①免费基本避孕药具：在省级集中采购环节购买免费基本避孕药具；在省、市、区、乡各级存储和调拨环节主要开展药具运输、仓储设备购置和维护，仓储场地租用、质量抽查检测、记录等工作；在发放服务环节，为服务机构提供咨询指导、初诊排查、提供药具和信息登记等服务。</w:t>
      </w:r>
    </w:p>
    <w:p>
      <w:pPr>
        <w:spacing w:line="578" w:lineRule="exact"/>
        <w:ind w:firstLine="640" w:firstLineChars="200"/>
        <w:rPr>
          <w:rFonts w:eastAsia="仿宋_GB2312"/>
          <w:sz w:val="32"/>
          <w:szCs w:val="32"/>
        </w:rPr>
      </w:pPr>
      <w:r>
        <w:rPr>
          <w:rFonts w:hint="eastAsia" w:eastAsia="仿宋_GB2312"/>
          <w:sz w:val="32"/>
          <w:szCs w:val="32"/>
        </w:rPr>
        <w:t>②免费实施基本避孕节育手术和随访服务：免费基本避孕手术结算标准按照省级卫生健康行政部门、财政部门、发展改革部门和物价部门等印发的现行医疗服务价目执行，结算项目内容依据《临床诊疗指南与技术操作规范：计划生育分册》（2017修订版）和《绝经后宫内节育器取出技术指南》确定。</w:t>
      </w:r>
    </w:p>
    <w:p>
      <w:pPr>
        <w:spacing w:line="578" w:lineRule="exact"/>
        <w:ind w:firstLine="640" w:firstLineChars="200"/>
        <w:rPr>
          <w:rFonts w:eastAsia="仿宋_GB2312"/>
          <w:sz w:val="32"/>
          <w:szCs w:val="32"/>
        </w:rPr>
      </w:pPr>
      <w:r>
        <w:rPr>
          <w:rFonts w:hint="eastAsia" w:eastAsia="仿宋_GB2312"/>
          <w:sz w:val="32"/>
          <w:szCs w:val="32"/>
        </w:rPr>
        <w:t>政策依据：《中华人民共和国人口与计划生育法》、《国家计生委 财政部 卫生部 国家计委关于落实向农村实行计划生育的育龄夫妻免费提供避孕节育技术服务的通知》（国计生发〔2001〕127号）、《云南省人口与计划生育条例》（2022年修正版）。</w:t>
      </w:r>
    </w:p>
    <w:p>
      <w:pPr>
        <w:spacing w:line="578" w:lineRule="exact"/>
        <w:ind w:firstLine="640" w:firstLineChars="200"/>
        <w:rPr>
          <w:rFonts w:eastAsia="仿宋_GB2312"/>
          <w:sz w:val="32"/>
          <w:szCs w:val="32"/>
        </w:rPr>
      </w:pPr>
      <w:r>
        <w:rPr>
          <w:rFonts w:hint="eastAsia" w:eastAsia="仿宋_GB2312"/>
          <w:sz w:val="32"/>
          <w:szCs w:val="32"/>
        </w:rPr>
        <w:t>支出责任：①基本避孕药具资金依据昆政办〔2020〕78号文件中央、省、市、区按照80：4：14.4：1.6的比例分担。</w:t>
      </w:r>
    </w:p>
    <w:p>
      <w:pPr>
        <w:spacing w:line="578" w:lineRule="exact"/>
        <w:ind w:firstLine="640" w:firstLineChars="200"/>
        <w:rPr>
          <w:rFonts w:eastAsia="仿宋_GB2312"/>
          <w:sz w:val="32"/>
          <w:szCs w:val="32"/>
        </w:rPr>
      </w:pPr>
      <w:r>
        <w:rPr>
          <w:rFonts w:hint="eastAsia" w:eastAsia="仿宋_GB2312"/>
          <w:sz w:val="32"/>
          <w:szCs w:val="32"/>
        </w:rPr>
        <w:t>②避孕节育手术及技术常规所规定的各项医学检查经费以及随访服务经费依据昆政办〔2020〕78号文件中央、省、市、区按照80：4：14.4：1.6的比例分担。</w:t>
      </w:r>
    </w:p>
    <w:p>
      <w:pPr>
        <w:spacing w:line="578" w:lineRule="exact"/>
        <w:ind w:firstLine="640" w:firstLineChars="200"/>
        <w:rPr>
          <w:rFonts w:eastAsia="仿宋_GB2312"/>
          <w:sz w:val="32"/>
          <w:szCs w:val="32"/>
        </w:rPr>
      </w:pPr>
      <w:r>
        <w:rPr>
          <w:rFonts w:hint="eastAsia" w:eastAsia="仿宋_GB2312"/>
          <w:sz w:val="32"/>
          <w:szCs w:val="32"/>
        </w:rPr>
        <w:t>牵头负责单位：区卫生健康局</w:t>
      </w:r>
    </w:p>
    <w:p>
      <w:pPr>
        <w:spacing w:line="578" w:lineRule="exact"/>
        <w:ind w:firstLine="640" w:firstLineChars="200"/>
        <w:rPr>
          <w:rFonts w:eastAsia="仿宋_GB2312"/>
          <w:sz w:val="32"/>
          <w:szCs w:val="32"/>
        </w:rPr>
      </w:pPr>
      <w:r>
        <w:rPr>
          <w:rFonts w:hint="eastAsia" w:eastAsia="仿宋_GB2312"/>
          <w:sz w:val="32"/>
          <w:szCs w:val="32"/>
        </w:rPr>
        <w:t>服务流程：按照国家《新划入基本公共卫生服务相关工作规范（2019年版）》执行。</w:t>
      </w:r>
    </w:p>
    <w:p>
      <w:pPr>
        <w:spacing w:line="578" w:lineRule="exact"/>
        <w:ind w:firstLine="640" w:firstLineChars="200"/>
        <w:rPr>
          <w:rFonts w:eastAsia="仿宋_GB2312"/>
          <w:sz w:val="32"/>
          <w:szCs w:val="32"/>
        </w:rPr>
      </w:pPr>
      <w:bookmarkStart w:id="23" w:name="_Toc240"/>
      <w:bookmarkStart w:id="24" w:name="_Toc20415"/>
      <w:r>
        <w:rPr>
          <w:rFonts w:hint="eastAsia" w:eastAsia="仿宋_GB2312"/>
          <w:sz w:val="32"/>
          <w:szCs w:val="32"/>
        </w:rPr>
        <w:t>4.生育保险</w:t>
      </w:r>
      <w:bookmarkEnd w:id="23"/>
      <w:bookmarkEnd w:id="24"/>
    </w:p>
    <w:p>
      <w:pPr>
        <w:spacing w:line="578" w:lineRule="exact"/>
        <w:ind w:firstLine="640" w:firstLineChars="200"/>
        <w:rPr>
          <w:rFonts w:eastAsia="仿宋_GB2312"/>
          <w:sz w:val="32"/>
          <w:szCs w:val="32"/>
        </w:rPr>
      </w:pPr>
      <w:r>
        <w:rPr>
          <w:rFonts w:hint="eastAsia" w:eastAsia="仿宋_GB2312"/>
          <w:sz w:val="32"/>
          <w:szCs w:val="32"/>
        </w:rPr>
        <w:t>服务对象：各类企业、机关、事业单位、社会团体等单位的参保职工。</w:t>
      </w:r>
    </w:p>
    <w:p>
      <w:pPr>
        <w:spacing w:line="578" w:lineRule="exact"/>
        <w:ind w:firstLine="640" w:firstLineChars="200"/>
        <w:rPr>
          <w:rFonts w:eastAsia="仿宋_GB2312"/>
          <w:sz w:val="32"/>
          <w:szCs w:val="32"/>
        </w:rPr>
      </w:pPr>
      <w:r>
        <w:rPr>
          <w:rFonts w:hint="eastAsia" w:eastAsia="仿宋_GB2312"/>
          <w:sz w:val="32"/>
          <w:szCs w:val="32"/>
        </w:rPr>
        <w:t>服务内容：按规定为参保单位提供统一的参保经办服务，符合条件的参保人员可按规定享受相应的生育津贴，生育医疗费用待遇，生育营养补助费，法律、法规规定的其他项目。在怀孕开始到产假结束期间，因生育引起的规定范围内住院费用，按城镇职工医疗保险规定支付，根据《昆明市人民政府关于印发昆明市生育保险和职工基本医疗保险合并实施试行办法的通知》（昆政发〔2017〕34号）第十条：昆明市职工参保人因生育引起合并症和并发症的住院医疗费用，按照医疗保障待遇相关规定执行。即生育包干费及并发症合并症的医疗费可以按照昆明市医疗保障有关规定予以报销。规定并发症有：异位妊娠（宫外孕），妊娠高血压综合症，各种原因引起的产前、产中或产后大出血、子宫破裂、羊水栓塞、重度产褥感染。未在范围内的其他并发症，由城镇职工基本医疗保险基金按规定报销。</w:t>
      </w:r>
    </w:p>
    <w:p>
      <w:pPr>
        <w:spacing w:line="578" w:lineRule="exact"/>
        <w:ind w:firstLine="640" w:firstLineChars="200"/>
        <w:rPr>
          <w:rFonts w:eastAsia="仿宋_GB2312"/>
          <w:sz w:val="32"/>
          <w:szCs w:val="32"/>
        </w:rPr>
      </w:pPr>
      <w:r>
        <w:rPr>
          <w:rFonts w:hint="eastAsia" w:eastAsia="仿宋_GB2312"/>
          <w:sz w:val="32"/>
          <w:szCs w:val="32"/>
        </w:rPr>
        <w:t>服务标准：生育保险待遇标准按照《中华人民共和国社会保险法》、《云南省人民政府关于印发云南省职工生育保险办法的通知》（云政办发〔2011〕121号）、昆政发〔2017〕34号文件等有关规定执行。其中，生育津贴按职工所在用人单位上年度职工月平均工资为基数除以30天再乘以规定的假期天数为实际计发数（计算公式为：实际计发数=月平均工资（元）÷30（天）×假期天数）。</w:t>
      </w:r>
    </w:p>
    <w:p>
      <w:pPr>
        <w:spacing w:line="578" w:lineRule="exact"/>
        <w:ind w:firstLine="640" w:firstLineChars="200"/>
        <w:rPr>
          <w:rFonts w:eastAsia="仿宋_GB2312"/>
          <w:sz w:val="32"/>
          <w:szCs w:val="32"/>
        </w:rPr>
      </w:pPr>
      <w:r>
        <w:rPr>
          <w:rFonts w:hint="eastAsia" w:eastAsia="仿宋_GB2312"/>
          <w:sz w:val="32"/>
          <w:szCs w:val="32"/>
        </w:rPr>
        <w:t>政策依据：《中华人民共和国社会保险法》、云政办发〔2011〕121号文件、《云南省医疗保障局 云南省人力资源和社会保障厅 云南省财政厅 云南省卫生健康委关于印发云南省全面推进生育保险和职工基本医疗保险合并实施工作方案的通知》（云医保〔2019〕87号）、《云南省人口与计划生育条例》、昆政发〔2017〕34号文件。</w:t>
      </w:r>
    </w:p>
    <w:p>
      <w:pPr>
        <w:spacing w:line="578" w:lineRule="exact"/>
        <w:ind w:firstLine="640" w:firstLineChars="200"/>
        <w:rPr>
          <w:rFonts w:eastAsia="仿宋_GB2312"/>
          <w:sz w:val="32"/>
          <w:szCs w:val="32"/>
        </w:rPr>
      </w:pPr>
      <w:r>
        <w:rPr>
          <w:rFonts w:hint="eastAsia" w:eastAsia="仿宋_GB2312"/>
          <w:sz w:val="32"/>
          <w:szCs w:val="32"/>
        </w:rPr>
        <w:t>支出责任：用人单位缴纳城镇职工基本医疗保险费，单位职工个人不缴纳生育保险费。符合规定的参保人员享受生育保险待遇所需资金从城镇职工基本医疗保险基金（含生育保险基金）中支付。</w:t>
      </w:r>
    </w:p>
    <w:p>
      <w:pPr>
        <w:spacing w:line="578" w:lineRule="exact"/>
        <w:ind w:firstLine="640" w:firstLineChars="200"/>
        <w:rPr>
          <w:rFonts w:eastAsia="仿宋_GB2312"/>
          <w:sz w:val="32"/>
          <w:szCs w:val="32"/>
        </w:rPr>
      </w:pPr>
      <w:r>
        <w:rPr>
          <w:rFonts w:hint="eastAsia" w:eastAsia="仿宋_GB2312"/>
          <w:sz w:val="32"/>
          <w:szCs w:val="32"/>
        </w:rPr>
        <w:t>牵头负责单位：区医疗保障局。</w:t>
      </w:r>
    </w:p>
    <w:p>
      <w:pPr>
        <w:spacing w:line="578" w:lineRule="exact"/>
        <w:ind w:firstLine="640" w:firstLineChars="200"/>
        <w:rPr>
          <w:rFonts w:eastAsia="仿宋_GB2312"/>
          <w:sz w:val="32"/>
          <w:szCs w:val="32"/>
        </w:rPr>
      </w:pPr>
      <w:r>
        <w:rPr>
          <w:rFonts w:hint="eastAsia" w:eastAsia="仿宋_GB2312"/>
          <w:sz w:val="32"/>
          <w:szCs w:val="32"/>
        </w:rPr>
        <w:t>服务流程：填写《生育保险待遇核报资料明细清单》→加盖单位公章（一式两份）→交医保费用报销窗口→领取费用结算单→费用划拨至收款单位账户。</w:t>
      </w:r>
    </w:p>
    <w:p>
      <w:pPr>
        <w:spacing w:line="578" w:lineRule="exact"/>
        <w:ind w:firstLine="640" w:firstLineChars="200"/>
        <w:rPr>
          <w:rFonts w:eastAsia="楷体_GB2312"/>
          <w:sz w:val="32"/>
          <w:szCs w:val="32"/>
        </w:rPr>
      </w:pPr>
      <w:bookmarkStart w:id="25" w:name="_Toc18532"/>
      <w:bookmarkStart w:id="26" w:name="_Toc32551"/>
      <w:r>
        <w:rPr>
          <w:rFonts w:hint="eastAsia" w:eastAsia="楷体_GB2312"/>
          <w:sz w:val="32"/>
          <w:szCs w:val="32"/>
        </w:rPr>
        <w:t>（二）儿童健康服务</w:t>
      </w:r>
      <w:bookmarkEnd w:id="25"/>
      <w:bookmarkEnd w:id="26"/>
    </w:p>
    <w:p>
      <w:pPr>
        <w:spacing w:line="578" w:lineRule="exact"/>
        <w:ind w:firstLine="640" w:firstLineChars="200"/>
        <w:rPr>
          <w:rFonts w:eastAsia="仿宋_GB2312"/>
          <w:sz w:val="32"/>
          <w:szCs w:val="32"/>
        </w:rPr>
      </w:pPr>
      <w:bookmarkStart w:id="27" w:name="_Toc15209"/>
      <w:bookmarkStart w:id="28" w:name="_Toc13499"/>
      <w:r>
        <w:rPr>
          <w:rFonts w:hint="eastAsia" w:eastAsia="仿宋_GB2312"/>
          <w:sz w:val="32"/>
          <w:szCs w:val="32"/>
        </w:rPr>
        <w:t>5.预防接种</w:t>
      </w:r>
      <w:bookmarkEnd w:id="27"/>
      <w:bookmarkEnd w:id="28"/>
    </w:p>
    <w:p>
      <w:pPr>
        <w:spacing w:line="578" w:lineRule="exact"/>
        <w:ind w:firstLine="640" w:firstLineChars="200"/>
        <w:rPr>
          <w:rFonts w:eastAsia="仿宋_GB2312"/>
          <w:sz w:val="32"/>
          <w:szCs w:val="32"/>
        </w:rPr>
      </w:pPr>
      <w:r>
        <w:rPr>
          <w:rFonts w:hint="eastAsia" w:eastAsia="仿宋_GB2312"/>
          <w:sz w:val="32"/>
          <w:szCs w:val="32"/>
        </w:rPr>
        <w:t>服务对象：0-6岁儿童。</w:t>
      </w:r>
    </w:p>
    <w:p>
      <w:pPr>
        <w:spacing w:line="578" w:lineRule="exact"/>
        <w:ind w:firstLine="640" w:firstLineChars="200"/>
        <w:rPr>
          <w:rFonts w:eastAsia="仿宋_GB2312"/>
          <w:sz w:val="32"/>
          <w:szCs w:val="32"/>
        </w:rPr>
      </w:pPr>
      <w:r>
        <w:rPr>
          <w:rFonts w:hint="eastAsia" w:eastAsia="仿宋_GB2312"/>
          <w:sz w:val="32"/>
          <w:szCs w:val="32"/>
        </w:rPr>
        <w:t>服务内容：对适龄儿童按国家免疫规划疫苗免疫程序进行常规接种。</w:t>
      </w:r>
    </w:p>
    <w:p>
      <w:pPr>
        <w:spacing w:line="578" w:lineRule="exact"/>
        <w:ind w:firstLine="640" w:firstLineChars="200"/>
        <w:rPr>
          <w:rFonts w:eastAsia="仿宋_GB2312"/>
          <w:sz w:val="32"/>
          <w:szCs w:val="32"/>
        </w:rPr>
      </w:pPr>
      <w:r>
        <w:rPr>
          <w:rFonts w:hint="eastAsia" w:eastAsia="仿宋_GB2312"/>
          <w:sz w:val="32"/>
          <w:szCs w:val="32"/>
        </w:rPr>
        <w:t>服务标准：按照《疫苗管理法》、《国家基本公共卫生服务规范（第三版）》、《预防接种服务规范（2016版）》、《国家免疫规划疫苗儿童免疫程序及说明（2021版）》等法规及相应的技术方案执行。以乡镇（街道）为单位，适龄儿童免疫规划疫苗接种率达到90%以上。</w:t>
      </w:r>
    </w:p>
    <w:p>
      <w:pPr>
        <w:spacing w:line="578" w:lineRule="exact"/>
        <w:ind w:firstLine="640" w:firstLineChars="200"/>
        <w:rPr>
          <w:rFonts w:eastAsia="仿宋_GB2312"/>
          <w:sz w:val="32"/>
          <w:szCs w:val="32"/>
        </w:rPr>
      </w:pPr>
      <w:r>
        <w:rPr>
          <w:rFonts w:hint="eastAsia" w:eastAsia="仿宋_GB2312"/>
          <w:sz w:val="32"/>
          <w:szCs w:val="32"/>
        </w:rPr>
        <w:t>政策依据：《传染病防治法》、《基本医疗卫生与健康促进法》、《疫苗管理法》、《健康中国2030规划纲要》、《健康云南2030规划纲要》、卫妇社发〔2009〕70号文件。</w:t>
      </w:r>
    </w:p>
    <w:p>
      <w:pPr>
        <w:spacing w:line="578" w:lineRule="exact"/>
        <w:ind w:firstLine="640" w:firstLineChars="200"/>
        <w:rPr>
          <w:rFonts w:eastAsia="仿宋_GB2312"/>
          <w:sz w:val="32"/>
          <w:szCs w:val="32"/>
          <w:highlight w:val="yellow"/>
        </w:rPr>
      </w:pPr>
      <w:r>
        <w:rPr>
          <w:rFonts w:hint="eastAsia" w:eastAsia="仿宋_GB2312"/>
          <w:sz w:val="32"/>
          <w:szCs w:val="32"/>
        </w:rPr>
        <w:t>支出责任：依据昆政办〔2020〕78号文件中央、省、市、区按照80：4：14.4：1.6的比例分担。</w:t>
      </w:r>
    </w:p>
    <w:p>
      <w:pPr>
        <w:spacing w:line="578" w:lineRule="exact"/>
        <w:ind w:firstLine="640" w:firstLineChars="200"/>
        <w:rPr>
          <w:rFonts w:eastAsia="仿宋_GB2312"/>
          <w:sz w:val="32"/>
          <w:szCs w:val="32"/>
        </w:rPr>
      </w:pPr>
      <w:r>
        <w:rPr>
          <w:rFonts w:hint="eastAsia" w:eastAsia="仿宋_GB2312"/>
          <w:sz w:val="32"/>
          <w:szCs w:val="32"/>
        </w:rPr>
        <w:t>牵头负责单位：区卫生健康局</w:t>
      </w:r>
    </w:p>
    <w:p>
      <w:pPr>
        <w:spacing w:line="578" w:lineRule="exact"/>
        <w:ind w:firstLine="640" w:firstLineChars="200"/>
        <w:rPr>
          <w:rFonts w:eastAsia="仿宋_GB2312"/>
          <w:sz w:val="32"/>
          <w:szCs w:val="32"/>
        </w:rPr>
      </w:pPr>
      <w:r>
        <w:rPr>
          <w:rFonts w:hint="eastAsia" w:eastAsia="仿宋_GB2312"/>
          <w:sz w:val="32"/>
          <w:szCs w:val="32"/>
        </w:rPr>
        <w:t>服务流程：严格按照《国家基本公共卫生服务规范（第三版）》执行。</w:t>
      </w:r>
    </w:p>
    <w:p>
      <w:pPr>
        <w:spacing w:line="578" w:lineRule="exact"/>
        <w:ind w:firstLine="640" w:firstLineChars="200"/>
        <w:rPr>
          <w:rFonts w:eastAsia="仿宋_GB2312"/>
          <w:sz w:val="32"/>
          <w:szCs w:val="32"/>
        </w:rPr>
      </w:pPr>
      <w:bookmarkStart w:id="29" w:name="_Toc29534"/>
      <w:bookmarkStart w:id="30" w:name="_Toc1199982621"/>
      <w:bookmarkStart w:id="31" w:name="_Toc19592"/>
      <w:bookmarkStart w:id="32" w:name="_Toc28197"/>
      <w:bookmarkStart w:id="33" w:name="_Toc1006"/>
      <w:bookmarkStart w:id="34" w:name="_Toc6363"/>
      <w:bookmarkStart w:id="35" w:name="_Toc18757"/>
      <w:r>
        <w:rPr>
          <w:rFonts w:hint="eastAsia" w:eastAsia="仿宋_GB2312"/>
          <w:sz w:val="32"/>
          <w:szCs w:val="32"/>
        </w:rPr>
        <w:t>6.儿童健康管理</w:t>
      </w:r>
      <w:bookmarkEnd w:id="29"/>
      <w:bookmarkEnd w:id="30"/>
      <w:bookmarkEnd w:id="31"/>
      <w:bookmarkEnd w:id="32"/>
      <w:bookmarkEnd w:id="33"/>
      <w:bookmarkEnd w:id="34"/>
      <w:bookmarkEnd w:id="35"/>
    </w:p>
    <w:p>
      <w:pPr>
        <w:spacing w:line="578" w:lineRule="exact"/>
        <w:ind w:firstLine="640" w:firstLineChars="200"/>
        <w:rPr>
          <w:rFonts w:eastAsia="仿宋_GB2312"/>
          <w:sz w:val="32"/>
          <w:szCs w:val="32"/>
        </w:rPr>
      </w:pPr>
      <w:r>
        <w:rPr>
          <w:rFonts w:hint="eastAsia" w:eastAsia="仿宋_GB2312"/>
          <w:sz w:val="32"/>
          <w:szCs w:val="32"/>
        </w:rPr>
        <w:t>服务对象：所辖常住的0-6岁儿童。</w:t>
      </w:r>
    </w:p>
    <w:p>
      <w:pPr>
        <w:spacing w:line="578" w:lineRule="exact"/>
        <w:ind w:firstLine="640" w:firstLineChars="200"/>
        <w:rPr>
          <w:rFonts w:eastAsia="仿宋_GB2312"/>
          <w:sz w:val="32"/>
          <w:szCs w:val="32"/>
        </w:rPr>
      </w:pPr>
      <w:r>
        <w:rPr>
          <w:rFonts w:hint="eastAsia" w:eastAsia="仿宋_GB2312"/>
          <w:sz w:val="32"/>
          <w:szCs w:val="32"/>
        </w:rPr>
        <w:t>服务内容：为所辖常住的0-6岁儿童提供13次（出生后1周内、满月、3月龄、6月龄、8月龄、12月龄、18月龄、24月龄、30月龄、3岁、4岁、5岁、6岁各1次）免费健康检查，具体包括：新生儿访视、新生儿满月健康管理，体格检查、生长发育和心理行为发育评估，听力、视力和口腔筛查，科学喂养（合理膳食）、生长发育、疾病预防、预防伤害、口腔保健等健康指导；为0-3岁儿童提供6次（出生后每半年提供一次）免费中医调养服务，向儿童家长教授</w:t>
      </w:r>
      <w:r>
        <w:rPr>
          <w:rFonts w:hint="eastAsia" w:eastAsia="仿宋_GB2312"/>
          <w:spacing w:val="-6"/>
          <w:sz w:val="32"/>
          <w:szCs w:val="32"/>
        </w:rPr>
        <w:t>儿童中医饮食调养、起居活动指导和摩腹捏脊穴位按揉方法。</w:t>
      </w:r>
    </w:p>
    <w:p>
      <w:pPr>
        <w:spacing w:line="578" w:lineRule="exact"/>
        <w:ind w:firstLine="640" w:firstLineChars="200"/>
        <w:rPr>
          <w:rFonts w:eastAsia="仿宋_GB2312"/>
          <w:sz w:val="32"/>
          <w:szCs w:val="32"/>
        </w:rPr>
      </w:pPr>
      <w:r>
        <w:rPr>
          <w:rFonts w:hint="eastAsia" w:eastAsia="仿宋_GB2312"/>
          <w:sz w:val="32"/>
          <w:szCs w:val="32"/>
        </w:rPr>
        <w:t>服务标准：按照《国家基本公共卫生服务规范（第三版）》及相应技术方案执行。</w:t>
      </w:r>
    </w:p>
    <w:p>
      <w:pPr>
        <w:spacing w:line="578" w:lineRule="exact"/>
        <w:ind w:firstLine="640" w:firstLineChars="200"/>
        <w:rPr>
          <w:rFonts w:eastAsia="仿宋_GB2312"/>
          <w:sz w:val="32"/>
          <w:szCs w:val="32"/>
        </w:rPr>
      </w:pPr>
      <w:r>
        <w:rPr>
          <w:rFonts w:hint="eastAsia" w:eastAsia="仿宋_GB2312"/>
          <w:sz w:val="32"/>
          <w:szCs w:val="32"/>
        </w:rPr>
        <w:t>政策依据：《基本医疗卫生与健康促进法》、《健康中国2030规划纲要》、《健康云南2030规划纲要》、卫妇社发〔2009〕70号文件。</w:t>
      </w:r>
    </w:p>
    <w:p>
      <w:pPr>
        <w:spacing w:line="578" w:lineRule="exact"/>
        <w:ind w:firstLine="640" w:firstLineChars="200"/>
        <w:rPr>
          <w:rFonts w:eastAsia="仿宋_GB2312"/>
          <w:sz w:val="32"/>
          <w:szCs w:val="32"/>
        </w:rPr>
      </w:pPr>
      <w:r>
        <w:rPr>
          <w:rFonts w:hint="eastAsia" w:eastAsia="仿宋_GB2312"/>
          <w:sz w:val="32"/>
          <w:szCs w:val="32"/>
        </w:rPr>
        <w:t>支出责任：依据昆政办〔2020〕78号文件中央、省、市、区按照80：4：14.4：1.6的比例分担。</w:t>
      </w:r>
    </w:p>
    <w:p>
      <w:pPr>
        <w:spacing w:line="578" w:lineRule="exact"/>
        <w:ind w:firstLine="640" w:firstLineChars="200"/>
        <w:rPr>
          <w:rFonts w:eastAsia="仿宋_GB2312"/>
          <w:sz w:val="32"/>
          <w:szCs w:val="32"/>
        </w:rPr>
      </w:pPr>
      <w:r>
        <w:rPr>
          <w:rFonts w:hint="eastAsia" w:eastAsia="仿宋_GB2312"/>
          <w:sz w:val="32"/>
          <w:szCs w:val="32"/>
        </w:rPr>
        <w:t>牵头负责单位：区卫生健康局</w:t>
      </w:r>
    </w:p>
    <w:p>
      <w:pPr>
        <w:spacing w:line="578" w:lineRule="exact"/>
        <w:ind w:firstLine="640" w:firstLineChars="200"/>
        <w:rPr>
          <w:rFonts w:eastAsia="仿宋_GB2312"/>
          <w:sz w:val="32"/>
          <w:szCs w:val="32"/>
        </w:rPr>
      </w:pPr>
      <w:r>
        <w:rPr>
          <w:rFonts w:hint="eastAsia" w:eastAsia="仿宋_GB2312"/>
          <w:sz w:val="32"/>
          <w:szCs w:val="32"/>
        </w:rPr>
        <w:t>服务流程：严格按照《国家基本公共卫生服务规范（第三版）》执行。</w:t>
      </w:r>
    </w:p>
    <w:p>
      <w:pPr>
        <w:spacing w:line="578" w:lineRule="exact"/>
        <w:ind w:firstLine="640" w:firstLineChars="200"/>
        <w:rPr>
          <w:rFonts w:ascii="楷体_GB2312" w:eastAsia="楷体_GB2312"/>
          <w:sz w:val="32"/>
          <w:szCs w:val="32"/>
        </w:rPr>
      </w:pPr>
      <w:bookmarkStart w:id="36" w:name="_Toc23047"/>
      <w:bookmarkStart w:id="37" w:name="_Toc23630"/>
      <w:r>
        <w:rPr>
          <w:rFonts w:hint="eastAsia" w:ascii="楷体_GB2312" w:eastAsia="楷体_GB2312"/>
          <w:sz w:val="32"/>
          <w:szCs w:val="32"/>
        </w:rPr>
        <w:t>（三）儿童关爱服务</w:t>
      </w:r>
      <w:bookmarkEnd w:id="36"/>
      <w:bookmarkEnd w:id="37"/>
    </w:p>
    <w:p>
      <w:pPr>
        <w:spacing w:line="578" w:lineRule="exact"/>
        <w:ind w:firstLine="640" w:firstLineChars="200"/>
        <w:rPr>
          <w:rFonts w:eastAsia="仿宋_GB2312"/>
          <w:sz w:val="32"/>
          <w:szCs w:val="32"/>
        </w:rPr>
      </w:pPr>
      <w:bookmarkStart w:id="38" w:name="_Toc12820"/>
      <w:bookmarkStart w:id="39" w:name="_Toc14676"/>
      <w:r>
        <w:rPr>
          <w:rFonts w:hint="eastAsia" w:eastAsia="仿宋_GB2312"/>
          <w:sz w:val="32"/>
          <w:szCs w:val="32"/>
        </w:rPr>
        <w:t>7.特殊儿童群体基本生活保障</w:t>
      </w:r>
      <w:bookmarkEnd w:id="38"/>
      <w:bookmarkEnd w:id="39"/>
    </w:p>
    <w:p>
      <w:pPr>
        <w:spacing w:line="578" w:lineRule="exact"/>
        <w:ind w:firstLine="640" w:firstLineChars="200"/>
        <w:rPr>
          <w:rFonts w:eastAsia="仿宋_GB2312"/>
          <w:sz w:val="32"/>
          <w:szCs w:val="32"/>
        </w:rPr>
      </w:pPr>
      <w:r>
        <w:rPr>
          <w:rFonts w:hint="eastAsia" w:eastAsia="仿宋_GB2312"/>
          <w:sz w:val="32"/>
          <w:szCs w:val="32"/>
        </w:rPr>
        <w:t>服务对象：孤儿、艾滋病病毒感染儿童、事实无人抚养儿童。</w:t>
      </w:r>
    </w:p>
    <w:p>
      <w:pPr>
        <w:spacing w:line="578" w:lineRule="exact"/>
        <w:ind w:firstLine="640" w:firstLineChars="200"/>
        <w:rPr>
          <w:rFonts w:eastAsia="仿宋_GB2312"/>
          <w:sz w:val="32"/>
          <w:szCs w:val="32"/>
        </w:rPr>
      </w:pPr>
      <w:r>
        <w:rPr>
          <w:rFonts w:hint="eastAsia" w:eastAsia="仿宋_GB2312"/>
          <w:sz w:val="32"/>
          <w:szCs w:val="32"/>
        </w:rPr>
        <w:t>服务内容：为孤儿、艾滋病病毒感染儿童发放基本生活费。为事实无人抚养儿童发放基本生活补贴。</w:t>
      </w:r>
    </w:p>
    <w:p>
      <w:pPr>
        <w:spacing w:line="578" w:lineRule="exact"/>
        <w:ind w:firstLine="640" w:firstLineChars="200"/>
        <w:rPr>
          <w:rFonts w:eastAsia="仿宋_GB2312"/>
          <w:sz w:val="32"/>
          <w:szCs w:val="32"/>
        </w:rPr>
      </w:pPr>
      <w:r>
        <w:rPr>
          <w:rFonts w:hint="eastAsia" w:eastAsia="仿宋_GB2312"/>
          <w:sz w:val="32"/>
          <w:szCs w:val="32"/>
        </w:rPr>
        <w:t>服务标准：市级民政和财政部门按照保障孤儿基本生活不低于当地平均生活水平的原则，合理确定孤儿基本生活标准，落实孤儿基本生活保障制度。艾滋病病毒感染儿童基本生活费发放标准参照孤儿基本生活费标准，事实无人抚养儿童基本生活补贴标 准按照与当地孤儿保障标准相衔接的原则确定。目前，昆明市散居孤儿、感染艾滋病病毒儿童和事实无人抚养儿童补助标准为1374元/月/人，集中供养儿童补助标准为2074元/月/人。</w:t>
      </w:r>
    </w:p>
    <w:p>
      <w:pPr>
        <w:spacing w:line="578" w:lineRule="exact"/>
        <w:ind w:firstLine="640" w:firstLineChars="200"/>
        <w:rPr>
          <w:rFonts w:eastAsia="仿宋_GB2312"/>
          <w:sz w:val="32"/>
          <w:szCs w:val="32"/>
        </w:rPr>
      </w:pPr>
      <w:r>
        <w:rPr>
          <w:rFonts w:hint="eastAsia" w:eastAsia="仿宋_GB2312"/>
          <w:sz w:val="32"/>
          <w:szCs w:val="32"/>
        </w:rPr>
        <w:t>政策依据：《国务院办公厅关于加强孤儿保障工作的意见》（国办发〔2010〕54号）、《昆明市民政局 昆明市财政局关于落实孤儿等特困儿童基本生活补助标准的通知》（昆民联发〔2020〕22号）、《民政部 财政部关于发放艾滋病病毒感染儿童基本生活费的通知》（民发〔2012〕179号）、《关于进一步加强事实无人抚养儿童保障工作的意见》（民发〔2019〕62号）、《云南省人民政府办公厅关于加强孤儿保障工作的实施意见》（云政办发〔2011〕99号）、《关于进一步加强事实无人抚养儿童保障工作的实施意见》（云民规〔2019〕2号）及地方有关标准执行、《云南省民政厅 云南省公安厅 云南省财政厅关于进一步做好事实无人抚养儿童保障有关工作的通知》（云民发〔2021〕51号）。</w:t>
      </w:r>
    </w:p>
    <w:p>
      <w:pPr>
        <w:spacing w:line="578" w:lineRule="exact"/>
        <w:ind w:firstLine="640" w:firstLineChars="200"/>
        <w:rPr>
          <w:rFonts w:eastAsia="仿宋_GB2312"/>
          <w:sz w:val="32"/>
          <w:szCs w:val="32"/>
        </w:rPr>
      </w:pPr>
      <w:r>
        <w:rPr>
          <w:rFonts w:hint="eastAsia" w:eastAsia="仿宋_GB2312"/>
          <w:sz w:val="32"/>
          <w:szCs w:val="32"/>
        </w:rPr>
        <w:t>支出责任：按照中央补助标准600元/人/月，省级补助标准600元/人/月、集中供养区级配套资金874元/人/月，分散供养区级配套资金174元/人/月。</w:t>
      </w:r>
    </w:p>
    <w:p>
      <w:pPr>
        <w:spacing w:line="578" w:lineRule="exact"/>
        <w:ind w:firstLine="640" w:firstLineChars="200"/>
        <w:rPr>
          <w:rFonts w:eastAsia="仿宋_GB2312"/>
          <w:sz w:val="32"/>
          <w:szCs w:val="32"/>
        </w:rPr>
      </w:pPr>
      <w:r>
        <w:rPr>
          <w:rFonts w:hint="eastAsia" w:eastAsia="仿宋_GB2312"/>
          <w:sz w:val="32"/>
          <w:szCs w:val="32"/>
        </w:rPr>
        <w:t>牵头负责单位：区民政局</w:t>
      </w:r>
    </w:p>
    <w:p>
      <w:pPr>
        <w:spacing w:line="578" w:lineRule="exact"/>
        <w:ind w:firstLine="640" w:firstLineChars="200"/>
        <w:rPr>
          <w:rFonts w:eastAsia="仿宋_GB2312"/>
          <w:sz w:val="32"/>
          <w:szCs w:val="32"/>
        </w:rPr>
      </w:pPr>
      <w:r>
        <w:rPr>
          <w:rFonts w:hint="eastAsia" w:eastAsia="仿宋_GB2312"/>
          <w:sz w:val="32"/>
          <w:szCs w:val="32"/>
        </w:rPr>
        <w:t>服务流程：申请（监护人）→审核〔乡镇（街道）人民政府（办事处）〕→审批（区民政局）→补贴资金发放（代发金融机构）。</w:t>
      </w:r>
    </w:p>
    <w:p>
      <w:pPr>
        <w:spacing w:line="578" w:lineRule="exact"/>
        <w:ind w:firstLine="640" w:firstLineChars="200"/>
        <w:rPr>
          <w:rFonts w:eastAsia="仿宋_GB2312"/>
          <w:sz w:val="32"/>
          <w:szCs w:val="32"/>
        </w:rPr>
      </w:pPr>
      <w:bookmarkStart w:id="40" w:name="_Toc15362"/>
      <w:bookmarkStart w:id="41" w:name="_Toc27296"/>
      <w:r>
        <w:rPr>
          <w:rFonts w:hint="eastAsia" w:eastAsia="仿宋_GB2312"/>
          <w:sz w:val="32"/>
          <w:szCs w:val="32"/>
        </w:rPr>
        <w:t>8.困境儿童保障</w:t>
      </w:r>
      <w:bookmarkEnd w:id="40"/>
      <w:bookmarkEnd w:id="41"/>
    </w:p>
    <w:p>
      <w:pPr>
        <w:spacing w:line="578" w:lineRule="exact"/>
        <w:ind w:firstLine="640" w:firstLineChars="200"/>
        <w:rPr>
          <w:rFonts w:eastAsia="仿宋_GB2312"/>
          <w:sz w:val="32"/>
          <w:szCs w:val="32"/>
        </w:rPr>
      </w:pPr>
      <w:r>
        <w:rPr>
          <w:rFonts w:hint="eastAsia" w:eastAsia="仿宋_GB2312"/>
          <w:sz w:val="32"/>
          <w:szCs w:val="32"/>
        </w:rPr>
        <w:t>服务对象：因家庭贫困导致生活、就医、就学等困难的儿童，因自身残疾导致康复、照料、护理和社会融入等困难的儿童以及因家庭监护缺失或监护不当遭受虐待、遗弃、</w:t>
      </w:r>
      <w:r>
        <w:rPr>
          <w:rFonts w:hint="eastAsia" w:eastAsia="仿宋_GB2312"/>
          <w:spacing w:val="-6"/>
          <w:sz w:val="32"/>
          <w:szCs w:val="32"/>
        </w:rPr>
        <w:t>意外伤害、不法侵害等导致人身安全受到威胁或侵害的儿童。</w:t>
      </w:r>
    </w:p>
    <w:p>
      <w:pPr>
        <w:spacing w:line="578" w:lineRule="exact"/>
        <w:ind w:firstLine="640" w:firstLineChars="200"/>
        <w:rPr>
          <w:rFonts w:eastAsia="仿宋_GB2312"/>
          <w:sz w:val="32"/>
          <w:szCs w:val="32"/>
        </w:rPr>
      </w:pPr>
      <w:r>
        <w:rPr>
          <w:rFonts w:hint="eastAsia" w:eastAsia="仿宋_GB2312"/>
          <w:sz w:val="32"/>
          <w:szCs w:val="32"/>
        </w:rPr>
        <w:t>服务内容：对符合条件的孤儿、艾滋病病毒感染儿童和事实无人抚养儿童按时足额发放基本生活费。引导、组织城乡最低生活保障家庭的残疾儿童和儿童福利机构收留抚养的残疾儿童以及残疾孤儿、纳入特困人员供养范围的残疾儿童，向区级残联组织提出康复申请并实施康复救助。推动区级、乡镇（街道）、村（居）委会三级儿童关爱保护工作网络。对父母没有监护能力且无其他人可以担任监护人或监护人丧失监护能力且无其他人可以担任监护人的儿童，以及查找不到生父母或其他监护人的打拐解救儿童，由民政部门依法监护（兜底监护）。</w:t>
      </w:r>
    </w:p>
    <w:p>
      <w:pPr>
        <w:spacing w:line="578" w:lineRule="exact"/>
        <w:ind w:firstLine="640" w:firstLineChars="200"/>
        <w:rPr>
          <w:rFonts w:eastAsia="仿宋_GB2312"/>
          <w:spacing w:val="-6"/>
          <w:sz w:val="32"/>
          <w:szCs w:val="32"/>
        </w:rPr>
      </w:pPr>
      <w:r>
        <w:rPr>
          <w:rFonts w:hint="eastAsia" w:eastAsia="仿宋_GB2312"/>
          <w:sz w:val="32"/>
          <w:szCs w:val="32"/>
        </w:rPr>
        <w:t>服务标准：按月统计上报孤儿、艾滋病病毒感染儿童和事实无人抚养儿童基本生活费发放情况；城乡社区建立困境儿童信息台帐，一人一档，村（居）委会儿童主任定期走访；乡镇（街道）至少每半年对孤儿等特困儿童家庭探访巡查1次；探访巡查覆盖面达到100%；探访巡查内容涵盖孤儿等特困儿童身份审核、生活费发放等内容；建立探访巡查档案。区级民政部门至少每半年对孤儿等特困儿童家庭探访巡查一次；探访巡查覆盖面达50%以上；探访巡查内容涵盖孤儿</w:t>
      </w:r>
      <w:r>
        <w:rPr>
          <w:rFonts w:hint="eastAsia" w:eastAsia="仿宋_GB2312"/>
          <w:spacing w:val="-6"/>
          <w:sz w:val="32"/>
          <w:szCs w:val="32"/>
        </w:rPr>
        <w:t>等特困儿童身份审核、生活费发放等内容；建立探访巡查档案。</w:t>
      </w:r>
    </w:p>
    <w:p>
      <w:pPr>
        <w:spacing w:line="578" w:lineRule="exact"/>
        <w:ind w:firstLine="640" w:firstLineChars="200"/>
        <w:rPr>
          <w:rFonts w:eastAsia="仿宋_GB2312"/>
          <w:sz w:val="32"/>
          <w:szCs w:val="32"/>
        </w:rPr>
      </w:pPr>
      <w:r>
        <w:rPr>
          <w:rFonts w:hint="eastAsia" w:eastAsia="仿宋_GB2312"/>
          <w:sz w:val="32"/>
          <w:szCs w:val="32"/>
        </w:rPr>
        <w:t>政策依据：《国务院关于加强困境儿童保障工作的意见》（国发〔2016〕36号）、《云南省人民政府关于加强困境儿童保障工作的实施意见》（云政发〔2016〕103号）、《昆明市人民政府关于印发昆明市加强困境儿童分类保障工作实施方案的通知》（昆政发〔2017〕44号）、《云南省人民政府关于建立残疾儿童康复救 助制度的实施意见》（云政发〔2018〕52号）及地方有关标准执行、《民政部办公厅关于开展孤弃儿童养育情况大排查的通知》（民办函〔2018〕51号）、《民政部关于贯彻落实国务院关于建立残疾儿童康复救助制度的意见的通知》（民函〔2018〕154号）。</w:t>
      </w:r>
    </w:p>
    <w:p>
      <w:pPr>
        <w:spacing w:line="578" w:lineRule="exact"/>
        <w:ind w:firstLine="640" w:firstLineChars="200"/>
        <w:rPr>
          <w:rFonts w:eastAsia="仿宋_GB2312"/>
          <w:sz w:val="32"/>
          <w:szCs w:val="32"/>
        </w:rPr>
      </w:pPr>
      <w:r>
        <w:rPr>
          <w:rFonts w:hint="eastAsia" w:eastAsia="仿宋_GB2312"/>
          <w:sz w:val="32"/>
          <w:szCs w:val="32"/>
        </w:rPr>
        <w:t>支出责任：区民政局、各乡镇（街道）</w:t>
      </w:r>
    </w:p>
    <w:p>
      <w:pPr>
        <w:spacing w:line="578" w:lineRule="exact"/>
        <w:ind w:firstLine="640" w:firstLineChars="200"/>
        <w:rPr>
          <w:rFonts w:eastAsia="仿宋_GB2312"/>
          <w:sz w:val="32"/>
          <w:szCs w:val="32"/>
        </w:rPr>
      </w:pPr>
      <w:r>
        <w:rPr>
          <w:rFonts w:hint="eastAsia" w:eastAsia="仿宋_GB2312"/>
          <w:sz w:val="32"/>
          <w:szCs w:val="32"/>
        </w:rPr>
        <w:t>牵头负责单位：区民政局</w:t>
      </w:r>
    </w:p>
    <w:p>
      <w:pPr>
        <w:spacing w:line="578" w:lineRule="exact"/>
        <w:ind w:firstLine="640" w:firstLineChars="200"/>
        <w:rPr>
          <w:rFonts w:eastAsia="仿宋_GB2312"/>
          <w:sz w:val="32"/>
          <w:szCs w:val="32"/>
        </w:rPr>
      </w:pPr>
      <w:r>
        <w:rPr>
          <w:rFonts w:hint="eastAsia" w:eastAsia="仿宋_GB2312"/>
          <w:sz w:val="32"/>
          <w:szCs w:val="32"/>
        </w:rPr>
        <w:t>服务流程：按照云政发〔2016〕103号、昆政发〔2017〕44号文件规定执行，开展排查“分析研判”，开展帮扶。</w:t>
      </w:r>
    </w:p>
    <w:p>
      <w:pPr>
        <w:spacing w:line="578" w:lineRule="exact"/>
        <w:ind w:firstLine="640" w:firstLineChars="200"/>
        <w:rPr>
          <w:rFonts w:eastAsia="仿宋_GB2312"/>
          <w:sz w:val="32"/>
          <w:szCs w:val="32"/>
        </w:rPr>
      </w:pPr>
      <w:bookmarkStart w:id="42" w:name="_bookmark13"/>
      <w:bookmarkEnd w:id="42"/>
      <w:bookmarkStart w:id="43" w:name="_Toc16934"/>
      <w:bookmarkStart w:id="44" w:name="_Toc8146"/>
      <w:r>
        <w:rPr>
          <w:rFonts w:hint="eastAsia" w:eastAsia="仿宋_GB2312"/>
          <w:sz w:val="32"/>
          <w:szCs w:val="32"/>
        </w:rPr>
        <w:t>9.农村留守儿童关爱保护</w:t>
      </w:r>
      <w:bookmarkEnd w:id="43"/>
      <w:bookmarkEnd w:id="44"/>
    </w:p>
    <w:p>
      <w:pPr>
        <w:spacing w:line="578" w:lineRule="exact"/>
        <w:ind w:firstLine="640" w:firstLineChars="200"/>
        <w:rPr>
          <w:rFonts w:eastAsia="仿宋_GB2312"/>
          <w:sz w:val="32"/>
          <w:szCs w:val="32"/>
        </w:rPr>
      </w:pPr>
      <w:r>
        <w:rPr>
          <w:rFonts w:hint="eastAsia" w:eastAsia="仿宋_GB2312"/>
          <w:sz w:val="32"/>
          <w:szCs w:val="32"/>
        </w:rPr>
        <w:t>服务对象：父母双方外出务工或一方外出务工另一方无监护能力、不满16周岁的未成年人。</w:t>
      </w:r>
    </w:p>
    <w:p>
      <w:pPr>
        <w:spacing w:line="578" w:lineRule="exact"/>
        <w:ind w:firstLine="640" w:firstLineChars="200"/>
        <w:rPr>
          <w:rFonts w:eastAsia="仿宋_GB2312"/>
          <w:sz w:val="32"/>
          <w:szCs w:val="32"/>
        </w:rPr>
      </w:pPr>
      <w:r>
        <w:rPr>
          <w:rFonts w:hint="eastAsia" w:eastAsia="仿宋_GB2312"/>
          <w:sz w:val="32"/>
          <w:szCs w:val="32"/>
        </w:rPr>
        <w:t>服务内容： 指导乡镇（街道）、城乡社区村（居） 委会加强对父母或受委托监护人的法制、家庭责任教育和监护指导，督促监护人或受委托监护人签订《农村留守儿童委托监护责任确认书》，强化家长作为第一监护人的主体责任意识，确保农村留守儿童得到妥善照顾和有效管护。</w:t>
      </w:r>
    </w:p>
    <w:p>
      <w:pPr>
        <w:spacing w:line="578" w:lineRule="exact"/>
        <w:ind w:firstLine="640" w:firstLineChars="200"/>
        <w:rPr>
          <w:rFonts w:eastAsia="仿宋_GB2312"/>
          <w:sz w:val="32"/>
          <w:szCs w:val="32"/>
        </w:rPr>
      </w:pPr>
      <w:r>
        <w:rPr>
          <w:rFonts w:hint="eastAsia" w:eastAsia="仿宋_GB2312"/>
          <w:sz w:val="32"/>
          <w:szCs w:val="32"/>
        </w:rPr>
        <w:t>服务标准：指导村（居）委会采取实地走访、电话核实等方式对辖区儿童开展排查，无人监护、父母一方外出另一方无监护能力、委托监护人监护能力不足或者履职不到位、失学辍学、残疾患病的农村留守儿童每次排查时必须100%走访，走访排查情况要记录到儿童福利信息系统。乡镇（街道）每季度至少要开展一次巡查，重点巡查核实村（居）委会每季度走访排查情况、重点对象定期随访情况、村（居）委会儿童主任履职情况、儿童之家作用发挥情况、系统数据时效性情况等。</w:t>
      </w:r>
    </w:p>
    <w:p>
      <w:pPr>
        <w:spacing w:line="578" w:lineRule="exact"/>
        <w:ind w:firstLine="640" w:firstLineChars="200"/>
        <w:rPr>
          <w:rFonts w:eastAsia="仿宋_GB2312"/>
          <w:sz w:val="32"/>
          <w:szCs w:val="32"/>
        </w:rPr>
      </w:pPr>
      <w:r>
        <w:rPr>
          <w:rFonts w:hint="eastAsia" w:eastAsia="仿宋_GB2312"/>
          <w:sz w:val="32"/>
          <w:szCs w:val="32"/>
        </w:rPr>
        <w:t>政策依据：《国务院关于加强农村留守儿童关爱保护工作的意见》（国发〔2016〕13号）、《云南省人民政府关于加强农村留守儿童关爱保护工作的实施意见》（云政发〔2016〕52 号）、《关于进一步健全农村留守儿童和困境儿童关爱服务体系的实施意见》（云民规〔2019〕3号）及地方有关标准执行。</w:t>
      </w:r>
    </w:p>
    <w:p>
      <w:pPr>
        <w:spacing w:line="578" w:lineRule="exact"/>
        <w:ind w:firstLine="640" w:firstLineChars="200"/>
        <w:rPr>
          <w:rFonts w:eastAsia="仿宋_GB2312"/>
          <w:sz w:val="32"/>
          <w:szCs w:val="32"/>
        </w:rPr>
      </w:pPr>
      <w:r>
        <w:rPr>
          <w:rFonts w:hint="eastAsia" w:eastAsia="仿宋_GB2312"/>
          <w:sz w:val="32"/>
          <w:szCs w:val="32"/>
        </w:rPr>
        <w:t>支出责任：区民政局、各乡镇（街道）</w:t>
      </w:r>
    </w:p>
    <w:p>
      <w:pPr>
        <w:spacing w:line="578" w:lineRule="exact"/>
        <w:ind w:firstLine="640" w:firstLineChars="200"/>
        <w:rPr>
          <w:rFonts w:eastAsia="仿宋_GB2312"/>
          <w:sz w:val="32"/>
          <w:szCs w:val="32"/>
        </w:rPr>
      </w:pPr>
      <w:r>
        <w:rPr>
          <w:rFonts w:hint="eastAsia" w:eastAsia="仿宋_GB2312"/>
          <w:sz w:val="32"/>
          <w:szCs w:val="32"/>
        </w:rPr>
        <w:t>牵头责任单位：区民政局</w:t>
      </w:r>
    </w:p>
    <w:p>
      <w:pPr>
        <w:spacing w:line="578" w:lineRule="exact"/>
        <w:ind w:firstLine="640" w:firstLineChars="200"/>
        <w:rPr>
          <w:rFonts w:eastAsia="仿宋_GB2312"/>
          <w:sz w:val="32"/>
          <w:szCs w:val="32"/>
          <w:highlight w:val="yellow"/>
        </w:rPr>
      </w:pPr>
      <w:r>
        <w:rPr>
          <w:rFonts w:hint="eastAsia" w:eastAsia="仿宋_GB2312"/>
          <w:sz w:val="32"/>
          <w:szCs w:val="32"/>
        </w:rPr>
        <w:t>服务流程：摸底排查“建立信息台帐（一人一档）信息录入全国儿童福利信息系统”分类提供关爱服务。</w:t>
      </w:r>
    </w:p>
    <w:p>
      <w:pPr>
        <w:spacing w:line="578" w:lineRule="exact"/>
        <w:ind w:firstLine="640" w:firstLineChars="200"/>
        <w:rPr>
          <w:rFonts w:eastAsia="黑体"/>
          <w:sz w:val="32"/>
          <w:szCs w:val="32"/>
        </w:rPr>
      </w:pPr>
      <w:bookmarkStart w:id="45" w:name="_Toc16619"/>
      <w:bookmarkStart w:id="46" w:name="_Toc13019"/>
      <w:r>
        <w:rPr>
          <w:rFonts w:hint="eastAsia" w:hAnsi="黑体" w:eastAsia="黑体"/>
          <w:sz w:val="32"/>
          <w:szCs w:val="32"/>
        </w:rPr>
        <w:t>二、学有所教</w:t>
      </w:r>
      <w:bookmarkEnd w:id="45"/>
      <w:bookmarkEnd w:id="46"/>
    </w:p>
    <w:p>
      <w:pPr>
        <w:spacing w:line="578" w:lineRule="exact"/>
        <w:ind w:firstLine="640" w:firstLineChars="200"/>
        <w:rPr>
          <w:rFonts w:eastAsia="楷体_GB2312"/>
          <w:sz w:val="32"/>
          <w:szCs w:val="32"/>
        </w:rPr>
      </w:pPr>
      <w:bookmarkStart w:id="47" w:name="_Toc17411"/>
      <w:bookmarkStart w:id="48" w:name="_Toc3657"/>
      <w:r>
        <w:rPr>
          <w:rFonts w:hint="eastAsia" w:eastAsia="楷体_GB2312"/>
          <w:sz w:val="32"/>
          <w:szCs w:val="32"/>
        </w:rPr>
        <w:t>（四）学前教育助学服务</w:t>
      </w:r>
      <w:bookmarkEnd w:id="47"/>
      <w:bookmarkEnd w:id="48"/>
    </w:p>
    <w:p>
      <w:pPr>
        <w:spacing w:line="578" w:lineRule="exact"/>
        <w:ind w:firstLine="640" w:firstLineChars="200"/>
        <w:rPr>
          <w:rFonts w:eastAsia="仿宋_GB2312"/>
          <w:sz w:val="32"/>
          <w:szCs w:val="32"/>
        </w:rPr>
      </w:pPr>
      <w:bookmarkStart w:id="49" w:name="_Toc3720"/>
      <w:bookmarkStart w:id="50" w:name="_Toc20036"/>
      <w:r>
        <w:rPr>
          <w:rFonts w:hint="eastAsia" w:eastAsia="仿宋_GB2312"/>
          <w:sz w:val="32"/>
          <w:szCs w:val="32"/>
        </w:rPr>
        <w:t>10.学前教育幼儿资助</w:t>
      </w:r>
      <w:bookmarkEnd w:id="49"/>
      <w:bookmarkEnd w:id="50"/>
    </w:p>
    <w:p>
      <w:pPr>
        <w:spacing w:line="578" w:lineRule="exact"/>
        <w:ind w:firstLine="640" w:firstLineChars="200"/>
        <w:rPr>
          <w:rFonts w:eastAsia="仿宋_GB2312"/>
          <w:sz w:val="32"/>
          <w:szCs w:val="32"/>
        </w:rPr>
      </w:pPr>
      <w:r>
        <w:rPr>
          <w:rFonts w:hint="eastAsia" w:eastAsia="仿宋_GB2312"/>
          <w:sz w:val="32"/>
          <w:szCs w:val="32"/>
        </w:rPr>
        <w:t>服务对象：经区级以上教育行政部门审批设立的公办幼儿园在园家庭经济困难儿童以及提供普惠性、低收费服务的民办幼儿园家庭经济困难儿童。</w:t>
      </w:r>
    </w:p>
    <w:p>
      <w:pPr>
        <w:spacing w:line="578" w:lineRule="exact"/>
        <w:ind w:firstLine="616" w:firstLineChars="200"/>
        <w:rPr>
          <w:rFonts w:eastAsia="仿宋_GB2312"/>
          <w:spacing w:val="-6"/>
          <w:sz w:val="32"/>
          <w:szCs w:val="32"/>
        </w:rPr>
      </w:pPr>
      <w:r>
        <w:rPr>
          <w:rFonts w:hint="eastAsia" w:eastAsia="仿宋_GB2312"/>
          <w:spacing w:val="-6"/>
          <w:sz w:val="32"/>
          <w:szCs w:val="32"/>
        </w:rPr>
        <w:t>服务内容：对学前教育阶段家庭经济困难学生提供补助。</w:t>
      </w:r>
    </w:p>
    <w:p>
      <w:pPr>
        <w:spacing w:line="578" w:lineRule="exact"/>
        <w:ind w:firstLine="640" w:firstLineChars="200"/>
        <w:rPr>
          <w:rFonts w:eastAsia="仿宋_GB2312"/>
          <w:sz w:val="32"/>
          <w:szCs w:val="32"/>
        </w:rPr>
      </w:pPr>
      <w:r>
        <w:rPr>
          <w:rFonts w:hint="eastAsia" w:eastAsia="仿宋_GB2312"/>
          <w:sz w:val="32"/>
          <w:szCs w:val="32"/>
        </w:rPr>
        <w:t>服务标准：学前教育资助标准为每生每年300元。</w:t>
      </w:r>
    </w:p>
    <w:p>
      <w:pPr>
        <w:spacing w:line="578" w:lineRule="exact"/>
        <w:ind w:firstLine="640" w:firstLineChars="200"/>
        <w:rPr>
          <w:rFonts w:eastAsia="仿宋_GB2312"/>
          <w:sz w:val="32"/>
          <w:szCs w:val="32"/>
        </w:rPr>
      </w:pPr>
      <w:r>
        <w:rPr>
          <w:rFonts w:hint="eastAsia" w:eastAsia="仿宋_GB2312"/>
          <w:sz w:val="32"/>
          <w:szCs w:val="32"/>
        </w:rPr>
        <w:t>政策依据：《财政部 教育部关于建立学前教育资助制度的意见》（财教〔2011〕410号）、《云南省教育厅 云南省财政厅关于印发云南省学前教育家庭经济困难儿童资助实施意见等3个试行文件的通知》（云教基〔2012〕45号）、《关于印发昆明市学前教育家庭经济困难儿童资助管理办法的通知》（昆教规〔2019〕1号）。</w:t>
      </w:r>
    </w:p>
    <w:p>
      <w:pPr>
        <w:spacing w:line="578" w:lineRule="exact"/>
        <w:ind w:firstLine="640" w:firstLineChars="200"/>
        <w:rPr>
          <w:rFonts w:eastAsia="仿宋_GB2312"/>
          <w:sz w:val="32"/>
          <w:szCs w:val="32"/>
        </w:rPr>
      </w:pPr>
      <w:r>
        <w:rPr>
          <w:rFonts w:hint="eastAsia" w:eastAsia="仿宋_GB2312"/>
          <w:sz w:val="32"/>
          <w:szCs w:val="32"/>
        </w:rPr>
        <w:t>支出责任：所需经费由中央承担80%，省级承担4%，市级承担14.4%，区级承担1.6%对学前教育阶段家庭经济困难学生予以补助。</w:t>
      </w:r>
    </w:p>
    <w:p>
      <w:pPr>
        <w:spacing w:line="578" w:lineRule="exact"/>
        <w:ind w:firstLine="640" w:firstLineChars="200"/>
        <w:rPr>
          <w:rFonts w:eastAsia="仿宋_GB2312"/>
          <w:sz w:val="32"/>
          <w:szCs w:val="32"/>
        </w:rPr>
      </w:pPr>
      <w:r>
        <w:rPr>
          <w:rFonts w:hint="eastAsia" w:eastAsia="仿宋_GB2312"/>
          <w:sz w:val="32"/>
          <w:szCs w:val="32"/>
        </w:rPr>
        <w:t>牵头负责单位：区教育体育局</w:t>
      </w:r>
    </w:p>
    <w:p>
      <w:pPr>
        <w:spacing w:line="578" w:lineRule="exact"/>
        <w:ind w:firstLine="616" w:firstLineChars="200"/>
        <w:rPr>
          <w:rFonts w:eastAsia="仿宋_GB2312"/>
          <w:spacing w:val="-6"/>
          <w:sz w:val="32"/>
          <w:szCs w:val="32"/>
        </w:rPr>
      </w:pPr>
      <w:r>
        <w:rPr>
          <w:rFonts w:hint="eastAsia" w:eastAsia="仿宋_GB2312"/>
          <w:spacing w:val="-6"/>
          <w:sz w:val="32"/>
          <w:szCs w:val="32"/>
        </w:rPr>
        <w:t>服务流程：学校认定家庭经济困难幼儿→发放资助资金。</w:t>
      </w:r>
    </w:p>
    <w:p>
      <w:pPr>
        <w:spacing w:line="578" w:lineRule="exact"/>
        <w:ind w:firstLine="640" w:firstLineChars="200"/>
        <w:rPr>
          <w:rFonts w:eastAsia="楷体_GB2312"/>
          <w:sz w:val="32"/>
          <w:szCs w:val="32"/>
        </w:rPr>
      </w:pPr>
      <w:bookmarkStart w:id="51" w:name="_Toc17569"/>
      <w:bookmarkStart w:id="52" w:name="_Toc4449"/>
      <w:r>
        <w:rPr>
          <w:rFonts w:hint="eastAsia" w:eastAsia="楷体_GB2312"/>
          <w:sz w:val="32"/>
          <w:szCs w:val="32"/>
        </w:rPr>
        <w:t>（五）义务教育服务</w:t>
      </w:r>
      <w:bookmarkEnd w:id="51"/>
      <w:bookmarkEnd w:id="52"/>
    </w:p>
    <w:p>
      <w:pPr>
        <w:spacing w:line="578" w:lineRule="exact"/>
        <w:ind w:firstLine="640" w:firstLineChars="200"/>
        <w:rPr>
          <w:rFonts w:eastAsia="仿宋_GB2312"/>
          <w:sz w:val="32"/>
          <w:szCs w:val="32"/>
        </w:rPr>
      </w:pPr>
      <w:bookmarkStart w:id="53" w:name="_Toc29319"/>
      <w:bookmarkStart w:id="54" w:name="_Toc4722"/>
      <w:r>
        <w:rPr>
          <w:rFonts w:hint="eastAsia" w:eastAsia="仿宋_GB2312"/>
          <w:sz w:val="32"/>
          <w:szCs w:val="32"/>
        </w:rPr>
        <w:t>11.义务教育阶段免除学杂费</w:t>
      </w:r>
      <w:bookmarkEnd w:id="53"/>
      <w:bookmarkEnd w:id="54"/>
    </w:p>
    <w:p>
      <w:pPr>
        <w:spacing w:line="578" w:lineRule="exact"/>
        <w:ind w:firstLine="640" w:firstLineChars="200"/>
        <w:rPr>
          <w:rFonts w:eastAsia="仿宋_GB2312"/>
          <w:sz w:val="32"/>
          <w:szCs w:val="32"/>
        </w:rPr>
      </w:pPr>
      <w:r>
        <w:rPr>
          <w:rFonts w:hint="eastAsia" w:eastAsia="仿宋_GB2312"/>
          <w:sz w:val="32"/>
          <w:szCs w:val="32"/>
        </w:rPr>
        <w:t>服务对象：义务教育学生。</w:t>
      </w:r>
    </w:p>
    <w:p>
      <w:pPr>
        <w:spacing w:line="578" w:lineRule="exact"/>
        <w:ind w:firstLine="640" w:firstLineChars="200"/>
        <w:rPr>
          <w:rFonts w:eastAsia="仿宋_GB2312"/>
          <w:sz w:val="32"/>
          <w:szCs w:val="32"/>
        </w:rPr>
      </w:pPr>
      <w:r>
        <w:rPr>
          <w:rFonts w:hint="eastAsia" w:eastAsia="仿宋_GB2312"/>
          <w:sz w:val="32"/>
          <w:szCs w:val="32"/>
        </w:rPr>
        <w:t>服务内容：免除城乡义务教育阶段学生学杂费，对城乡义务教育学校（含民办学校）给予公用经费补助。</w:t>
      </w:r>
    </w:p>
    <w:p>
      <w:pPr>
        <w:spacing w:line="578" w:lineRule="exact"/>
        <w:ind w:firstLine="640" w:firstLineChars="200"/>
        <w:rPr>
          <w:rFonts w:eastAsia="仿宋_GB2312"/>
          <w:sz w:val="32"/>
          <w:szCs w:val="32"/>
        </w:rPr>
      </w:pPr>
      <w:r>
        <w:rPr>
          <w:rFonts w:hint="eastAsia" w:eastAsia="仿宋_GB2312"/>
          <w:sz w:val="32"/>
          <w:szCs w:val="32"/>
        </w:rPr>
        <w:t>服务标准：义务教育阶段生均公用经费基准定额为小学每生每年650元，初中每生每年850元；寄宿制学校公用经费按寄宿生数年生均增加200元；农村地区不足100人的规模较小学校按100人核定公用经费；特殊教育学校和随班就读残疾学生按每生每年6000元标准补助公用经费。</w:t>
      </w:r>
    </w:p>
    <w:p>
      <w:pPr>
        <w:spacing w:line="578" w:lineRule="exact"/>
        <w:ind w:firstLine="640" w:firstLineChars="200"/>
        <w:rPr>
          <w:rFonts w:eastAsia="仿宋_GB2312"/>
          <w:sz w:val="32"/>
          <w:szCs w:val="32"/>
        </w:rPr>
      </w:pPr>
      <w:r>
        <w:rPr>
          <w:rFonts w:hint="eastAsia" w:eastAsia="仿宋_GB2312"/>
          <w:sz w:val="32"/>
          <w:szCs w:val="32"/>
        </w:rPr>
        <w:t>政策依据：《国务院关于进一步完善城乡义务教育经费保障机制的通知》（国发〔2015〕67号）、《云南省人民政府关于进一步完善城乡义务教育经费保障机制的通知》（云政发〔2016〕74号）、《昆明市财政局 昆明市教育局关于转发云南省城乡义务教育学校公用经费管理办法的通知》（昆财教〔2017〕239号）。</w:t>
      </w:r>
    </w:p>
    <w:p>
      <w:pPr>
        <w:spacing w:line="578" w:lineRule="exact"/>
        <w:ind w:firstLine="640" w:firstLineChars="200"/>
        <w:rPr>
          <w:rFonts w:eastAsia="仿宋_GB2312"/>
          <w:sz w:val="32"/>
          <w:szCs w:val="32"/>
        </w:rPr>
      </w:pPr>
      <w:r>
        <w:rPr>
          <w:rFonts w:hint="eastAsia" w:eastAsia="仿宋_GB2312"/>
          <w:sz w:val="32"/>
          <w:szCs w:val="32"/>
        </w:rPr>
        <w:t>支出责任：所需经费由中央承担80%，省级承担4%，市级承担14.4%，区级承担1.6%。</w:t>
      </w:r>
    </w:p>
    <w:p>
      <w:pPr>
        <w:spacing w:line="578" w:lineRule="exact"/>
        <w:ind w:firstLine="640" w:firstLineChars="200"/>
        <w:rPr>
          <w:rFonts w:eastAsia="仿宋_GB2312"/>
          <w:sz w:val="32"/>
          <w:szCs w:val="32"/>
        </w:rPr>
      </w:pPr>
      <w:r>
        <w:rPr>
          <w:rFonts w:hint="eastAsia" w:eastAsia="仿宋_GB2312"/>
          <w:sz w:val="32"/>
          <w:szCs w:val="32"/>
        </w:rPr>
        <w:t>牵头负责单位：区教育体育局</w:t>
      </w:r>
    </w:p>
    <w:p>
      <w:pPr>
        <w:spacing w:line="578" w:lineRule="exact"/>
        <w:ind w:firstLine="640" w:firstLineChars="200"/>
        <w:rPr>
          <w:rFonts w:eastAsia="仿宋_GB2312"/>
          <w:sz w:val="32"/>
          <w:szCs w:val="32"/>
        </w:rPr>
      </w:pPr>
      <w:r>
        <w:rPr>
          <w:rFonts w:hint="eastAsia" w:eastAsia="仿宋_GB2312"/>
          <w:sz w:val="32"/>
          <w:szCs w:val="32"/>
        </w:rPr>
        <w:t>服务流程：测算资金→拨付资金到各学校→各学校规范使用资金，确保义务教育学校正常运转。</w:t>
      </w:r>
    </w:p>
    <w:p>
      <w:pPr>
        <w:spacing w:line="578" w:lineRule="exact"/>
        <w:ind w:firstLine="640" w:firstLineChars="200"/>
        <w:rPr>
          <w:rFonts w:eastAsia="仿宋_GB2312"/>
          <w:sz w:val="32"/>
          <w:szCs w:val="32"/>
        </w:rPr>
      </w:pPr>
      <w:bookmarkStart w:id="55" w:name="_Toc13501"/>
      <w:bookmarkStart w:id="56" w:name="_Toc23093"/>
      <w:r>
        <w:rPr>
          <w:rFonts w:hint="eastAsia" w:eastAsia="仿宋_GB2312"/>
          <w:sz w:val="32"/>
          <w:szCs w:val="32"/>
        </w:rPr>
        <w:t>12.义务教育免费提供教科书</w:t>
      </w:r>
      <w:bookmarkEnd w:id="55"/>
      <w:bookmarkEnd w:id="56"/>
    </w:p>
    <w:p>
      <w:pPr>
        <w:spacing w:line="578" w:lineRule="exact"/>
        <w:ind w:firstLine="640" w:firstLineChars="200"/>
        <w:rPr>
          <w:rFonts w:eastAsia="仿宋_GB2312"/>
          <w:sz w:val="32"/>
          <w:szCs w:val="32"/>
        </w:rPr>
      </w:pPr>
      <w:r>
        <w:rPr>
          <w:rFonts w:hint="eastAsia" w:eastAsia="仿宋_GB2312"/>
          <w:sz w:val="32"/>
          <w:szCs w:val="32"/>
        </w:rPr>
        <w:t>服务对象：义务教育学生。</w:t>
      </w:r>
    </w:p>
    <w:p>
      <w:pPr>
        <w:spacing w:line="578" w:lineRule="exact"/>
        <w:ind w:firstLine="640" w:firstLineChars="200"/>
        <w:rPr>
          <w:rFonts w:eastAsia="仿宋_GB2312"/>
          <w:sz w:val="32"/>
          <w:szCs w:val="32"/>
        </w:rPr>
      </w:pPr>
      <w:r>
        <w:rPr>
          <w:rFonts w:hint="eastAsia" w:eastAsia="仿宋_GB2312"/>
          <w:sz w:val="32"/>
          <w:szCs w:val="32"/>
        </w:rPr>
        <w:t>服务内容：免费为义务教育阶段学生提供国家规定课程教科书。免费为小学一年级学生提供正版学生字典。免费提供地方课程教科书。</w:t>
      </w:r>
    </w:p>
    <w:p>
      <w:pPr>
        <w:spacing w:line="578" w:lineRule="exact"/>
        <w:ind w:firstLine="640" w:firstLineChars="200"/>
        <w:rPr>
          <w:rFonts w:eastAsia="仿宋_GB2312"/>
          <w:sz w:val="32"/>
          <w:szCs w:val="32"/>
        </w:rPr>
      </w:pPr>
      <w:r>
        <w:rPr>
          <w:rFonts w:hint="eastAsia" w:eastAsia="仿宋_GB2312"/>
          <w:sz w:val="32"/>
          <w:szCs w:val="32"/>
        </w:rPr>
        <w:t>服务标准：按照国家规定课程教科书补助标准，小学每生每年90元/生/年、初中每生每年180元/生/年；小学一年级学生字典14元/人。</w:t>
      </w:r>
    </w:p>
    <w:p>
      <w:pPr>
        <w:spacing w:line="578" w:lineRule="exact"/>
        <w:ind w:firstLine="640" w:firstLineChars="200"/>
        <w:rPr>
          <w:rFonts w:eastAsia="仿宋_GB2312"/>
          <w:sz w:val="32"/>
          <w:szCs w:val="32"/>
        </w:rPr>
      </w:pPr>
      <w:r>
        <w:rPr>
          <w:rFonts w:hint="eastAsia" w:eastAsia="仿宋_GB2312"/>
          <w:sz w:val="32"/>
          <w:szCs w:val="32"/>
        </w:rPr>
        <w:t>政策依据：国发〔2015〕67号文件、《财政部 教育部关于印发城乡义务教育补助经费管理办法的通知》（财教〔2021〕56号）、云政发〔2016〕74号文件。</w:t>
      </w:r>
    </w:p>
    <w:p>
      <w:pPr>
        <w:spacing w:line="578" w:lineRule="exact"/>
        <w:ind w:firstLine="640" w:firstLineChars="200"/>
        <w:rPr>
          <w:rFonts w:eastAsia="仿宋_GB2312"/>
          <w:sz w:val="32"/>
          <w:szCs w:val="32"/>
        </w:rPr>
      </w:pPr>
      <w:r>
        <w:rPr>
          <w:rFonts w:hint="eastAsia" w:eastAsia="仿宋_GB2312"/>
          <w:sz w:val="32"/>
          <w:szCs w:val="32"/>
        </w:rPr>
        <w:t>支出责任：国家规定课程教科书和为小学一年级新生提供正版学生字典所需经费由中央财政全额承担，地方课程教科书经费由省级财政全额承担。</w:t>
      </w:r>
    </w:p>
    <w:p>
      <w:pPr>
        <w:spacing w:line="578" w:lineRule="exact"/>
        <w:ind w:firstLine="640" w:firstLineChars="200"/>
        <w:rPr>
          <w:rFonts w:eastAsia="仿宋_GB2312"/>
          <w:sz w:val="32"/>
          <w:szCs w:val="32"/>
        </w:rPr>
      </w:pPr>
      <w:r>
        <w:rPr>
          <w:rFonts w:hint="eastAsia" w:eastAsia="仿宋_GB2312"/>
          <w:sz w:val="32"/>
          <w:szCs w:val="32"/>
        </w:rPr>
        <w:t>牵头负责单位：区教育体育局</w:t>
      </w:r>
    </w:p>
    <w:p>
      <w:pPr>
        <w:spacing w:line="578" w:lineRule="exact"/>
        <w:ind w:firstLine="640" w:firstLineChars="200"/>
        <w:rPr>
          <w:rFonts w:eastAsia="仿宋_GB2312"/>
          <w:sz w:val="32"/>
          <w:szCs w:val="32"/>
        </w:rPr>
      </w:pPr>
      <w:r>
        <w:rPr>
          <w:rFonts w:hint="eastAsia" w:eastAsia="仿宋_GB2312"/>
          <w:sz w:val="32"/>
          <w:szCs w:val="32"/>
        </w:rPr>
        <w:t>服务流程：上报全区义务教育免费教科书征订计划→发放免费教科书→统计验收，确保实现“课前到书，人手一册”。</w:t>
      </w:r>
    </w:p>
    <w:p>
      <w:pPr>
        <w:spacing w:line="578" w:lineRule="exact"/>
        <w:ind w:firstLine="640" w:firstLineChars="200"/>
        <w:rPr>
          <w:rFonts w:eastAsia="仿宋_GB2312"/>
          <w:sz w:val="32"/>
          <w:szCs w:val="32"/>
        </w:rPr>
      </w:pPr>
      <w:bookmarkStart w:id="57" w:name="_Toc26938"/>
      <w:bookmarkStart w:id="58" w:name="_Toc1111"/>
      <w:r>
        <w:rPr>
          <w:rFonts w:hint="eastAsia" w:eastAsia="仿宋_GB2312"/>
          <w:sz w:val="32"/>
          <w:szCs w:val="32"/>
        </w:rPr>
        <w:t>13.义务教育家庭经济困难学生生活补助</w:t>
      </w:r>
      <w:bookmarkEnd w:id="57"/>
      <w:bookmarkEnd w:id="58"/>
    </w:p>
    <w:p>
      <w:pPr>
        <w:spacing w:line="578" w:lineRule="exact"/>
        <w:ind w:firstLine="640" w:firstLineChars="200"/>
        <w:rPr>
          <w:rFonts w:eastAsia="仿宋_GB2312"/>
          <w:sz w:val="32"/>
          <w:szCs w:val="32"/>
        </w:rPr>
      </w:pPr>
      <w:r>
        <w:rPr>
          <w:rFonts w:hint="eastAsia" w:eastAsia="仿宋_GB2312"/>
          <w:sz w:val="32"/>
          <w:szCs w:val="32"/>
        </w:rPr>
        <w:t>服务对象：义务教育阶段家庭经济困难学生。</w:t>
      </w:r>
    </w:p>
    <w:p>
      <w:pPr>
        <w:spacing w:line="578" w:lineRule="exact"/>
        <w:ind w:firstLine="640" w:firstLineChars="200"/>
        <w:rPr>
          <w:rFonts w:eastAsia="仿宋_GB2312"/>
          <w:sz w:val="32"/>
          <w:szCs w:val="32"/>
        </w:rPr>
      </w:pPr>
      <w:r>
        <w:rPr>
          <w:rFonts w:hint="eastAsia" w:eastAsia="仿宋_GB2312"/>
          <w:sz w:val="32"/>
          <w:szCs w:val="32"/>
        </w:rPr>
        <w:t>服务内容：对义务教育阶段家庭经济困难学生提供生活费补助。</w:t>
      </w:r>
    </w:p>
    <w:p>
      <w:pPr>
        <w:spacing w:line="578" w:lineRule="exact"/>
        <w:ind w:firstLine="640" w:firstLineChars="200"/>
        <w:rPr>
          <w:rFonts w:eastAsia="仿宋_GB2312"/>
          <w:sz w:val="32"/>
          <w:szCs w:val="32"/>
        </w:rPr>
      </w:pPr>
      <w:r>
        <w:rPr>
          <w:rFonts w:hint="eastAsia" w:eastAsia="仿宋_GB2312"/>
          <w:sz w:val="32"/>
          <w:szCs w:val="32"/>
        </w:rPr>
        <w:t>服务标准：对义务教育阶段家庭经济困难寄宿学生，小学每生每年1000元，初中每生每年1250元；对非寄宿学生，小学每生每年500元，初中每生每年625元。</w:t>
      </w:r>
    </w:p>
    <w:p>
      <w:pPr>
        <w:spacing w:line="578" w:lineRule="exact"/>
        <w:ind w:firstLine="640" w:firstLineChars="200"/>
        <w:rPr>
          <w:rFonts w:eastAsia="仿宋_GB2312"/>
          <w:sz w:val="32"/>
          <w:szCs w:val="32"/>
        </w:rPr>
      </w:pPr>
      <w:r>
        <w:rPr>
          <w:rFonts w:hint="eastAsia" w:eastAsia="仿宋_GB2312"/>
          <w:sz w:val="32"/>
          <w:szCs w:val="32"/>
        </w:rPr>
        <w:t>对8个人口较少民族（景颇族、布朗族、普米族、阿昌族、怒族、基诺族、德昂族、独龙族）义务教育阶段家庭经济困难学生，在落实好家庭经济困难学生生活费补助政策的基础上，再按照250元/生/年的标准给予补助。</w:t>
      </w:r>
    </w:p>
    <w:p>
      <w:pPr>
        <w:spacing w:line="578" w:lineRule="exact"/>
        <w:ind w:firstLine="640" w:firstLineChars="200"/>
        <w:rPr>
          <w:rFonts w:eastAsia="仿宋_GB2312"/>
          <w:sz w:val="32"/>
          <w:szCs w:val="32"/>
        </w:rPr>
      </w:pPr>
      <w:r>
        <w:rPr>
          <w:rFonts w:hint="eastAsia" w:eastAsia="仿宋_GB2312"/>
          <w:sz w:val="32"/>
          <w:szCs w:val="32"/>
        </w:rPr>
        <w:t>政策依据：国发〔2015〕67号、财教〔2021〕56号、云政发〔2016〕74号文件、《关于印发云南省城乡义务教育阶段家庭经济困难学生生活补助资金管理办法的通知》（云财规〔2021〕6号）、《昆明市教育体育局 昆明市财政局关于印发昆明市城乡义务教育阶段家庭经济困难学生生活补助资金管理办法的通知》（昆教体规〔2022〕1号）。</w:t>
      </w:r>
    </w:p>
    <w:p>
      <w:pPr>
        <w:spacing w:line="578" w:lineRule="exact"/>
        <w:ind w:firstLine="640" w:firstLineChars="200"/>
        <w:rPr>
          <w:rFonts w:eastAsia="仿宋_GB2312"/>
          <w:sz w:val="32"/>
          <w:szCs w:val="32"/>
        </w:rPr>
      </w:pPr>
      <w:r>
        <w:rPr>
          <w:rFonts w:hint="eastAsia" w:eastAsia="仿宋_GB2312"/>
          <w:sz w:val="32"/>
          <w:szCs w:val="32"/>
        </w:rPr>
        <w:t>支出责任：所需经费由中央承担50%，省级承担10%，市级承担36%，区级承担4%对义务教育阶段家庭经济困难学生予以补助。</w:t>
      </w:r>
    </w:p>
    <w:p>
      <w:pPr>
        <w:spacing w:line="578" w:lineRule="exact"/>
        <w:ind w:firstLine="640" w:firstLineChars="200"/>
        <w:rPr>
          <w:rFonts w:eastAsia="仿宋_GB2312"/>
          <w:sz w:val="32"/>
          <w:szCs w:val="32"/>
        </w:rPr>
      </w:pPr>
      <w:r>
        <w:rPr>
          <w:rFonts w:hint="eastAsia" w:eastAsia="仿宋_GB2312"/>
          <w:sz w:val="32"/>
          <w:szCs w:val="32"/>
        </w:rPr>
        <w:t>牵头负责单位：区教育体育局</w:t>
      </w:r>
    </w:p>
    <w:p>
      <w:pPr>
        <w:spacing w:line="578" w:lineRule="exact"/>
        <w:ind w:firstLine="640" w:firstLineChars="200"/>
        <w:rPr>
          <w:rFonts w:eastAsia="仿宋_GB2312"/>
          <w:sz w:val="32"/>
          <w:szCs w:val="32"/>
        </w:rPr>
      </w:pPr>
      <w:r>
        <w:rPr>
          <w:rFonts w:hint="eastAsia" w:eastAsia="仿宋_GB2312"/>
          <w:sz w:val="32"/>
          <w:szCs w:val="32"/>
        </w:rPr>
        <w:t>服务流程：学生个人提出申请→学校审核认定受助学生→发放资助资金。</w:t>
      </w:r>
    </w:p>
    <w:p>
      <w:pPr>
        <w:spacing w:line="578" w:lineRule="exact"/>
        <w:ind w:firstLine="640" w:firstLineChars="200"/>
        <w:rPr>
          <w:rFonts w:eastAsia="仿宋_GB2312"/>
          <w:sz w:val="32"/>
          <w:szCs w:val="32"/>
        </w:rPr>
      </w:pPr>
      <w:bookmarkStart w:id="59" w:name="_Toc15693"/>
      <w:bookmarkStart w:id="60" w:name="_Toc23410"/>
      <w:r>
        <w:rPr>
          <w:rFonts w:hint="eastAsia" w:eastAsia="仿宋_GB2312"/>
          <w:sz w:val="32"/>
          <w:szCs w:val="32"/>
        </w:rPr>
        <w:t>14.农村义务教育学生营养改善计划补助</w:t>
      </w:r>
      <w:bookmarkEnd w:id="59"/>
      <w:bookmarkEnd w:id="60"/>
    </w:p>
    <w:p>
      <w:pPr>
        <w:spacing w:line="578" w:lineRule="exact"/>
        <w:ind w:firstLine="640" w:firstLineChars="200"/>
        <w:rPr>
          <w:rFonts w:eastAsia="仿宋_GB2312"/>
          <w:sz w:val="32"/>
          <w:szCs w:val="32"/>
        </w:rPr>
      </w:pPr>
      <w:r>
        <w:rPr>
          <w:rFonts w:hint="eastAsia" w:eastAsia="仿宋_GB2312"/>
          <w:sz w:val="32"/>
          <w:szCs w:val="32"/>
        </w:rPr>
        <w:t>服务对象：农村义务教育学生。</w:t>
      </w:r>
    </w:p>
    <w:p>
      <w:pPr>
        <w:spacing w:line="578" w:lineRule="exact"/>
        <w:ind w:firstLine="640" w:firstLineChars="200"/>
        <w:rPr>
          <w:rFonts w:eastAsia="仿宋_GB2312"/>
          <w:sz w:val="32"/>
          <w:szCs w:val="32"/>
        </w:rPr>
      </w:pPr>
      <w:r>
        <w:rPr>
          <w:rFonts w:hint="eastAsia" w:eastAsia="仿宋_GB2312"/>
          <w:sz w:val="32"/>
          <w:szCs w:val="32"/>
        </w:rPr>
        <w:t>服务内容：为农村义务教育学生营养改善计划试点地区（不含县城所在地）学生提供营养膳食补助。</w:t>
      </w:r>
    </w:p>
    <w:p>
      <w:pPr>
        <w:spacing w:line="578" w:lineRule="exact"/>
        <w:ind w:firstLine="640" w:firstLineChars="200"/>
        <w:rPr>
          <w:rFonts w:eastAsia="仿宋_GB2312"/>
          <w:sz w:val="32"/>
          <w:szCs w:val="32"/>
        </w:rPr>
      </w:pPr>
      <w:r>
        <w:rPr>
          <w:rFonts w:hint="eastAsia" w:eastAsia="仿宋_GB2312"/>
          <w:sz w:val="32"/>
          <w:szCs w:val="32"/>
        </w:rPr>
        <w:t>服务标准：每生每天5元，根据受益学生人数和实际在校天数核定。</w:t>
      </w:r>
    </w:p>
    <w:p>
      <w:pPr>
        <w:spacing w:line="578" w:lineRule="exact"/>
        <w:ind w:firstLine="640" w:firstLineChars="200"/>
        <w:rPr>
          <w:rFonts w:eastAsia="仿宋_GB2312"/>
          <w:sz w:val="32"/>
          <w:szCs w:val="32"/>
        </w:rPr>
      </w:pPr>
      <w:r>
        <w:rPr>
          <w:rFonts w:hint="eastAsia" w:eastAsia="仿宋_GB2312"/>
          <w:sz w:val="32"/>
          <w:szCs w:val="32"/>
        </w:rPr>
        <w:t>政策依据：《国务院办公厅关于实施农村义务教育学生营养改善计划的意见》（国办发〔2011〕54号）、《云南省人民政府办公厅关于农村义务教育学生营养改善计划的实施意见》（云政办发〔2012〕25号）、《昆明市人民政府关于印发昆明市农村义务教育学生营养改善计划实施方案的通知》（昆政发〔2012〕6号）、《财政部 教育部关于深入实施农村义务教育学生营养改善计划的通知》（财教〔2021〕174号）、《教育部等七部门关于印发农村义务教育学生营养改善计划实施办法》的通知（教财〔20</w:t>
      </w:r>
      <w:r>
        <w:rPr>
          <w:rFonts w:hint="eastAsia" w:ascii="仿宋_GB2312" w:eastAsia="仿宋_GB2312"/>
          <w:sz w:val="32"/>
          <w:szCs w:val="32"/>
        </w:rPr>
        <w:t>22〕</w:t>
      </w:r>
      <w:r>
        <w:rPr>
          <w:rFonts w:hint="eastAsia" w:eastAsia="仿宋_GB2312"/>
          <w:sz w:val="32"/>
          <w:szCs w:val="32"/>
        </w:rPr>
        <w:t>2号）。</w:t>
      </w:r>
    </w:p>
    <w:p>
      <w:pPr>
        <w:spacing w:line="578" w:lineRule="exact"/>
        <w:ind w:firstLine="640" w:firstLineChars="200"/>
        <w:rPr>
          <w:rFonts w:eastAsia="仿宋_GB2312"/>
          <w:sz w:val="32"/>
          <w:szCs w:val="32"/>
        </w:rPr>
      </w:pPr>
      <w:r>
        <w:rPr>
          <w:rFonts w:hint="eastAsia" w:eastAsia="仿宋_GB2312"/>
          <w:sz w:val="32"/>
          <w:szCs w:val="32"/>
        </w:rPr>
        <w:t>支出责任：依据昆政办〔2020〕77号文件，所需经费由省级承担20%，市级承担72%，区级承担8%对农村义务教育阶段学生提供营养膳食补助。</w:t>
      </w:r>
    </w:p>
    <w:p>
      <w:pPr>
        <w:spacing w:line="578" w:lineRule="exact"/>
        <w:ind w:firstLine="640" w:firstLineChars="200"/>
        <w:rPr>
          <w:rFonts w:eastAsia="仿宋_GB2312"/>
          <w:sz w:val="32"/>
          <w:szCs w:val="32"/>
        </w:rPr>
      </w:pPr>
      <w:r>
        <w:rPr>
          <w:rFonts w:hint="eastAsia" w:eastAsia="仿宋_GB2312"/>
          <w:sz w:val="32"/>
          <w:szCs w:val="32"/>
        </w:rPr>
        <w:t>牵头负责单位：区教育体育局</w:t>
      </w:r>
    </w:p>
    <w:p>
      <w:pPr>
        <w:spacing w:line="578" w:lineRule="exact"/>
        <w:ind w:firstLine="640" w:firstLineChars="200"/>
        <w:rPr>
          <w:rFonts w:eastAsia="仿宋_GB2312"/>
          <w:sz w:val="32"/>
          <w:szCs w:val="32"/>
        </w:rPr>
      </w:pPr>
      <w:r>
        <w:rPr>
          <w:rFonts w:hint="eastAsia" w:eastAsia="仿宋_GB2312"/>
          <w:sz w:val="32"/>
          <w:szCs w:val="32"/>
        </w:rPr>
        <w:t>服务流程：统计改善计划政策的实际在校学生→测算下达资金到学校→各学校确保资金全部用于学生营养改善。</w:t>
      </w:r>
    </w:p>
    <w:p>
      <w:pPr>
        <w:spacing w:line="578" w:lineRule="exact"/>
        <w:ind w:firstLine="640" w:firstLineChars="200"/>
        <w:rPr>
          <w:rFonts w:eastAsia="楷体_GB2312"/>
          <w:sz w:val="32"/>
          <w:szCs w:val="32"/>
        </w:rPr>
      </w:pPr>
      <w:bookmarkStart w:id="61" w:name="_Toc4771"/>
      <w:bookmarkStart w:id="62" w:name="_Toc31115"/>
      <w:r>
        <w:rPr>
          <w:rFonts w:hint="eastAsia" w:eastAsia="楷体_GB2312"/>
          <w:sz w:val="32"/>
          <w:szCs w:val="32"/>
        </w:rPr>
        <w:t>（六）普通高中助学服务</w:t>
      </w:r>
      <w:bookmarkEnd w:id="61"/>
      <w:bookmarkEnd w:id="62"/>
    </w:p>
    <w:p>
      <w:pPr>
        <w:spacing w:line="578" w:lineRule="exact"/>
        <w:ind w:firstLine="640" w:firstLineChars="200"/>
        <w:rPr>
          <w:rFonts w:eastAsia="仿宋_GB2312"/>
          <w:sz w:val="32"/>
          <w:szCs w:val="32"/>
        </w:rPr>
      </w:pPr>
      <w:bookmarkStart w:id="63" w:name="_Toc13342"/>
      <w:bookmarkStart w:id="64" w:name="_Toc16496"/>
      <w:r>
        <w:rPr>
          <w:rFonts w:hint="eastAsia" w:eastAsia="仿宋_GB2312"/>
          <w:sz w:val="32"/>
          <w:szCs w:val="32"/>
        </w:rPr>
        <w:t>15.普通高中国家助学金</w:t>
      </w:r>
      <w:bookmarkEnd w:id="63"/>
      <w:bookmarkEnd w:id="64"/>
    </w:p>
    <w:p>
      <w:pPr>
        <w:spacing w:line="578" w:lineRule="exact"/>
        <w:ind w:firstLine="640" w:firstLineChars="200"/>
        <w:rPr>
          <w:rFonts w:eastAsia="仿宋_GB2312"/>
          <w:sz w:val="32"/>
          <w:szCs w:val="32"/>
        </w:rPr>
      </w:pPr>
      <w:r>
        <w:rPr>
          <w:rFonts w:hint="eastAsia" w:eastAsia="仿宋_GB2312"/>
          <w:sz w:val="32"/>
          <w:szCs w:val="32"/>
        </w:rPr>
        <w:t>服务对象：具有正式学籍的普通高中在校生中家庭经济困难学生。</w:t>
      </w:r>
    </w:p>
    <w:p>
      <w:pPr>
        <w:spacing w:line="578" w:lineRule="exact"/>
        <w:ind w:firstLine="640" w:firstLineChars="200"/>
        <w:rPr>
          <w:rFonts w:eastAsia="仿宋_GB2312"/>
          <w:sz w:val="32"/>
          <w:szCs w:val="32"/>
        </w:rPr>
      </w:pPr>
      <w:r>
        <w:rPr>
          <w:rFonts w:hint="eastAsia" w:eastAsia="仿宋_GB2312"/>
          <w:sz w:val="32"/>
          <w:szCs w:val="32"/>
        </w:rPr>
        <w:t>服务内容：为普通高中在校生中的家庭经济困难学生提供国家助学金。</w:t>
      </w:r>
    </w:p>
    <w:p>
      <w:pPr>
        <w:spacing w:line="578" w:lineRule="exact"/>
        <w:ind w:firstLine="640" w:firstLineChars="200"/>
        <w:rPr>
          <w:rFonts w:eastAsia="仿宋_GB2312"/>
          <w:sz w:val="32"/>
          <w:szCs w:val="32"/>
        </w:rPr>
      </w:pPr>
      <w:r>
        <w:rPr>
          <w:rFonts w:hint="eastAsia" w:eastAsia="仿宋_GB2312"/>
          <w:sz w:val="32"/>
          <w:szCs w:val="32"/>
        </w:rPr>
        <w:t>服务标准：平均每生每年2000元，划分为两档，一档每生每年2500元，二档每生每年1500元。</w:t>
      </w:r>
    </w:p>
    <w:p>
      <w:pPr>
        <w:spacing w:line="578" w:lineRule="exact"/>
        <w:ind w:firstLine="640" w:firstLineChars="200"/>
        <w:rPr>
          <w:rFonts w:eastAsia="仿宋_GB2312"/>
          <w:sz w:val="32"/>
          <w:szCs w:val="32"/>
        </w:rPr>
      </w:pPr>
      <w:r>
        <w:rPr>
          <w:rFonts w:hint="eastAsia" w:eastAsia="仿宋_GB2312"/>
          <w:sz w:val="32"/>
          <w:szCs w:val="32"/>
        </w:rPr>
        <w:t>政策依据：《财政部 教育部 人力资源社会保障部 退役军人部 中央军委国防动员部关于印发学生资助资金管理办法的通知》（财教〔2021〕310号）。</w:t>
      </w:r>
    </w:p>
    <w:p>
      <w:pPr>
        <w:spacing w:line="578" w:lineRule="exact"/>
        <w:ind w:firstLine="640" w:firstLineChars="200"/>
        <w:rPr>
          <w:rFonts w:eastAsia="仿宋_GB2312"/>
          <w:sz w:val="32"/>
          <w:szCs w:val="32"/>
        </w:rPr>
      </w:pPr>
      <w:r>
        <w:rPr>
          <w:rFonts w:hint="eastAsia" w:eastAsia="仿宋_GB2312"/>
          <w:sz w:val="32"/>
          <w:szCs w:val="32"/>
        </w:rPr>
        <w:t>支出责任：所需经费由中央承担80%，省级承担4%，市级承担14.4%，区级承担1.6%。</w:t>
      </w:r>
    </w:p>
    <w:p>
      <w:pPr>
        <w:spacing w:line="578" w:lineRule="exact"/>
        <w:ind w:firstLine="640" w:firstLineChars="200"/>
        <w:rPr>
          <w:rFonts w:eastAsia="仿宋_GB2312"/>
          <w:sz w:val="32"/>
          <w:szCs w:val="32"/>
        </w:rPr>
      </w:pPr>
      <w:r>
        <w:rPr>
          <w:rFonts w:hint="eastAsia" w:eastAsia="仿宋_GB2312"/>
          <w:sz w:val="32"/>
          <w:szCs w:val="32"/>
        </w:rPr>
        <w:t>牵头负责单位：区教育体育局</w:t>
      </w:r>
    </w:p>
    <w:p>
      <w:pPr>
        <w:spacing w:line="578" w:lineRule="exact"/>
        <w:ind w:firstLine="640" w:firstLineChars="200"/>
        <w:rPr>
          <w:rFonts w:eastAsia="仿宋_GB2312"/>
          <w:sz w:val="32"/>
          <w:szCs w:val="32"/>
        </w:rPr>
      </w:pPr>
      <w:r>
        <w:rPr>
          <w:rFonts w:hint="eastAsia" w:eastAsia="仿宋_GB2312"/>
          <w:sz w:val="32"/>
          <w:szCs w:val="32"/>
        </w:rPr>
        <w:t>服务流程：学生个人提出申请→学校审核认定受助学生→发放资助资金。</w:t>
      </w:r>
    </w:p>
    <w:p>
      <w:pPr>
        <w:spacing w:line="578" w:lineRule="exact"/>
        <w:ind w:firstLine="640" w:firstLineChars="200"/>
        <w:rPr>
          <w:rFonts w:eastAsia="仿宋_GB2312"/>
          <w:sz w:val="32"/>
          <w:szCs w:val="32"/>
        </w:rPr>
      </w:pPr>
      <w:bookmarkStart w:id="65" w:name="_Toc1561"/>
      <w:bookmarkStart w:id="66" w:name="_Toc2161"/>
      <w:r>
        <w:rPr>
          <w:rFonts w:hint="eastAsia" w:eastAsia="仿宋_GB2312"/>
          <w:sz w:val="32"/>
          <w:szCs w:val="32"/>
        </w:rPr>
        <w:t>16.普通高中免学杂费</w:t>
      </w:r>
      <w:bookmarkEnd w:id="65"/>
      <w:bookmarkEnd w:id="66"/>
    </w:p>
    <w:p>
      <w:pPr>
        <w:spacing w:line="578" w:lineRule="exact"/>
        <w:ind w:firstLine="640" w:firstLineChars="200"/>
        <w:rPr>
          <w:rFonts w:eastAsia="仿宋_GB2312"/>
          <w:sz w:val="32"/>
          <w:szCs w:val="32"/>
        </w:rPr>
      </w:pPr>
      <w:r>
        <w:rPr>
          <w:rFonts w:hint="eastAsia" w:eastAsia="仿宋_GB2312"/>
          <w:sz w:val="32"/>
          <w:szCs w:val="32"/>
        </w:rPr>
        <w:t>服务对象：具有正式学籍的普通高中原建档立卡等家庭经济困难学生（含非原建档立卡的家庭经济困难残疾学生、农村低保家庭学生、农村特困救助供养学生）。</w:t>
      </w:r>
    </w:p>
    <w:p>
      <w:pPr>
        <w:spacing w:line="578" w:lineRule="exact"/>
        <w:ind w:firstLine="640" w:firstLineChars="200"/>
        <w:rPr>
          <w:rFonts w:eastAsia="仿宋_GB2312"/>
          <w:sz w:val="32"/>
          <w:szCs w:val="32"/>
        </w:rPr>
      </w:pPr>
      <w:r>
        <w:rPr>
          <w:rFonts w:hint="eastAsia" w:eastAsia="仿宋_GB2312"/>
          <w:sz w:val="32"/>
          <w:szCs w:val="32"/>
        </w:rPr>
        <w:t>服务内容：免除符合条件的普通高中家庭经济困难学生学杂费。</w:t>
      </w:r>
    </w:p>
    <w:p>
      <w:pPr>
        <w:spacing w:line="578" w:lineRule="exact"/>
        <w:ind w:firstLine="640" w:firstLineChars="200"/>
        <w:rPr>
          <w:rFonts w:eastAsia="仿宋_GB2312"/>
          <w:sz w:val="32"/>
          <w:szCs w:val="32"/>
        </w:rPr>
      </w:pPr>
      <w:r>
        <w:rPr>
          <w:rFonts w:hint="eastAsia" w:eastAsia="仿宋_GB2312"/>
          <w:sz w:val="32"/>
          <w:szCs w:val="32"/>
        </w:rPr>
        <w:t>服务标准：按照各级人民政府及其价格、财政主管部门批准的公办学校学杂费标准执行（不含住宿费）。对在经教育体育部门依法批准的民办学校就学的符合免学杂费政策条件的学生，按照当地同类型公办学校标准给予补助。民办学校经批准的学杂费标准高于补助的部分，学校可以按规定继续向学生收取。</w:t>
      </w:r>
    </w:p>
    <w:p>
      <w:pPr>
        <w:spacing w:line="578" w:lineRule="exact"/>
        <w:ind w:firstLine="640" w:firstLineChars="200"/>
        <w:rPr>
          <w:rFonts w:eastAsia="仿宋_GB2312"/>
          <w:sz w:val="32"/>
          <w:szCs w:val="32"/>
        </w:rPr>
      </w:pPr>
      <w:r>
        <w:rPr>
          <w:rFonts w:hint="eastAsia" w:eastAsia="仿宋_GB2312"/>
          <w:sz w:val="32"/>
          <w:szCs w:val="32"/>
        </w:rPr>
        <w:t>政策依据：财教〔2021〕310号文件。</w:t>
      </w:r>
    </w:p>
    <w:p>
      <w:pPr>
        <w:spacing w:line="578" w:lineRule="exact"/>
        <w:ind w:firstLine="640" w:firstLineChars="200"/>
        <w:rPr>
          <w:rFonts w:eastAsia="仿宋_GB2312"/>
          <w:sz w:val="32"/>
          <w:szCs w:val="32"/>
        </w:rPr>
      </w:pPr>
      <w:r>
        <w:rPr>
          <w:rFonts w:hint="eastAsia" w:eastAsia="仿宋_GB2312"/>
          <w:sz w:val="32"/>
          <w:szCs w:val="32"/>
        </w:rPr>
        <w:t>支出责任：所需经费由中央承担80%，省级承担4%，市级承担14.4%，区级承担1.6%。</w:t>
      </w:r>
    </w:p>
    <w:p>
      <w:pPr>
        <w:spacing w:line="578" w:lineRule="exact"/>
        <w:ind w:firstLine="640" w:firstLineChars="200"/>
        <w:rPr>
          <w:rFonts w:eastAsia="仿宋_GB2312"/>
          <w:sz w:val="32"/>
          <w:szCs w:val="32"/>
        </w:rPr>
      </w:pPr>
      <w:r>
        <w:rPr>
          <w:rFonts w:hint="eastAsia" w:eastAsia="仿宋_GB2312"/>
          <w:sz w:val="32"/>
          <w:szCs w:val="32"/>
        </w:rPr>
        <w:t>牵头负责单位：区教育体育局</w:t>
      </w:r>
    </w:p>
    <w:p>
      <w:pPr>
        <w:spacing w:line="578" w:lineRule="exact"/>
        <w:ind w:firstLine="640" w:firstLineChars="200"/>
        <w:rPr>
          <w:rFonts w:eastAsia="仿宋_GB2312"/>
          <w:sz w:val="32"/>
          <w:szCs w:val="32"/>
        </w:rPr>
      </w:pPr>
      <w:r>
        <w:rPr>
          <w:rFonts w:hint="eastAsia" w:eastAsia="仿宋_GB2312"/>
          <w:sz w:val="32"/>
          <w:szCs w:val="32"/>
        </w:rPr>
        <w:t>服务流程：学生个人提出申请→学校审核认定受助学生→学校落实相应资金政策。</w:t>
      </w:r>
    </w:p>
    <w:p>
      <w:pPr>
        <w:spacing w:line="578" w:lineRule="exact"/>
        <w:ind w:firstLine="640" w:firstLineChars="200"/>
        <w:rPr>
          <w:rFonts w:eastAsia="楷体_GB2312"/>
          <w:sz w:val="32"/>
          <w:szCs w:val="32"/>
        </w:rPr>
      </w:pPr>
      <w:bookmarkStart w:id="67" w:name="_Toc11362"/>
      <w:bookmarkStart w:id="68" w:name="_Toc18817"/>
      <w:r>
        <w:rPr>
          <w:rFonts w:hint="eastAsia" w:eastAsia="楷体_GB2312"/>
          <w:sz w:val="32"/>
          <w:szCs w:val="32"/>
        </w:rPr>
        <w:t>（七）中等职业教育助学服务</w:t>
      </w:r>
      <w:bookmarkEnd w:id="67"/>
      <w:bookmarkEnd w:id="68"/>
    </w:p>
    <w:p>
      <w:pPr>
        <w:spacing w:line="578" w:lineRule="exact"/>
        <w:ind w:firstLine="640" w:firstLineChars="200"/>
        <w:rPr>
          <w:rFonts w:eastAsia="仿宋_GB2312"/>
          <w:sz w:val="32"/>
          <w:szCs w:val="32"/>
        </w:rPr>
      </w:pPr>
      <w:bookmarkStart w:id="69" w:name="_Toc11686"/>
      <w:bookmarkStart w:id="70" w:name="_Toc26217"/>
      <w:r>
        <w:rPr>
          <w:rFonts w:hint="eastAsia" w:eastAsia="仿宋_GB2312"/>
          <w:sz w:val="32"/>
          <w:szCs w:val="32"/>
        </w:rPr>
        <w:t>17.中等职业教育国家助学金</w:t>
      </w:r>
      <w:bookmarkEnd w:id="69"/>
      <w:bookmarkEnd w:id="70"/>
    </w:p>
    <w:p>
      <w:pPr>
        <w:spacing w:line="578" w:lineRule="exact"/>
        <w:ind w:firstLine="640" w:firstLineChars="200"/>
        <w:rPr>
          <w:rFonts w:eastAsia="仿宋_GB2312"/>
          <w:sz w:val="32"/>
          <w:szCs w:val="32"/>
        </w:rPr>
      </w:pPr>
      <w:r>
        <w:rPr>
          <w:rFonts w:hint="eastAsia" w:eastAsia="仿宋_GB2312"/>
          <w:sz w:val="32"/>
          <w:szCs w:val="32"/>
        </w:rPr>
        <w:t>服务对象：（1）中等职业学校全日制学历教育正式学籍一、二年级在校涉农专业学生和非涉农专业家庭经济困难学生。（2）非涉农专业家庭经济困难学生，按除涉农专业学生和连片特困地区农村学生外的20%确定。（3）将就读于全日制学校稳定脱贫户、农村易返贫致贫人口、脱贫不稳定人口以及因病因灾因意外事故等刚性支出较大或收入大幅缩减导致基本生活出现严重困难人口等农村低收入人口全部纳入享受国家助学金范围。</w:t>
      </w:r>
    </w:p>
    <w:p>
      <w:pPr>
        <w:spacing w:line="578" w:lineRule="exact"/>
        <w:ind w:firstLine="640" w:firstLineChars="200"/>
        <w:rPr>
          <w:rFonts w:eastAsia="仿宋_GB2312"/>
          <w:sz w:val="32"/>
          <w:szCs w:val="32"/>
        </w:rPr>
      </w:pPr>
      <w:r>
        <w:rPr>
          <w:rFonts w:hint="eastAsia" w:eastAsia="仿宋_GB2312"/>
          <w:sz w:val="32"/>
          <w:szCs w:val="32"/>
        </w:rPr>
        <w:t>服务内容：为符合条件的中等职业教育在校生提供国家助学金。</w:t>
      </w:r>
    </w:p>
    <w:p>
      <w:pPr>
        <w:spacing w:line="578" w:lineRule="exact"/>
        <w:ind w:firstLine="640" w:firstLineChars="200"/>
        <w:rPr>
          <w:rFonts w:eastAsia="仿宋_GB2312"/>
          <w:sz w:val="32"/>
          <w:szCs w:val="32"/>
        </w:rPr>
      </w:pPr>
      <w:r>
        <w:rPr>
          <w:rFonts w:hint="eastAsia" w:eastAsia="仿宋_GB2312"/>
          <w:sz w:val="32"/>
          <w:szCs w:val="32"/>
        </w:rPr>
        <w:t>服务标准：每生每年2000元。</w:t>
      </w:r>
    </w:p>
    <w:p>
      <w:pPr>
        <w:spacing w:line="578" w:lineRule="exact"/>
        <w:ind w:firstLine="640" w:firstLineChars="200"/>
        <w:rPr>
          <w:rFonts w:eastAsia="仿宋_GB2312"/>
          <w:sz w:val="32"/>
          <w:szCs w:val="32"/>
        </w:rPr>
      </w:pPr>
      <w:r>
        <w:rPr>
          <w:rFonts w:hint="eastAsia" w:eastAsia="仿宋_GB2312"/>
          <w:sz w:val="32"/>
          <w:szCs w:val="32"/>
        </w:rPr>
        <w:t>政策依据：财科教〔2021〕310号文件。</w:t>
      </w:r>
    </w:p>
    <w:p>
      <w:pPr>
        <w:spacing w:line="578" w:lineRule="exact"/>
        <w:ind w:firstLine="640" w:firstLineChars="200"/>
        <w:rPr>
          <w:rFonts w:eastAsia="仿宋_GB2312"/>
          <w:sz w:val="32"/>
          <w:szCs w:val="32"/>
        </w:rPr>
      </w:pPr>
      <w:r>
        <w:rPr>
          <w:rFonts w:hint="eastAsia" w:eastAsia="仿宋_GB2312"/>
          <w:sz w:val="32"/>
          <w:szCs w:val="32"/>
        </w:rPr>
        <w:t>支出责任：所需经费由中央承担80%，省级承担4%，市级承担14.4%，区级承担1.6%。</w:t>
      </w:r>
    </w:p>
    <w:p>
      <w:pPr>
        <w:spacing w:line="578" w:lineRule="exact"/>
        <w:ind w:firstLine="640" w:firstLineChars="200"/>
        <w:rPr>
          <w:rFonts w:eastAsia="仿宋_GB2312"/>
          <w:sz w:val="32"/>
          <w:szCs w:val="32"/>
        </w:rPr>
      </w:pPr>
      <w:r>
        <w:rPr>
          <w:rFonts w:hint="eastAsia" w:eastAsia="仿宋_GB2312"/>
          <w:sz w:val="32"/>
          <w:szCs w:val="32"/>
        </w:rPr>
        <w:t>牵头负责单位：区教育体育局</w:t>
      </w:r>
    </w:p>
    <w:p>
      <w:pPr>
        <w:spacing w:line="578" w:lineRule="exact"/>
        <w:ind w:firstLine="640" w:firstLineChars="200"/>
        <w:rPr>
          <w:rFonts w:eastAsia="仿宋_GB2312"/>
          <w:sz w:val="32"/>
          <w:szCs w:val="32"/>
        </w:rPr>
      </w:pPr>
      <w:r>
        <w:rPr>
          <w:rFonts w:hint="eastAsia" w:eastAsia="仿宋_GB2312"/>
          <w:sz w:val="32"/>
          <w:szCs w:val="32"/>
        </w:rPr>
        <w:t>服务流程：学生个人提出申请→学校审核认定受助学生→区教育体育局集中支付到学生社保卡上或中职资助卡。</w:t>
      </w:r>
    </w:p>
    <w:p>
      <w:pPr>
        <w:spacing w:line="578" w:lineRule="exact"/>
        <w:ind w:firstLine="640" w:firstLineChars="200"/>
        <w:rPr>
          <w:rFonts w:eastAsia="仿宋_GB2312"/>
          <w:sz w:val="32"/>
          <w:szCs w:val="32"/>
        </w:rPr>
      </w:pPr>
      <w:bookmarkStart w:id="71" w:name="_Toc9966"/>
      <w:bookmarkStart w:id="72" w:name="_Toc14754"/>
      <w:r>
        <w:rPr>
          <w:rFonts w:hint="eastAsia" w:eastAsia="仿宋_GB2312"/>
          <w:sz w:val="32"/>
          <w:szCs w:val="32"/>
        </w:rPr>
        <w:t>18.中等职业教育免除学费</w:t>
      </w:r>
      <w:bookmarkEnd w:id="71"/>
      <w:bookmarkEnd w:id="72"/>
    </w:p>
    <w:p>
      <w:pPr>
        <w:spacing w:line="578" w:lineRule="exact"/>
        <w:ind w:firstLine="640" w:firstLineChars="200"/>
        <w:rPr>
          <w:rFonts w:eastAsia="仿宋_GB2312"/>
          <w:sz w:val="32"/>
          <w:szCs w:val="32"/>
        </w:rPr>
      </w:pPr>
      <w:r>
        <w:rPr>
          <w:rFonts w:hint="eastAsia" w:eastAsia="仿宋_GB2312"/>
          <w:sz w:val="32"/>
          <w:szCs w:val="32"/>
        </w:rPr>
        <w:t>服务对象：（1）对中等职业学校全日制学历教育正式学籍一、二、三年级在校生中所有农村（含县镇）学生、城市涉农专业学生和家庭经济困难学生、民族自治地区学校就读学生和戏曲表演专业学生（其他艺术类有关表演专业学生除外）免除学费。（2）城市家庭经济困难学生，按城市非涉农专业在校学生的15%确定。（3）将就读于全日制学校稳定脱贫户、农村易返贫致贫人口、脱贫不稳定人口以及因病因灾因意外事故等刚性支出较大或收入大幅缩减导致基本生活出现严重困难人口等农村低收入人口全部纳入享受免学费范围。（4）“3+2”分段5年制高等职业教育学生前3年享受同等免学费政策。</w:t>
      </w:r>
    </w:p>
    <w:p>
      <w:pPr>
        <w:spacing w:line="578" w:lineRule="exact"/>
        <w:ind w:firstLine="640" w:firstLineChars="200"/>
        <w:rPr>
          <w:rFonts w:eastAsia="仿宋_GB2312"/>
          <w:sz w:val="32"/>
          <w:szCs w:val="32"/>
        </w:rPr>
      </w:pPr>
      <w:r>
        <w:rPr>
          <w:rFonts w:hint="eastAsia" w:eastAsia="仿宋_GB2312"/>
          <w:sz w:val="32"/>
          <w:szCs w:val="32"/>
        </w:rPr>
        <w:t>服务内容：免除符合条件的中等职业教育在校生学费。</w:t>
      </w:r>
    </w:p>
    <w:p>
      <w:pPr>
        <w:spacing w:line="578" w:lineRule="exact"/>
        <w:ind w:firstLine="640" w:firstLineChars="200"/>
        <w:rPr>
          <w:rFonts w:eastAsia="仿宋_GB2312"/>
          <w:sz w:val="32"/>
          <w:szCs w:val="32"/>
        </w:rPr>
      </w:pPr>
      <w:r>
        <w:rPr>
          <w:rFonts w:hint="eastAsia" w:eastAsia="仿宋_GB2312"/>
          <w:sz w:val="32"/>
          <w:szCs w:val="32"/>
        </w:rPr>
        <w:t>服务标准：学费标准低于每生每学年2000元的免除全部学费，学费标准高于每生每学年2000元的免除2000元，高出部分由学生家庭负责承担。戏曲表演专业每生每年免除6000元学费。</w:t>
      </w:r>
    </w:p>
    <w:p>
      <w:pPr>
        <w:spacing w:line="578" w:lineRule="exact"/>
        <w:ind w:firstLine="640" w:firstLineChars="200"/>
        <w:rPr>
          <w:rFonts w:eastAsia="仿宋_GB2312"/>
          <w:sz w:val="32"/>
          <w:szCs w:val="32"/>
        </w:rPr>
      </w:pPr>
      <w:r>
        <w:rPr>
          <w:rFonts w:hint="eastAsia" w:eastAsia="仿宋_GB2312"/>
          <w:sz w:val="32"/>
          <w:szCs w:val="32"/>
        </w:rPr>
        <w:t>政策依据：财科教〔2021〕310号文件。</w:t>
      </w:r>
    </w:p>
    <w:p>
      <w:pPr>
        <w:spacing w:line="578" w:lineRule="exact"/>
        <w:ind w:firstLine="640" w:firstLineChars="200"/>
        <w:rPr>
          <w:rFonts w:eastAsia="仿宋_GB2312"/>
          <w:sz w:val="32"/>
          <w:szCs w:val="32"/>
        </w:rPr>
      </w:pPr>
      <w:r>
        <w:rPr>
          <w:rFonts w:hint="eastAsia" w:eastAsia="仿宋_GB2312"/>
          <w:sz w:val="32"/>
          <w:szCs w:val="32"/>
        </w:rPr>
        <w:t>支出责任：所需经费由中央承担80%，省级承担4%，市级承担14.4%，区级承担1.6%。</w:t>
      </w:r>
    </w:p>
    <w:p>
      <w:pPr>
        <w:spacing w:line="578" w:lineRule="exact"/>
        <w:ind w:firstLine="640" w:firstLineChars="200"/>
        <w:rPr>
          <w:rFonts w:eastAsia="仿宋_GB2312"/>
          <w:sz w:val="32"/>
          <w:szCs w:val="32"/>
        </w:rPr>
      </w:pPr>
      <w:r>
        <w:rPr>
          <w:rFonts w:hint="eastAsia" w:eastAsia="仿宋_GB2312"/>
          <w:sz w:val="32"/>
          <w:szCs w:val="32"/>
        </w:rPr>
        <w:t>牵头负责单位：区教育体育局</w:t>
      </w:r>
    </w:p>
    <w:p>
      <w:pPr>
        <w:spacing w:line="578" w:lineRule="exact"/>
        <w:ind w:firstLine="640" w:firstLineChars="200"/>
        <w:rPr>
          <w:rFonts w:eastAsia="仿宋_GB2312"/>
          <w:sz w:val="32"/>
          <w:szCs w:val="32"/>
        </w:rPr>
      </w:pPr>
      <w:r>
        <w:rPr>
          <w:rFonts w:hint="eastAsia" w:eastAsia="仿宋_GB2312"/>
          <w:sz w:val="32"/>
          <w:szCs w:val="32"/>
        </w:rPr>
        <w:t>服务流程：学生个人提出申请→学校审核认定受助学生→民办学校由区教育体育局集中支付到学生社保卡上或中职资助卡，公办学校由区教育体育局直接拨付到学校，学校不收取学生学费。</w:t>
      </w:r>
    </w:p>
    <w:p>
      <w:pPr>
        <w:spacing w:line="578" w:lineRule="exact"/>
        <w:ind w:firstLine="640" w:firstLineChars="200"/>
        <w:rPr>
          <w:rFonts w:ascii="黑体" w:hAnsi="黑体" w:eastAsia="黑体"/>
          <w:sz w:val="32"/>
          <w:szCs w:val="32"/>
        </w:rPr>
      </w:pPr>
      <w:bookmarkStart w:id="73" w:name="_Toc25666"/>
      <w:bookmarkStart w:id="74" w:name="_Toc14049"/>
      <w:r>
        <w:rPr>
          <w:rFonts w:hint="eastAsia" w:ascii="黑体" w:hAnsi="黑体" w:eastAsia="黑体"/>
          <w:sz w:val="32"/>
          <w:szCs w:val="32"/>
        </w:rPr>
        <w:t>三、劳有所得</w:t>
      </w:r>
      <w:bookmarkEnd w:id="73"/>
      <w:bookmarkEnd w:id="74"/>
    </w:p>
    <w:p>
      <w:pPr>
        <w:spacing w:line="578" w:lineRule="exact"/>
        <w:ind w:firstLine="640" w:firstLineChars="200"/>
        <w:rPr>
          <w:rFonts w:eastAsia="楷体_GB2312"/>
          <w:sz w:val="32"/>
          <w:szCs w:val="32"/>
        </w:rPr>
      </w:pPr>
      <w:bookmarkStart w:id="75" w:name="_Toc16112"/>
      <w:bookmarkStart w:id="76" w:name="_Toc3283"/>
      <w:r>
        <w:rPr>
          <w:rFonts w:hint="eastAsia" w:eastAsia="楷体_GB2312"/>
          <w:sz w:val="32"/>
          <w:szCs w:val="32"/>
        </w:rPr>
        <w:t>（八）就业创业服务</w:t>
      </w:r>
      <w:bookmarkEnd w:id="75"/>
      <w:bookmarkEnd w:id="76"/>
    </w:p>
    <w:p>
      <w:pPr>
        <w:spacing w:line="578" w:lineRule="exact"/>
        <w:ind w:firstLine="640" w:firstLineChars="200"/>
        <w:rPr>
          <w:rFonts w:eastAsia="仿宋_GB2312"/>
          <w:sz w:val="32"/>
          <w:szCs w:val="32"/>
        </w:rPr>
      </w:pPr>
      <w:bookmarkStart w:id="77" w:name="_Toc19982"/>
      <w:bookmarkStart w:id="78" w:name="_Toc2281"/>
      <w:r>
        <w:rPr>
          <w:rFonts w:hint="eastAsia" w:eastAsia="仿宋_GB2312"/>
          <w:sz w:val="32"/>
          <w:szCs w:val="32"/>
        </w:rPr>
        <w:t>19.就业信息服务</w:t>
      </w:r>
      <w:bookmarkEnd w:id="77"/>
      <w:bookmarkEnd w:id="78"/>
    </w:p>
    <w:p>
      <w:pPr>
        <w:spacing w:line="578" w:lineRule="exact"/>
        <w:ind w:firstLine="640" w:firstLineChars="200"/>
        <w:rPr>
          <w:rFonts w:eastAsia="仿宋_GB2312"/>
          <w:sz w:val="32"/>
          <w:szCs w:val="32"/>
        </w:rPr>
      </w:pPr>
      <w:r>
        <w:rPr>
          <w:rFonts w:hint="eastAsia" w:eastAsia="仿宋_GB2312"/>
          <w:sz w:val="32"/>
          <w:szCs w:val="32"/>
        </w:rPr>
        <w:t>服务对象：有就业创业需求的劳动年龄人口。</w:t>
      </w:r>
    </w:p>
    <w:p>
      <w:pPr>
        <w:spacing w:line="578" w:lineRule="exact"/>
        <w:ind w:firstLine="640" w:firstLineChars="200"/>
        <w:rPr>
          <w:rFonts w:eastAsia="仿宋_GB2312"/>
          <w:sz w:val="32"/>
          <w:szCs w:val="32"/>
        </w:rPr>
      </w:pPr>
      <w:r>
        <w:rPr>
          <w:rFonts w:hint="eastAsia" w:eastAsia="仿宋_GB2312"/>
          <w:sz w:val="32"/>
          <w:szCs w:val="32"/>
        </w:rPr>
        <w:t>服务内容：提供就业创业和劳动用工政策法规咨询；发</w:t>
      </w:r>
      <w:r>
        <w:rPr>
          <w:rFonts w:hint="eastAsia" w:eastAsia="仿宋_GB2312"/>
          <w:spacing w:val="-6"/>
          <w:sz w:val="32"/>
          <w:szCs w:val="32"/>
        </w:rPr>
        <w:t>布人力资源供求、市场工资价位、职业培训、见习岗位等信息。</w:t>
      </w:r>
    </w:p>
    <w:p>
      <w:pPr>
        <w:spacing w:line="578" w:lineRule="exact"/>
        <w:ind w:firstLine="640" w:firstLineChars="200"/>
        <w:rPr>
          <w:rFonts w:eastAsia="仿宋_GB2312"/>
          <w:sz w:val="32"/>
          <w:szCs w:val="32"/>
        </w:rPr>
      </w:pPr>
      <w:r>
        <w:rPr>
          <w:rFonts w:hint="eastAsia" w:eastAsia="仿宋_GB2312"/>
          <w:sz w:val="32"/>
          <w:szCs w:val="32"/>
        </w:rPr>
        <w:t>服务标准：按照《公共就业服务总则》、《人力资源社会保障部 国家发展改革委 财政部关于推进全方位公共就业服务的指导意见》（人社部发〔2018〕77）、《云南省财政厅 云南省人力资源和社会保障厅关于印发云南省就业补助资金管理办法的通知》（云财规〔2018〕2号）等公共就业服务标准和要求执行。</w:t>
      </w:r>
    </w:p>
    <w:p>
      <w:pPr>
        <w:spacing w:line="578" w:lineRule="exact"/>
        <w:ind w:firstLine="640" w:firstLineChars="200"/>
        <w:rPr>
          <w:rFonts w:eastAsia="仿宋_GB2312"/>
          <w:sz w:val="32"/>
          <w:szCs w:val="32"/>
        </w:rPr>
      </w:pPr>
      <w:r>
        <w:rPr>
          <w:rFonts w:hint="eastAsia" w:eastAsia="仿宋_GB2312"/>
          <w:sz w:val="32"/>
          <w:szCs w:val="32"/>
        </w:rPr>
        <w:t>政策依据：《中华人民共和国就业促进法》、《人力资源社会保障部关于修改就业服务与就业管理规定的决定》（中华人民共和国人力资源和社会保障部令第38号）、《人力资源社会保障部 国家发展改革委 财政部关于推进全方位公共就业服务的指导意见》（人社部发〔2018〕77号）、《云南省人民政府关于印发云南省贯彻中华人民共和国就业促进法实施办法的通知》（云政发〔2008〕233号）、《云南省人力资源和社会保障厅关于印发云南省就业创业证管理办法的通知》（云人社发〔2015〕61号）、《云南省人社厅关于进一步规范就业失业登记管理服务工作的通知》（云人社发〔2016〕170号）、云财规〔2018〕2号文件、《云南省人力资源和社会保障厅 云南省财政厅关于调整发布云南省2022年度职业培训补贴标准目录的通知》（云人社函〔2022〕71号）等执行。</w:t>
      </w:r>
    </w:p>
    <w:p>
      <w:pPr>
        <w:spacing w:line="578" w:lineRule="exact"/>
        <w:ind w:firstLine="640" w:firstLineChars="200"/>
        <w:rPr>
          <w:rFonts w:eastAsia="仿宋_GB2312"/>
          <w:sz w:val="32"/>
          <w:szCs w:val="32"/>
        </w:rPr>
      </w:pPr>
      <w:r>
        <w:rPr>
          <w:rFonts w:hint="eastAsia" w:eastAsia="仿宋_GB2312"/>
          <w:sz w:val="32"/>
          <w:szCs w:val="32"/>
        </w:rPr>
        <w:t>支出责任：所需经费从就业补助资金、职业技能提升行动资金支出。</w:t>
      </w:r>
    </w:p>
    <w:p>
      <w:pPr>
        <w:spacing w:line="578" w:lineRule="exact"/>
        <w:ind w:firstLine="640" w:firstLineChars="200"/>
        <w:rPr>
          <w:rFonts w:eastAsia="仿宋_GB2312"/>
          <w:sz w:val="32"/>
          <w:szCs w:val="32"/>
        </w:rPr>
      </w:pPr>
      <w:r>
        <w:rPr>
          <w:rFonts w:hint="eastAsia" w:eastAsia="仿宋_GB2312"/>
          <w:sz w:val="32"/>
          <w:szCs w:val="32"/>
        </w:rPr>
        <w:t>牵头负责单位：区人社局。</w:t>
      </w:r>
    </w:p>
    <w:p>
      <w:pPr>
        <w:spacing w:line="578" w:lineRule="exact"/>
        <w:ind w:firstLine="640" w:firstLineChars="200"/>
        <w:rPr>
          <w:rFonts w:eastAsia="仿宋_GB2312"/>
          <w:sz w:val="32"/>
          <w:szCs w:val="32"/>
        </w:rPr>
      </w:pPr>
      <w:r>
        <w:rPr>
          <w:rFonts w:hint="eastAsia" w:eastAsia="仿宋_GB2312"/>
          <w:sz w:val="32"/>
          <w:szCs w:val="32"/>
        </w:rPr>
        <w:t>服务流程：通过线上、线下平台及时发布就业信息。</w:t>
      </w:r>
    </w:p>
    <w:p>
      <w:pPr>
        <w:spacing w:line="578" w:lineRule="exact"/>
        <w:ind w:firstLine="640" w:firstLineChars="200"/>
        <w:rPr>
          <w:rFonts w:eastAsia="仿宋_GB2312"/>
          <w:sz w:val="32"/>
          <w:szCs w:val="32"/>
        </w:rPr>
      </w:pPr>
      <w:bookmarkStart w:id="79" w:name="_Toc8162"/>
      <w:bookmarkStart w:id="80" w:name="_Toc985"/>
      <w:r>
        <w:rPr>
          <w:rFonts w:hint="eastAsia" w:eastAsia="仿宋_GB2312"/>
          <w:sz w:val="32"/>
          <w:szCs w:val="32"/>
        </w:rPr>
        <w:t>20.职业介绍、职业指导和创业培训</w:t>
      </w:r>
      <w:bookmarkEnd w:id="79"/>
      <w:bookmarkEnd w:id="80"/>
    </w:p>
    <w:p>
      <w:pPr>
        <w:spacing w:line="578" w:lineRule="exact"/>
        <w:ind w:firstLine="640" w:firstLineChars="200"/>
        <w:rPr>
          <w:rFonts w:eastAsia="仿宋_GB2312"/>
          <w:sz w:val="32"/>
          <w:szCs w:val="32"/>
        </w:rPr>
      </w:pPr>
      <w:r>
        <w:rPr>
          <w:rFonts w:hint="eastAsia" w:eastAsia="仿宋_GB2312"/>
          <w:sz w:val="32"/>
          <w:szCs w:val="32"/>
        </w:rPr>
        <w:t>20.1职业介绍、职业指导</w:t>
      </w:r>
    </w:p>
    <w:p>
      <w:pPr>
        <w:spacing w:line="578" w:lineRule="exact"/>
        <w:ind w:firstLine="640" w:firstLineChars="200"/>
        <w:rPr>
          <w:rFonts w:eastAsia="仿宋_GB2312"/>
          <w:sz w:val="32"/>
          <w:szCs w:val="32"/>
        </w:rPr>
      </w:pPr>
      <w:r>
        <w:rPr>
          <w:rFonts w:hint="eastAsia" w:eastAsia="仿宋_GB2312"/>
          <w:sz w:val="32"/>
          <w:szCs w:val="32"/>
        </w:rPr>
        <w:t>服务对象：农村转移就业劳动者、脱贫劳动力、毕业年度的高校毕业生、城乡未继续升学的应届初高中毕业生、城</w:t>
      </w:r>
      <w:r>
        <w:rPr>
          <w:rFonts w:hint="eastAsia" w:eastAsia="仿宋_GB2312"/>
          <w:spacing w:val="-6"/>
          <w:sz w:val="32"/>
          <w:szCs w:val="32"/>
        </w:rPr>
        <w:t>镇登记失业人员有就业创业需求、培训需求的劳动年龄人口。</w:t>
      </w:r>
    </w:p>
    <w:p>
      <w:pPr>
        <w:spacing w:line="578" w:lineRule="exact"/>
        <w:ind w:firstLine="640" w:firstLineChars="200"/>
        <w:rPr>
          <w:rFonts w:eastAsia="仿宋_GB2312"/>
          <w:sz w:val="32"/>
          <w:szCs w:val="32"/>
        </w:rPr>
      </w:pPr>
      <w:r>
        <w:rPr>
          <w:rFonts w:hint="eastAsia" w:eastAsia="仿宋_GB2312"/>
          <w:sz w:val="32"/>
          <w:szCs w:val="32"/>
        </w:rPr>
        <w:t>服务内容：为有求职需求的劳动者提供求职登记、岗位推荐、招聘会等服务。</w:t>
      </w:r>
    </w:p>
    <w:p>
      <w:pPr>
        <w:spacing w:line="578" w:lineRule="exact"/>
        <w:ind w:firstLine="640" w:firstLineChars="200"/>
        <w:rPr>
          <w:rFonts w:eastAsia="仿宋_GB2312"/>
          <w:sz w:val="32"/>
          <w:szCs w:val="32"/>
        </w:rPr>
      </w:pPr>
      <w:r>
        <w:rPr>
          <w:rFonts w:hint="eastAsia" w:eastAsia="仿宋_GB2312"/>
          <w:sz w:val="32"/>
          <w:szCs w:val="32"/>
        </w:rPr>
        <w:t>服务标准：按照《公共就业服务总则》、《职业指导服务规范》《高校毕业生就业指导服务规范》、《职业介绍服务规范》、《现场招聘会服务规范》、《人力资源社会保障部国家发展改革委财政部关于推进全方位公共就业服务的指导意见》（人社部</w:t>
      </w:r>
      <w:r>
        <w:rPr>
          <w:rFonts w:hint="eastAsia" w:ascii="仿宋_GB2312" w:eastAsia="仿宋_GB2312"/>
          <w:sz w:val="32"/>
          <w:szCs w:val="32"/>
        </w:rPr>
        <w:t>发〔2</w:t>
      </w:r>
      <w:r>
        <w:rPr>
          <w:rFonts w:hint="eastAsia" w:eastAsia="仿宋_GB2312"/>
          <w:sz w:val="32"/>
          <w:szCs w:val="32"/>
        </w:rPr>
        <w:t>018</w:t>
      </w:r>
      <w:r>
        <w:rPr>
          <w:rFonts w:hint="eastAsia" w:ascii="仿宋_GB2312" w:eastAsia="仿宋_GB2312"/>
          <w:sz w:val="32"/>
          <w:szCs w:val="32"/>
        </w:rPr>
        <w:t>〕</w:t>
      </w:r>
      <w:r>
        <w:rPr>
          <w:rFonts w:hint="eastAsia" w:eastAsia="仿宋_GB2312"/>
          <w:sz w:val="32"/>
          <w:szCs w:val="32"/>
        </w:rPr>
        <w:t>77号）、云财规〔2018〕2号等公共就业服务标准和要求执行。</w:t>
      </w:r>
      <w:r>
        <w:rPr>
          <w:rFonts w:hint="eastAsia" w:eastAsia="仿宋_GB2312"/>
          <w:sz w:val="32"/>
          <w:szCs w:val="32"/>
        </w:rPr>
        <w:tab/>
      </w:r>
    </w:p>
    <w:p>
      <w:pPr>
        <w:spacing w:line="578" w:lineRule="exact"/>
        <w:ind w:firstLine="640" w:firstLineChars="200"/>
        <w:rPr>
          <w:rFonts w:eastAsia="仿宋_GB2312"/>
          <w:sz w:val="32"/>
          <w:szCs w:val="32"/>
        </w:rPr>
      </w:pPr>
      <w:r>
        <w:rPr>
          <w:rFonts w:hint="eastAsia" w:eastAsia="仿宋_GB2312"/>
          <w:sz w:val="32"/>
          <w:szCs w:val="32"/>
        </w:rPr>
        <w:t>政策依据：《中华人民共和国就业促进法》、《中华人民共和国人力资源和社会保障部令第38号、人社部发〔2018〕77号、云政发〔2008〕233号、云人社发〔2015〕61号、云人社发〔2016〕170号、云财规〔2018〕2号、云人社函〔2022〕71号文件等执行。</w:t>
      </w:r>
    </w:p>
    <w:p>
      <w:pPr>
        <w:spacing w:line="578" w:lineRule="exact"/>
        <w:ind w:firstLine="640" w:firstLineChars="200"/>
        <w:rPr>
          <w:rFonts w:eastAsia="仿宋_GB2312"/>
          <w:sz w:val="32"/>
          <w:szCs w:val="32"/>
        </w:rPr>
      </w:pPr>
      <w:r>
        <w:rPr>
          <w:rFonts w:hint="eastAsia" w:eastAsia="仿宋_GB2312"/>
          <w:sz w:val="32"/>
          <w:szCs w:val="32"/>
        </w:rPr>
        <w:t>支出责任：所需经费从就业补助资金、职业技能提升行动资金支出。</w:t>
      </w:r>
    </w:p>
    <w:p>
      <w:pPr>
        <w:spacing w:line="578" w:lineRule="exact"/>
        <w:ind w:firstLine="640" w:firstLineChars="200"/>
        <w:rPr>
          <w:rFonts w:eastAsia="仿宋_GB2312"/>
          <w:sz w:val="32"/>
          <w:szCs w:val="32"/>
        </w:rPr>
      </w:pPr>
      <w:r>
        <w:rPr>
          <w:rFonts w:hint="eastAsia" w:eastAsia="仿宋_GB2312"/>
          <w:sz w:val="32"/>
          <w:szCs w:val="32"/>
        </w:rPr>
        <w:t>牵头负责单位：区人社局</w:t>
      </w:r>
    </w:p>
    <w:p>
      <w:pPr>
        <w:spacing w:line="578" w:lineRule="exact"/>
        <w:ind w:firstLine="640" w:firstLineChars="200"/>
        <w:rPr>
          <w:rFonts w:eastAsia="仿宋_GB2312"/>
          <w:sz w:val="32"/>
          <w:szCs w:val="32"/>
        </w:rPr>
      </w:pPr>
      <w:r>
        <w:rPr>
          <w:rFonts w:hint="eastAsia" w:eastAsia="仿宋_GB2312"/>
          <w:sz w:val="32"/>
          <w:szCs w:val="32"/>
        </w:rPr>
        <w:t>服务流程：了解需</w:t>
      </w:r>
      <w:r>
        <w:rPr>
          <w:rFonts w:hint="eastAsia" w:ascii="仿宋_GB2312" w:eastAsia="仿宋_GB2312"/>
          <w:sz w:val="32"/>
          <w:szCs w:val="32"/>
        </w:rPr>
        <w:t>求→</w:t>
      </w:r>
      <w:r>
        <w:rPr>
          <w:rFonts w:hint="eastAsia" w:eastAsia="仿宋_GB2312"/>
          <w:sz w:val="32"/>
          <w:szCs w:val="32"/>
        </w:rPr>
        <w:t>求职指导</w:t>
      </w:r>
      <w:r>
        <w:rPr>
          <w:rFonts w:hint="eastAsia" w:ascii="仿宋_GB2312" w:eastAsia="仿宋_GB2312"/>
          <w:sz w:val="32"/>
          <w:szCs w:val="32"/>
        </w:rPr>
        <w:t>→</w:t>
      </w:r>
      <w:r>
        <w:rPr>
          <w:rFonts w:hint="eastAsia" w:eastAsia="仿宋_GB2312"/>
          <w:sz w:val="32"/>
          <w:szCs w:val="32"/>
        </w:rPr>
        <w:t>记载信息</w:t>
      </w:r>
      <w:r>
        <w:rPr>
          <w:rFonts w:hint="eastAsia" w:ascii="仿宋_GB2312" w:eastAsia="仿宋_GB2312"/>
          <w:sz w:val="32"/>
          <w:szCs w:val="32"/>
        </w:rPr>
        <w:t>→</w:t>
      </w:r>
      <w:r>
        <w:rPr>
          <w:rFonts w:hint="eastAsia" w:eastAsia="仿宋_GB2312"/>
          <w:sz w:val="32"/>
          <w:szCs w:val="32"/>
        </w:rPr>
        <w:t>有针对性地为其推荐岗位信息</w:t>
      </w:r>
      <w:r>
        <w:rPr>
          <w:rFonts w:hint="eastAsia" w:ascii="仿宋_GB2312" w:eastAsia="仿宋_GB2312"/>
          <w:sz w:val="32"/>
          <w:szCs w:val="32"/>
        </w:rPr>
        <w:t>→</w:t>
      </w:r>
      <w:r>
        <w:rPr>
          <w:rFonts w:hint="eastAsia" w:eastAsia="仿宋_GB2312"/>
          <w:sz w:val="32"/>
          <w:szCs w:val="32"/>
        </w:rPr>
        <w:t>开展一般性的职业指导。</w:t>
      </w:r>
    </w:p>
    <w:p>
      <w:pPr>
        <w:spacing w:line="578" w:lineRule="exact"/>
        <w:ind w:firstLine="640" w:firstLineChars="200"/>
        <w:rPr>
          <w:rFonts w:eastAsia="仿宋_GB2312"/>
          <w:sz w:val="32"/>
          <w:szCs w:val="32"/>
        </w:rPr>
      </w:pPr>
      <w:r>
        <w:rPr>
          <w:rFonts w:hint="eastAsia" w:eastAsia="仿宋_GB2312"/>
          <w:sz w:val="32"/>
          <w:szCs w:val="32"/>
        </w:rPr>
        <w:t>20.2创业培训</w:t>
      </w:r>
    </w:p>
    <w:p>
      <w:pPr>
        <w:spacing w:line="578" w:lineRule="exact"/>
        <w:ind w:firstLine="640" w:firstLineChars="200"/>
        <w:rPr>
          <w:rFonts w:eastAsia="仿宋_GB2312"/>
          <w:sz w:val="32"/>
          <w:szCs w:val="32"/>
        </w:rPr>
      </w:pPr>
      <w:r>
        <w:rPr>
          <w:rFonts w:hint="eastAsia" w:eastAsia="仿宋_GB2312"/>
          <w:sz w:val="32"/>
          <w:szCs w:val="32"/>
        </w:rPr>
        <w:t>服务对象：我区脱贫家庭子女、脱贫劳动力、城乡未继续升学初高中毕业生（以下简称“两后生”）、各类职业院校（含技工院校，下同）学生、高校学生、离校2年内未就业高校毕业生、农村转移就业劳动者、灵活就业人员、返乡入乡创业人员、乡村创业致富带头人、下岗失业人员、转岗职工、小微企业主、个体工商户、就业困难人员（含残疾人）、退役军人、即将刑满释放人员中有创业意愿和培训需求的有关人员，可开展创业培训。</w:t>
      </w:r>
    </w:p>
    <w:p>
      <w:pPr>
        <w:spacing w:line="578" w:lineRule="exact"/>
        <w:ind w:firstLine="640" w:firstLineChars="200"/>
        <w:rPr>
          <w:rFonts w:eastAsia="仿宋_GB2312"/>
          <w:sz w:val="32"/>
          <w:szCs w:val="32"/>
        </w:rPr>
      </w:pPr>
      <w:r>
        <w:rPr>
          <w:rFonts w:hint="eastAsia" w:eastAsia="仿宋_GB2312"/>
          <w:sz w:val="32"/>
          <w:szCs w:val="32"/>
        </w:rPr>
        <w:t>服务内容：组织有创业意愿的服务对象开展创业基础能力培训。</w:t>
      </w:r>
    </w:p>
    <w:p>
      <w:pPr>
        <w:spacing w:line="578" w:lineRule="exact"/>
        <w:ind w:firstLine="640" w:firstLineChars="200"/>
        <w:rPr>
          <w:rFonts w:eastAsia="仿宋_GB2312"/>
          <w:sz w:val="32"/>
          <w:szCs w:val="32"/>
        </w:rPr>
      </w:pPr>
      <w:r>
        <w:rPr>
          <w:rFonts w:hint="eastAsia" w:eastAsia="仿宋_GB2312"/>
          <w:sz w:val="32"/>
          <w:szCs w:val="32"/>
        </w:rPr>
        <w:t>服务标准：按照国家创业培训有关政策规定执行，为符合规定的扶持对象提供创业培训并给予培训补贴。</w:t>
      </w:r>
    </w:p>
    <w:p>
      <w:pPr>
        <w:spacing w:line="578" w:lineRule="exact"/>
        <w:ind w:firstLine="640" w:firstLineChars="200"/>
        <w:rPr>
          <w:rFonts w:eastAsia="仿宋_GB2312"/>
          <w:sz w:val="32"/>
          <w:szCs w:val="32"/>
        </w:rPr>
      </w:pPr>
      <w:r>
        <w:rPr>
          <w:rFonts w:hint="eastAsia" w:eastAsia="仿宋_GB2312"/>
          <w:sz w:val="32"/>
          <w:szCs w:val="32"/>
        </w:rPr>
        <w:t>政策依据：《人力资源社会保障部办公厅关于进一步推进创业培训工作的指导意见》（人社厅发〔2015〕197号）、《人力资源社会保障部关于实施职业技能提升行动创业培训“马兰花计划”的通知》（人社部函〔2020〕109号）、云财规〔2018〕2号文件、《云南省财政厅 云南省人力资源和社会保障厅关于印发云南省职业技能提升行动资金管理办法的通知》（云财规〔2019〕3号）、《云南省人力资源和社会保障厅 云南省财政厅关于发布云南省2021年度职业技能培训创业培训补贴标准目录的通知》（云人社通〔2021〕22号）、《昆明市人力资源和社会保障局 昆明市财政局关于贯彻落实云南省就业补助资金管理办法有关问题的通知》（昆人社通〔2018〕182号）、《昆明市财政局昆明市人力资源和社会保障局关于转发云南省职业技能提升行动资金管理办法的通知》（昆财社基〔2019〕81号）。</w:t>
      </w:r>
    </w:p>
    <w:p>
      <w:pPr>
        <w:spacing w:line="578" w:lineRule="exact"/>
        <w:ind w:firstLine="640" w:firstLineChars="200"/>
        <w:rPr>
          <w:rFonts w:eastAsia="仿宋_GB2312"/>
          <w:sz w:val="32"/>
          <w:szCs w:val="32"/>
        </w:rPr>
      </w:pPr>
      <w:r>
        <w:rPr>
          <w:rFonts w:hint="eastAsia" w:eastAsia="仿宋_GB2312"/>
          <w:sz w:val="32"/>
          <w:szCs w:val="32"/>
        </w:rPr>
        <w:t>支出责任：创业培训补贴资金从就业补助资金或职业技能提升行动专账资金中合理统筹安排。开展职业技能提升行动期间，优先使用职业技能提升行动专账资金。</w:t>
      </w:r>
    </w:p>
    <w:p>
      <w:pPr>
        <w:spacing w:line="578" w:lineRule="exact"/>
        <w:ind w:firstLine="640" w:firstLineChars="200"/>
        <w:rPr>
          <w:rFonts w:eastAsia="仿宋_GB2312"/>
          <w:sz w:val="32"/>
          <w:szCs w:val="32"/>
        </w:rPr>
      </w:pPr>
      <w:r>
        <w:rPr>
          <w:rFonts w:hint="eastAsia" w:eastAsia="仿宋_GB2312"/>
          <w:sz w:val="32"/>
          <w:szCs w:val="32"/>
        </w:rPr>
        <w:t>牵头负责单位：区人社局</w:t>
      </w:r>
    </w:p>
    <w:p>
      <w:pPr>
        <w:spacing w:line="578" w:lineRule="exact"/>
        <w:ind w:firstLine="640" w:firstLineChars="200"/>
        <w:rPr>
          <w:rFonts w:eastAsia="仿宋_GB2312"/>
          <w:sz w:val="32"/>
          <w:szCs w:val="32"/>
        </w:rPr>
      </w:pPr>
      <w:r>
        <w:rPr>
          <w:rFonts w:hint="eastAsia" w:eastAsia="仿宋_GB2312"/>
          <w:sz w:val="32"/>
          <w:szCs w:val="32"/>
        </w:rPr>
        <w:t>服务流程：开班审</w:t>
      </w:r>
      <w:r>
        <w:rPr>
          <w:rFonts w:hint="eastAsia" w:ascii="仿宋_GB2312" w:eastAsia="仿宋_GB2312"/>
          <w:sz w:val="32"/>
          <w:szCs w:val="32"/>
        </w:rPr>
        <w:t>批→</w:t>
      </w:r>
      <w:r>
        <w:rPr>
          <w:rFonts w:hint="eastAsia" w:eastAsia="仿宋_GB2312"/>
          <w:sz w:val="32"/>
          <w:szCs w:val="32"/>
        </w:rPr>
        <w:t>人社部门审批</w:t>
      </w:r>
      <w:r>
        <w:rPr>
          <w:rFonts w:hint="eastAsia" w:ascii="仿宋_GB2312" w:eastAsia="仿宋_GB2312"/>
          <w:sz w:val="32"/>
          <w:szCs w:val="32"/>
        </w:rPr>
        <w:t>→</w:t>
      </w:r>
      <w:r>
        <w:rPr>
          <w:rFonts w:hint="eastAsia" w:eastAsia="仿宋_GB2312"/>
          <w:sz w:val="32"/>
          <w:szCs w:val="32"/>
        </w:rPr>
        <w:t>培训机构按时按地正常开班，期间第三方督查机构会随机对其检查</w:t>
      </w:r>
      <w:r>
        <w:rPr>
          <w:rFonts w:hint="eastAsia" w:ascii="仿宋_GB2312" w:eastAsia="仿宋_GB2312"/>
          <w:sz w:val="32"/>
          <w:szCs w:val="32"/>
        </w:rPr>
        <w:t>→</w:t>
      </w:r>
      <w:r>
        <w:rPr>
          <w:rFonts w:hint="eastAsia" w:eastAsia="仿宋_GB2312"/>
          <w:sz w:val="32"/>
          <w:szCs w:val="32"/>
        </w:rPr>
        <w:t>培训结束后向人社部门提供的资金申报资料</w:t>
      </w:r>
      <w:r>
        <w:rPr>
          <w:rFonts w:hint="eastAsia" w:ascii="仿宋_GB2312" w:eastAsia="仿宋_GB2312"/>
          <w:sz w:val="32"/>
          <w:szCs w:val="32"/>
        </w:rPr>
        <w:t>→</w:t>
      </w:r>
      <w:r>
        <w:rPr>
          <w:rFonts w:hint="eastAsia" w:eastAsia="仿宋_GB2312"/>
          <w:sz w:val="32"/>
          <w:szCs w:val="32"/>
        </w:rPr>
        <w:t>审核通过的按标准发放培训补贴。</w:t>
      </w:r>
    </w:p>
    <w:p>
      <w:pPr>
        <w:spacing w:line="578" w:lineRule="exact"/>
        <w:ind w:firstLine="640" w:firstLineChars="200"/>
        <w:rPr>
          <w:rFonts w:eastAsia="仿宋_GB2312"/>
          <w:sz w:val="32"/>
          <w:szCs w:val="32"/>
        </w:rPr>
      </w:pPr>
      <w:bookmarkStart w:id="81" w:name="_Toc28144"/>
      <w:bookmarkStart w:id="82" w:name="_Toc13178"/>
      <w:r>
        <w:rPr>
          <w:rFonts w:hint="eastAsia" w:eastAsia="仿宋_GB2312"/>
          <w:sz w:val="32"/>
          <w:szCs w:val="32"/>
        </w:rPr>
        <w:t>21.就业登记与失业登记</w:t>
      </w:r>
      <w:bookmarkEnd w:id="81"/>
      <w:bookmarkEnd w:id="82"/>
    </w:p>
    <w:p>
      <w:pPr>
        <w:spacing w:line="578" w:lineRule="exact"/>
        <w:ind w:firstLine="640" w:firstLineChars="200"/>
        <w:rPr>
          <w:rFonts w:eastAsia="仿宋_GB2312"/>
          <w:sz w:val="32"/>
          <w:szCs w:val="32"/>
        </w:rPr>
      </w:pPr>
      <w:r>
        <w:rPr>
          <w:rFonts w:hint="eastAsia" w:eastAsia="仿宋_GB2312"/>
          <w:sz w:val="32"/>
          <w:szCs w:val="32"/>
        </w:rPr>
        <w:t>服务对象：劳动年龄内的劳动者。</w:t>
      </w:r>
    </w:p>
    <w:p>
      <w:pPr>
        <w:spacing w:line="578" w:lineRule="exact"/>
        <w:ind w:firstLine="640" w:firstLineChars="200"/>
        <w:rPr>
          <w:rFonts w:eastAsia="仿宋_GB2312"/>
          <w:sz w:val="32"/>
          <w:szCs w:val="32"/>
        </w:rPr>
      </w:pPr>
      <w:r>
        <w:rPr>
          <w:rFonts w:hint="eastAsia" w:eastAsia="仿宋_GB2312"/>
          <w:sz w:val="32"/>
          <w:szCs w:val="32"/>
        </w:rPr>
        <w:t>服务内容：为实现就业的劳动者提供就业登记服务。为劳动年龄内、有劳动能力、有就业要求、处于无业状态的城乡劳动者提供失业登记服务。</w:t>
      </w:r>
    </w:p>
    <w:p>
      <w:pPr>
        <w:spacing w:line="578" w:lineRule="exact"/>
        <w:ind w:firstLine="640" w:firstLineChars="200"/>
        <w:rPr>
          <w:rFonts w:eastAsia="仿宋_GB2312"/>
          <w:sz w:val="32"/>
          <w:szCs w:val="32"/>
        </w:rPr>
      </w:pPr>
      <w:r>
        <w:rPr>
          <w:rFonts w:hint="eastAsia" w:eastAsia="仿宋_GB2312"/>
          <w:sz w:val="32"/>
          <w:szCs w:val="32"/>
        </w:rPr>
        <w:t>服务标准：按照《公共就业服务总则》、《就业登记管理服务规范》、《失业登记管理服务规范》、人社部发〔2018〕77号文件等公共就业服务标准和要求执行。</w:t>
      </w:r>
    </w:p>
    <w:p>
      <w:pPr>
        <w:spacing w:line="578" w:lineRule="exact"/>
        <w:ind w:firstLine="640" w:firstLineChars="200"/>
        <w:rPr>
          <w:rFonts w:eastAsia="仿宋_GB2312"/>
          <w:sz w:val="32"/>
          <w:szCs w:val="32"/>
        </w:rPr>
      </w:pPr>
      <w:r>
        <w:rPr>
          <w:rFonts w:hint="eastAsia" w:eastAsia="仿宋_GB2312"/>
          <w:sz w:val="32"/>
          <w:szCs w:val="32"/>
        </w:rPr>
        <w:t>政策依据：《中华人民共和国就业促进法》、中华人民共和国人力资源和社会保障部令第23号、人社部发〔2018〕77号文件、《人力资源社会保障部办公厅关于进一步做好失业登记工作强化失业人员就业服务的通知》（人社厅发〔2020〕3号）、《人力资源社会保障部办公厅关于进一步做好失业登记服务管理工作的通知》（人社厅发〔2020〕79号）、云政发〔2008〕233号、云人社发〔2015〕61号、云人社发〔2016〕170号文件、《云南省人力资源和社会保障厅办公室关于转发人力资源社会保障部办公厅关于进一步做好失业登记服务管理工作的通知》（云人社办通〔2020〕29号）、《云南省人力资源和社会保障厅办公室关于转发人力资源社会保障部办公厅关于进一步做好失业登记工作强化失业人员就业服务文件的通知》（云人社办通〔2020〕6号）。</w:t>
      </w:r>
    </w:p>
    <w:p>
      <w:pPr>
        <w:spacing w:line="578" w:lineRule="exact"/>
        <w:ind w:firstLine="640" w:firstLineChars="200"/>
        <w:rPr>
          <w:rFonts w:eastAsia="仿宋_GB2312"/>
          <w:sz w:val="32"/>
          <w:szCs w:val="32"/>
        </w:rPr>
      </w:pPr>
      <w:r>
        <w:rPr>
          <w:rFonts w:hint="eastAsia" w:eastAsia="仿宋_GB2312"/>
          <w:sz w:val="32"/>
          <w:szCs w:val="32"/>
        </w:rPr>
        <w:t>支出责任：市、区人民政府分级负责。</w:t>
      </w:r>
    </w:p>
    <w:p>
      <w:pPr>
        <w:spacing w:line="578" w:lineRule="exact"/>
        <w:ind w:firstLine="640" w:firstLineChars="200"/>
        <w:rPr>
          <w:rFonts w:eastAsia="仿宋_GB2312"/>
          <w:sz w:val="32"/>
          <w:szCs w:val="32"/>
        </w:rPr>
      </w:pPr>
      <w:r>
        <w:rPr>
          <w:rFonts w:hint="eastAsia" w:eastAsia="仿宋_GB2312"/>
          <w:sz w:val="32"/>
          <w:szCs w:val="32"/>
        </w:rPr>
        <w:t>牵头负责单位：区人社局</w:t>
      </w:r>
    </w:p>
    <w:p>
      <w:pPr>
        <w:spacing w:line="578" w:lineRule="exact"/>
        <w:ind w:firstLine="640" w:firstLineChars="200"/>
        <w:rPr>
          <w:rFonts w:eastAsia="仿宋_GB2312"/>
          <w:sz w:val="32"/>
          <w:szCs w:val="32"/>
        </w:rPr>
      </w:pPr>
      <w:r>
        <w:rPr>
          <w:rFonts w:hint="eastAsia" w:eastAsia="仿宋_GB2312"/>
          <w:sz w:val="32"/>
          <w:szCs w:val="32"/>
        </w:rPr>
        <w:t>服务流程：申请人申请登</w:t>
      </w:r>
      <w:r>
        <w:rPr>
          <w:rFonts w:hint="eastAsia" w:ascii="仿宋_GB2312" w:eastAsia="仿宋_GB2312"/>
          <w:sz w:val="32"/>
          <w:szCs w:val="32"/>
        </w:rPr>
        <w:t>记→</w:t>
      </w:r>
      <w:r>
        <w:rPr>
          <w:rFonts w:hint="eastAsia" w:eastAsia="仿宋_GB2312"/>
          <w:sz w:val="32"/>
          <w:szCs w:val="32"/>
        </w:rPr>
        <w:t>经办机构核实信息</w:t>
      </w:r>
      <w:r>
        <w:rPr>
          <w:rFonts w:hint="eastAsia" w:ascii="仿宋_GB2312" w:eastAsia="仿宋_GB2312"/>
          <w:sz w:val="32"/>
          <w:szCs w:val="32"/>
        </w:rPr>
        <w:t>→</w:t>
      </w:r>
      <w:r>
        <w:rPr>
          <w:rFonts w:hint="eastAsia" w:eastAsia="仿宋_GB2312"/>
          <w:sz w:val="32"/>
          <w:szCs w:val="32"/>
        </w:rPr>
        <w:t>反馈受理结果（符合的进行登记，不符合的退回申请）。</w:t>
      </w:r>
    </w:p>
    <w:p>
      <w:pPr>
        <w:spacing w:line="578" w:lineRule="exact"/>
        <w:ind w:firstLine="640" w:firstLineChars="200"/>
        <w:rPr>
          <w:rFonts w:eastAsia="仿宋_GB2312"/>
          <w:sz w:val="32"/>
          <w:szCs w:val="32"/>
        </w:rPr>
      </w:pPr>
      <w:bookmarkStart w:id="83" w:name="_Toc2454"/>
      <w:bookmarkStart w:id="84" w:name="_Toc25970"/>
      <w:r>
        <w:rPr>
          <w:rFonts w:hint="eastAsia" w:eastAsia="仿宋_GB2312"/>
          <w:sz w:val="32"/>
          <w:szCs w:val="32"/>
        </w:rPr>
        <w:t>22.流动人员人事档案管理服务</w:t>
      </w:r>
      <w:bookmarkEnd w:id="83"/>
      <w:bookmarkEnd w:id="84"/>
    </w:p>
    <w:p>
      <w:pPr>
        <w:spacing w:line="578" w:lineRule="exact"/>
        <w:ind w:firstLine="640" w:firstLineChars="200"/>
        <w:rPr>
          <w:rFonts w:eastAsia="仿宋_GB2312"/>
          <w:sz w:val="32"/>
          <w:szCs w:val="32"/>
        </w:rPr>
      </w:pPr>
      <w:r>
        <w:rPr>
          <w:rFonts w:hint="eastAsia" w:eastAsia="仿宋_GB2312"/>
          <w:sz w:val="32"/>
          <w:szCs w:val="32"/>
        </w:rPr>
        <w:t>服务对象：非公有制经济组织和社会组织聘用人员；辞职辞退、解除（终止）聘用（劳动）合同、取消录（聘）用、被开除等与用人单位解除或终止人事（劳动）关系的未就业的原机关公务员、国有企事业单位的管理人员和专业技术人员、军队文职人员；未就业的高校毕业生及中专毕业生；自费出国（境）留学的高校毕业生及其他因私出国（境）人员；外国企业常驻代表机构的中方雇员；自由职业或灵活就业人员；其他流动人员。</w:t>
      </w:r>
    </w:p>
    <w:p>
      <w:pPr>
        <w:spacing w:line="578" w:lineRule="exact"/>
        <w:ind w:firstLine="640" w:firstLineChars="200"/>
        <w:rPr>
          <w:rFonts w:eastAsia="仿宋_GB2312"/>
          <w:sz w:val="32"/>
          <w:szCs w:val="32"/>
        </w:rPr>
      </w:pPr>
      <w:r>
        <w:rPr>
          <w:rFonts w:hint="eastAsia" w:eastAsia="仿宋_GB2312"/>
          <w:sz w:val="32"/>
          <w:szCs w:val="32"/>
        </w:rPr>
        <w:t>服务内容：流动人员人事档案的接收、转递；档案材料的收集、鉴别和归档；档案的整理和保管；为符合有关规定的单位提供档案查（借）阅服务；依据档案记载出具存档、经历、亲属关系等有关证明材料；为有关单位提供入党、参军、录（聘）用、出国（境）等政审考察服务；党员组织关系的接转等。</w:t>
      </w:r>
    </w:p>
    <w:p>
      <w:pPr>
        <w:spacing w:line="578" w:lineRule="exact"/>
        <w:ind w:firstLine="640" w:firstLineChars="200"/>
        <w:rPr>
          <w:rFonts w:eastAsia="仿宋_GB2312"/>
          <w:sz w:val="32"/>
          <w:szCs w:val="32"/>
        </w:rPr>
      </w:pPr>
      <w:r>
        <w:rPr>
          <w:rFonts w:hint="eastAsia" w:eastAsia="仿宋_GB2312"/>
          <w:sz w:val="32"/>
          <w:szCs w:val="32"/>
        </w:rPr>
        <w:t>服务标准：按照《中共中央组织部 人力资源社会保障部等五部门关于进一步加强流动人员人事档案管理服务工作的通知》（人社部发〔2014〕90号）、《流动人员人事档案管理服务规范》（GBT32623-2216）、《人力资源社会保障部办公厅关于简化优化流动人员人事档案管理服务的通知》（人社厅发〔2016〕75号）、《人力资源社会保障部办公厅关于加快推进流动人员人事档案信息化建设的指导意见》（人社厅发〔2018〕42号）等和国家标准要求执行。</w:t>
      </w:r>
    </w:p>
    <w:p>
      <w:pPr>
        <w:spacing w:line="578" w:lineRule="exact"/>
        <w:ind w:firstLine="640" w:firstLineChars="200"/>
        <w:rPr>
          <w:rFonts w:eastAsia="仿宋_GB2312"/>
          <w:sz w:val="32"/>
          <w:szCs w:val="32"/>
        </w:rPr>
      </w:pPr>
      <w:r>
        <w:rPr>
          <w:rFonts w:hint="eastAsia" w:eastAsia="仿宋_GB2312"/>
          <w:sz w:val="32"/>
          <w:szCs w:val="32"/>
        </w:rPr>
        <w:t>政策依据：人社部发〔2214〕90号文件、《流动人员人事档案管理服务规范》（GBT32623-2616）、《人力资源市场暂行条例》（中华人民共和国国务院令号第700号）、《中共中央组织部 人力资源社会保障部等五部门关于印发流动人员人事档案管理服务规定的通知》（人社部发〔2021〕112号）。</w:t>
      </w:r>
    </w:p>
    <w:p>
      <w:pPr>
        <w:spacing w:line="578" w:lineRule="exact"/>
        <w:ind w:firstLine="640" w:firstLineChars="200"/>
        <w:rPr>
          <w:rFonts w:eastAsia="仿宋_GB2312"/>
          <w:sz w:val="32"/>
          <w:szCs w:val="32"/>
        </w:rPr>
      </w:pPr>
      <w:r>
        <w:rPr>
          <w:rFonts w:hint="eastAsia" w:eastAsia="仿宋_GB2312"/>
          <w:sz w:val="32"/>
          <w:szCs w:val="32"/>
        </w:rPr>
        <w:t>支出责任：所需经费从省级登记失业人员实名信息更新及动态管理服务经费列支。</w:t>
      </w:r>
    </w:p>
    <w:p>
      <w:pPr>
        <w:spacing w:line="578" w:lineRule="exact"/>
        <w:ind w:firstLine="640" w:firstLineChars="200"/>
        <w:rPr>
          <w:rFonts w:eastAsia="仿宋_GB2312"/>
          <w:sz w:val="32"/>
          <w:szCs w:val="32"/>
        </w:rPr>
      </w:pPr>
      <w:r>
        <w:rPr>
          <w:rFonts w:hint="eastAsia" w:eastAsia="仿宋_GB2312"/>
          <w:sz w:val="32"/>
          <w:szCs w:val="32"/>
        </w:rPr>
        <w:t>牵头负责单位：区人社局</w:t>
      </w:r>
    </w:p>
    <w:p>
      <w:pPr>
        <w:spacing w:line="578" w:lineRule="exact"/>
        <w:ind w:firstLine="640" w:firstLineChars="200"/>
        <w:rPr>
          <w:rFonts w:eastAsia="仿宋_GB2312"/>
          <w:sz w:val="32"/>
          <w:szCs w:val="32"/>
        </w:rPr>
      </w:pPr>
      <w:r>
        <w:rPr>
          <w:rFonts w:hint="eastAsia" w:eastAsia="仿宋_GB2312"/>
          <w:sz w:val="32"/>
          <w:szCs w:val="32"/>
        </w:rPr>
        <w:t>服务流程：省、市、区人力资源社会保障部门经办窗口、网络（网址：https：//zwfv.yn.gov.cn/portal/）提交需求进行办理。</w:t>
      </w:r>
    </w:p>
    <w:p>
      <w:pPr>
        <w:spacing w:line="578" w:lineRule="exact"/>
        <w:ind w:firstLine="640" w:firstLineChars="200"/>
        <w:rPr>
          <w:rFonts w:eastAsia="仿宋_GB2312"/>
          <w:sz w:val="32"/>
          <w:szCs w:val="32"/>
        </w:rPr>
      </w:pPr>
      <w:bookmarkStart w:id="85" w:name="_Toc17733"/>
      <w:bookmarkStart w:id="86" w:name="_Toc5384"/>
      <w:r>
        <w:rPr>
          <w:rFonts w:hint="eastAsia" w:eastAsia="仿宋_GB2312"/>
          <w:sz w:val="32"/>
          <w:szCs w:val="32"/>
        </w:rPr>
        <w:t>23.就业见习服务</w:t>
      </w:r>
      <w:bookmarkEnd w:id="85"/>
      <w:bookmarkEnd w:id="86"/>
    </w:p>
    <w:p>
      <w:pPr>
        <w:spacing w:line="578" w:lineRule="exact"/>
        <w:ind w:firstLine="640" w:firstLineChars="200"/>
        <w:rPr>
          <w:rFonts w:eastAsia="仿宋_GB2312"/>
          <w:sz w:val="32"/>
          <w:szCs w:val="32"/>
        </w:rPr>
      </w:pPr>
      <w:r>
        <w:rPr>
          <w:rFonts w:hint="eastAsia" w:eastAsia="仿宋_GB2312"/>
          <w:sz w:val="32"/>
          <w:szCs w:val="32"/>
        </w:rPr>
        <w:t>服务对象：离校2年内未就业高校毕业生和中职毕业生、</w:t>
      </w:r>
    </w:p>
    <w:p>
      <w:pPr>
        <w:spacing w:line="578" w:lineRule="exact"/>
        <w:ind w:firstLine="640" w:firstLineChars="200"/>
        <w:rPr>
          <w:rFonts w:eastAsia="仿宋_GB2312"/>
          <w:sz w:val="32"/>
          <w:szCs w:val="32"/>
        </w:rPr>
      </w:pPr>
      <w:r>
        <w:rPr>
          <w:rFonts w:hint="eastAsia" w:eastAsia="仿宋_GB2312"/>
          <w:sz w:val="32"/>
          <w:szCs w:val="32"/>
        </w:rPr>
        <w:t>16</w:t>
      </w:r>
      <w:r>
        <w:rPr>
          <w:rFonts w:hint="eastAsia" w:eastAsia="MS Mincho" w:cs="MS Mincho"/>
          <w:sz w:val="32"/>
          <w:szCs w:val="32"/>
        </w:rPr>
        <w:t>-</w:t>
      </w:r>
      <w:r>
        <w:rPr>
          <w:rFonts w:hint="eastAsia" w:eastAsia="仿宋_GB2312"/>
          <w:sz w:val="32"/>
          <w:szCs w:val="32"/>
        </w:rPr>
        <w:t>24岁失业青年。</w:t>
      </w:r>
    </w:p>
    <w:p>
      <w:pPr>
        <w:spacing w:line="578" w:lineRule="exact"/>
        <w:ind w:firstLine="640" w:firstLineChars="200"/>
        <w:rPr>
          <w:rFonts w:eastAsia="仿宋_GB2312"/>
          <w:sz w:val="32"/>
          <w:szCs w:val="32"/>
        </w:rPr>
      </w:pPr>
      <w:r>
        <w:rPr>
          <w:rFonts w:hint="eastAsia" w:eastAsia="仿宋_GB2312"/>
          <w:sz w:val="32"/>
          <w:szCs w:val="32"/>
        </w:rPr>
        <w:t>服务内容：为有见习意愿的离校2年内未就业高校毕业生和中职毕业生、16-24岁失业青年提供见习岗位；为见习人员提供基本生活补助，并办理人身意外伤害保险。</w:t>
      </w:r>
    </w:p>
    <w:p>
      <w:pPr>
        <w:spacing w:line="578" w:lineRule="exact"/>
        <w:ind w:firstLine="640" w:firstLineChars="200"/>
        <w:rPr>
          <w:rFonts w:eastAsia="仿宋_GB2312"/>
          <w:sz w:val="32"/>
          <w:szCs w:val="32"/>
        </w:rPr>
      </w:pPr>
      <w:r>
        <w:rPr>
          <w:rFonts w:hint="eastAsia" w:eastAsia="仿宋_GB2312"/>
          <w:sz w:val="32"/>
          <w:szCs w:val="32"/>
        </w:rPr>
        <w:t>服务标准：按照《国务院印发关于做好当前和今后一段时期就业创业工作的意见》、《国务院关于做好当前和今后一个时期促进就业工作的若干意见》（国发〔2018〕39号）、《人力资源社会保障部 财政部 商务部 国务院国资委 共青团中央 全国工商联关于实施三年百万青年见习计划的通知》（人社部函〔2018〕186号）、《人力资源社会保障部 财政部关于进一步精简证明材料和优化申办程序充分便利就业补贴政策享受的通知》（人社部发〔2019〕94号）、《云南省人民政府关于做好当前和今后一个时期促进就业工作的实施意见》（云政发〔2018〕75号）、《云南省人力资源和社会保障厅省财政厅等六部门关于实施万名青年见习计划的通知》（云人社通〔2019〕22号）、云财规〔2018〕2号文件、《云南省人民政府办公厅关于应对新冠肺炎疫情影响进一步做好稳就业工作的若干意见》（云政办发〔2020〕36号）、《关于进一步做好稳定和扩大就业工作的通知》（云人社通〔2021〕64号）、《昆明市人力资源和社会保障局等六部门关于转发省级部门实施万名青年见习计划的通知》（昆人社通〔2019〕101号），昆人社通〔2018〕182号文件、《昆明市人民政府关于进一步做好当前和今后一个时期就业创业工作的实施意见》（昆政发〔2021〕22号）等要求执行。</w:t>
      </w:r>
    </w:p>
    <w:p>
      <w:pPr>
        <w:spacing w:line="578" w:lineRule="exact"/>
        <w:ind w:firstLine="640" w:firstLineChars="200"/>
        <w:rPr>
          <w:rFonts w:eastAsia="仿宋_GB2312"/>
          <w:sz w:val="32"/>
          <w:szCs w:val="32"/>
        </w:rPr>
      </w:pPr>
      <w:r>
        <w:rPr>
          <w:rFonts w:hint="eastAsia" w:eastAsia="仿宋_GB2312"/>
          <w:sz w:val="32"/>
          <w:szCs w:val="32"/>
        </w:rPr>
        <w:t>政策依据：国发〔2017〕28号、国发〔2012〕39号、人社部函〔2018〕186号、人社部发〔2019〕94号、云政发〔2018〕75号、云人社通〔2019〕22号、云财规〔2018〕2号、云政办发〔2020〕36号、云人社通〔2021〕64号文件、《昆明市人力资源和社会保障局等六部门关于转发省级部门实施万名青年见习计划的通知》（昆人社通〔2019〕101号）、昆人社通〔2018〕182号、昆政发〔2021〕22号文件。</w:t>
      </w:r>
    </w:p>
    <w:p>
      <w:pPr>
        <w:spacing w:line="578" w:lineRule="exact"/>
        <w:ind w:firstLine="640" w:firstLineChars="200"/>
        <w:rPr>
          <w:rFonts w:eastAsia="仿宋_GB2312"/>
          <w:sz w:val="32"/>
          <w:szCs w:val="32"/>
        </w:rPr>
      </w:pPr>
      <w:r>
        <w:rPr>
          <w:rFonts w:hint="eastAsia" w:eastAsia="仿宋_GB2312"/>
          <w:sz w:val="32"/>
          <w:szCs w:val="32"/>
        </w:rPr>
        <w:t>支出责任：省级财政按每人每月1500元标准、市级财政按每人每月500元标准支付见习单位就业见习补贴；对见习期满留用率达50%以上的用人单位，省级补贴标准从每人每月1500元提高到2000元、市级补贴标准从每人每月500元提高到600元。</w:t>
      </w:r>
    </w:p>
    <w:p>
      <w:pPr>
        <w:spacing w:line="578" w:lineRule="exact"/>
        <w:ind w:firstLine="640" w:firstLineChars="200"/>
        <w:rPr>
          <w:rFonts w:eastAsia="仿宋_GB2312"/>
          <w:sz w:val="32"/>
          <w:szCs w:val="32"/>
        </w:rPr>
      </w:pPr>
      <w:r>
        <w:rPr>
          <w:rFonts w:hint="eastAsia" w:eastAsia="仿宋_GB2312"/>
          <w:sz w:val="32"/>
          <w:szCs w:val="32"/>
        </w:rPr>
        <w:t>牵头负责单位：区人社局</w:t>
      </w:r>
    </w:p>
    <w:p>
      <w:pPr>
        <w:spacing w:line="578" w:lineRule="exact"/>
        <w:ind w:firstLine="640" w:firstLineChars="200"/>
        <w:rPr>
          <w:rFonts w:eastAsia="仿宋_GB2312"/>
          <w:sz w:val="32"/>
          <w:szCs w:val="32"/>
        </w:rPr>
      </w:pPr>
      <w:r>
        <w:rPr>
          <w:rFonts w:hint="eastAsia" w:eastAsia="仿宋_GB2312"/>
          <w:sz w:val="32"/>
          <w:szCs w:val="32"/>
        </w:rPr>
        <w:t>服务流程：各级人力资源社会保障部门经办窗口、网络（网址：https：//zwfw.yn.gov.cn/portal/）提交申请→受理→审查→决定→送达。</w:t>
      </w:r>
    </w:p>
    <w:p>
      <w:pPr>
        <w:spacing w:line="578" w:lineRule="exact"/>
        <w:ind w:firstLine="640" w:firstLineChars="200"/>
        <w:rPr>
          <w:rFonts w:eastAsia="仿宋_GB2312"/>
          <w:sz w:val="32"/>
          <w:szCs w:val="32"/>
        </w:rPr>
      </w:pPr>
      <w:bookmarkStart w:id="87" w:name="_Toc23974"/>
      <w:bookmarkStart w:id="88" w:name="_Toc17951"/>
      <w:r>
        <w:rPr>
          <w:rFonts w:hint="eastAsia" w:eastAsia="仿宋_GB2312"/>
          <w:sz w:val="32"/>
          <w:szCs w:val="32"/>
        </w:rPr>
        <w:t>24.就业援助</w:t>
      </w:r>
      <w:bookmarkEnd w:id="87"/>
      <w:bookmarkEnd w:id="88"/>
    </w:p>
    <w:p>
      <w:pPr>
        <w:spacing w:line="578" w:lineRule="exact"/>
        <w:ind w:firstLine="640" w:firstLineChars="200"/>
        <w:rPr>
          <w:rFonts w:eastAsia="仿宋_GB2312"/>
          <w:sz w:val="32"/>
          <w:szCs w:val="32"/>
        </w:rPr>
      </w:pPr>
      <w:r>
        <w:rPr>
          <w:rFonts w:hint="eastAsia" w:eastAsia="仿宋_GB2312"/>
          <w:sz w:val="32"/>
          <w:szCs w:val="32"/>
        </w:rPr>
        <w:t>服务对象：就业困难人员和零就业家庭。</w:t>
      </w:r>
    </w:p>
    <w:p>
      <w:pPr>
        <w:spacing w:line="578" w:lineRule="exact"/>
        <w:ind w:firstLine="640" w:firstLineChars="200"/>
        <w:rPr>
          <w:rFonts w:eastAsia="仿宋_GB2312"/>
          <w:sz w:val="32"/>
          <w:szCs w:val="32"/>
        </w:rPr>
      </w:pPr>
      <w:r>
        <w:rPr>
          <w:rFonts w:hint="eastAsia" w:eastAsia="仿宋_GB2312"/>
          <w:sz w:val="32"/>
          <w:szCs w:val="32"/>
        </w:rPr>
        <w:t>服务内容：采取组织参加职业培训、推荐企业吸纳、助推灵活就业、扶持自主创业等方式，帮助其尽快实现就业。对其中仍未能实现就业的就业困难人员，纳入城镇公益性岗位安置范围。</w:t>
      </w:r>
    </w:p>
    <w:p>
      <w:pPr>
        <w:spacing w:line="578" w:lineRule="exact"/>
        <w:ind w:firstLine="640" w:firstLineChars="200"/>
        <w:rPr>
          <w:rFonts w:eastAsia="仿宋_GB2312"/>
          <w:sz w:val="32"/>
          <w:szCs w:val="32"/>
        </w:rPr>
      </w:pPr>
      <w:r>
        <w:rPr>
          <w:rFonts w:hint="eastAsia" w:eastAsia="仿宋_GB2312"/>
          <w:sz w:val="32"/>
          <w:szCs w:val="32"/>
        </w:rPr>
        <w:t>服务标准：按照《就业援助服务规范》、人社部发〔2018〕77号文件、《就业补助资金管理办法》、《云南省人力资源和社会保障厅云南省财政厅关于进一步做好公益性岗位开发管理有关工作的通知》（云人社发〔2020〕9号），云政办发〔2020〕36号、云人社通〔2021〕64号文件、《昆明市人民政府办公室关于印发昆明市2020年稳定就业工作的若干措施的通知》（昆政办〔2020〕8号）、昆政发〔2021〕22号文件、《昆明市人民政府办公室印发关于支持多渠道灵活就业的若干措施的通知》（昆政办〔2021〕66号）等公共就业服务标准执行，零就业家庭动态“清零”。</w:t>
      </w:r>
    </w:p>
    <w:p>
      <w:pPr>
        <w:spacing w:line="578" w:lineRule="exact"/>
        <w:ind w:firstLine="640" w:firstLineChars="200"/>
        <w:rPr>
          <w:rFonts w:eastAsia="仿宋_GB2312"/>
          <w:sz w:val="32"/>
          <w:szCs w:val="32"/>
        </w:rPr>
      </w:pPr>
      <w:r>
        <w:rPr>
          <w:rFonts w:hint="eastAsia" w:eastAsia="仿宋_GB2312"/>
          <w:sz w:val="32"/>
          <w:szCs w:val="32"/>
        </w:rPr>
        <w:t>政策依据：人社部发〔2018〕77号文件、《关于加强就业援助工作的指导意见》（人社部发〔2010〕29号）、《就业援助服务规范》（GB/T33531-2017），云财规〔2018〕2号、云政发〔2018〕75号、云人社发〔2020〕9号、云政办发〔2020〕36号、云人社通〔2021〕64号、昆人社通〔2018〕182号、昆政办〔2020〕8号、昆政发〔2021〕22号、昆政办〔2021〕66号文件。</w:t>
      </w:r>
    </w:p>
    <w:p>
      <w:pPr>
        <w:spacing w:line="578" w:lineRule="exact"/>
        <w:ind w:firstLine="640" w:firstLineChars="200"/>
        <w:rPr>
          <w:rFonts w:eastAsia="仿宋_GB2312"/>
          <w:sz w:val="32"/>
          <w:szCs w:val="32"/>
        </w:rPr>
      </w:pPr>
      <w:r>
        <w:rPr>
          <w:rFonts w:hint="eastAsia" w:eastAsia="仿宋_GB2312"/>
          <w:sz w:val="32"/>
          <w:szCs w:val="32"/>
        </w:rPr>
        <w:t>支出责任：所需经费从就业补助资金支出。</w:t>
      </w:r>
    </w:p>
    <w:p>
      <w:pPr>
        <w:spacing w:line="578" w:lineRule="exact"/>
        <w:ind w:firstLine="640" w:firstLineChars="200"/>
        <w:rPr>
          <w:rFonts w:eastAsia="仿宋_GB2312"/>
          <w:sz w:val="32"/>
          <w:szCs w:val="32"/>
        </w:rPr>
      </w:pPr>
      <w:r>
        <w:rPr>
          <w:rFonts w:hint="eastAsia" w:eastAsia="仿宋_GB2312"/>
          <w:sz w:val="32"/>
          <w:szCs w:val="32"/>
        </w:rPr>
        <w:t>牵头负责单位：区人社局</w:t>
      </w:r>
    </w:p>
    <w:p>
      <w:pPr>
        <w:spacing w:line="578" w:lineRule="exact"/>
        <w:ind w:firstLine="640" w:firstLineChars="200"/>
        <w:rPr>
          <w:rFonts w:eastAsia="仿宋_GB2312"/>
          <w:sz w:val="32"/>
          <w:szCs w:val="32"/>
        </w:rPr>
      </w:pPr>
      <w:r>
        <w:rPr>
          <w:rFonts w:hint="eastAsia" w:eastAsia="仿宋_GB2312"/>
          <w:sz w:val="32"/>
          <w:szCs w:val="32"/>
        </w:rPr>
        <w:t>服务流程：了解需</w:t>
      </w:r>
      <w:r>
        <w:rPr>
          <w:rFonts w:hint="eastAsia" w:ascii="仿宋_GB2312" w:eastAsia="仿宋_GB2312"/>
          <w:sz w:val="32"/>
          <w:szCs w:val="32"/>
        </w:rPr>
        <w:t>求→</w:t>
      </w:r>
      <w:r>
        <w:rPr>
          <w:rFonts w:hint="eastAsia" w:eastAsia="仿宋_GB2312"/>
          <w:sz w:val="32"/>
          <w:szCs w:val="32"/>
        </w:rPr>
        <w:t>求职指导</w:t>
      </w:r>
      <w:r>
        <w:rPr>
          <w:rFonts w:hint="eastAsia" w:ascii="仿宋_GB2312" w:eastAsia="仿宋_GB2312"/>
          <w:sz w:val="32"/>
          <w:szCs w:val="32"/>
        </w:rPr>
        <w:t>→</w:t>
      </w:r>
      <w:r>
        <w:rPr>
          <w:rFonts w:hint="eastAsia" w:eastAsia="仿宋_GB2312"/>
          <w:sz w:val="32"/>
          <w:szCs w:val="32"/>
        </w:rPr>
        <w:t>记载信息</w:t>
      </w:r>
      <w:r>
        <w:rPr>
          <w:rFonts w:hint="eastAsia" w:ascii="仿宋_GB2312" w:eastAsia="仿宋_GB2312"/>
          <w:sz w:val="32"/>
          <w:szCs w:val="32"/>
        </w:rPr>
        <w:t>→</w:t>
      </w:r>
      <w:r>
        <w:rPr>
          <w:rFonts w:hint="eastAsia" w:eastAsia="仿宋_GB2312"/>
          <w:sz w:val="32"/>
          <w:szCs w:val="32"/>
        </w:rPr>
        <w:t>有针对性地为其推荐岗位信息</w:t>
      </w:r>
      <w:r>
        <w:rPr>
          <w:rFonts w:hint="eastAsia" w:ascii="仿宋_GB2312" w:eastAsia="仿宋_GB2312"/>
          <w:sz w:val="32"/>
          <w:szCs w:val="32"/>
        </w:rPr>
        <w:t>→</w:t>
      </w:r>
      <w:r>
        <w:rPr>
          <w:rFonts w:hint="eastAsia" w:eastAsia="仿宋_GB2312"/>
          <w:sz w:val="32"/>
          <w:szCs w:val="32"/>
        </w:rPr>
        <w:t>开展就业援助服务。</w:t>
      </w:r>
    </w:p>
    <w:p>
      <w:pPr>
        <w:spacing w:line="578" w:lineRule="exact"/>
        <w:ind w:firstLine="640" w:firstLineChars="200"/>
        <w:rPr>
          <w:rFonts w:eastAsia="仿宋_GB2312"/>
          <w:sz w:val="32"/>
          <w:szCs w:val="32"/>
        </w:rPr>
      </w:pPr>
      <w:bookmarkStart w:id="89" w:name="_Toc28828"/>
      <w:bookmarkStart w:id="90" w:name="_Toc7691"/>
      <w:r>
        <w:rPr>
          <w:rFonts w:hint="eastAsia" w:eastAsia="仿宋_GB2312"/>
          <w:sz w:val="32"/>
          <w:szCs w:val="32"/>
        </w:rPr>
        <w:t>25.职业技能培训和生活费补贴</w:t>
      </w:r>
      <w:bookmarkEnd w:id="89"/>
      <w:bookmarkEnd w:id="90"/>
    </w:p>
    <w:p>
      <w:pPr>
        <w:spacing w:line="578" w:lineRule="exact"/>
        <w:ind w:firstLine="616" w:firstLineChars="200"/>
        <w:rPr>
          <w:rFonts w:eastAsia="仿宋_GB2312"/>
          <w:spacing w:val="-6"/>
          <w:sz w:val="32"/>
          <w:szCs w:val="32"/>
        </w:rPr>
      </w:pPr>
      <w:r>
        <w:rPr>
          <w:rFonts w:hint="eastAsia" w:eastAsia="仿宋_GB2312"/>
          <w:spacing w:val="-6"/>
          <w:sz w:val="32"/>
          <w:szCs w:val="32"/>
        </w:rPr>
        <w:t>服务对象：参加培训并符合补贴条件的城乡各类劳动者。</w:t>
      </w:r>
    </w:p>
    <w:p>
      <w:pPr>
        <w:spacing w:line="578" w:lineRule="exact"/>
        <w:ind w:firstLine="640" w:firstLineChars="200"/>
        <w:rPr>
          <w:rFonts w:eastAsia="仿宋_GB2312"/>
          <w:sz w:val="32"/>
          <w:szCs w:val="32"/>
        </w:rPr>
      </w:pPr>
      <w:r>
        <w:rPr>
          <w:rFonts w:hint="eastAsia" w:eastAsia="仿宋_GB2312"/>
          <w:sz w:val="32"/>
          <w:szCs w:val="32"/>
        </w:rPr>
        <w:t>服务内容：对参加培训并符合条件的城乡各类劳动者，按规定给予职业培训补贴和生活费补贴。</w:t>
      </w:r>
      <w:r>
        <w:rPr>
          <w:rFonts w:hint="eastAsia" w:eastAsia="仿宋_GB2312"/>
          <w:sz w:val="32"/>
          <w:szCs w:val="32"/>
        </w:rPr>
        <w:tab/>
      </w:r>
    </w:p>
    <w:p>
      <w:pPr>
        <w:spacing w:line="578" w:lineRule="exact"/>
        <w:ind w:firstLine="640" w:firstLineChars="200"/>
        <w:rPr>
          <w:rFonts w:eastAsia="仿宋_GB2312"/>
          <w:sz w:val="32"/>
          <w:szCs w:val="32"/>
        </w:rPr>
      </w:pPr>
      <w:r>
        <w:rPr>
          <w:rFonts w:hint="eastAsia" w:eastAsia="仿宋_GB2312"/>
          <w:sz w:val="32"/>
          <w:szCs w:val="32"/>
        </w:rPr>
        <w:t>服务标准：具体补贴标准根据云南省人力资源和社会保障厅、云南省财政厅下发的《职业技能培训创业培训补贴标准目录》执行。</w:t>
      </w:r>
    </w:p>
    <w:p>
      <w:pPr>
        <w:spacing w:line="578" w:lineRule="exact"/>
        <w:ind w:firstLine="640" w:firstLineChars="200"/>
        <w:rPr>
          <w:rFonts w:eastAsia="仿宋_GB2312"/>
          <w:sz w:val="32"/>
          <w:szCs w:val="32"/>
        </w:rPr>
      </w:pPr>
      <w:r>
        <w:rPr>
          <w:rFonts w:hint="eastAsia" w:eastAsia="仿宋_GB2312"/>
          <w:sz w:val="32"/>
          <w:szCs w:val="32"/>
        </w:rPr>
        <w:t>政策依据：《云南省人力资源和社会保障厅 云南省财政厅 转发人力资源社会保障部办公厅 财政部办公厅关于做好职业技能提升行动专账资金使用管理工作文件的通知》（云人社通〔2020〕21号），云财规〔2019〕3号、云财规〔2018〕2号文件、《昆明市人力资源和社会保障局昆明市财政局转发关于做好职业技能提升行动专账资金使用管理工作文件的通知》（昆人社通〔2020〕20号），昆财社基〔2019〕81号、昆人社通〔2018〕182号文件。</w:t>
      </w:r>
    </w:p>
    <w:p>
      <w:pPr>
        <w:spacing w:line="578" w:lineRule="exact"/>
        <w:ind w:firstLine="640" w:firstLineChars="200"/>
        <w:rPr>
          <w:rFonts w:eastAsia="仿宋_GB2312"/>
          <w:sz w:val="32"/>
          <w:szCs w:val="32"/>
        </w:rPr>
      </w:pPr>
      <w:r>
        <w:rPr>
          <w:rFonts w:hint="eastAsia" w:eastAsia="仿宋_GB2312"/>
          <w:sz w:val="32"/>
          <w:szCs w:val="32"/>
        </w:rPr>
        <w:t>支出责任：所需经费从就业补助资金、职业技能提升行动资金支出。</w:t>
      </w:r>
    </w:p>
    <w:p>
      <w:pPr>
        <w:spacing w:line="578" w:lineRule="exact"/>
        <w:ind w:firstLine="640" w:firstLineChars="200"/>
        <w:rPr>
          <w:rFonts w:eastAsia="仿宋_GB2312"/>
          <w:sz w:val="32"/>
          <w:szCs w:val="32"/>
        </w:rPr>
      </w:pPr>
      <w:r>
        <w:rPr>
          <w:rFonts w:hint="eastAsia" w:eastAsia="仿宋_GB2312"/>
          <w:sz w:val="32"/>
          <w:szCs w:val="32"/>
        </w:rPr>
        <w:t>牵头负责单位：区人社局</w:t>
      </w:r>
    </w:p>
    <w:p>
      <w:pPr>
        <w:spacing w:line="578" w:lineRule="exact"/>
        <w:ind w:firstLine="640" w:firstLineChars="200"/>
        <w:rPr>
          <w:rFonts w:eastAsia="仿宋_GB2312"/>
          <w:sz w:val="32"/>
          <w:szCs w:val="32"/>
        </w:rPr>
      </w:pPr>
      <w:r>
        <w:rPr>
          <w:rFonts w:hint="eastAsia" w:eastAsia="仿宋_GB2312"/>
          <w:sz w:val="32"/>
          <w:szCs w:val="32"/>
        </w:rPr>
        <w:t>服务流程：开班申</w:t>
      </w:r>
      <w:r>
        <w:rPr>
          <w:rFonts w:hint="eastAsia" w:ascii="仿宋_GB2312" w:eastAsia="仿宋_GB2312"/>
          <w:sz w:val="32"/>
          <w:szCs w:val="32"/>
        </w:rPr>
        <w:t>请→</w:t>
      </w:r>
      <w:r>
        <w:rPr>
          <w:rFonts w:hint="eastAsia" w:eastAsia="仿宋_GB2312"/>
          <w:sz w:val="32"/>
          <w:szCs w:val="32"/>
        </w:rPr>
        <w:t>人社部门审批</w:t>
      </w:r>
      <w:r>
        <w:rPr>
          <w:rFonts w:hint="eastAsia" w:ascii="仿宋_GB2312" w:eastAsia="仿宋_GB2312"/>
          <w:sz w:val="32"/>
          <w:szCs w:val="32"/>
        </w:rPr>
        <w:t>→</w:t>
      </w:r>
      <w:r>
        <w:rPr>
          <w:rFonts w:hint="eastAsia" w:eastAsia="仿宋_GB2312"/>
          <w:sz w:val="32"/>
          <w:szCs w:val="32"/>
        </w:rPr>
        <w:t>培训机构按时按地正常开班，期间第三方督查机构会随机对其检查</w:t>
      </w:r>
      <w:r>
        <w:rPr>
          <w:rFonts w:hint="eastAsia" w:ascii="仿宋_GB2312" w:eastAsia="仿宋_GB2312"/>
          <w:sz w:val="32"/>
          <w:szCs w:val="32"/>
        </w:rPr>
        <w:t>→</w:t>
      </w:r>
      <w:r>
        <w:rPr>
          <w:rFonts w:hint="eastAsia" w:eastAsia="仿宋_GB2312"/>
          <w:sz w:val="32"/>
          <w:szCs w:val="32"/>
        </w:rPr>
        <w:t>培训结束后向人社部门提供资金申报资料</w:t>
      </w:r>
      <w:r>
        <w:rPr>
          <w:rFonts w:hint="eastAsia" w:ascii="仿宋_GB2312" w:eastAsia="仿宋_GB2312"/>
          <w:sz w:val="32"/>
          <w:szCs w:val="32"/>
        </w:rPr>
        <w:t>→</w:t>
      </w:r>
      <w:r>
        <w:rPr>
          <w:rFonts w:hint="eastAsia" w:eastAsia="仿宋_GB2312"/>
          <w:sz w:val="32"/>
          <w:szCs w:val="32"/>
        </w:rPr>
        <w:t>审核通过的按标准发放培</w:t>
      </w:r>
      <w:r>
        <w:rPr>
          <w:rFonts w:hint="eastAsia" w:eastAsia="仿宋_GB2312"/>
          <w:spacing w:val="6"/>
          <w:sz w:val="32"/>
          <w:szCs w:val="32"/>
        </w:rPr>
        <w:t>训补贴，对享受生活费补贴的参训人员按标准发放生活费补贴。</w:t>
      </w:r>
    </w:p>
    <w:p>
      <w:pPr>
        <w:spacing w:line="578" w:lineRule="exact"/>
        <w:ind w:firstLine="640" w:firstLineChars="200"/>
        <w:rPr>
          <w:rFonts w:eastAsia="仿宋_GB2312"/>
          <w:sz w:val="32"/>
          <w:szCs w:val="32"/>
        </w:rPr>
      </w:pPr>
      <w:bookmarkStart w:id="91" w:name="_Toc25678"/>
      <w:bookmarkStart w:id="92" w:name="_Toc22650"/>
      <w:r>
        <w:rPr>
          <w:rFonts w:hint="eastAsia" w:eastAsia="仿宋_GB2312"/>
          <w:sz w:val="32"/>
          <w:szCs w:val="32"/>
        </w:rPr>
        <w:t>26.“12333”人力资源和社会保障电话服务</w:t>
      </w:r>
      <w:bookmarkEnd w:id="91"/>
      <w:bookmarkEnd w:id="92"/>
    </w:p>
    <w:p>
      <w:pPr>
        <w:spacing w:line="578" w:lineRule="exact"/>
        <w:ind w:firstLine="640" w:firstLineChars="200"/>
        <w:rPr>
          <w:rFonts w:eastAsia="仿宋_GB2312"/>
          <w:sz w:val="32"/>
          <w:szCs w:val="32"/>
        </w:rPr>
      </w:pPr>
      <w:r>
        <w:rPr>
          <w:rFonts w:hint="eastAsia" w:eastAsia="仿宋_GB2312"/>
          <w:sz w:val="32"/>
          <w:szCs w:val="32"/>
        </w:rPr>
        <w:t>服务对象：所有单位和个人。</w:t>
      </w:r>
    </w:p>
    <w:p>
      <w:pPr>
        <w:spacing w:line="578" w:lineRule="exact"/>
        <w:ind w:firstLine="640" w:firstLineChars="200"/>
        <w:rPr>
          <w:rFonts w:eastAsia="仿宋_GB2312"/>
          <w:sz w:val="32"/>
          <w:szCs w:val="32"/>
        </w:rPr>
      </w:pPr>
      <w:r>
        <w:rPr>
          <w:rFonts w:hint="eastAsia" w:eastAsia="仿宋_GB2312"/>
          <w:sz w:val="32"/>
          <w:szCs w:val="32"/>
        </w:rPr>
        <w:t>服务内容：提供就业创业、社会保障、人事人才、劳动关系等方面法律法规、公共信息查询及个人社保权益查询、人社行风建设及劳动保障维权举报投诉、人社业务线上及线下经办指导、社会保障卡临时挂失、人力资源社会保障考试成绩查询等线上咨询。</w:t>
      </w:r>
    </w:p>
    <w:p>
      <w:pPr>
        <w:spacing w:line="578" w:lineRule="exact"/>
        <w:ind w:firstLine="640" w:firstLineChars="200"/>
        <w:rPr>
          <w:rFonts w:eastAsia="仿宋_GB2312"/>
          <w:sz w:val="32"/>
          <w:szCs w:val="32"/>
        </w:rPr>
      </w:pPr>
      <w:r>
        <w:rPr>
          <w:rFonts w:hint="eastAsia" w:eastAsia="仿宋_GB2312"/>
          <w:sz w:val="32"/>
          <w:szCs w:val="32"/>
        </w:rPr>
        <w:t>服务标准：7X24小时人工服务+自助语音服务，综合接通率达80%以上。</w:t>
      </w:r>
    </w:p>
    <w:p>
      <w:pPr>
        <w:spacing w:line="578" w:lineRule="exact"/>
        <w:ind w:firstLine="640" w:firstLineChars="200"/>
        <w:rPr>
          <w:rFonts w:eastAsia="仿宋_GB2312"/>
          <w:sz w:val="32"/>
          <w:szCs w:val="32"/>
        </w:rPr>
      </w:pPr>
      <w:r>
        <w:rPr>
          <w:rFonts w:hint="eastAsia" w:eastAsia="仿宋_GB2312"/>
          <w:sz w:val="32"/>
          <w:szCs w:val="32"/>
        </w:rPr>
        <w:t>政策依据：《“十三五”国家基本公共服务清单》、《关于印发2022年人力资源社会保障12333电话服务工作要点的通知》（人社网信函〔2022〕6号）、《关于继续使用“12333”全国统一服务号码开展公益服务的通知》（人社网信函〔2018〕2 号）、《人力资源社会保障部关于印发人力资源和社会保障事业发展“十三五”规划纲要的通知》（人社部发〔2016〕63 号）、《人力资源社会保障部办公厅关于加快推进 12333 电话咨询服务事业发展的指导意见》（人社厅发〔2016〕186号）、《中共中央办公厅 国务院办公厅印发关于建立健全基本公共服务标准体系的指导意见》、《人力资源社会保障部办公厅 财政部办公厅关于深入推进12333发展促进人力资源社会保障公共服务便民化的意见》（人社厅发〔2018〕116号）、《云南省人民政府办公厅关于印发云南省政务服务便民热线归并优化工作方案的通知》（云政办发〔2021〕32号）。</w:t>
      </w:r>
    </w:p>
    <w:p>
      <w:pPr>
        <w:spacing w:line="578" w:lineRule="exact"/>
        <w:ind w:firstLine="640" w:firstLineChars="200"/>
        <w:rPr>
          <w:rFonts w:eastAsia="仿宋_GB2312"/>
          <w:sz w:val="32"/>
          <w:szCs w:val="32"/>
        </w:rPr>
      </w:pPr>
      <w:r>
        <w:rPr>
          <w:rFonts w:hint="eastAsia" w:eastAsia="仿宋_GB2312"/>
          <w:sz w:val="32"/>
          <w:szCs w:val="32"/>
        </w:rPr>
        <w:t>支出责任：省、市人民政府分级负责。</w:t>
      </w:r>
    </w:p>
    <w:p>
      <w:pPr>
        <w:spacing w:line="578" w:lineRule="exact"/>
        <w:ind w:firstLine="640" w:firstLineChars="200"/>
        <w:rPr>
          <w:rFonts w:eastAsia="仿宋_GB2312"/>
          <w:sz w:val="32"/>
          <w:szCs w:val="32"/>
        </w:rPr>
      </w:pPr>
      <w:r>
        <w:rPr>
          <w:rFonts w:hint="eastAsia" w:eastAsia="仿宋_GB2312"/>
          <w:sz w:val="32"/>
          <w:szCs w:val="32"/>
        </w:rPr>
        <w:t>牵头负责单位：区人社局</w:t>
      </w:r>
    </w:p>
    <w:p>
      <w:pPr>
        <w:spacing w:line="578" w:lineRule="exact"/>
        <w:ind w:firstLine="640" w:firstLineChars="200"/>
        <w:rPr>
          <w:rFonts w:eastAsia="仿宋_GB2312"/>
          <w:sz w:val="32"/>
          <w:szCs w:val="32"/>
        </w:rPr>
      </w:pPr>
      <w:r>
        <w:rPr>
          <w:rFonts w:hint="eastAsia" w:eastAsia="仿宋_GB2312"/>
          <w:sz w:val="32"/>
          <w:szCs w:val="32"/>
        </w:rPr>
        <w:t>服务流程：拨打12333电话，按提示音操作办理。</w:t>
      </w:r>
    </w:p>
    <w:p>
      <w:pPr>
        <w:spacing w:line="578" w:lineRule="exact"/>
        <w:ind w:firstLine="640" w:firstLineChars="200"/>
        <w:rPr>
          <w:rFonts w:eastAsia="仿宋_GB2312"/>
          <w:sz w:val="32"/>
          <w:szCs w:val="32"/>
        </w:rPr>
      </w:pPr>
      <w:bookmarkStart w:id="93" w:name="_Toc18705"/>
      <w:bookmarkStart w:id="94" w:name="_Toc20257"/>
      <w:r>
        <w:rPr>
          <w:rFonts w:hint="eastAsia" w:eastAsia="仿宋_GB2312"/>
          <w:sz w:val="32"/>
          <w:szCs w:val="32"/>
        </w:rPr>
        <w:t>27.劳动关系协调</w:t>
      </w:r>
      <w:bookmarkEnd w:id="93"/>
      <w:bookmarkEnd w:id="94"/>
    </w:p>
    <w:p>
      <w:pPr>
        <w:spacing w:line="578" w:lineRule="exact"/>
        <w:ind w:firstLine="640" w:firstLineChars="200"/>
        <w:rPr>
          <w:rFonts w:eastAsia="仿宋_GB2312"/>
          <w:sz w:val="32"/>
          <w:szCs w:val="32"/>
        </w:rPr>
      </w:pPr>
      <w:r>
        <w:rPr>
          <w:rFonts w:hint="eastAsia" w:eastAsia="仿宋_GB2312"/>
          <w:sz w:val="32"/>
          <w:szCs w:val="32"/>
        </w:rPr>
        <w:t xml:space="preserve">27.1集体合同审查 </w:t>
      </w:r>
    </w:p>
    <w:p>
      <w:pPr>
        <w:spacing w:line="578" w:lineRule="exact"/>
        <w:ind w:firstLine="640" w:firstLineChars="200"/>
        <w:rPr>
          <w:rFonts w:eastAsia="仿宋_GB2312"/>
          <w:sz w:val="32"/>
          <w:szCs w:val="32"/>
        </w:rPr>
      </w:pPr>
      <w:r>
        <w:rPr>
          <w:rFonts w:hint="eastAsia" w:eastAsia="仿宋_GB2312"/>
          <w:sz w:val="32"/>
          <w:szCs w:val="32"/>
        </w:rPr>
        <w:t xml:space="preserve">服务对象：用人单位。 </w:t>
      </w:r>
    </w:p>
    <w:p>
      <w:pPr>
        <w:spacing w:line="578" w:lineRule="exact"/>
        <w:ind w:firstLine="640" w:firstLineChars="200"/>
        <w:rPr>
          <w:rFonts w:eastAsia="仿宋_GB2312"/>
          <w:sz w:val="32"/>
          <w:szCs w:val="32"/>
        </w:rPr>
      </w:pPr>
      <w:r>
        <w:rPr>
          <w:rFonts w:hint="eastAsia" w:eastAsia="仿宋_GB2312"/>
          <w:sz w:val="32"/>
          <w:szCs w:val="32"/>
        </w:rPr>
        <w:t xml:space="preserve">服务内容：提供集体合同审查服务。 </w:t>
      </w:r>
    </w:p>
    <w:p>
      <w:pPr>
        <w:spacing w:line="578" w:lineRule="exact"/>
        <w:ind w:firstLine="640" w:firstLineChars="200"/>
        <w:rPr>
          <w:rFonts w:eastAsia="仿宋_GB2312"/>
          <w:sz w:val="32"/>
          <w:szCs w:val="32"/>
        </w:rPr>
      </w:pPr>
      <w:r>
        <w:rPr>
          <w:rFonts w:hint="eastAsia" w:eastAsia="仿宋_GB2312"/>
          <w:sz w:val="32"/>
          <w:szCs w:val="32"/>
        </w:rPr>
        <w:t>服务标准：免费提供集体合同政策法规咨询、集体合同示范文本，出具《集体合同审查通知书》。</w:t>
      </w:r>
    </w:p>
    <w:p>
      <w:pPr>
        <w:spacing w:line="578" w:lineRule="exact"/>
        <w:ind w:firstLine="640" w:firstLineChars="200"/>
        <w:rPr>
          <w:rFonts w:eastAsia="仿宋_GB2312"/>
          <w:sz w:val="32"/>
          <w:szCs w:val="32"/>
        </w:rPr>
      </w:pPr>
      <w:r>
        <w:rPr>
          <w:rFonts w:hint="eastAsia" w:eastAsia="仿宋_GB2312"/>
          <w:sz w:val="32"/>
          <w:szCs w:val="32"/>
        </w:rPr>
        <w:t>政策依据：《中华人民共和国劳动合同法》、《工资集体协商试行办法》（中华人民共和国劳动和社会保障部令第9号）、《集体合同规定》（中华人民共和国劳动和社会保障部令第22号）、《云南省集体合同条例》、《云南省工资集体协商条例》。</w:t>
      </w:r>
    </w:p>
    <w:p>
      <w:pPr>
        <w:spacing w:line="578" w:lineRule="exact"/>
        <w:ind w:firstLine="640" w:firstLineChars="200"/>
        <w:rPr>
          <w:rFonts w:eastAsia="仿宋_GB2312"/>
          <w:sz w:val="32"/>
          <w:szCs w:val="32"/>
        </w:rPr>
      </w:pPr>
      <w:r>
        <w:rPr>
          <w:rFonts w:hint="eastAsia" w:eastAsia="仿宋_GB2312"/>
          <w:sz w:val="32"/>
          <w:szCs w:val="32"/>
        </w:rPr>
        <w:t>支出责任：省、市、区人民政府分级负责。</w:t>
      </w:r>
    </w:p>
    <w:p>
      <w:pPr>
        <w:spacing w:line="578" w:lineRule="exact"/>
        <w:ind w:firstLine="640" w:firstLineChars="200"/>
        <w:rPr>
          <w:rFonts w:eastAsia="仿宋_GB2312"/>
          <w:sz w:val="32"/>
          <w:szCs w:val="32"/>
        </w:rPr>
      </w:pPr>
      <w:r>
        <w:rPr>
          <w:rFonts w:hint="eastAsia" w:eastAsia="仿宋_GB2312"/>
          <w:sz w:val="32"/>
          <w:szCs w:val="32"/>
        </w:rPr>
        <w:t>牵头负责单位：东川区人社局</w:t>
      </w:r>
    </w:p>
    <w:p>
      <w:pPr>
        <w:spacing w:line="578" w:lineRule="exact"/>
        <w:ind w:firstLine="640" w:firstLineChars="200"/>
        <w:rPr>
          <w:rFonts w:eastAsia="仿宋_GB2312"/>
          <w:sz w:val="32"/>
          <w:szCs w:val="32"/>
        </w:rPr>
      </w:pPr>
      <w:r>
        <w:rPr>
          <w:rFonts w:hint="eastAsia" w:eastAsia="仿宋_GB2312"/>
          <w:sz w:val="32"/>
          <w:szCs w:val="32"/>
        </w:rPr>
        <w:t>服务流程：企业通过互联网申报→选择申报类型（新签、续签、变更、终止）→录入单位基本信息和集体合同申报信息→对应不同业务类型上传附件材料→人社内网接件→审查是否符合办理条件→人社登记办结或通知企业不符合办理条件→企业在互联网渠道查询办理状态→通过审查的企业到柜台领取《集体合同审查通知书》。</w:t>
      </w:r>
    </w:p>
    <w:p>
      <w:pPr>
        <w:spacing w:line="578" w:lineRule="exact"/>
        <w:ind w:firstLine="640" w:firstLineChars="200"/>
        <w:rPr>
          <w:rFonts w:eastAsia="仿宋_GB2312"/>
          <w:sz w:val="32"/>
          <w:szCs w:val="32"/>
        </w:rPr>
      </w:pPr>
      <w:r>
        <w:rPr>
          <w:rFonts w:hint="eastAsia" w:eastAsia="仿宋_GB2312"/>
          <w:sz w:val="32"/>
          <w:szCs w:val="32"/>
        </w:rPr>
        <w:t xml:space="preserve">27.2劳动用工备案 </w:t>
      </w:r>
    </w:p>
    <w:p>
      <w:pPr>
        <w:spacing w:line="578" w:lineRule="exact"/>
        <w:ind w:firstLine="640" w:firstLineChars="200"/>
        <w:rPr>
          <w:rFonts w:eastAsia="仿宋_GB2312"/>
          <w:sz w:val="32"/>
          <w:szCs w:val="32"/>
        </w:rPr>
      </w:pPr>
      <w:r>
        <w:rPr>
          <w:rFonts w:hint="eastAsia" w:eastAsia="仿宋_GB2312"/>
          <w:sz w:val="32"/>
          <w:szCs w:val="32"/>
        </w:rPr>
        <w:t xml:space="preserve">服务对象：用人单位。 </w:t>
      </w:r>
    </w:p>
    <w:p>
      <w:pPr>
        <w:spacing w:line="578" w:lineRule="exact"/>
        <w:ind w:firstLine="640" w:firstLineChars="200"/>
        <w:rPr>
          <w:rFonts w:eastAsia="仿宋_GB2312"/>
          <w:sz w:val="32"/>
          <w:szCs w:val="32"/>
        </w:rPr>
      </w:pPr>
      <w:r>
        <w:rPr>
          <w:rFonts w:hint="eastAsia" w:eastAsia="仿宋_GB2312"/>
          <w:sz w:val="32"/>
          <w:szCs w:val="32"/>
        </w:rPr>
        <w:t xml:space="preserve">服务内容：提供劳动用工信息备案服务。 </w:t>
      </w:r>
    </w:p>
    <w:p>
      <w:pPr>
        <w:spacing w:line="578" w:lineRule="exact"/>
        <w:ind w:firstLine="640" w:firstLineChars="200"/>
        <w:rPr>
          <w:rFonts w:eastAsia="仿宋_GB2312"/>
          <w:sz w:val="32"/>
          <w:szCs w:val="32"/>
        </w:rPr>
      </w:pPr>
      <w:r>
        <w:rPr>
          <w:rFonts w:hint="eastAsia" w:eastAsia="仿宋_GB2312"/>
          <w:sz w:val="32"/>
          <w:szCs w:val="32"/>
        </w:rPr>
        <w:t>服务标准：通过云南省人社网上公共服务系统免费提供劳动用工信息备案服务，提供劳动用工政策法规咨询、劳动合同示范文本。</w:t>
      </w:r>
    </w:p>
    <w:p>
      <w:pPr>
        <w:spacing w:line="578" w:lineRule="exact"/>
        <w:ind w:firstLine="640" w:firstLineChars="200"/>
        <w:rPr>
          <w:rFonts w:eastAsia="仿宋_GB2312"/>
          <w:sz w:val="32"/>
          <w:szCs w:val="32"/>
        </w:rPr>
      </w:pPr>
      <w:r>
        <w:rPr>
          <w:rFonts w:hint="eastAsia" w:eastAsia="仿宋_GB2312"/>
          <w:sz w:val="32"/>
          <w:szCs w:val="32"/>
        </w:rPr>
        <w:t>政策依据：《中华人民共和国劳动合同法》《中共中央国务院关于构建和谐劳动关系的意见》（中发〔2015〕10号）、《关于建立劳动用工备案制度的通知》（劳社部发〔2006〕46号）。</w:t>
      </w:r>
    </w:p>
    <w:p>
      <w:pPr>
        <w:spacing w:line="578" w:lineRule="exact"/>
        <w:ind w:firstLine="640" w:firstLineChars="200"/>
        <w:rPr>
          <w:rFonts w:eastAsia="仿宋_GB2312"/>
          <w:sz w:val="32"/>
          <w:szCs w:val="32"/>
        </w:rPr>
      </w:pPr>
      <w:r>
        <w:rPr>
          <w:rFonts w:hint="eastAsia" w:eastAsia="仿宋_GB2312"/>
          <w:sz w:val="32"/>
          <w:szCs w:val="32"/>
        </w:rPr>
        <w:t>支出责任：省、市、区人民政府分级负责。</w:t>
      </w:r>
    </w:p>
    <w:p>
      <w:pPr>
        <w:spacing w:line="578" w:lineRule="exact"/>
        <w:ind w:firstLine="640" w:firstLineChars="200"/>
        <w:rPr>
          <w:rFonts w:eastAsia="仿宋_GB2312"/>
          <w:sz w:val="32"/>
          <w:szCs w:val="32"/>
        </w:rPr>
      </w:pPr>
      <w:r>
        <w:rPr>
          <w:rFonts w:hint="eastAsia" w:eastAsia="仿宋_GB2312"/>
          <w:sz w:val="32"/>
          <w:szCs w:val="32"/>
        </w:rPr>
        <w:t xml:space="preserve">牵头负责单位：东川区人社局 </w:t>
      </w:r>
    </w:p>
    <w:p>
      <w:pPr>
        <w:spacing w:line="578" w:lineRule="exact"/>
        <w:ind w:firstLine="640" w:firstLineChars="200"/>
        <w:rPr>
          <w:rFonts w:eastAsia="仿宋_GB2312"/>
          <w:sz w:val="32"/>
          <w:szCs w:val="32"/>
        </w:rPr>
      </w:pPr>
      <w:r>
        <w:rPr>
          <w:rFonts w:hint="eastAsia" w:eastAsia="仿宋_GB2312"/>
          <w:sz w:val="32"/>
          <w:szCs w:val="32"/>
        </w:rPr>
        <w:t xml:space="preserve">服务流程：企业通过互联网申报→录入单位基本信息和专管员信息→上传附件材料→人社内网接件→审查是否符合办理条件→人社通知企业开通网厅账号或通知企业不符合办理条件→企业查看短信结果→通过审查的企业开通网厅账号并互联网登录网厅→企业录入员工信息和劳动合同信息并提交→人社内网备案确认生成备案信息→企业互联网查询备案结果。 </w:t>
      </w:r>
    </w:p>
    <w:p>
      <w:pPr>
        <w:spacing w:line="578" w:lineRule="exact"/>
        <w:ind w:firstLine="640" w:firstLineChars="200"/>
        <w:rPr>
          <w:rFonts w:eastAsia="仿宋_GB2312"/>
          <w:sz w:val="32"/>
          <w:szCs w:val="32"/>
        </w:rPr>
      </w:pPr>
      <w:r>
        <w:rPr>
          <w:rFonts w:hint="eastAsia" w:eastAsia="仿宋_GB2312"/>
          <w:sz w:val="32"/>
          <w:szCs w:val="32"/>
        </w:rPr>
        <w:t xml:space="preserve">27.3录用未成年工登记备案 </w:t>
      </w:r>
    </w:p>
    <w:p>
      <w:pPr>
        <w:spacing w:line="578" w:lineRule="exact"/>
        <w:ind w:firstLine="640" w:firstLineChars="200"/>
        <w:rPr>
          <w:rFonts w:eastAsia="仿宋_GB2312"/>
          <w:sz w:val="32"/>
          <w:szCs w:val="32"/>
        </w:rPr>
      </w:pPr>
      <w:r>
        <w:rPr>
          <w:rFonts w:hint="eastAsia" w:eastAsia="仿宋_GB2312"/>
          <w:sz w:val="32"/>
          <w:szCs w:val="32"/>
        </w:rPr>
        <w:t xml:space="preserve">服务对象：用人单位。 </w:t>
      </w:r>
    </w:p>
    <w:p>
      <w:pPr>
        <w:spacing w:line="578" w:lineRule="exact"/>
        <w:ind w:firstLine="640" w:firstLineChars="200"/>
        <w:rPr>
          <w:rFonts w:eastAsia="仿宋_GB2312"/>
          <w:sz w:val="32"/>
          <w:szCs w:val="32"/>
        </w:rPr>
      </w:pPr>
      <w:r>
        <w:rPr>
          <w:rFonts w:hint="eastAsia" w:eastAsia="仿宋_GB2312"/>
          <w:sz w:val="32"/>
          <w:szCs w:val="32"/>
        </w:rPr>
        <w:t xml:space="preserve">服务内容：提供录用未成年工登记备案服务。 </w:t>
      </w:r>
    </w:p>
    <w:p>
      <w:pPr>
        <w:spacing w:line="578" w:lineRule="exact"/>
        <w:ind w:firstLine="640" w:firstLineChars="200"/>
        <w:rPr>
          <w:rFonts w:eastAsia="仿宋_GB2312"/>
          <w:sz w:val="32"/>
          <w:szCs w:val="32"/>
        </w:rPr>
      </w:pPr>
      <w:r>
        <w:rPr>
          <w:rFonts w:hint="eastAsia" w:eastAsia="仿宋_GB2312"/>
          <w:sz w:val="32"/>
          <w:szCs w:val="32"/>
        </w:rPr>
        <w:t xml:space="preserve">服务标准：通过云南省人社网上公共服务系统免费提供录用未成年工登记备案服务劳动用工信息备案服务，提供未成年工劳动用工政策法规咨询。 </w:t>
      </w:r>
    </w:p>
    <w:p>
      <w:pPr>
        <w:spacing w:line="578" w:lineRule="exact"/>
        <w:ind w:firstLine="640" w:firstLineChars="200"/>
        <w:rPr>
          <w:rFonts w:eastAsia="仿宋_GB2312"/>
          <w:sz w:val="32"/>
          <w:szCs w:val="32"/>
        </w:rPr>
      </w:pPr>
      <w:r>
        <w:rPr>
          <w:rFonts w:hint="eastAsia" w:eastAsia="仿宋_GB2312"/>
          <w:sz w:val="32"/>
          <w:szCs w:val="32"/>
        </w:rPr>
        <w:t>政策依据：《中华人民共和国劳动法》《中华人民共和国未成年人保护法》、《关于颁发未成年工特殊保护规定的通知》（劳部发〔1994〕498号）。</w:t>
      </w:r>
    </w:p>
    <w:p>
      <w:pPr>
        <w:spacing w:line="578" w:lineRule="exact"/>
        <w:ind w:firstLine="640" w:firstLineChars="200"/>
        <w:rPr>
          <w:rFonts w:eastAsia="仿宋_GB2312"/>
          <w:sz w:val="32"/>
          <w:szCs w:val="32"/>
        </w:rPr>
      </w:pPr>
      <w:r>
        <w:rPr>
          <w:rFonts w:hint="eastAsia" w:eastAsia="仿宋_GB2312"/>
          <w:sz w:val="32"/>
          <w:szCs w:val="32"/>
        </w:rPr>
        <w:t>支出责任：省、市、区人民政府分级负责。</w:t>
      </w:r>
    </w:p>
    <w:p>
      <w:pPr>
        <w:spacing w:line="578" w:lineRule="exact"/>
        <w:ind w:firstLine="640" w:firstLineChars="200"/>
        <w:rPr>
          <w:rFonts w:eastAsia="仿宋_GB2312"/>
          <w:sz w:val="32"/>
          <w:szCs w:val="32"/>
        </w:rPr>
      </w:pPr>
      <w:r>
        <w:rPr>
          <w:rFonts w:hint="eastAsia" w:eastAsia="仿宋_GB2312"/>
          <w:sz w:val="32"/>
          <w:szCs w:val="32"/>
        </w:rPr>
        <w:t xml:space="preserve">牵头负责单位：东川区人社局 </w:t>
      </w:r>
    </w:p>
    <w:p>
      <w:pPr>
        <w:spacing w:line="578" w:lineRule="exact"/>
        <w:ind w:firstLine="640" w:firstLineChars="200"/>
        <w:rPr>
          <w:rFonts w:eastAsia="仿宋_GB2312"/>
          <w:sz w:val="32"/>
          <w:szCs w:val="32"/>
        </w:rPr>
      </w:pPr>
      <w:r>
        <w:rPr>
          <w:rFonts w:hint="eastAsia" w:eastAsia="仿宋_GB2312"/>
          <w:sz w:val="32"/>
          <w:szCs w:val="32"/>
        </w:rPr>
        <w:t xml:space="preserve">服务流程：企业通过互联网申报→录入人员基本信息和劳动合同基本信息→核实申报的人员年龄是否在16至18岁之间→上传健康证→提交新签劳动合同备案→人社内网接件→审查是否符合备案条件→人社备案通过，通知企业完成备案或通知企业不符合备案条件→企业互联网渠道查询备案结果。 </w:t>
      </w:r>
    </w:p>
    <w:p>
      <w:pPr>
        <w:spacing w:line="578" w:lineRule="exact"/>
        <w:ind w:firstLine="640" w:firstLineChars="200"/>
        <w:rPr>
          <w:rFonts w:eastAsia="仿宋_GB2312"/>
          <w:sz w:val="32"/>
          <w:szCs w:val="32"/>
        </w:rPr>
      </w:pPr>
      <w:r>
        <w:rPr>
          <w:rFonts w:hint="eastAsia" w:eastAsia="仿宋_GB2312"/>
          <w:sz w:val="32"/>
          <w:szCs w:val="32"/>
        </w:rPr>
        <w:t xml:space="preserve">27.4企业经济性裁员报告 </w:t>
      </w:r>
    </w:p>
    <w:p>
      <w:pPr>
        <w:spacing w:line="578" w:lineRule="exact"/>
        <w:ind w:firstLine="640" w:firstLineChars="200"/>
        <w:rPr>
          <w:rFonts w:eastAsia="仿宋_GB2312"/>
          <w:sz w:val="32"/>
          <w:szCs w:val="32"/>
        </w:rPr>
      </w:pPr>
      <w:r>
        <w:rPr>
          <w:rFonts w:hint="eastAsia" w:eastAsia="仿宋_GB2312"/>
          <w:sz w:val="32"/>
          <w:szCs w:val="32"/>
        </w:rPr>
        <w:t xml:space="preserve">服务对象：用人单位。 </w:t>
      </w:r>
    </w:p>
    <w:p>
      <w:pPr>
        <w:spacing w:line="578" w:lineRule="exact"/>
        <w:ind w:firstLine="640" w:firstLineChars="200"/>
        <w:rPr>
          <w:rFonts w:eastAsia="仿宋_GB2312"/>
          <w:sz w:val="32"/>
          <w:szCs w:val="32"/>
        </w:rPr>
      </w:pPr>
      <w:r>
        <w:rPr>
          <w:rFonts w:hint="eastAsia" w:eastAsia="仿宋_GB2312"/>
          <w:sz w:val="32"/>
          <w:szCs w:val="32"/>
        </w:rPr>
        <w:t xml:space="preserve">服务内容：提供企业经济性裁员报告咨询、备案服务。 </w:t>
      </w:r>
    </w:p>
    <w:p>
      <w:pPr>
        <w:spacing w:line="578" w:lineRule="exact"/>
        <w:ind w:firstLine="640" w:firstLineChars="200"/>
        <w:rPr>
          <w:rFonts w:eastAsia="仿宋_GB2312"/>
          <w:sz w:val="32"/>
          <w:szCs w:val="32"/>
        </w:rPr>
      </w:pPr>
      <w:r>
        <w:rPr>
          <w:rFonts w:hint="eastAsia" w:eastAsia="仿宋_GB2312"/>
          <w:sz w:val="32"/>
          <w:szCs w:val="32"/>
        </w:rPr>
        <w:t>服务标准：免费为企业提供经济性裁员政策法规咨询、指导和备案服务。</w:t>
      </w:r>
    </w:p>
    <w:p>
      <w:pPr>
        <w:spacing w:line="578" w:lineRule="exact"/>
        <w:ind w:firstLine="640" w:firstLineChars="200"/>
        <w:rPr>
          <w:rFonts w:eastAsia="仿宋_GB2312"/>
          <w:sz w:val="32"/>
          <w:szCs w:val="32"/>
        </w:rPr>
      </w:pPr>
      <w:r>
        <w:rPr>
          <w:rFonts w:hint="eastAsia" w:eastAsia="仿宋_GB2312"/>
          <w:sz w:val="32"/>
          <w:szCs w:val="32"/>
        </w:rPr>
        <w:t>政策依据：《中华人民共和国劳动法》、《中华人民共和国劳动合同法》、《关于印发企业经济性裁减人员规定的通知》（劳部发〔1994〕447号）。</w:t>
      </w:r>
    </w:p>
    <w:p>
      <w:pPr>
        <w:spacing w:line="578" w:lineRule="exact"/>
        <w:ind w:firstLine="640" w:firstLineChars="200"/>
        <w:rPr>
          <w:rFonts w:eastAsia="仿宋_GB2312"/>
          <w:sz w:val="32"/>
          <w:szCs w:val="32"/>
        </w:rPr>
      </w:pPr>
      <w:r>
        <w:rPr>
          <w:rFonts w:hint="eastAsia" w:eastAsia="仿宋_GB2312"/>
          <w:sz w:val="32"/>
          <w:szCs w:val="32"/>
        </w:rPr>
        <w:t xml:space="preserve">支出责任：省、市、区人民政府分级负责。 </w:t>
      </w:r>
    </w:p>
    <w:p>
      <w:pPr>
        <w:spacing w:line="578" w:lineRule="exact"/>
        <w:ind w:firstLine="640" w:firstLineChars="200"/>
        <w:rPr>
          <w:rFonts w:eastAsia="仿宋_GB2312"/>
          <w:sz w:val="32"/>
          <w:szCs w:val="32"/>
        </w:rPr>
      </w:pPr>
      <w:r>
        <w:rPr>
          <w:rFonts w:hint="eastAsia" w:eastAsia="仿宋_GB2312"/>
          <w:sz w:val="32"/>
          <w:szCs w:val="32"/>
        </w:rPr>
        <w:t>牵头负责单位：东川区人社局</w:t>
      </w:r>
    </w:p>
    <w:p>
      <w:pPr>
        <w:spacing w:line="578" w:lineRule="exact"/>
        <w:ind w:firstLine="640" w:firstLineChars="200"/>
        <w:rPr>
          <w:rFonts w:eastAsia="仿宋_GB2312"/>
          <w:sz w:val="32"/>
          <w:szCs w:val="32"/>
        </w:rPr>
      </w:pPr>
      <w:r>
        <w:rPr>
          <w:rFonts w:hint="eastAsia" w:eastAsia="仿宋_GB2312"/>
          <w:sz w:val="32"/>
          <w:szCs w:val="32"/>
        </w:rPr>
        <w:t>服务流程：企业通过互联网申报→录入单位基本信息和企业经济性裁员申报信息→对应上传附件材料→人社内网接件→审查是否符合办理条件→人社登记办结，通知企业完成备案或通知企业不符合办理条件→企业查询办理结果。</w:t>
      </w:r>
    </w:p>
    <w:p>
      <w:pPr>
        <w:spacing w:line="578" w:lineRule="exact"/>
        <w:ind w:firstLine="640" w:firstLineChars="200"/>
        <w:rPr>
          <w:rFonts w:eastAsia="仿宋_GB2312"/>
          <w:sz w:val="32"/>
          <w:szCs w:val="32"/>
        </w:rPr>
      </w:pPr>
      <w:bookmarkStart w:id="95" w:name="_Toc7871"/>
      <w:bookmarkStart w:id="96" w:name="_Toc8041"/>
      <w:r>
        <w:rPr>
          <w:rFonts w:hint="eastAsia" w:eastAsia="仿宋_GB2312"/>
          <w:sz w:val="32"/>
          <w:szCs w:val="32"/>
        </w:rPr>
        <w:t>28.劳动用工保障</w:t>
      </w:r>
      <w:bookmarkEnd w:id="95"/>
      <w:bookmarkEnd w:id="96"/>
    </w:p>
    <w:p>
      <w:pPr>
        <w:spacing w:line="578" w:lineRule="exact"/>
        <w:ind w:firstLine="640" w:firstLineChars="200"/>
        <w:rPr>
          <w:rFonts w:eastAsia="仿宋_GB2312"/>
          <w:sz w:val="32"/>
          <w:szCs w:val="32"/>
        </w:rPr>
      </w:pPr>
      <w:r>
        <w:rPr>
          <w:rFonts w:hint="eastAsia" w:eastAsia="仿宋_GB2312"/>
          <w:sz w:val="32"/>
          <w:szCs w:val="32"/>
        </w:rPr>
        <w:t>服务对象：用人单位和劳动者。</w:t>
      </w:r>
    </w:p>
    <w:p>
      <w:pPr>
        <w:spacing w:line="578" w:lineRule="exact"/>
        <w:ind w:firstLine="640" w:firstLineChars="200"/>
        <w:rPr>
          <w:rFonts w:eastAsia="仿宋_GB2312"/>
          <w:sz w:val="32"/>
          <w:szCs w:val="32"/>
        </w:rPr>
      </w:pPr>
      <w:r>
        <w:rPr>
          <w:rFonts w:hint="eastAsia" w:eastAsia="仿宋_GB2312"/>
          <w:sz w:val="32"/>
          <w:szCs w:val="32"/>
        </w:rPr>
        <w:t>服务内容：提供劳动人事争议调解（仲裁）和劳动保障监察执法维权等服务。</w:t>
      </w:r>
    </w:p>
    <w:p>
      <w:pPr>
        <w:spacing w:line="578" w:lineRule="exact"/>
        <w:ind w:firstLine="640" w:firstLineChars="200"/>
        <w:rPr>
          <w:rFonts w:eastAsia="仿宋_GB2312"/>
          <w:sz w:val="32"/>
          <w:szCs w:val="32"/>
        </w:rPr>
      </w:pPr>
      <w:r>
        <w:rPr>
          <w:rFonts w:hint="eastAsia" w:eastAsia="仿宋_GB2312"/>
          <w:sz w:val="32"/>
          <w:szCs w:val="32"/>
        </w:rPr>
        <w:t>服务标准：按照《中华人民共和国劳动争议调解仲裁法》、《劳动人事争议仲裁办案规则》、《云南省人民政府关于印发云南省贯彻中华人民共和国劳动争议调解仲裁法实施办法的通知》（云政</w:t>
      </w:r>
      <w:r>
        <w:rPr>
          <w:rFonts w:hint="eastAsia" w:ascii="仿宋_GB2312" w:eastAsia="仿宋_GB2312"/>
          <w:sz w:val="32"/>
          <w:szCs w:val="32"/>
        </w:rPr>
        <w:t>发〔2</w:t>
      </w:r>
      <w:r>
        <w:rPr>
          <w:rFonts w:hint="eastAsia" w:eastAsia="仿宋_GB2312"/>
          <w:sz w:val="32"/>
          <w:szCs w:val="32"/>
        </w:rPr>
        <w:t>008</w:t>
      </w:r>
      <w:r>
        <w:rPr>
          <w:rFonts w:hint="eastAsia" w:ascii="仿宋_GB2312" w:eastAsia="仿宋_GB2312"/>
          <w:sz w:val="32"/>
          <w:szCs w:val="32"/>
        </w:rPr>
        <w:t>〕</w:t>
      </w:r>
      <w:r>
        <w:rPr>
          <w:rFonts w:hint="eastAsia" w:eastAsia="仿宋_GB2312"/>
          <w:sz w:val="32"/>
          <w:szCs w:val="32"/>
        </w:rPr>
        <w:t>117号）、《劳动保障监察条例》、《关于实施劳动保障监察条例若干规定》、中华人民共和国劳动和社会保障部令第25号、《云南省劳动监察条例》执行。</w:t>
      </w:r>
    </w:p>
    <w:p>
      <w:pPr>
        <w:spacing w:line="578" w:lineRule="exact"/>
        <w:ind w:firstLine="640" w:firstLineChars="200"/>
        <w:rPr>
          <w:rFonts w:eastAsia="仿宋_GB2312"/>
          <w:sz w:val="32"/>
          <w:szCs w:val="32"/>
        </w:rPr>
      </w:pPr>
      <w:r>
        <w:rPr>
          <w:rFonts w:hint="eastAsia" w:eastAsia="仿宋_GB2312"/>
          <w:sz w:val="32"/>
          <w:szCs w:val="32"/>
        </w:rPr>
        <w:t xml:space="preserve">政策依据：劳动人事争议调解仲裁、劳动保障有关法律、法规。 </w:t>
      </w:r>
    </w:p>
    <w:p>
      <w:pPr>
        <w:spacing w:line="578" w:lineRule="exact"/>
        <w:ind w:firstLine="640" w:firstLineChars="200"/>
        <w:rPr>
          <w:rFonts w:eastAsia="仿宋_GB2312"/>
          <w:sz w:val="32"/>
          <w:szCs w:val="32"/>
        </w:rPr>
      </w:pPr>
      <w:r>
        <w:rPr>
          <w:rFonts w:hint="eastAsia" w:eastAsia="仿宋_GB2312"/>
          <w:sz w:val="32"/>
          <w:szCs w:val="32"/>
        </w:rPr>
        <w:t xml:space="preserve">支出责任：省、市、区人民政府分级负责。 </w:t>
      </w:r>
    </w:p>
    <w:p>
      <w:pPr>
        <w:spacing w:line="578" w:lineRule="exact"/>
        <w:ind w:firstLine="640" w:firstLineChars="200"/>
        <w:rPr>
          <w:rFonts w:eastAsia="仿宋_GB2312"/>
          <w:sz w:val="32"/>
          <w:szCs w:val="32"/>
        </w:rPr>
      </w:pPr>
      <w:r>
        <w:rPr>
          <w:rFonts w:hint="eastAsia" w:eastAsia="仿宋_GB2312"/>
          <w:sz w:val="32"/>
          <w:szCs w:val="32"/>
        </w:rPr>
        <w:t>牵头负责单位：区人社局</w:t>
      </w:r>
    </w:p>
    <w:p>
      <w:pPr>
        <w:spacing w:line="578" w:lineRule="exact"/>
        <w:ind w:firstLine="640" w:firstLineChars="200"/>
        <w:rPr>
          <w:rFonts w:eastAsia="仿宋_GB2312"/>
          <w:sz w:val="32"/>
          <w:szCs w:val="32"/>
        </w:rPr>
      </w:pPr>
      <w:r>
        <w:rPr>
          <w:rFonts w:hint="eastAsia" w:eastAsia="仿宋_GB2312"/>
          <w:sz w:val="32"/>
          <w:szCs w:val="32"/>
        </w:rPr>
        <w:t>服务流程：劳动人事争议调解仲裁流程</w:t>
      </w:r>
    </w:p>
    <w:p>
      <w:pPr>
        <w:spacing w:line="578" w:lineRule="exact"/>
        <w:ind w:firstLine="640" w:firstLineChars="200"/>
        <w:rPr>
          <w:rFonts w:eastAsia="仿宋_GB2312"/>
          <w:sz w:val="32"/>
          <w:szCs w:val="32"/>
        </w:rPr>
      </w:pPr>
    </w:p>
    <w:p>
      <w:pPr>
        <w:widowControl/>
        <w:spacing w:line="560" w:lineRule="exact"/>
        <w:ind w:firstLine="640" w:firstLineChars="200"/>
        <w:jc w:val="left"/>
        <w:rPr>
          <w:rFonts w:eastAsia="仿宋_GB2312" w:cs="仿宋_GB2312"/>
          <w:kern w:val="0"/>
          <w:sz w:val="32"/>
          <w:szCs w:val="32"/>
        </w:rPr>
        <w:sectPr>
          <w:footerReference r:id="rId3" w:type="default"/>
          <w:footerReference r:id="rId4" w:type="even"/>
          <w:pgSz w:w="11906" w:h="16838"/>
          <w:pgMar w:top="1440" w:right="1800" w:bottom="1440" w:left="1800" w:header="851" w:footer="992" w:gutter="0"/>
          <w:cols w:space="425" w:num="1"/>
          <w:docGrid w:type="lines" w:linePitch="312" w:charSpace="0"/>
        </w:sectPr>
      </w:pPr>
    </w:p>
    <w:p>
      <w:pPr>
        <w:pStyle w:val="8"/>
        <w:rPr>
          <w:rFonts w:eastAsia="仿宋_GB2312" w:cs="仿宋_GB2312"/>
          <w:kern w:val="0"/>
          <w:sz w:val="32"/>
          <w:szCs w:val="32"/>
        </w:rPr>
      </w:pPr>
      <w:r>
        <w:pict>
          <v:shape id="图片 1079" o:spid="_x0000_s1028" o:spt="75" type="#_x0000_t75" style="position:absolute;left:0pt;margin-left:-18.7pt;margin-top:7.7pt;height:426.05pt;width:733.95pt;mso-wrap-distance-bottom:0pt;mso-wrap-distance-top:0pt;z-index:251662336;mso-width-relative:page;mso-height-relative:page;" filled="f" o:preferrelative="t" stroked="f" coordsize="21600,21600">
            <v:path/>
            <v:fill on="f" focussize="0,0"/>
            <v:stroke on="f" joinstyle="miter"/>
            <v:imagedata r:id="rId9" o:title=""/>
            <o:lock v:ext="edit" aspectratio="t"/>
            <w10:wrap type="topAndBottom"/>
          </v:shape>
        </w:pict>
      </w:r>
    </w:p>
    <w:p>
      <w:pPr>
        <w:widowControl/>
        <w:spacing w:line="560" w:lineRule="exact"/>
        <w:jc w:val="center"/>
        <w:rPr>
          <w:rFonts w:eastAsia="仿宋_GB2312" w:cs="仿宋_GB2312"/>
          <w:kern w:val="0"/>
          <w:sz w:val="44"/>
          <w:szCs w:val="44"/>
        </w:rPr>
      </w:pPr>
      <w:r>
        <w:rPr>
          <w:rFonts w:hint="eastAsia"/>
          <w:sz w:val="44"/>
          <w:szCs w:val="44"/>
        </w:rPr>
        <w:tab/>
      </w:r>
      <w:r>
        <w:rPr>
          <w:rFonts w:hint="eastAsia" w:eastAsia="仿宋_GB2312" w:cs="仿宋_GB2312"/>
          <w:kern w:val="0"/>
          <w:sz w:val="44"/>
          <w:szCs w:val="44"/>
        </w:rPr>
        <w:tab/>
      </w:r>
      <w:r>
        <w:rPr>
          <w:rFonts w:eastAsia="仿宋_GB2312" w:cs="仿宋_GB2312"/>
          <w:kern w:val="0"/>
          <w:sz w:val="44"/>
          <w:szCs w:val="44"/>
        </w:rPr>
        <w:t>劳动保障监察办案流程</w:t>
      </w:r>
    </w:p>
    <w:p>
      <w:pPr>
        <w:widowControl/>
        <w:tabs>
          <w:tab w:val="left" w:pos="3560"/>
          <w:tab w:val="center" w:pos="7039"/>
        </w:tabs>
        <w:spacing w:line="560" w:lineRule="exact"/>
        <w:jc w:val="left"/>
        <w:rPr>
          <w:rFonts w:eastAsia="仿宋_GB2312" w:cs="仿宋_GB2312"/>
          <w:kern w:val="0"/>
          <w:sz w:val="32"/>
          <w:szCs w:val="32"/>
        </w:rPr>
      </w:pPr>
      <w:r>
        <w:rPr>
          <w:sz w:val="44"/>
          <w:szCs w:val="44"/>
        </w:rPr>
        <w:pict>
          <v:shape id="图片 1078" o:spid="_x0000_s1029" o:spt="75" type="#_x0000_t75" style="position:absolute;left:0pt;margin-left:7.55pt;margin-top:25.05pt;height:333.4pt;width:687.65pt;mso-wrap-distance-bottom:0pt;mso-wrap-distance-top:0pt;z-index:251661312;mso-width-relative:page;mso-height-relative:page;" filled="f" o:preferrelative="t" stroked="f" coordsize="21600,21600">
            <v:path/>
            <v:fill on="f" focussize="0,0"/>
            <v:stroke on="f" joinstyle="miter"/>
            <v:imagedata r:id="rId10" o:title=""/>
            <o:lock v:ext="edit" aspectratio="t"/>
            <w10:wrap type="topAndBottom"/>
          </v:shape>
        </w:pict>
      </w:r>
    </w:p>
    <w:p>
      <w:pPr>
        <w:spacing w:line="560" w:lineRule="exact"/>
        <w:ind w:firstLine="640" w:firstLineChars="200"/>
        <w:jc w:val="left"/>
        <w:outlineLvl w:val="1"/>
        <w:rPr>
          <w:rFonts w:eastAsia="楷体_GB2312" w:cs="楷体_GB2312"/>
          <w:sz w:val="32"/>
          <w:szCs w:val="32"/>
        </w:rPr>
        <w:sectPr>
          <w:footerReference r:id="rId5" w:type="default"/>
          <w:type w:val="continuous"/>
          <w:pgSz w:w="16838" w:h="11906" w:orient="landscape"/>
          <w:pgMar w:top="1800" w:right="1440" w:bottom="1800" w:left="1440" w:header="851" w:footer="992" w:gutter="0"/>
          <w:pgNumType w:fmt="numberInDash"/>
          <w:cols w:space="720" w:num="1"/>
          <w:docGrid w:type="lines" w:linePitch="312" w:charSpace="0"/>
        </w:sectPr>
      </w:pPr>
    </w:p>
    <w:p>
      <w:pPr>
        <w:spacing w:line="578" w:lineRule="exact"/>
        <w:ind w:firstLine="640" w:firstLineChars="200"/>
        <w:rPr>
          <w:rFonts w:eastAsia="楷体_GB2312"/>
          <w:sz w:val="32"/>
          <w:szCs w:val="32"/>
        </w:rPr>
      </w:pPr>
      <w:bookmarkStart w:id="97" w:name="_Toc25807"/>
      <w:bookmarkStart w:id="98" w:name="_Toc501"/>
      <w:r>
        <w:rPr>
          <w:rFonts w:hint="eastAsia" w:eastAsia="楷体_GB2312"/>
          <w:sz w:val="32"/>
          <w:szCs w:val="32"/>
        </w:rPr>
        <w:t>（九）工伤失业保险服务</w:t>
      </w:r>
      <w:bookmarkEnd w:id="97"/>
      <w:bookmarkEnd w:id="98"/>
    </w:p>
    <w:p>
      <w:pPr>
        <w:spacing w:line="578" w:lineRule="exact"/>
        <w:ind w:firstLine="640" w:firstLineChars="200"/>
        <w:rPr>
          <w:rFonts w:eastAsia="仿宋_GB2312"/>
          <w:sz w:val="32"/>
          <w:szCs w:val="32"/>
        </w:rPr>
      </w:pPr>
      <w:bookmarkStart w:id="99" w:name="_Toc1109"/>
      <w:bookmarkStart w:id="100" w:name="_Toc20421"/>
      <w:r>
        <w:rPr>
          <w:rFonts w:hint="eastAsia" w:eastAsia="仿宋_GB2312"/>
          <w:sz w:val="32"/>
          <w:szCs w:val="32"/>
        </w:rPr>
        <w:t>29.</w:t>
      </w:r>
      <w:r>
        <w:rPr>
          <w:rFonts w:hint="eastAsia" w:hAnsi="宋体" w:eastAsia="仿宋_GB2312"/>
          <w:sz w:val="32"/>
          <w:szCs w:val="32"/>
        </w:rPr>
        <w:t>失业保险</w:t>
      </w:r>
      <w:bookmarkEnd w:id="99"/>
      <w:bookmarkEnd w:id="100"/>
    </w:p>
    <w:p>
      <w:pPr>
        <w:spacing w:line="578" w:lineRule="exact"/>
        <w:ind w:firstLine="640" w:firstLineChars="200"/>
        <w:rPr>
          <w:rFonts w:eastAsia="仿宋_GB2312"/>
          <w:sz w:val="32"/>
          <w:szCs w:val="32"/>
        </w:rPr>
      </w:pPr>
      <w:r>
        <w:rPr>
          <w:rFonts w:hint="eastAsia" w:hAnsi="宋体" w:eastAsia="仿宋_GB2312"/>
          <w:sz w:val="32"/>
          <w:szCs w:val="32"/>
        </w:rPr>
        <w:t>服务对象：依法参保并足额缴纳失业保险费的用人单位及其职工、失业人员。</w:t>
      </w:r>
    </w:p>
    <w:p>
      <w:pPr>
        <w:spacing w:line="578" w:lineRule="exact"/>
        <w:ind w:firstLine="640" w:firstLineChars="200"/>
        <w:rPr>
          <w:rFonts w:eastAsia="仿宋_GB2312"/>
          <w:sz w:val="32"/>
          <w:szCs w:val="32"/>
        </w:rPr>
      </w:pPr>
      <w:r>
        <w:rPr>
          <w:rFonts w:hint="eastAsia" w:hAnsi="宋体" w:eastAsia="仿宋_GB2312"/>
          <w:sz w:val="32"/>
          <w:szCs w:val="32"/>
        </w:rPr>
        <w:t>服务内容：为符合条件的失业人员发放失业保险待遇。</w:t>
      </w:r>
    </w:p>
    <w:p>
      <w:pPr>
        <w:spacing w:line="578" w:lineRule="exact"/>
        <w:ind w:firstLine="640" w:firstLineChars="200"/>
        <w:rPr>
          <w:rFonts w:eastAsia="仿宋_GB2312"/>
          <w:sz w:val="32"/>
          <w:szCs w:val="32"/>
        </w:rPr>
      </w:pPr>
      <w:r>
        <w:rPr>
          <w:rFonts w:hint="eastAsia" w:hAnsi="宋体" w:eastAsia="仿宋_GB2312"/>
          <w:sz w:val="32"/>
          <w:szCs w:val="32"/>
        </w:rPr>
        <w:t>服务标准：领取失业保险金的期限，依据失业人员失业前累计足额缴费时间计算。累计足额缴费时间满</w:t>
      </w:r>
      <w:r>
        <w:rPr>
          <w:rFonts w:hint="eastAsia" w:eastAsia="仿宋_GB2312"/>
          <w:sz w:val="32"/>
          <w:szCs w:val="32"/>
        </w:rPr>
        <w:t>1</w:t>
      </w:r>
      <w:r>
        <w:rPr>
          <w:rFonts w:hint="eastAsia" w:hAnsi="宋体" w:eastAsia="仿宋_GB2312"/>
          <w:sz w:val="32"/>
          <w:szCs w:val="32"/>
        </w:rPr>
        <w:t>年的，领取</w:t>
      </w:r>
      <w:r>
        <w:rPr>
          <w:rFonts w:hint="eastAsia" w:eastAsia="仿宋_GB2312"/>
          <w:sz w:val="32"/>
          <w:szCs w:val="32"/>
        </w:rPr>
        <w:t>2</w:t>
      </w:r>
      <w:r>
        <w:rPr>
          <w:rFonts w:hint="eastAsia" w:hAnsi="宋体" w:eastAsia="仿宋_GB2312"/>
          <w:sz w:val="32"/>
          <w:szCs w:val="32"/>
        </w:rPr>
        <w:t>个月的失业保险金；满</w:t>
      </w:r>
      <w:r>
        <w:rPr>
          <w:rFonts w:hint="eastAsia" w:eastAsia="仿宋_GB2312"/>
          <w:sz w:val="32"/>
          <w:szCs w:val="32"/>
        </w:rPr>
        <w:t>2</w:t>
      </w:r>
      <w:r>
        <w:rPr>
          <w:rFonts w:hint="eastAsia" w:hAnsi="宋体" w:eastAsia="仿宋_GB2312"/>
          <w:sz w:val="32"/>
          <w:szCs w:val="32"/>
        </w:rPr>
        <w:t>年的领取</w:t>
      </w:r>
      <w:r>
        <w:rPr>
          <w:rFonts w:hint="eastAsia" w:eastAsia="仿宋_GB2312"/>
          <w:sz w:val="32"/>
          <w:szCs w:val="32"/>
        </w:rPr>
        <w:t>4</w:t>
      </w:r>
      <w:r>
        <w:rPr>
          <w:rFonts w:hint="eastAsia" w:hAnsi="宋体" w:eastAsia="仿宋_GB2312"/>
          <w:sz w:val="32"/>
          <w:szCs w:val="32"/>
        </w:rPr>
        <w:t>个月的失业保险金；满</w:t>
      </w:r>
      <w:r>
        <w:rPr>
          <w:rFonts w:hint="eastAsia" w:eastAsia="仿宋_GB2312"/>
          <w:sz w:val="32"/>
          <w:szCs w:val="32"/>
        </w:rPr>
        <w:t>3</w:t>
      </w:r>
      <w:r>
        <w:rPr>
          <w:rFonts w:hint="eastAsia" w:hAnsi="宋体" w:eastAsia="仿宋_GB2312"/>
          <w:sz w:val="32"/>
          <w:szCs w:val="32"/>
        </w:rPr>
        <w:t>年的领取</w:t>
      </w:r>
      <w:r>
        <w:rPr>
          <w:rFonts w:hint="eastAsia" w:eastAsia="仿宋_GB2312"/>
          <w:sz w:val="32"/>
          <w:szCs w:val="32"/>
        </w:rPr>
        <w:t>7</w:t>
      </w:r>
      <w:r>
        <w:rPr>
          <w:rFonts w:hint="eastAsia" w:hAnsi="宋体" w:eastAsia="仿宋_GB2312"/>
          <w:sz w:val="32"/>
          <w:szCs w:val="32"/>
        </w:rPr>
        <w:t>个月的失业保险金；满</w:t>
      </w:r>
      <w:r>
        <w:rPr>
          <w:rFonts w:hint="eastAsia" w:eastAsia="仿宋_GB2312"/>
          <w:sz w:val="32"/>
          <w:szCs w:val="32"/>
        </w:rPr>
        <w:t>4</w:t>
      </w:r>
      <w:r>
        <w:rPr>
          <w:rFonts w:hint="eastAsia" w:hAnsi="宋体" w:eastAsia="仿宋_GB2312"/>
          <w:sz w:val="32"/>
          <w:szCs w:val="32"/>
        </w:rPr>
        <w:t>年的领取</w:t>
      </w:r>
      <w:r>
        <w:rPr>
          <w:rFonts w:hint="eastAsia" w:eastAsia="仿宋_GB2312"/>
          <w:sz w:val="32"/>
          <w:szCs w:val="32"/>
        </w:rPr>
        <w:t>10</w:t>
      </w:r>
      <w:r>
        <w:rPr>
          <w:rFonts w:hint="eastAsia" w:hAnsi="宋体" w:eastAsia="仿宋_GB2312"/>
          <w:sz w:val="32"/>
          <w:szCs w:val="32"/>
        </w:rPr>
        <w:t>个月的失业保险金；满</w:t>
      </w:r>
      <w:r>
        <w:rPr>
          <w:rFonts w:hint="eastAsia" w:eastAsia="仿宋_GB2312"/>
          <w:sz w:val="32"/>
          <w:szCs w:val="32"/>
        </w:rPr>
        <w:t>5</w:t>
      </w:r>
      <w:r>
        <w:rPr>
          <w:rFonts w:hint="eastAsia" w:hAnsi="宋体" w:eastAsia="仿宋_GB2312"/>
          <w:sz w:val="32"/>
          <w:szCs w:val="32"/>
        </w:rPr>
        <w:t>年的，领取</w:t>
      </w:r>
      <w:r>
        <w:rPr>
          <w:rFonts w:hint="eastAsia" w:eastAsia="仿宋_GB2312"/>
          <w:sz w:val="32"/>
          <w:szCs w:val="32"/>
        </w:rPr>
        <w:t>13</w:t>
      </w:r>
      <w:r>
        <w:rPr>
          <w:rFonts w:hint="eastAsia" w:hAnsi="宋体" w:eastAsia="仿宋_GB2312"/>
          <w:sz w:val="32"/>
          <w:szCs w:val="32"/>
        </w:rPr>
        <w:t>个月的失业保险金；满</w:t>
      </w:r>
      <w:r>
        <w:rPr>
          <w:rFonts w:hint="eastAsia" w:eastAsia="仿宋_GB2312"/>
          <w:sz w:val="32"/>
          <w:szCs w:val="32"/>
        </w:rPr>
        <w:t>6</w:t>
      </w:r>
      <w:r>
        <w:rPr>
          <w:rFonts w:hint="eastAsia" w:hAnsi="宋体" w:eastAsia="仿宋_GB2312"/>
          <w:sz w:val="32"/>
          <w:szCs w:val="32"/>
        </w:rPr>
        <w:t>年的，领取</w:t>
      </w:r>
      <w:r>
        <w:rPr>
          <w:rFonts w:hint="eastAsia" w:eastAsia="仿宋_GB2312"/>
          <w:sz w:val="32"/>
          <w:szCs w:val="32"/>
        </w:rPr>
        <w:t>15</w:t>
      </w:r>
      <w:r>
        <w:rPr>
          <w:rFonts w:hint="eastAsia" w:hAnsi="宋体" w:eastAsia="仿宋_GB2312"/>
          <w:sz w:val="32"/>
          <w:szCs w:val="32"/>
        </w:rPr>
        <w:t>个月的失业保险金；以后每满</w:t>
      </w:r>
      <w:r>
        <w:rPr>
          <w:rFonts w:hint="eastAsia" w:eastAsia="仿宋_GB2312"/>
          <w:sz w:val="32"/>
          <w:szCs w:val="32"/>
        </w:rPr>
        <w:t xml:space="preserve"> 1</w:t>
      </w:r>
      <w:r>
        <w:rPr>
          <w:rFonts w:hint="eastAsia" w:hAnsi="宋体" w:eastAsia="仿宋_GB2312"/>
          <w:sz w:val="32"/>
          <w:szCs w:val="32"/>
        </w:rPr>
        <w:t>年的，增加领取</w:t>
      </w:r>
      <w:r>
        <w:rPr>
          <w:rFonts w:hint="eastAsia" w:eastAsia="仿宋_GB2312"/>
          <w:sz w:val="32"/>
          <w:szCs w:val="32"/>
        </w:rPr>
        <w:t>1</w:t>
      </w:r>
      <w:r>
        <w:rPr>
          <w:rFonts w:hint="eastAsia" w:hAnsi="宋体" w:eastAsia="仿宋_GB2312"/>
          <w:sz w:val="32"/>
          <w:szCs w:val="32"/>
        </w:rPr>
        <w:t>个月的失业保险金，但领取期限最长不得超过</w:t>
      </w:r>
      <w:r>
        <w:rPr>
          <w:rFonts w:hint="eastAsia" w:eastAsia="仿宋_GB2312"/>
          <w:sz w:val="32"/>
          <w:szCs w:val="32"/>
        </w:rPr>
        <w:t>24</w:t>
      </w:r>
      <w:r>
        <w:rPr>
          <w:rFonts w:hint="eastAsia" w:hAnsi="宋体" w:eastAsia="仿宋_GB2312"/>
          <w:sz w:val="32"/>
          <w:szCs w:val="32"/>
        </w:rPr>
        <w:t>个月。发放标准由省人民政府按照高于当地城市居民最低生活保障标准、低于当地最低工资标准确定。</w:t>
      </w:r>
      <w:r>
        <w:rPr>
          <w:rFonts w:hint="eastAsia" w:eastAsia="仿宋_GB2312"/>
          <w:sz w:val="32"/>
          <w:szCs w:val="32"/>
        </w:rPr>
        <w:t>2020</w:t>
      </w:r>
      <w:r>
        <w:rPr>
          <w:rFonts w:hint="eastAsia" w:hAnsi="宋体" w:eastAsia="仿宋_GB2312"/>
          <w:sz w:val="32"/>
          <w:szCs w:val="32"/>
        </w:rPr>
        <w:t>年</w:t>
      </w:r>
      <w:r>
        <w:rPr>
          <w:rFonts w:hint="eastAsia" w:eastAsia="仿宋_GB2312"/>
          <w:sz w:val="32"/>
          <w:szCs w:val="32"/>
        </w:rPr>
        <w:t>7</w:t>
      </w:r>
      <w:r>
        <w:rPr>
          <w:rFonts w:hint="eastAsia" w:hAnsi="宋体" w:eastAsia="仿宋_GB2312"/>
          <w:sz w:val="32"/>
          <w:szCs w:val="32"/>
        </w:rPr>
        <w:t>月</w:t>
      </w:r>
      <w:r>
        <w:rPr>
          <w:rFonts w:hint="eastAsia" w:eastAsia="仿宋_GB2312"/>
          <w:sz w:val="32"/>
          <w:szCs w:val="32"/>
        </w:rPr>
        <w:t>1</w:t>
      </w:r>
      <w:r>
        <w:rPr>
          <w:rFonts w:hint="eastAsia" w:hAnsi="宋体" w:eastAsia="仿宋_GB2312"/>
          <w:sz w:val="32"/>
          <w:szCs w:val="32"/>
        </w:rPr>
        <w:t>日起我市失业保险金标准按照当地最低工资标准的</w:t>
      </w:r>
      <w:r>
        <w:rPr>
          <w:rFonts w:hint="eastAsia" w:eastAsia="仿宋_GB2312"/>
          <w:sz w:val="32"/>
          <w:szCs w:val="32"/>
        </w:rPr>
        <w:t>90%</w:t>
      </w:r>
      <w:r>
        <w:rPr>
          <w:rFonts w:hint="eastAsia" w:hAnsi="宋体" w:eastAsia="仿宋_GB2312"/>
          <w:sz w:val="32"/>
          <w:szCs w:val="32"/>
        </w:rPr>
        <w:t>确定。具体执行标准如下：</w:t>
      </w:r>
    </w:p>
    <w:tbl>
      <w:tblPr>
        <w:tblStyle w:val="30"/>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2028"/>
        <w:gridCol w:w="2140"/>
        <w:gridCol w:w="3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041" w:type="dxa"/>
            <w:noWrap/>
            <w:vAlign w:val="center"/>
          </w:tcPr>
          <w:p>
            <w:pPr>
              <w:spacing w:line="320" w:lineRule="exact"/>
              <w:jc w:val="center"/>
              <w:rPr>
                <w:rFonts w:eastAsia="仿宋_GB2312"/>
                <w:szCs w:val="21"/>
              </w:rPr>
            </w:pPr>
            <w:r>
              <w:rPr>
                <w:rFonts w:hint="eastAsia" w:hAnsi="宋体" w:eastAsia="仿宋_GB2312"/>
                <w:szCs w:val="21"/>
              </w:rPr>
              <w:t>类区</w:t>
            </w:r>
          </w:p>
        </w:tc>
        <w:tc>
          <w:tcPr>
            <w:tcW w:w="2028" w:type="dxa"/>
            <w:noWrap/>
            <w:vAlign w:val="center"/>
          </w:tcPr>
          <w:p>
            <w:pPr>
              <w:spacing w:line="320" w:lineRule="exact"/>
              <w:jc w:val="center"/>
              <w:rPr>
                <w:rFonts w:eastAsia="仿宋_GB2312"/>
                <w:szCs w:val="21"/>
              </w:rPr>
            </w:pPr>
            <w:r>
              <w:rPr>
                <w:rFonts w:hint="eastAsia" w:hAnsi="宋体" w:eastAsia="仿宋_GB2312"/>
                <w:szCs w:val="21"/>
              </w:rPr>
              <w:t>失业保险金标准（元</w:t>
            </w:r>
            <w:r>
              <w:rPr>
                <w:rFonts w:hint="eastAsia" w:eastAsia="仿宋_GB2312"/>
                <w:szCs w:val="21"/>
              </w:rPr>
              <w:t>/</w:t>
            </w:r>
            <w:r>
              <w:rPr>
                <w:rFonts w:hint="eastAsia" w:hAnsi="宋体" w:eastAsia="仿宋_GB2312"/>
                <w:szCs w:val="21"/>
              </w:rPr>
              <w:t>月）</w:t>
            </w:r>
          </w:p>
        </w:tc>
        <w:tc>
          <w:tcPr>
            <w:tcW w:w="2140" w:type="dxa"/>
            <w:noWrap/>
            <w:vAlign w:val="center"/>
          </w:tcPr>
          <w:p>
            <w:pPr>
              <w:spacing w:line="320" w:lineRule="exact"/>
              <w:jc w:val="center"/>
              <w:rPr>
                <w:rFonts w:eastAsia="仿宋_GB2312"/>
                <w:szCs w:val="21"/>
              </w:rPr>
            </w:pPr>
            <w:r>
              <w:rPr>
                <w:rFonts w:hint="eastAsia" w:hAnsi="宋体" w:eastAsia="仿宋_GB2312"/>
                <w:szCs w:val="21"/>
              </w:rPr>
              <w:t>失业保险金标准比例参考</w:t>
            </w:r>
          </w:p>
        </w:tc>
        <w:tc>
          <w:tcPr>
            <w:tcW w:w="3851" w:type="dxa"/>
            <w:noWrap/>
            <w:vAlign w:val="center"/>
          </w:tcPr>
          <w:p>
            <w:pPr>
              <w:spacing w:line="320" w:lineRule="exact"/>
              <w:jc w:val="center"/>
              <w:rPr>
                <w:rFonts w:eastAsia="仿宋_GB2312"/>
                <w:szCs w:val="21"/>
              </w:rPr>
            </w:pPr>
            <w:r>
              <w:rPr>
                <w:rFonts w:hint="eastAsia" w:hAnsi="宋体" w:eastAsia="仿宋_GB2312"/>
                <w:szCs w:val="21"/>
              </w:rPr>
              <w:t>适用地区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1" w:type="dxa"/>
            <w:noWrap/>
            <w:vAlign w:val="center"/>
          </w:tcPr>
          <w:p>
            <w:pPr>
              <w:spacing w:line="320" w:lineRule="exact"/>
              <w:jc w:val="center"/>
              <w:rPr>
                <w:rFonts w:eastAsia="仿宋_GB2312"/>
                <w:szCs w:val="21"/>
              </w:rPr>
            </w:pPr>
            <w:r>
              <w:rPr>
                <w:rFonts w:hint="eastAsia" w:hAnsi="宋体" w:eastAsia="仿宋_GB2312"/>
                <w:szCs w:val="21"/>
              </w:rPr>
              <w:t>一类</w:t>
            </w:r>
          </w:p>
        </w:tc>
        <w:tc>
          <w:tcPr>
            <w:tcW w:w="2028" w:type="dxa"/>
            <w:noWrap/>
            <w:vAlign w:val="center"/>
          </w:tcPr>
          <w:p>
            <w:pPr>
              <w:spacing w:line="320" w:lineRule="exact"/>
              <w:jc w:val="center"/>
              <w:rPr>
                <w:rFonts w:eastAsia="仿宋_GB2312"/>
                <w:szCs w:val="21"/>
              </w:rPr>
            </w:pPr>
            <w:r>
              <w:rPr>
                <w:rFonts w:hint="eastAsia" w:eastAsia="仿宋_GB2312"/>
                <w:szCs w:val="21"/>
              </w:rPr>
              <w:t>1503</w:t>
            </w:r>
          </w:p>
        </w:tc>
        <w:tc>
          <w:tcPr>
            <w:tcW w:w="2140" w:type="dxa"/>
            <w:noWrap/>
            <w:vAlign w:val="center"/>
          </w:tcPr>
          <w:p>
            <w:pPr>
              <w:spacing w:line="320" w:lineRule="exact"/>
              <w:jc w:val="center"/>
              <w:rPr>
                <w:rFonts w:eastAsia="仿宋_GB2312"/>
                <w:szCs w:val="21"/>
              </w:rPr>
            </w:pPr>
            <w:r>
              <w:rPr>
                <w:rFonts w:hint="eastAsia" w:hAnsi="宋体" w:eastAsia="仿宋_GB2312"/>
                <w:szCs w:val="21"/>
              </w:rPr>
              <w:t>当地最低工资标准的</w:t>
            </w:r>
            <w:r>
              <w:rPr>
                <w:rFonts w:hint="eastAsia" w:eastAsia="仿宋_GB2312"/>
                <w:szCs w:val="21"/>
              </w:rPr>
              <w:t>90%</w:t>
            </w:r>
          </w:p>
        </w:tc>
        <w:tc>
          <w:tcPr>
            <w:tcW w:w="3851" w:type="dxa"/>
            <w:noWrap/>
            <w:vAlign w:val="center"/>
          </w:tcPr>
          <w:p>
            <w:pPr>
              <w:spacing w:line="320" w:lineRule="exact"/>
              <w:jc w:val="center"/>
              <w:rPr>
                <w:rFonts w:eastAsia="仿宋_GB2312"/>
                <w:szCs w:val="21"/>
              </w:rPr>
            </w:pPr>
            <w:r>
              <w:rPr>
                <w:rFonts w:hint="eastAsia" w:hAnsi="宋体" w:eastAsia="仿宋_GB2312"/>
                <w:szCs w:val="21"/>
              </w:rPr>
              <w:t>昆明市五华区、盘龙区、西山区、官渡区、呈贡区、安宁市、嵩明县和经开区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041" w:type="dxa"/>
            <w:noWrap/>
            <w:vAlign w:val="center"/>
          </w:tcPr>
          <w:p>
            <w:pPr>
              <w:spacing w:line="320" w:lineRule="exact"/>
              <w:jc w:val="center"/>
              <w:rPr>
                <w:rFonts w:eastAsia="仿宋_GB2312"/>
                <w:szCs w:val="21"/>
              </w:rPr>
            </w:pPr>
            <w:r>
              <w:rPr>
                <w:rFonts w:hint="eastAsia" w:hAnsi="宋体" w:eastAsia="仿宋_GB2312"/>
                <w:szCs w:val="21"/>
              </w:rPr>
              <w:t>二类</w:t>
            </w:r>
          </w:p>
        </w:tc>
        <w:tc>
          <w:tcPr>
            <w:tcW w:w="2028" w:type="dxa"/>
            <w:noWrap/>
            <w:vAlign w:val="center"/>
          </w:tcPr>
          <w:p>
            <w:pPr>
              <w:spacing w:line="320" w:lineRule="exact"/>
              <w:jc w:val="center"/>
              <w:rPr>
                <w:rFonts w:eastAsia="仿宋_GB2312"/>
                <w:szCs w:val="21"/>
              </w:rPr>
            </w:pPr>
            <w:r>
              <w:rPr>
                <w:rFonts w:hint="eastAsia" w:eastAsia="仿宋_GB2312"/>
                <w:szCs w:val="21"/>
              </w:rPr>
              <w:t>1350</w:t>
            </w:r>
          </w:p>
        </w:tc>
        <w:tc>
          <w:tcPr>
            <w:tcW w:w="2140" w:type="dxa"/>
            <w:noWrap/>
            <w:vAlign w:val="center"/>
          </w:tcPr>
          <w:p>
            <w:pPr>
              <w:spacing w:line="320" w:lineRule="exact"/>
              <w:jc w:val="center"/>
              <w:rPr>
                <w:rFonts w:eastAsia="仿宋_GB2312"/>
                <w:szCs w:val="21"/>
              </w:rPr>
            </w:pPr>
            <w:r>
              <w:rPr>
                <w:rFonts w:hint="eastAsia" w:hAnsi="宋体" w:eastAsia="仿宋_GB2312"/>
                <w:szCs w:val="21"/>
              </w:rPr>
              <w:t>当地最低工资标准的</w:t>
            </w:r>
            <w:r>
              <w:rPr>
                <w:rFonts w:hint="eastAsia" w:eastAsia="仿宋_GB2312"/>
                <w:szCs w:val="21"/>
              </w:rPr>
              <w:t>90%</w:t>
            </w:r>
          </w:p>
        </w:tc>
        <w:tc>
          <w:tcPr>
            <w:tcW w:w="3851" w:type="dxa"/>
            <w:noWrap/>
            <w:vAlign w:val="center"/>
          </w:tcPr>
          <w:p>
            <w:pPr>
              <w:spacing w:line="320" w:lineRule="exact"/>
              <w:jc w:val="center"/>
              <w:rPr>
                <w:rFonts w:eastAsia="仿宋_GB2312"/>
                <w:szCs w:val="21"/>
              </w:rPr>
            </w:pPr>
            <w:r>
              <w:rPr>
                <w:rFonts w:hint="eastAsia" w:hAnsi="宋体" w:eastAsia="仿宋_GB2312"/>
                <w:szCs w:val="21"/>
              </w:rPr>
              <w:t>昆明市所辖其他各县、区</w:t>
            </w:r>
          </w:p>
        </w:tc>
      </w:tr>
    </w:tbl>
    <w:p>
      <w:pPr>
        <w:spacing w:line="578" w:lineRule="exact"/>
        <w:ind w:firstLine="640" w:firstLineChars="200"/>
        <w:rPr>
          <w:rFonts w:eastAsia="仿宋_GB2312"/>
          <w:sz w:val="32"/>
          <w:szCs w:val="32"/>
        </w:rPr>
      </w:pPr>
      <w:r>
        <w:rPr>
          <w:rFonts w:hint="eastAsia" w:hAnsi="宋体" w:eastAsia="仿宋_GB2312"/>
          <w:sz w:val="32"/>
          <w:szCs w:val="32"/>
        </w:rPr>
        <w:t>政策依据：《中华人民共和国社会保险法》（中华人民共和国主席令第</w:t>
      </w:r>
      <w:r>
        <w:rPr>
          <w:rFonts w:hint="eastAsia" w:eastAsia="仿宋_GB2312"/>
          <w:sz w:val="32"/>
          <w:szCs w:val="32"/>
        </w:rPr>
        <w:t>35</w:t>
      </w:r>
      <w:r>
        <w:rPr>
          <w:rFonts w:hint="eastAsia" w:hAnsi="宋体" w:eastAsia="仿宋_GB2312"/>
          <w:sz w:val="32"/>
          <w:szCs w:val="32"/>
        </w:rPr>
        <w:t>号）、《失业保险条例》（中华人民共和国国务院令第</w:t>
      </w:r>
      <w:r>
        <w:rPr>
          <w:rFonts w:hint="eastAsia" w:eastAsia="仿宋_GB2312"/>
          <w:sz w:val="32"/>
          <w:szCs w:val="32"/>
        </w:rPr>
        <w:t>258</w:t>
      </w:r>
      <w:r>
        <w:rPr>
          <w:rFonts w:hint="eastAsia" w:hAnsi="宋体" w:eastAsia="仿宋_GB2312"/>
          <w:sz w:val="32"/>
          <w:szCs w:val="32"/>
        </w:rPr>
        <w:t>号）、《云南省失业保险条例》（</w:t>
      </w:r>
      <w:r>
        <w:rPr>
          <w:rFonts w:hint="eastAsia" w:eastAsia="仿宋_GB2312"/>
          <w:sz w:val="32"/>
          <w:szCs w:val="32"/>
        </w:rPr>
        <w:t>云南</w:t>
      </w:r>
      <w:r>
        <w:rPr>
          <w:rFonts w:hint="eastAsia" w:hAnsi="宋体" w:eastAsia="仿宋_GB2312"/>
          <w:sz w:val="32"/>
          <w:szCs w:val="32"/>
        </w:rPr>
        <w:t>省第十届人民代表大会常务委员会公告第</w:t>
      </w:r>
      <w:r>
        <w:rPr>
          <w:rFonts w:hint="eastAsia" w:eastAsia="仿宋_GB2312"/>
          <w:sz w:val="32"/>
          <w:szCs w:val="32"/>
        </w:rPr>
        <w:t>38</w:t>
      </w:r>
      <w:r>
        <w:rPr>
          <w:rFonts w:hint="eastAsia" w:hAnsi="宋体" w:eastAsia="仿宋_GB2312"/>
          <w:sz w:val="32"/>
          <w:szCs w:val="32"/>
        </w:rPr>
        <w:t>号）、《云南省人民政府关于实施云南省失业保险条例若干问题的意见》（云政发〔</w:t>
      </w:r>
      <w:r>
        <w:rPr>
          <w:rFonts w:hint="eastAsia" w:eastAsia="仿宋_GB2312"/>
          <w:sz w:val="32"/>
          <w:szCs w:val="32"/>
        </w:rPr>
        <w:t>2006</w:t>
      </w:r>
      <w:r>
        <w:rPr>
          <w:rFonts w:hint="eastAsia" w:hAnsi="宋体" w:eastAsia="仿宋_GB2312"/>
          <w:sz w:val="32"/>
          <w:szCs w:val="32"/>
        </w:rPr>
        <w:t>〕</w:t>
      </w:r>
      <w:r>
        <w:rPr>
          <w:rFonts w:hint="eastAsia" w:eastAsia="仿宋_GB2312"/>
          <w:sz w:val="32"/>
          <w:szCs w:val="32"/>
        </w:rPr>
        <w:t>97</w:t>
      </w:r>
      <w:r>
        <w:rPr>
          <w:rFonts w:hint="eastAsia" w:hAnsi="宋体" w:eastAsia="仿宋_GB2312"/>
          <w:sz w:val="32"/>
          <w:szCs w:val="32"/>
        </w:rPr>
        <w:t>号）、云劳社发〔</w:t>
      </w:r>
      <w:r>
        <w:rPr>
          <w:rFonts w:hint="eastAsia" w:eastAsia="仿宋_GB2312"/>
          <w:sz w:val="32"/>
          <w:szCs w:val="32"/>
        </w:rPr>
        <w:t>2006</w:t>
      </w:r>
      <w:r>
        <w:rPr>
          <w:rFonts w:hint="eastAsia" w:hAnsi="宋体" w:eastAsia="仿宋_GB2312"/>
          <w:sz w:val="32"/>
          <w:szCs w:val="32"/>
        </w:rPr>
        <w:t>〕</w:t>
      </w:r>
      <w:r>
        <w:rPr>
          <w:rFonts w:hint="eastAsia" w:eastAsia="仿宋_GB2312"/>
          <w:sz w:val="32"/>
          <w:szCs w:val="32"/>
        </w:rPr>
        <w:t>21</w:t>
      </w:r>
      <w:r>
        <w:rPr>
          <w:rFonts w:hint="eastAsia" w:hAnsi="宋体" w:eastAsia="仿宋_GB2312"/>
          <w:sz w:val="32"/>
          <w:szCs w:val="32"/>
        </w:rPr>
        <w:t>号、《云南省人力资源和社会保障厅云南省财政</w:t>
      </w:r>
      <w:r>
        <w:rPr>
          <w:rFonts w:hint="eastAsia" w:hAnsi="宋体" w:eastAsia="仿宋_GB2312"/>
          <w:spacing w:val="-6"/>
          <w:sz w:val="32"/>
          <w:szCs w:val="32"/>
        </w:rPr>
        <w:t>厅关于调整我省失业保险金标准的通知》（云人社发〔</w:t>
      </w:r>
      <w:r>
        <w:rPr>
          <w:rFonts w:hint="eastAsia" w:eastAsia="仿宋_GB2312"/>
          <w:spacing w:val="-6"/>
          <w:sz w:val="32"/>
          <w:szCs w:val="32"/>
        </w:rPr>
        <w:t>2020</w:t>
      </w:r>
      <w:r>
        <w:rPr>
          <w:rFonts w:hint="eastAsia" w:hAnsi="宋体" w:eastAsia="仿宋_GB2312"/>
          <w:spacing w:val="-6"/>
          <w:sz w:val="32"/>
          <w:szCs w:val="32"/>
        </w:rPr>
        <w:t>〕</w:t>
      </w:r>
      <w:r>
        <w:rPr>
          <w:rFonts w:hint="eastAsia" w:eastAsia="仿宋_GB2312"/>
          <w:spacing w:val="-6"/>
          <w:sz w:val="32"/>
          <w:szCs w:val="32"/>
        </w:rPr>
        <w:t>35</w:t>
      </w:r>
      <w:r>
        <w:rPr>
          <w:rFonts w:hint="eastAsia" w:hAnsi="宋体" w:eastAsia="仿宋_GB2312"/>
          <w:spacing w:val="-6"/>
          <w:sz w:val="32"/>
          <w:szCs w:val="32"/>
        </w:rPr>
        <w:t>号）。</w:t>
      </w:r>
    </w:p>
    <w:p>
      <w:pPr>
        <w:spacing w:line="578" w:lineRule="exact"/>
        <w:ind w:firstLine="640" w:firstLineChars="200"/>
        <w:rPr>
          <w:rFonts w:eastAsia="仿宋_GB2312"/>
          <w:sz w:val="32"/>
          <w:szCs w:val="32"/>
        </w:rPr>
      </w:pPr>
      <w:r>
        <w:rPr>
          <w:rFonts w:hint="eastAsia" w:hAnsi="宋体" w:eastAsia="仿宋_GB2312"/>
          <w:sz w:val="32"/>
          <w:szCs w:val="32"/>
        </w:rPr>
        <w:t>支出责任：区人社局作为劳动保障行政部门主管东川区行政区域内的失业保险工作，其所属的劳动就业服务局具体承办失业保险工作。失业保险基金实行市统筹，实行收支两条线管理。统筹地失业保险基金当年收不抵支在使用历年结存基金仍不能保证支付时，可以申请使用省级失业保险调剂金；经调剂后仍不敷使用的，由统筹地财政予以补贴。</w:t>
      </w:r>
    </w:p>
    <w:p>
      <w:pPr>
        <w:spacing w:line="578" w:lineRule="exact"/>
        <w:ind w:firstLine="640" w:firstLineChars="200"/>
        <w:rPr>
          <w:rFonts w:eastAsia="仿宋_GB2312"/>
          <w:sz w:val="32"/>
          <w:szCs w:val="32"/>
        </w:rPr>
      </w:pPr>
      <w:r>
        <w:rPr>
          <w:rFonts w:hint="eastAsia" w:hAnsi="宋体" w:eastAsia="仿宋_GB2312"/>
          <w:sz w:val="32"/>
          <w:szCs w:val="32"/>
        </w:rPr>
        <w:t>牵头负责单位：区人社局</w:t>
      </w:r>
    </w:p>
    <w:p>
      <w:pPr>
        <w:spacing w:line="578" w:lineRule="exact"/>
        <w:ind w:firstLine="640" w:firstLineChars="200"/>
        <w:rPr>
          <w:rFonts w:eastAsia="仿宋_GB2312"/>
          <w:sz w:val="32"/>
          <w:szCs w:val="32"/>
        </w:rPr>
      </w:pPr>
      <w:r>
        <w:rPr>
          <w:rFonts w:hint="eastAsia" w:hAnsi="宋体" w:eastAsia="仿宋_GB2312"/>
          <w:sz w:val="32"/>
          <w:szCs w:val="32"/>
        </w:rPr>
        <w:t>服务流程：符合条件的失业人员向参保缴费地或户籍所在地失业保险经办机构提出申领失业保险待遇申请，有关失业保险经办机构进行核定并发放失业保险金。</w:t>
      </w:r>
    </w:p>
    <w:p>
      <w:pPr>
        <w:spacing w:line="578" w:lineRule="exact"/>
        <w:ind w:firstLine="640" w:firstLineChars="200"/>
        <w:rPr>
          <w:rFonts w:eastAsia="仿宋_GB2312"/>
          <w:sz w:val="32"/>
          <w:szCs w:val="32"/>
        </w:rPr>
      </w:pPr>
      <w:bookmarkStart w:id="101" w:name="_Toc21352"/>
      <w:bookmarkStart w:id="102" w:name="_Toc24406"/>
      <w:r>
        <w:rPr>
          <w:rFonts w:hint="eastAsia" w:eastAsia="仿宋_GB2312"/>
          <w:sz w:val="32"/>
          <w:szCs w:val="32"/>
        </w:rPr>
        <w:t>30.</w:t>
      </w:r>
      <w:r>
        <w:rPr>
          <w:rFonts w:hint="eastAsia" w:hAnsi="宋体" w:eastAsia="仿宋_GB2312"/>
          <w:sz w:val="32"/>
          <w:szCs w:val="32"/>
        </w:rPr>
        <w:t>工伤保险</w:t>
      </w:r>
      <w:bookmarkEnd w:id="101"/>
      <w:bookmarkEnd w:id="102"/>
    </w:p>
    <w:p>
      <w:pPr>
        <w:spacing w:line="578" w:lineRule="exact"/>
        <w:ind w:firstLine="640" w:firstLineChars="200"/>
        <w:rPr>
          <w:rFonts w:eastAsia="仿宋_GB2312"/>
          <w:sz w:val="32"/>
          <w:szCs w:val="32"/>
        </w:rPr>
      </w:pPr>
      <w:r>
        <w:rPr>
          <w:rFonts w:hint="eastAsia" w:hAnsi="宋体" w:eastAsia="仿宋_GB2312"/>
          <w:sz w:val="32"/>
          <w:szCs w:val="32"/>
        </w:rPr>
        <w:t>服务对象：符合条件的参保单位、参保人及法定待遇领取人。</w:t>
      </w:r>
    </w:p>
    <w:p>
      <w:pPr>
        <w:spacing w:line="578" w:lineRule="exact"/>
        <w:ind w:firstLine="640" w:firstLineChars="200"/>
        <w:rPr>
          <w:rFonts w:eastAsia="仿宋_GB2312"/>
          <w:sz w:val="32"/>
          <w:szCs w:val="32"/>
        </w:rPr>
      </w:pPr>
      <w:r>
        <w:rPr>
          <w:rFonts w:hint="eastAsia" w:hAnsi="宋体" w:eastAsia="仿宋_GB2312"/>
          <w:sz w:val="32"/>
          <w:szCs w:val="32"/>
        </w:rPr>
        <w:t>服务内容：受理参保登记申请、受理待遇给付申请、提供政策咨询、提供权益记录查询、受理投诉举报等。</w:t>
      </w:r>
    </w:p>
    <w:p>
      <w:pPr>
        <w:spacing w:line="578" w:lineRule="exact"/>
        <w:ind w:firstLine="640" w:firstLineChars="200"/>
        <w:rPr>
          <w:rFonts w:eastAsia="仿宋_GB2312"/>
          <w:sz w:val="32"/>
          <w:szCs w:val="32"/>
        </w:rPr>
      </w:pPr>
      <w:r>
        <w:rPr>
          <w:rFonts w:hint="eastAsia" w:hAnsi="宋体" w:eastAsia="仿宋_GB2312"/>
          <w:sz w:val="32"/>
          <w:szCs w:val="32"/>
        </w:rPr>
        <w:t>服务标准：《社会保险服务总则》（</w:t>
      </w:r>
      <w:r>
        <w:rPr>
          <w:rFonts w:hint="eastAsia" w:eastAsia="仿宋_GB2312"/>
          <w:sz w:val="32"/>
          <w:szCs w:val="32"/>
        </w:rPr>
        <w:t>GB/T27768-2011</w:t>
      </w:r>
      <w:r>
        <w:rPr>
          <w:rFonts w:hint="eastAsia" w:hAnsi="宋体" w:eastAsia="仿宋_GB2312"/>
          <w:sz w:val="32"/>
          <w:szCs w:val="32"/>
        </w:rPr>
        <w:t>）及相关细则。工伤保险待遇项目及标准按照国家和云南省有关政策规定执行。</w:t>
      </w:r>
    </w:p>
    <w:p>
      <w:pPr>
        <w:spacing w:line="578" w:lineRule="exact"/>
        <w:ind w:firstLine="640" w:firstLineChars="200"/>
        <w:rPr>
          <w:rFonts w:eastAsia="仿宋_GB2312"/>
          <w:sz w:val="32"/>
          <w:szCs w:val="32"/>
        </w:rPr>
      </w:pPr>
      <w:r>
        <w:rPr>
          <w:rFonts w:hint="eastAsia" w:hAnsi="宋体" w:eastAsia="仿宋_GB2312"/>
          <w:sz w:val="32"/>
          <w:szCs w:val="32"/>
        </w:rPr>
        <w:t>政策依据：中华人民共和国主席令第</w:t>
      </w:r>
      <w:r>
        <w:rPr>
          <w:rFonts w:hint="eastAsia" w:eastAsia="仿宋_GB2312"/>
          <w:sz w:val="32"/>
          <w:szCs w:val="32"/>
        </w:rPr>
        <w:t>35</w:t>
      </w:r>
      <w:r>
        <w:rPr>
          <w:rFonts w:hint="eastAsia" w:hAnsi="宋体" w:eastAsia="仿宋_GB2312"/>
          <w:sz w:val="32"/>
          <w:szCs w:val="32"/>
        </w:rPr>
        <w:t>号文件、《工伤保险条例》（中华人民共和国国务院令第</w:t>
      </w:r>
      <w:r>
        <w:rPr>
          <w:rFonts w:hint="eastAsia" w:eastAsia="仿宋_GB2312"/>
          <w:sz w:val="32"/>
          <w:szCs w:val="32"/>
        </w:rPr>
        <w:t>586</w:t>
      </w:r>
      <w:r>
        <w:rPr>
          <w:rFonts w:hint="eastAsia" w:hAnsi="宋体" w:eastAsia="仿宋_GB2312"/>
          <w:sz w:val="32"/>
          <w:szCs w:val="32"/>
        </w:rPr>
        <w:t>号）、《云南省人民政府关于印发云南省实施工伤保险条例办法的通知》（云政发〔</w:t>
      </w:r>
      <w:r>
        <w:rPr>
          <w:rFonts w:hint="eastAsia" w:eastAsia="仿宋_GB2312"/>
          <w:sz w:val="32"/>
          <w:szCs w:val="32"/>
        </w:rPr>
        <w:t>2011</w:t>
      </w:r>
      <w:r>
        <w:rPr>
          <w:rFonts w:hint="eastAsia" w:hAnsi="宋体" w:eastAsia="仿宋_GB2312"/>
          <w:sz w:val="32"/>
          <w:szCs w:val="32"/>
        </w:rPr>
        <w:t>〕</w:t>
      </w:r>
      <w:r>
        <w:rPr>
          <w:rFonts w:hint="eastAsia" w:eastAsia="仿宋_GB2312"/>
          <w:sz w:val="32"/>
          <w:szCs w:val="32"/>
        </w:rPr>
        <w:t>255</w:t>
      </w:r>
      <w:r>
        <w:rPr>
          <w:rFonts w:hint="eastAsia" w:hAnsi="宋体" w:eastAsia="仿宋_GB2312"/>
          <w:sz w:val="32"/>
          <w:szCs w:val="32"/>
        </w:rPr>
        <w:t>号）、《昆明市人民政府关于印发昆明市工伤保险实施办法的通知》（昆政发〔</w:t>
      </w:r>
      <w:r>
        <w:rPr>
          <w:rFonts w:hint="eastAsia" w:eastAsia="仿宋_GB2312"/>
          <w:sz w:val="32"/>
          <w:szCs w:val="32"/>
        </w:rPr>
        <w:t>2014</w:t>
      </w:r>
      <w:r>
        <w:rPr>
          <w:rFonts w:hint="eastAsia" w:hAnsi="宋体" w:eastAsia="仿宋_GB2312"/>
          <w:sz w:val="32"/>
          <w:szCs w:val="32"/>
        </w:rPr>
        <w:t>〕</w:t>
      </w:r>
      <w:r>
        <w:rPr>
          <w:rFonts w:hint="eastAsia" w:eastAsia="仿宋_GB2312"/>
          <w:sz w:val="32"/>
          <w:szCs w:val="32"/>
        </w:rPr>
        <w:t>11</w:t>
      </w:r>
      <w:r>
        <w:rPr>
          <w:rFonts w:hint="eastAsia" w:hAnsi="宋体" w:eastAsia="仿宋_GB2312"/>
          <w:sz w:val="32"/>
          <w:szCs w:val="32"/>
        </w:rPr>
        <w:t>号）。</w:t>
      </w:r>
    </w:p>
    <w:p>
      <w:pPr>
        <w:spacing w:line="578" w:lineRule="exact"/>
        <w:ind w:firstLine="640" w:firstLineChars="200"/>
        <w:rPr>
          <w:rFonts w:eastAsia="仿宋_GB2312"/>
          <w:sz w:val="32"/>
          <w:szCs w:val="32"/>
        </w:rPr>
      </w:pPr>
      <w:r>
        <w:rPr>
          <w:rFonts w:hint="eastAsia" w:hAnsi="宋体" w:eastAsia="仿宋_GB2312"/>
          <w:sz w:val="32"/>
          <w:szCs w:val="32"/>
        </w:rPr>
        <w:t>支出责任：确保工伤保险各项待遇按时足额支付，所需资金按规定从工伤保险基金中支付或由用人单位支付。按照基金统一调剂、事权财权匹配的原则，按省、市、区三级分担的基金收支责任机制执行。</w:t>
      </w:r>
    </w:p>
    <w:p>
      <w:pPr>
        <w:spacing w:line="578" w:lineRule="exact"/>
        <w:ind w:firstLine="640" w:firstLineChars="200"/>
        <w:rPr>
          <w:rFonts w:eastAsia="仿宋_GB2312"/>
          <w:sz w:val="32"/>
          <w:szCs w:val="32"/>
        </w:rPr>
      </w:pPr>
      <w:r>
        <w:rPr>
          <w:rFonts w:hint="eastAsia" w:hAnsi="宋体" w:eastAsia="仿宋_GB2312"/>
          <w:sz w:val="32"/>
          <w:szCs w:val="32"/>
        </w:rPr>
        <w:t>牵头负责单位：区人社局</w:t>
      </w:r>
    </w:p>
    <w:p>
      <w:pPr>
        <w:spacing w:line="578" w:lineRule="exact"/>
        <w:ind w:firstLine="640" w:firstLineChars="200"/>
        <w:rPr>
          <w:rFonts w:eastAsia="仿宋_GB2312"/>
          <w:sz w:val="32"/>
          <w:szCs w:val="32"/>
        </w:rPr>
      </w:pPr>
      <w:r>
        <w:rPr>
          <w:rFonts w:hint="eastAsia" w:hAnsi="宋体" w:eastAsia="仿宋_GB2312"/>
          <w:sz w:val="32"/>
          <w:szCs w:val="32"/>
        </w:rPr>
        <w:t>服务流程：涉及具体事项办理时，以区人社局公开发布的办事指南为准。</w:t>
      </w:r>
    </w:p>
    <w:p>
      <w:pPr>
        <w:spacing w:line="578" w:lineRule="exact"/>
        <w:ind w:firstLine="640" w:firstLineChars="200"/>
        <w:rPr>
          <w:rFonts w:eastAsia="黑体"/>
          <w:sz w:val="32"/>
          <w:szCs w:val="32"/>
        </w:rPr>
      </w:pPr>
      <w:bookmarkStart w:id="103" w:name="_Toc13703"/>
      <w:bookmarkStart w:id="104" w:name="_Toc22778"/>
      <w:r>
        <w:rPr>
          <w:rFonts w:hint="eastAsia" w:hAnsi="黑体" w:eastAsia="黑体"/>
          <w:sz w:val="32"/>
          <w:szCs w:val="32"/>
        </w:rPr>
        <w:t>四、病有所医</w:t>
      </w:r>
      <w:bookmarkEnd w:id="103"/>
      <w:bookmarkEnd w:id="104"/>
    </w:p>
    <w:p>
      <w:pPr>
        <w:spacing w:line="578" w:lineRule="exact"/>
        <w:ind w:firstLine="640" w:firstLineChars="200"/>
        <w:rPr>
          <w:rFonts w:eastAsia="楷体_GB2312"/>
          <w:sz w:val="32"/>
          <w:szCs w:val="32"/>
        </w:rPr>
      </w:pPr>
      <w:bookmarkStart w:id="105" w:name="_Toc20423"/>
      <w:bookmarkStart w:id="106" w:name="_Toc394"/>
      <w:r>
        <w:rPr>
          <w:rFonts w:hint="eastAsia" w:eastAsia="楷体_GB2312"/>
          <w:sz w:val="32"/>
          <w:szCs w:val="32"/>
        </w:rPr>
        <w:t>（十）公共卫生服务</w:t>
      </w:r>
      <w:bookmarkEnd w:id="105"/>
      <w:bookmarkEnd w:id="106"/>
    </w:p>
    <w:p>
      <w:pPr>
        <w:spacing w:line="578" w:lineRule="exact"/>
        <w:ind w:firstLine="640" w:firstLineChars="200"/>
        <w:rPr>
          <w:rFonts w:eastAsia="仿宋_GB2312"/>
          <w:sz w:val="32"/>
          <w:szCs w:val="32"/>
        </w:rPr>
      </w:pPr>
      <w:bookmarkStart w:id="107" w:name="_Toc21628"/>
      <w:bookmarkStart w:id="108" w:name="_Toc27141"/>
      <w:bookmarkStart w:id="109" w:name="_Toc286391004"/>
      <w:bookmarkStart w:id="110" w:name="_Toc29960"/>
      <w:bookmarkStart w:id="111" w:name="_Toc25903"/>
      <w:bookmarkStart w:id="112" w:name="_Toc20996"/>
      <w:bookmarkStart w:id="113" w:name="_Toc17378"/>
      <w:r>
        <w:rPr>
          <w:rFonts w:hint="eastAsia" w:eastAsia="仿宋_GB2312"/>
          <w:sz w:val="32"/>
          <w:szCs w:val="32"/>
        </w:rPr>
        <w:t>31.</w:t>
      </w:r>
      <w:r>
        <w:rPr>
          <w:rFonts w:hint="eastAsia" w:hAnsi="宋体" w:eastAsia="仿宋_GB2312"/>
          <w:sz w:val="32"/>
          <w:szCs w:val="32"/>
        </w:rPr>
        <w:t>建立居民健康档案</w:t>
      </w:r>
      <w:bookmarkEnd w:id="107"/>
      <w:bookmarkEnd w:id="108"/>
      <w:bookmarkEnd w:id="109"/>
      <w:bookmarkEnd w:id="110"/>
      <w:bookmarkEnd w:id="111"/>
      <w:bookmarkEnd w:id="112"/>
      <w:bookmarkEnd w:id="113"/>
    </w:p>
    <w:p>
      <w:pPr>
        <w:spacing w:line="578" w:lineRule="exact"/>
        <w:ind w:firstLine="640" w:firstLineChars="200"/>
        <w:rPr>
          <w:rFonts w:eastAsia="仿宋_GB2312"/>
          <w:sz w:val="32"/>
          <w:szCs w:val="32"/>
        </w:rPr>
      </w:pPr>
      <w:r>
        <w:rPr>
          <w:rFonts w:hint="eastAsia" w:hAnsi="宋体" w:eastAsia="仿宋_GB2312"/>
          <w:sz w:val="32"/>
          <w:szCs w:val="32"/>
        </w:rPr>
        <w:t>服务对象：所辖常住居民（指居住半年以上的户籍及非户籍居民），以</w:t>
      </w:r>
      <w:r>
        <w:rPr>
          <w:rFonts w:hint="eastAsia" w:eastAsia="仿宋_GB2312"/>
          <w:sz w:val="32"/>
          <w:szCs w:val="32"/>
        </w:rPr>
        <w:t>0</w:t>
      </w:r>
      <w:r>
        <w:rPr>
          <w:rFonts w:hint="eastAsia" w:hAnsi="宋体" w:eastAsia="仿宋_GB2312"/>
          <w:sz w:val="32"/>
          <w:szCs w:val="32"/>
        </w:rPr>
        <w:t>-</w:t>
      </w:r>
      <w:r>
        <w:rPr>
          <w:rFonts w:hint="eastAsia" w:eastAsia="仿宋_GB2312"/>
          <w:sz w:val="32"/>
          <w:szCs w:val="32"/>
        </w:rPr>
        <w:t>6</w:t>
      </w:r>
      <w:r>
        <w:rPr>
          <w:rFonts w:hint="eastAsia" w:hAnsi="宋体" w:eastAsia="仿宋_GB2312"/>
          <w:sz w:val="32"/>
          <w:szCs w:val="32"/>
        </w:rPr>
        <w:t>岁儿童、孕产妇、老年人、慢性病患者、严重精神障碍患者和肺结核患者等人群为重点。</w:t>
      </w:r>
    </w:p>
    <w:p>
      <w:pPr>
        <w:spacing w:line="578" w:lineRule="exact"/>
        <w:ind w:firstLine="640" w:firstLineChars="200"/>
        <w:rPr>
          <w:rFonts w:eastAsia="仿宋_GB2312"/>
          <w:sz w:val="32"/>
          <w:szCs w:val="32"/>
        </w:rPr>
      </w:pPr>
      <w:r>
        <w:rPr>
          <w:rFonts w:hint="eastAsia" w:hAnsi="宋体" w:eastAsia="仿宋_GB2312"/>
          <w:sz w:val="32"/>
          <w:szCs w:val="32"/>
        </w:rPr>
        <w:t>服务内容：采取入户服务（调查）、疾病筛查、健康体检等多种方式，或在所辖居民到乡（镇）卫生院、村卫生室、社区卫生服务中心（站）接受服务时，由乡（镇）卫生院、村卫生室、社区卫生服务中心（站）组织医务人员收集基本信息、医疗服务记录等数据，为所辖居民建立统一、规范的健康档案，并根据复诊、随访等情况，及时更新、补充相应记录内容。</w:t>
      </w:r>
    </w:p>
    <w:p>
      <w:pPr>
        <w:spacing w:line="578" w:lineRule="exact"/>
        <w:ind w:firstLine="640" w:firstLineChars="200"/>
        <w:rPr>
          <w:rFonts w:eastAsia="仿宋_GB2312"/>
          <w:sz w:val="32"/>
          <w:szCs w:val="32"/>
        </w:rPr>
      </w:pPr>
      <w:r>
        <w:rPr>
          <w:rFonts w:hint="eastAsia" w:hAnsi="宋体" w:eastAsia="仿宋_GB2312"/>
          <w:sz w:val="32"/>
          <w:szCs w:val="32"/>
        </w:rPr>
        <w:t>服务标准：按照《国家基本公共卫生服务规范（第三版）》及相应技术方案执行。</w:t>
      </w:r>
    </w:p>
    <w:p>
      <w:pPr>
        <w:spacing w:line="578" w:lineRule="exact"/>
        <w:ind w:firstLine="640" w:firstLineChars="200"/>
        <w:rPr>
          <w:rFonts w:eastAsia="仿宋_GB2312"/>
          <w:sz w:val="32"/>
          <w:szCs w:val="32"/>
        </w:rPr>
      </w:pPr>
      <w:r>
        <w:rPr>
          <w:rFonts w:hint="eastAsia" w:hAnsi="宋体" w:eastAsia="仿宋_GB2312"/>
          <w:sz w:val="32"/>
          <w:szCs w:val="32"/>
        </w:rPr>
        <w:t>政策依据：《基本医疗卫生与健康促进法》、《健康中国</w:t>
      </w:r>
      <w:r>
        <w:rPr>
          <w:rFonts w:hint="eastAsia" w:eastAsia="仿宋_GB2312"/>
          <w:sz w:val="32"/>
          <w:szCs w:val="32"/>
        </w:rPr>
        <w:t>2030</w:t>
      </w:r>
      <w:r>
        <w:rPr>
          <w:rFonts w:hint="eastAsia" w:hAnsi="宋体" w:eastAsia="仿宋_GB2312"/>
          <w:sz w:val="32"/>
          <w:szCs w:val="32"/>
        </w:rPr>
        <w:t>规划纲要》、《健康云南</w:t>
      </w:r>
      <w:r>
        <w:rPr>
          <w:rFonts w:hint="eastAsia" w:eastAsia="仿宋_GB2312"/>
          <w:sz w:val="32"/>
          <w:szCs w:val="32"/>
        </w:rPr>
        <w:t>2030</w:t>
      </w:r>
      <w:r>
        <w:rPr>
          <w:rFonts w:hint="eastAsia" w:hAnsi="宋体" w:eastAsia="仿宋_GB2312"/>
          <w:sz w:val="32"/>
          <w:szCs w:val="32"/>
        </w:rPr>
        <w:t>规划纲要》、卫妇社发〔</w:t>
      </w:r>
      <w:r>
        <w:rPr>
          <w:rFonts w:hint="eastAsia" w:eastAsia="仿宋_GB2312"/>
          <w:sz w:val="32"/>
          <w:szCs w:val="32"/>
        </w:rPr>
        <w:t>2009</w:t>
      </w:r>
      <w:r>
        <w:rPr>
          <w:rFonts w:hint="eastAsia" w:hAnsi="宋体" w:eastAsia="仿宋_GB2312"/>
          <w:sz w:val="32"/>
          <w:szCs w:val="32"/>
        </w:rPr>
        <w:t>〕</w:t>
      </w:r>
      <w:r>
        <w:rPr>
          <w:rFonts w:hint="eastAsia" w:eastAsia="仿宋_GB2312"/>
          <w:sz w:val="32"/>
          <w:szCs w:val="32"/>
        </w:rPr>
        <w:t>70</w:t>
      </w:r>
      <w:r>
        <w:rPr>
          <w:rFonts w:hint="eastAsia" w:hAnsi="宋体" w:eastAsia="仿宋_GB2312"/>
          <w:sz w:val="32"/>
          <w:szCs w:val="32"/>
        </w:rPr>
        <w:t>号文件。</w:t>
      </w:r>
    </w:p>
    <w:p>
      <w:pPr>
        <w:spacing w:line="578" w:lineRule="exact"/>
        <w:ind w:firstLine="640" w:firstLineChars="200"/>
        <w:rPr>
          <w:rFonts w:eastAsia="仿宋_GB2312"/>
          <w:sz w:val="32"/>
          <w:szCs w:val="32"/>
        </w:rPr>
      </w:pPr>
      <w:r>
        <w:rPr>
          <w:rFonts w:hint="eastAsia" w:hAnsi="宋体" w:eastAsia="仿宋_GB2312"/>
          <w:sz w:val="32"/>
          <w:szCs w:val="32"/>
        </w:rPr>
        <w:t>支出责任：依据昆政办〔</w:t>
      </w:r>
      <w:r>
        <w:rPr>
          <w:rFonts w:hint="eastAsia" w:eastAsia="仿宋_GB2312"/>
          <w:sz w:val="32"/>
          <w:szCs w:val="32"/>
        </w:rPr>
        <w:t>2020</w:t>
      </w:r>
      <w:r>
        <w:rPr>
          <w:rFonts w:hint="eastAsia" w:hAnsi="宋体" w:eastAsia="仿宋_GB2312"/>
          <w:sz w:val="32"/>
          <w:szCs w:val="32"/>
        </w:rPr>
        <w:t>〕</w:t>
      </w:r>
      <w:r>
        <w:rPr>
          <w:rFonts w:hint="eastAsia" w:eastAsia="仿宋_GB2312"/>
          <w:sz w:val="32"/>
          <w:szCs w:val="32"/>
        </w:rPr>
        <w:t>78</w:t>
      </w:r>
      <w:r>
        <w:rPr>
          <w:rFonts w:hint="eastAsia" w:hAnsi="宋体" w:eastAsia="仿宋_GB2312"/>
          <w:sz w:val="32"/>
          <w:szCs w:val="32"/>
        </w:rPr>
        <w:t>号文件中央、省、市、区按照</w:t>
      </w:r>
      <w:r>
        <w:rPr>
          <w:rFonts w:hint="eastAsia" w:eastAsia="仿宋_GB2312"/>
          <w:sz w:val="32"/>
          <w:szCs w:val="32"/>
        </w:rPr>
        <w:t>80：4：14.4：1.6</w:t>
      </w:r>
      <w:r>
        <w:rPr>
          <w:rFonts w:hint="eastAsia" w:hAnsi="宋体" w:eastAsia="仿宋_GB2312"/>
          <w:sz w:val="32"/>
          <w:szCs w:val="32"/>
        </w:rPr>
        <w:t>的比例分担。</w:t>
      </w:r>
    </w:p>
    <w:p>
      <w:pPr>
        <w:spacing w:line="578" w:lineRule="exact"/>
        <w:ind w:firstLine="640" w:firstLineChars="200"/>
        <w:rPr>
          <w:rFonts w:eastAsia="仿宋_GB2312"/>
          <w:sz w:val="32"/>
          <w:szCs w:val="32"/>
        </w:rPr>
      </w:pPr>
      <w:r>
        <w:rPr>
          <w:rFonts w:hint="eastAsia" w:hAnsi="宋体" w:eastAsia="仿宋_GB2312"/>
          <w:sz w:val="32"/>
          <w:szCs w:val="32"/>
        </w:rPr>
        <w:t>牵头负责单位：区卫生健康局</w:t>
      </w:r>
    </w:p>
    <w:p>
      <w:pPr>
        <w:spacing w:line="578" w:lineRule="exact"/>
        <w:ind w:firstLine="640" w:firstLineChars="200"/>
        <w:rPr>
          <w:rFonts w:eastAsia="仿宋_GB2312"/>
          <w:sz w:val="32"/>
          <w:szCs w:val="32"/>
        </w:rPr>
      </w:pPr>
      <w:r>
        <w:rPr>
          <w:rFonts w:hint="eastAsia" w:hAnsi="宋体" w:eastAsia="仿宋_GB2312"/>
          <w:sz w:val="32"/>
          <w:szCs w:val="32"/>
        </w:rPr>
        <w:t>服务流程：严格按照《国家基本公共卫生服务规范（第三版）》执行。</w:t>
      </w:r>
    </w:p>
    <w:p>
      <w:pPr>
        <w:spacing w:line="578" w:lineRule="exact"/>
        <w:ind w:firstLine="640" w:firstLineChars="200"/>
        <w:rPr>
          <w:rFonts w:eastAsia="仿宋_GB2312"/>
          <w:sz w:val="32"/>
          <w:szCs w:val="32"/>
        </w:rPr>
      </w:pPr>
      <w:bookmarkStart w:id="114" w:name="_Toc32689"/>
      <w:bookmarkStart w:id="115" w:name="_Toc17108"/>
      <w:bookmarkStart w:id="116" w:name="_Toc2278"/>
      <w:bookmarkStart w:id="117" w:name="_Toc20827"/>
      <w:bookmarkStart w:id="118" w:name="_Toc25955"/>
      <w:bookmarkStart w:id="119" w:name="_Toc8140"/>
      <w:bookmarkStart w:id="120" w:name="_Toc1766654776"/>
      <w:r>
        <w:rPr>
          <w:rFonts w:hint="eastAsia" w:eastAsia="仿宋_GB2312"/>
          <w:sz w:val="32"/>
          <w:szCs w:val="32"/>
        </w:rPr>
        <w:t>32.</w:t>
      </w:r>
      <w:r>
        <w:rPr>
          <w:rFonts w:hint="eastAsia" w:hAnsi="宋体" w:eastAsia="仿宋_GB2312"/>
          <w:sz w:val="32"/>
          <w:szCs w:val="32"/>
        </w:rPr>
        <w:t>健康教育与健康素养促进</w:t>
      </w:r>
      <w:bookmarkEnd w:id="114"/>
      <w:bookmarkEnd w:id="115"/>
      <w:bookmarkEnd w:id="116"/>
      <w:bookmarkEnd w:id="117"/>
      <w:bookmarkEnd w:id="118"/>
      <w:bookmarkEnd w:id="119"/>
      <w:bookmarkEnd w:id="120"/>
    </w:p>
    <w:p>
      <w:pPr>
        <w:spacing w:line="578" w:lineRule="exact"/>
        <w:ind w:firstLine="640" w:firstLineChars="200"/>
        <w:rPr>
          <w:rFonts w:eastAsia="仿宋_GB2312"/>
          <w:sz w:val="32"/>
          <w:szCs w:val="32"/>
        </w:rPr>
      </w:pPr>
      <w:r>
        <w:rPr>
          <w:rFonts w:hint="eastAsia" w:hAnsi="宋体" w:eastAsia="仿宋_GB2312"/>
          <w:sz w:val="32"/>
          <w:szCs w:val="32"/>
        </w:rPr>
        <w:t>服务对象：所辖常住居民。</w:t>
      </w:r>
    </w:p>
    <w:p>
      <w:pPr>
        <w:spacing w:line="578" w:lineRule="exact"/>
        <w:ind w:firstLine="640" w:firstLineChars="200"/>
        <w:rPr>
          <w:rFonts w:eastAsia="仿宋_GB2312"/>
          <w:sz w:val="32"/>
          <w:szCs w:val="32"/>
        </w:rPr>
      </w:pPr>
      <w:r>
        <w:rPr>
          <w:rFonts w:hint="eastAsia" w:hAnsi="宋体" w:eastAsia="仿宋_GB2312"/>
          <w:sz w:val="32"/>
          <w:szCs w:val="32"/>
        </w:rPr>
        <w:t>服务内容：提供健康教育、健康咨询、健康科普、健康生活</w:t>
      </w:r>
      <w:r>
        <w:rPr>
          <w:rFonts w:hint="eastAsia" w:hAnsi="宋体" w:eastAsia="仿宋_GB2312"/>
          <w:spacing w:val="-6"/>
          <w:sz w:val="32"/>
          <w:szCs w:val="32"/>
        </w:rPr>
        <w:t>方式行为改变指导等服务。每年发布全省居民健康素养水平数据。</w:t>
      </w:r>
    </w:p>
    <w:p>
      <w:pPr>
        <w:spacing w:line="578" w:lineRule="exact"/>
        <w:ind w:firstLine="640" w:firstLineChars="200"/>
        <w:rPr>
          <w:rFonts w:eastAsia="仿宋_GB2312"/>
          <w:sz w:val="32"/>
          <w:szCs w:val="32"/>
        </w:rPr>
      </w:pPr>
      <w:r>
        <w:rPr>
          <w:rFonts w:hint="eastAsia" w:hAnsi="宋体" w:eastAsia="仿宋_GB2312"/>
          <w:sz w:val="32"/>
          <w:szCs w:val="32"/>
        </w:rPr>
        <w:t>服务标准：按照《国家基本公共卫生服务规范（第三版）》、《新划入基本公共卫生服务相关工作规范（</w:t>
      </w:r>
      <w:r>
        <w:rPr>
          <w:rFonts w:hint="eastAsia" w:eastAsia="仿宋_GB2312"/>
          <w:sz w:val="32"/>
          <w:szCs w:val="32"/>
        </w:rPr>
        <w:t>2019</w:t>
      </w:r>
      <w:r>
        <w:rPr>
          <w:rFonts w:hint="eastAsia" w:hAnsi="宋体" w:eastAsia="仿宋_GB2312"/>
          <w:sz w:val="32"/>
          <w:szCs w:val="32"/>
        </w:rPr>
        <w:t>年版）》及相应技术方案执行。全省居民健康素养水平</w:t>
      </w:r>
      <w:r>
        <w:rPr>
          <w:rFonts w:hint="eastAsia" w:eastAsia="仿宋_GB2312"/>
          <w:sz w:val="32"/>
          <w:szCs w:val="32"/>
        </w:rPr>
        <w:t>2020</w:t>
      </w:r>
      <w:r>
        <w:rPr>
          <w:rFonts w:hint="eastAsia" w:hAnsi="宋体" w:eastAsia="仿宋_GB2312"/>
          <w:sz w:val="32"/>
          <w:szCs w:val="32"/>
        </w:rPr>
        <w:t>年指标值为</w:t>
      </w:r>
      <w:r>
        <w:rPr>
          <w:rFonts w:hint="eastAsia" w:eastAsia="仿宋_GB2312"/>
          <w:sz w:val="32"/>
          <w:szCs w:val="32"/>
        </w:rPr>
        <w:t>20%</w:t>
      </w:r>
      <w:r>
        <w:rPr>
          <w:rFonts w:hint="eastAsia" w:hAnsi="宋体" w:eastAsia="仿宋_GB2312"/>
          <w:sz w:val="32"/>
          <w:szCs w:val="32"/>
        </w:rPr>
        <w:t>。</w:t>
      </w:r>
    </w:p>
    <w:p>
      <w:pPr>
        <w:spacing w:line="578" w:lineRule="exact"/>
        <w:ind w:firstLine="640" w:firstLineChars="200"/>
        <w:rPr>
          <w:rFonts w:eastAsia="仿宋_GB2312"/>
          <w:sz w:val="32"/>
          <w:szCs w:val="32"/>
        </w:rPr>
      </w:pPr>
      <w:r>
        <w:rPr>
          <w:rFonts w:hint="eastAsia" w:hAnsi="宋体" w:eastAsia="仿宋_GB2312"/>
          <w:sz w:val="32"/>
          <w:szCs w:val="32"/>
        </w:rPr>
        <w:t>政策依据：《基本医疗卫生与健康促进法》、《健康中国</w:t>
      </w:r>
      <w:r>
        <w:rPr>
          <w:rFonts w:hint="eastAsia" w:eastAsia="仿宋_GB2312"/>
          <w:sz w:val="32"/>
          <w:szCs w:val="32"/>
        </w:rPr>
        <w:t>2030</w:t>
      </w:r>
      <w:r>
        <w:rPr>
          <w:rFonts w:hint="eastAsia" w:hAnsi="宋体" w:eastAsia="仿宋_GB2312"/>
          <w:sz w:val="32"/>
          <w:szCs w:val="32"/>
        </w:rPr>
        <w:t>规划纲要》、《健康云南</w:t>
      </w:r>
      <w:r>
        <w:rPr>
          <w:rFonts w:hint="eastAsia" w:eastAsia="仿宋_GB2312"/>
          <w:sz w:val="32"/>
          <w:szCs w:val="32"/>
        </w:rPr>
        <w:t>2030</w:t>
      </w:r>
      <w:r>
        <w:rPr>
          <w:rFonts w:hint="eastAsia" w:hAnsi="宋体" w:eastAsia="仿宋_GB2312"/>
          <w:sz w:val="32"/>
          <w:szCs w:val="32"/>
        </w:rPr>
        <w:t>规划纲要》、《国务院关于实施健康中国行动的意见》（国发〔</w:t>
      </w:r>
      <w:r>
        <w:rPr>
          <w:rFonts w:hint="eastAsia" w:eastAsia="仿宋_GB2312"/>
          <w:sz w:val="32"/>
          <w:szCs w:val="32"/>
        </w:rPr>
        <w:t>2019</w:t>
      </w:r>
      <w:r>
        <w:rPr>
          <w:rFonts w:hint="eastAsia" w:hAnsi="宋体" w:eastAsia="仿宋_GB2312"/>
          <w:sz w:val="32"/>
          <w:szCs w:val="32"/>
        </w:rPr>
        <w:t>〕</w:t>
      </w:r>
      <w:r>
        <w:rPr>
          <w:rFonts w:hint="eastAsia" w:eastAsia="仿宋_GB2312"/>
          <w:sz w:val="32"/>
          <w:szCs w:val="32"/>
        </w:rPr>
        <w:t>13</w:t>
      </w:r>
      <w:r>
        <w:rPr>
          <w:rFonts w:hint="eastAsia" w:hAnsi="宋体" w:eastAsia="仿宋_GB2312"/>
          <w:sz w:val="32"/>
          <w:szCs w:val="32"/>
        </w:rPr>
        <w:t>号）、《云南省人民政府关于推进健康云南行动的实施意见》（云政发〔</w:t>
      </w:r>
      <w:r>
        <w:rPr>
          <w:rFonts w:hint="eastAsia" w:eastAsia="仿宋_GB2312"/>
          <w:sz w:val="32"/>
          <w:szCs w:val="32"/>
        </w:rPr>
        <w:t>2020</w:t>
      </w:r>
      <w:r>
        <w:rPr>
          <w:rFonts w:hint="eastAsia" w:hAnsi="宋体" w:eastAsia="仿宋_GB2312"/>
          <w:sz w:val="32"/>
          <w:szCs w:val="32"/>
        </w:rPr>
        <w:t>〕</w:t>
      </w:r>
      <w:r>
        <w:rPr>
          <w:rFonts w:hint="eastAsia" w:eastAsia="仿宋_GB2312"/>
          <w:sz w:val="32"/>
          <w:szCs w:val="32"/>
        </w:rPr>
        <w:t>13</w:t>
      </w:r>
      <w:r>
        <w:rPr>
          <w:rFonts w:hint="eastAsia" w:hAnsi="宋体" w:eastAsia="仿宋_GB2312"/>
          <w:sz w:val="32"/>
          <w:szCs w:val="32"/>
        </w:rPr>
        <w:t>号）、卫妇社发〔</w:t>
      </w:r>
      <w:r>
        <w:rPr>
          <w:rFonts w:hint="eastAsia" w:eastAsia="仿宋_GB2312"/>
          <w:sz w:val="32"/>
          <w:szCs w:val="32"/>
        </w:rPr>
        <w:t>2009</w:t>
      </w:r>
      <w:r>
        <w:rPr>
          <w:rFonts w:hint="eastAsia" w:hAnsi="宋体" w:eastAsia="仿宋_GB2312"/>
          <w:sz w:val="32"/>
          <w:szCs w:val="32"/>
        </w:rPr>
        <w:t>〕</w:t>
      </w:r>
      <w:r>
        <w:rPr>
          <w:rFonts w:hint="eastAsia" w:eastAsia="仿宋_GB2312"/>
          <w:sz w:val="32"/>
          <w:szCs w:val="32"/>
        </w:rPr>
        <w:t>70</w:t>
      </w:r>
      <w:r>
        <w:rPr>
          <w:rFonts w:hint="eastAsia" w:hAnsi="宋体" w:eastAsia="仿宋_GB2312"/>
          <w:sz w:val="32"/>
          <w:szCs w:val="32"/>
        </w:rPr>
        <w:t>号文件。</w:t>
      </w:r>
    </w:p>
    <w:p>
      <w:pPr>
        <w:spacing w:line="578" w:lineRule="exact"/>
        <w:ind w:firstLine="640" w:firstLineChars="200"/>
        <w:rPr>
          <w:rFonts w:eastAsia="仿宋_GB2312"/>
          <w:sz w:val="32"/>
          <w:szCs w:val="32"/>
        </w:rPr>
      </w:pPr>
      <w:r>
        <w:rPr>
          <w:rFonts w:hint="eastAsia" w:hAnsi="宋体" w:eastAsia="仿宋_GB2312"/>
          <w:sz w:val="32"/>
          <w:szCs w:val="32"/>
        </w:rPr>
        <w:t>支出责任：依据昆政办〔</w:t>
      </w:r>
      <w:r>
        <w:rPr>
          <w:rFonts w:hint="eastAsia" w:eastAsia="仿宋_GB2312"/>
          <w:sz w:val="32"/>
          <w:szCs w:val="32"/>
        </w:rPr>
        <w:t>2020</w:t>
      </w:r>
      <w:r>
        <w:rPr>
          <w:rFonts w:hint="eastAsia" w:hAnsi="宋体" w:eastAsia="仿宋_GB2312"/>
          <w:sz w:val="32"/>
          <w:szCs w:val="32"/>
        </w:rPr>
        <w:t>〕</w:t>
      </w:r>
      <w:r>
        <w:rPr>
          <w:rFonts w:hint="eastAsia" w:eastAsia="仿宋_GB2312"/>
          <w:sz w:val="32"/>
          <w:szCs w:val="32"/>
        </w:rPr>
        <w:t>78</w:t>
      </w:r>
      <w:r>
        <w:rPr>
          <w:rFonts w:hint="eastAsia" w:hAnsi="宋体" w:eastAsia="仿宋_GB2312"/>
          <w:sz w:val="32"/>
          <w:szCs w:val="32"/>
        </w:rPr>
        <w:t>号文件中央、省、市、区按照</w:t>
      </w:r>
      <w:r>
        <w:rPr>
          <w:rFonts w:hint="eastAsia" w:eastAsia="仿宋_GB2312"/>
          <w:sz w:val="32"/>
          <w:szCs w:val="32"/>
        </w:rPr>
        <w:t>80：4：14.4：1.6</w:t>
      </w:r>
      <w:r>
        <w:rPr>
          <w:rFonts w:hint="eastAsia" w:hAnsi="宋体" w:eastAsia="仿宋_GB2312"/>
          <w:sz w:val="32"/>
          <w:szCs w:val="32"/>
        </w:rPr>
        <w:t>的比例分担。</w:t>
      </w:r>
    </w:p>
    <w:p>
      <w:pPr>
        <w:spacing w:line="578" w:lineRule="exact"/>
        <w:ind w:firstLine="640" w:firstLineChars="200"/>
        <w:rPr>
          <w:rFonts w:eastAsia="仿宋_GB2312"/>
          <w:sz w:val="32"/>
          <w:szCs w:val="32"/>
        </w:rPr>
      </w:pPr>
      <w:r>
        <w:rPr>
          <w:rFonts w:hint="eastAsia" w:hAnsi="宋体" w:eastAsia="仿宋_GB2312"/>
          <w:sz w:val="32"/>
          <w:szCs w:val="32"/>
        </w:rPr>
        <w:t>牵头负责单位：区卫生健康局</w:t>
      </w:r>
    </w:p>
    <w:p>
      <w:pPr>
        <w:spacing w:line="578" w:lineRule="exact"/>
        <w:ind w:firstLine="640" w:firstLineChars="200"/>
        <w:rPr>
          <w:rFonts w:eastAsia="仿宋_GB2312"/>
          <w:sz w:val="32"/>
          <w:szCs w:val="32"/>
        </w:rPr>
      </w:pPr>
      <w:r>
        <w:rPr>
          <w:rFonts w:hint="eastAsia" w:hAnsi="宋体" w:eastAsia="仿宋_GB2312"/>
          <w:sz w:val="32"/>
          <w:szCs w:val="32"/>
        </w:rPr>
        <w:t>服务流程：严格按照《国家基本公共卫生服务规范（第三版）》执行。</w:t>
      </w:r>
    </w:p>
    <w:p>
      <w:pPr>
        <w:spacing w:line="578" w:lineRule="exact"/>
        <w:ind w:firstLine="640" w:firstLineChars="200"/>
        <w:rPr>
          <w:rFonts w:eastAsia="仿宋_GB2312"/>
          <w:sz w:val="32"/>
          <w:szCs w:val="32"/>
        </w:rPr>
      </w:pPr>
      <w:bookmarkStart w:id="121" w:name="_Toc774726120"/>
      <w:bookmarkStart w:id="122" w:name="_Toc21593"/>
      <w:bookmarkStart w:id="123" w:name="_Toc21776"/>
      <w:bookmarkStart w:id="124" w:name="_Toc5132"/>
      <w:bookmarkStart w:id="125" w:name="_Toc3537"/>
      <w:bookmarkStart w:id="126" w:name="_Toc12197"/>
      <w:bookmarkStart w:id="127" w:name="_Toc187"/>
      <w:r>
        <w:rPr>
          <w:rFonts w:hint="eastAsia" w:eastAsia="仿宋_GB2312"/>
          <w:sz w:val="32"/>
          <w:szCs w:val="32"/>
        </w:rPr>
        <w:t>33.</w:t>
      </w:r>
      <w:r>
        <w:rPr>
          <w:rFonts w:hint="eastAsia" w:hAnsi="宋体" w:eastAsia="仿宋_GB2312"/>
          <w:sz w:val="32"/>
          <w:szCs w:val="32"/>
        </w:rPr>
        <w:t>传染病及突发公共卫生事件报告与处理</w:t>
      </w:r>
      <w:bookmarkEnd w:id="121"/>
      <w:bookmarkEnd w:id="122"/>
      <w:bookmarkEnd w:id="123"/>
      <w:bookmarkEnd w:id="124"/>
      <w:bookmarkEnd w:id="125"/>
      <w:bookmarkEnd w:id="126"/>
      <w:bookmarkEnd w:id="127"/>
    </w:p>
    <w:p>
      <w:pPr>
        <w:spacing w:line="578" w:lineRule="exact"/>
        <w:ind w:firstLine="640" w:firstLineChars="200"/>
        <w:rPr>
          <w:rFonts w:eastAsia="仿宋_GB2312"/>
          <w:sz w:val="32"/>
          <w:szCs w:val="32"/>
        </w:rPr>
      </w:pPr>
      <w:r>
        <w:rPr>
          <w:rFonts w:hint="eastAsia" w:hAnsi="宋体" w:eastAsia="仿宋_GB2312"/>
          <w:sz w:val="32"/>
          <w:szCs w:val="32"/>
        </w:rPr>
        <w:t>服务对象：法定传染病病人、疑似病人、密切接触者和突发公共卫生事件伤病员及有关人群。</w:t>
      </w:r>
    </w:p>
    <w:p>
      <w:pPr>
        <w:spacing w:line="578" w:lineRule="exact"/>
        <w:ind w:firstLine="640" w:firstLineChars="200"/>
        <w:rPr>
          <w:rFonts w:eastAsia="仿宋_GB2312"/>
          <w:sz w:val="32"/>
          <w:szCs w:val="32"/>
        </w:rPr>
      </w:pPr>
      <w:r>
        <w:rPr>
          <w:rFonts w:hint="eastAsia" w:hAnsi="宋体" w:eastAsia="仿宋_GB2312"/>
          <w:sz w:val="32"/>
          <w:szCs w:val="32"/>
        </w:rPr>
        <w:t>服务内容：①传染病疫情和突发公共卫生事件风险管理，在专业机构指导下，乡（镇）卫生院、村卫生室和社区卫生服务中心（站）协助开展传染病疫情和突发公共卫生事件风险排查、收集和提供风险信息；②传染病和突发公共卫生事件及有关信息的发现、登记、报告；③传染病和突发公共卫生事件的处理，对传染病病人、疑似病人和突发公共卫生事件伤病员、传染病密切接触者和健康危害暴露人员进行管理，协助开展流行病学调查、疫点疫区处理、应急接种和预防性服药、宣传教育等处置工作；④提供传染病防治和突发公共卫生事件防范知识宣传与咨询服务。</w:t>
      </w:r>
    </w:p>
    <w:p>
      <w:pPr>
        <w:spacing w:line="578" w:lineRule="exact"/>
        <w:ind w:firstLine="640" w:firstLineChars="200"/>
        <w:rPr>
          <w:rFonts w:eastAsia="仿宋_GB2312"/>
          <w:sz w:val="32"/>
          <w:szCs w:val="32"/>
        </w:rPr>
      </w:pPr>
      <w:r>
        <w:rPr>
          <w:rFonts w:hint="eastAsia" w:hAnsi="宋体" w:eastAsia="仿宋_GB2312"/>
          <w:sz w:val="32"/>
          <w:szCs w:val="32"/>
        </w:rPr>
        <w:t>服务标准：《中华人民共和国传染病防治法》、《中华人民共和国突发公共卫生事件应急条例》、《国家基本公共卫生服务规范（第三版）》等法律法规及相应技术方案执行。不得瞒报、漏报、迟报法律法规规定必须报告的传染病和公共卫生事件。</w:t>
      </w:r>
    </w:p>
    <w:p>
      <w:pPr>
        <w:spacing w:line="578" w:lineRule="exact"/>
        <w:ind w:firstLine="640" w:firstLineChars="200"/>
        <w:rPr>
          <w:rFonts w:eastAsia="仿宋_GB2312"/>
          <w:sz w:val="32"/>
          <w:szCs w:val="32"/>
        </w:rPr>
      </w:pPr>
      <w:r>
        <w:rPr>
          <w:rFonts w:hint="eastAsia" w:hAnsi="宋体" w:eastAsia="仿宋_GB2312"/>
          <w:sz w:val="32"/>
          <w:szCs w:val="32"/>
        </w:rPr>
        <w:t>政策依据：《中华人民共和国传染病防治法》、《基本医疗卫生与健康促进法》、《中华人民共和国突发公共卫生事件应急条例》、《健康中国</w:t>
      </w:r>
      <w:r>
        <w:rPr>
          <w:rFonts w:hint="eastAsia" w:eastAsia="仿宋_GB2312"/>
          <w:sz w:val="32"/>
          <w:szCs w:val="32"/>
        </w:rPr>
        <w:t>2030</w:t>
      </w:r>
      <w:r>
        <w:rPr>
          <w:rFonts w:hint="eastAsia" w:hAnsi="宋体" w:eastAsia="仿宋_GB2312"/>
          <w:sz w:val="32"/>
          <w:szCs w:val="32"/>
        </w:rPr>
        <w:t>规划纲要》《健康云南</w:t>
      </w:r>
      <w:r>
        <w:rPr>
          <w:rFonts w:hint="eastAsia" w:eastAsia="仿宋_GB2312"/>
          <w:sz w:val="32"/>
          <w:szCs w:val="32"/>
        </w:rPr>
        <w:t>2030</w:t>
      </w:r>
      <w:r>
        <w:rPr>
          <w:rFonts w:hint="eastAsia" w:hAnsi="宋体" w:eastAsia="仿宋_GB2312"/>
          <w:sz w:val="32"/>
          <w:szCs w:val="32"/>
        </w:rPr>
        <w:t>规划纲要》、卫妇社发〔</w:t>
      </w:r>
      <w:r>
        <w:rPr>
          <w:rFonts w:hint="eastAsia" w:eastAsia="仿宋_GB2312"/>
          <w:sz w:val="32"/>
          <w:szCs w:val="32"/>
        </w:rPr>
        <w:t>2009</w:t>
      </w:r>
      <w:r>
        <w:rPr>
          <w:rFonts w:hint="eastAsia" w:hAnsi="宋体" w:eastAsia="仿宋_GB2312"/>
          <w:sz w:val="32"/>
          <w:szCs w:val="32"/>
        </w:rPr>
        <w:t>〕</w:t>
      </w:r>
      <w:r>
        <w:rPr>
          <w:rFonts w:hint="eastAsia" w:eastAsia="仿宋_GB2312"/>
          <w:sz w:val="32"/>
          <w:szCs w:val="32"/>
        </w:rPr>
        <w:t>70</w:t>
      </w:r>
      <w:r>
        <w:rPr>
          <w:rFonts w:hint="eastAsia" w:hAnsi="宋体" w:eastAsia="仿宋_GB2312"/>
          <w:sz w:val="32"/>
          <w:szCs w:val="32"/>
        </w:rPr>
        <w:t>号文件。</w:t>
      </w:r>
    </w:p>
    <w:p>
      <w:pPr>
        <w:spacing w:line="578" w:lineRule="exact"/>
        <w:ind w:firstLine="640" w:firstLineChars="200"/>
        <w:rPr>
          <w:rFonts w:eastAsia="仿宋_GB2312"/>
          <w:sz w:val="32"/>
          <w:szCs w:val="32"/>
        </w:rPr>
      </w:pPr>
      <w:r>
        <w:rPr>
          <w:rFonts w:hint="eastAsia" w:hAnsi="宋体" w:eastAsia="仿宋_GB2312"/>
          <w:sz w:val="32"/>
          <w:szCs w:val="32"/>
        </w:rPr>
        <w:t>支出责任：依据昆政办〔</w:t>
      </w:r>
      <w:r>
        <w:rPr>
          <w:rFonts w:hint="eastAsia" w:eastAsia="仿宋_GB2312"/>
          <w:sz w:val="32"/>
          <w:szCs w:val="32"/>
        </w:rPr>
        <w:t>2020</w:t>
      </w:r>
      <w:r>
        <w:rPr>
          <w:rFonts w:hint="eastAsia" w:hAnsi="宋体" w:eastAsia="仿宋_GB2312"/>
          <w:sz w:val="32"/>
          <w:szCs w:val="32"/>
        </w:rPr>
        <w:t>〕</w:t>
      </w:r>
      <w:r>
        <w:rPr>
          <w:rFonts w:hint="eastAsia" w:eastAsia="仿宋_GB2312"/>
          <w:sz w:val="32"/>
          <w:szCs w:val="32"/>
        </w:rPr>
        <w:t>78</w:t>
      </w:r>
      <w:r>
        <w:rPr>
          <w:rFonts w:hint="eastAsia" w:hAnsi="宋体" w:eastAsia="仿宋_GB2312"/>
          <w:sz w:val="32"/>
          <w:szCs w:val="32"/>
        </w:rPr>
        <w:t>号文件中央、省、市、区按照</w:t>
      </w:r>
      <w:r>
        <w:rPr>
          <w:rFonts w:hint="eastAsia" w:eastAsia="仿宋_GB2312"/>
          <w:sz w:val="32"/>
          <w:szCs w:val="32"/>
        </w:rPr>
        <w:t>80：4：14.4：1.6</w:t>
      </w:r>
      <w:r>
        <w:rPr>
          <w:rFonts w:hint="eastAsia" w:hAnsi="宋体" w:eastAsia="仿宋_GB2312"/>
          <w:sz w:val="32"/>
          <w:szCs w:val="32"/>
        </w:rPr>
        <w:t>的比例分担。</w:t>
      </w:r>
    </w:p>
    <w:p>
      <w:pPr>
        <w:spacing w:line="578" w:lineRule="exact"/>
        <w:ind w:firstLine="640" w:firstLineChars="200"/>
        <w:rPr>
          <w:rFonts w:eastAsia="仿宋_GB2312"/>
          <w:sz w:val="32"/>
          <w:szCs w:val="32"/>
        </w:rPr>
      </w:pPr>
      <w:r>
        <w:rPr>
          <w:rFonts w:hint="eastAsia" w:hAnsi="宋体" w:eastAsia="仿宋_GB2312"/>
          <w:sz w:val="32"/>
          <w:szCs w:val="32"/>
        </w:rPr>
        <w:t>牵头负责单位：区卫生健康局</w:t>
      </w:r>
    </w:p>
    <w:p>
      <w:pPr>
        <w:spacing w:line="578" w:lineRule="exact"/>
        <w:ind w:firstLine="640" w:firstLineChars="200"/>
        <w:rPr>
          <w:rFonts w:eastAsia="仿宋_GB2312"/>
          <w:sz w:val="32"/>
          <w:szCs w:val="32"/>
        </w:rPr>
      </w:pPr>
      <w:r>
        <w:rPr>
          <w:rFonts w:hint="eastAsia" w:hAnsi="宋体" w:eastAsia="仿宋_GB2312"/>
          <w:sz w:val="32"/>
          <w:szCs w:val="32"/>
        </w:rPr>
        <w:t>服务流程：严格按照《国家基本公共卫生服务规范（第三版）》执行。</w:t>
      </w:r>
    </w:p>
    <w:p>
      <w:pPr>
        <w:spacing w:line="578" w:lineRule="exact"/>
        <w:ind w:firstLine="640" w:firstLineChars="200"/>
        <w:rPr>
          <w:rFonts w:eastAsia="仿宋_GB2312"/>
          <w:sz w:val="32"/>
          <w:szCs w:val="32"/>
        </w:rPr>
      </w:pPr>
      <w:bookmarkStart w:id="128" w:name="_Toc20392"/>
      <w:bookmarkStart w:id="129" w:name="_Toc17276"/>
      <w:bookmarkStart w:id="130" w:name="_Toc32543"/>
      <w:bookmarkStart w:id="131" w:name="_Toc18412"/>
      <w:bookmarkStart w:id="132" w:name="_Toc28793"/>
      <w:bookmarkStart w:id="133" w:name="_Toc1199721727"/>
      <w:bookmarkStart w:id="134" w:name="_Toc684"/>
      <w:r>
        <w:rPr>
          <w:rFonts w:hint="eastAsia" w:eastAsia="仿宋_GB2312"/>
          <w:sz w:val="32"/>
          <w:szCs w:val="32"/>
        </w:rPr>
        <w:t>34.</w:t>
      </w:r>
      <w:r>
        <w:rPr>
          <w:rFonts w:hint="eastAsia" w:hAnsi="宋体" w:eastAsia="仿宋_GB2312"/>
          <w:sz w:val="32"/>
          <w:szCs w:val="32"/>
        </w:rPr>
        <w:t>卫生监督协管服务</w:t>
      </w:r>
      <w:bookmarkEnd w:id="128"/>
      <w:bookmarkEnd w:id="129"/>
      <w:bookmarkEnd w:id="130"/>
      <w:bookmarkEnd w:id="131"/>
      <w:bookmarkEnd w:id="132"/>
      <w:bookmarkEnd w:id="133"/>
      <w:bookmarkEnd w:id="134"/>
    </w:p>
    <w:p>
      <w:pPr>
        <w:spacing w:line="578" w:lineRule="exact"/>
        <w:ind w:firstLine="640" w:firstLineChars="200"/>
        <w:rPr>
          <w:rFonts w:eastAsia="仿宋_GB2312"/>
          <w:sz w:val="32"/>
          <w:szCs w:val="32"/>
        </w:rPr>
      </w:pPr>
      <w:r>
        <w:rPr>
          <w:rFonts w:hint="eastAsia" w:hAnsi="宋体" w:eastAsia="仿宋_GB2312"/>
          <w:sz w:val="32"/>
          <w:szCs w:val="32"/>
        </w:rPr>
        <w:t>服务对象：城乡居民。</w:t>
      </w:r>
    </w:p>
    <w:p>
      <w:pPr>
        <w:spacing w:line="578" w:lineRule="exact"/>
        <w:ind w:firstLine="640" w:firstLineChars="200"/>
        <w:rPr>
          <w:rFonts w:eastAsia="仿宋_GB2312"/>
          <w:sz w:val="32"/>
          <w:szCs w:val="32"/>
        </w:rPr>
      </w:pPr>
      <w:r>
        <w:rPr>
          <w:rFonts w:hint="eastAsia" w:hAnsi="宋体" w:eastAsia="仿宋_GB2312"/>
          <w:sz w:val="32"/>
          <w:szCs w:val="32"/>
        </w:rPr>
        <w:t>服务内容：为所辖居民提供饮用水卫生安全巡查、学校卫生服务、医疗卫生巡查、计划生育巡查、公共场所卫生巡查、职业卫生巡查及食源性疾病及有关信息报告、非法行医及非法采供</w:t>
      </w:r>
      <w:r>
        <w:rPr>
          <w:rFonts w:hint="eastAsia" w:hAnsi="宋体" w:eastAsia="仿宋_GB2312"/>
          <w:spacing w:val="-6"/>
          <w:sz w:val="32"/>
          <w:szCs w:val="32"/>
        </w:rPr>
        <w:t>血信息报告及其他信息报告；为城乡居民提供科普宣传、教育服务。</w:t>
      </w:r>
    </w:p>
    <w:p>
      <w:pPr>
        <w:spacing w:line="578" w:lineRule="exact"/>
        <w:ind w:firstLine="640" w:firstLineChars="200"/>
        <w:rPr>
          <w:rFonts w:eastAsia="仿宋_GB2312"/>
          <w:sz w:val="32"/>
          <w:szCs w:val="32"/>
        </w:rPr>
      </w:pPr>
      <w:r>
        <w:rPr>
          <w:rFonts w:hint="eastAsia" w:hAnsi="宋体" w:eastAsia="仿宋_GB2312"/>
          <w:sz w:val="32"/>
          <w:szCs w:val="32"/>
        </w:rPr>
        <w:t>服务标准：按照《国家基本公共卫生服务规范（第三版）》及相应技术方案执行。</w:t>
      </w:r>
    </w:p>
    <w:p>
      <w:pPr>
        <w:spacing w:line="578" w:lineRule="exact"/>
        <w:ind w:firstLine="640" w:firstLineChars="200"/>
        <w:rPr>
          <w:rFonts w:eastAsia="仿宋_GB2312"/>
          <w:sz w:val="32"/>
          <w:szCs w:val="32"/>
        </w:rPr>
      </w:pPr>
      <w:r>
        <w:rPr>
          <w:rFonts w:hint="eastAsia" w:hAnsi="宋体" w:eastAsia="仿宋_GB2312"/>
          <w:sz w:val="32"/>
          <w:szCs w:val="32"/>
        </w:rPr>
        <w:t>政策依据：《云南省卫生健康委关于进一步加强卫生监督协管服务工作的通知》（云卫监督发〔</w:t>
      </w:r>
      <w:r>
        <w:rPr>
          <w:rFonts w:hint="eastAsia" w:eastAsia="仿宋_GB2312"/>
          <w:sz w:val="32"/>
          <w:szCs w:val="32"/>
        </w:rPr>
        <w:t>2020</w:t>
      </w:r>
      <w:r>
        <w:rPr>
          <w:rFonts w:hint="eastAsia" w:hAnsi="宋体" w:eastAsia="仿宋_GB2312"/>
          <w:sz w:val="32"/>
          <w:szCs w:val="32"/>
        </w:rPr>
        <w:t>〕</w:t>
      </w:r>
      <w:r>
        <w:rPr>
          <w:rFonts w:hint="eastAsia" w:eastAsia="仿宋_GB2312"/>
          <w:sz w:val="32"/>
          <w:szCs w:val="32"/>
        </w:rPr>
        <w:t>8</w:t>
      </w:r>
      <w:r>
        <w:rPr>
          <w:rFonts w:hint="eastAsia" w:hAnsi="宋体" w:eastAsia="仿宋_GB2312"/>
          <w:sz w:val="32"/>
          <w:szCs w:val="32"/>
        </w:rPr>
        <w:t>号）、《关于印发进一步加强昆明市卫生监督协管服务工作实施意见的通知》（昆卫法规发〔</w:t>
      </w:r>
      <w:r>
        <w:rPr>
          <w:rFonts w:hint="eastAsia" w:eastAsia="仿宋_GB2312"/>
          <w:sz w:val="32"/>
          <w:szCs w:val="32"/>
        </w:rPr>
        <w:t>2021</w:t>
      </w:r>
      <w:r>
        <w:rPr>
          <w:rFonts w:hint="eastAsia" w:hAnsi="宋体" w:eastAsia="仿宋_GB2312"/>
          <w:sz w:val="32"/>
          <w:szCs w:val="32"/>
        </w:rPr>
        <w:t>〕</w:t>
      </w:r>
      <w:r>
        <w:rPr>
          <w:rFonts w:hint="eastAsia" w:eastAsia="仿宋_GB2312"/>
          <w:sz w:val="32"/>
          <w:szCs w:val="32"/>
        </w:rPr>
        <w:t>6</w:t>
      </w:r>
      <w:r>
        <w:rPr>
          <w:rFonts w:hint="eastAsia" w:hAnsi="宋体" w:eastAsia="仿宋_GB2312"/>
          <w:sz w:val="32"/>
          <w:szCs w:val="32"/>
        </w:rPr>
        <w:t>号）。</w:t>
      </w:r>
    </w:p>
    <w:p>
      <w:pPr>
        <w:spacing w:line="578" w:lineRule="exact"/>
        <w:ind w:firstLine="640" w:firstLineChars="200"/>
        <w:rPr>
          <w:rFonts w:eastAsia="仿宋_GB2312"/>
          <w:sz w:val="32"/>
          <w:szCs w:val="32"/>
        </w:rPr>
      </w:pPr>
      <w:r>
        <w:rPr>
          <w:rFonts w:hint="eastAsia" w:hAnsi="宋体" w:eastAsia="仿宋_GB2312"/>
          <w:sz w:val="32"/>
          <w:szCs w:val="32"/>
        </w:rPr>
        <w:t>支出责任：依据昆政办〔</w:t>
      </w:r>
      <w:r>
        <w:rPr>
          <w:rFonts w:hint="eastAsia" w:eastAsia="仿宋_GB2312"/>
          <w:sz w:val="32"/>
          <w:szCs w:val="32"/>
        </w:rPr>
        <w:t>2020</w:t>
      </w:r>
      <w:r>
        <w:rPr>
          <w:rFonts w:hint="eastAsia" w:hAnsi="宋体" w:eastAsia="仿宋_GB2312"/>
          <w:sz w:val="32"/>
          <w:szCs w:val="32"/>
        </w:rPr>
        <w:t>〕</w:t>
      </w:r>
      <w:r>
        <w:rPr>
          <w:rFonts w:hint="eastAsia" w:eastAsia="仿宋_GB2312"/>
          <w:sz w:val="32"/>
          <w:szCs w:val="32"/>
        </w:rPr>
        <w:t>78</w:t>
      </w:r>
      <w:r>
        <w:rPr>
          <w:rFonts w:hint="eastAsia" w:hAnsi="宋体" w:eastAsia="仿宋_GB2312"/>
          <w:sz w:val="32"/>
          <w:szCs w:val="32"/>
        </w:rPr>
        <w:t>号文件中央、省、市、区按照</w:t>
      </w:r>
      <w:r>
        <w:rPr>
          <w:rFonts w:hint="eastAsia" w:eastAsia="仿宋_GB2312"/>
          <w:sz w:val="32"/>
          <w:szCs w:val="32"/>
        </w:rPr>
        <w:t>80：4：14.4：1.6</w:t>
      </w:r>
      <w:r>
        <w:rPr>
          <w:rFonts w:hint="eastAsia" w:hAnsi="宋体" w:eastAsia="仿宋_GB2312"/>
          <w:sz w:val="32"/>
          <w:szCs w:val="32"/>
        </w:rPr>
        <w:t>的比例分担。</w:t>
      </w:r>
    </w:p>
    <w:p>
      <w:pPr>
        <w:spacing w:line="578" w:lineRule="exact"/>
        <w:ind w:firstLine="640" w:firstLineChars="200"/>
        <w:rPr>
          <w:rFonts w:eastAsia="仿宋_GB2312"/>
          <w:sz w:val="32"/>
          <w:szCs w:val="32"/>
        </w:rPr>
      </w:pPr>
      <w:r>
        <w:rPr>
          <w:rFonts w:hint="eastAsia" w:eastAsia="仿宋_GB2312"/>
          <w:sz w:val="32"/>
          <w:szCs w:val="32"/>
        </w:rPr>
        <w:t>牵头负责单位：区卫生健康局</w:t>
      </w:r>
    </w:p>
    <w:p>
      <w:pPr>
        <w:spacing w:line="578" w:lineRule="exact"/>
        <w:ind w:firstLine="640" w:firstLineChars="200"/>
        <w:rPr>
          <w:rFonts w:eastAsia="仿宋_GB2312"/>
          <w:sz w:val="32"/>
          <w:szCs w:val="32"/>
        </w:rPr>
      </w:pPr>
      <w:r>
        <w:rPr>
          <w:rFonts w:hint="eastAsia" w:eastAsia="仿宋_GB2312"/>
          <w:sz w:val="32"/>
          <w:szCs w:val="32"/>
        </w:rPr>
        <w:t>服务流程：严格按照《国家基本公共卫生服务规范（第三版）》执行。</w:t>
      </w:r>
    </w:p>
    <w:p>
      <w:pPr>
        <w:spacing w:line="578" w:lineRule="exact"/>
        <w:ind w:firstLine="640" w:firstLineChars="200"/>
        <w:rPr>
          <w:rFonts w:eastAsia="仿宋_GB2312"/>
          <w:sz w:val="32"/>
          <w:szCs w:val="32"/>
        </w:rPr>
      </w:pPr>
      <w:bookmarkStart w:id="135" w:name="_Toc5178"/>
      <w:bookmarkStart w:id="136" w:name="_Toc28320"/>
      <w:bookmarkStart w:id="137" w:name="_Toc1098663776"/>
      <w:bookmarkStart w:id="138" w:name="_Toc17131"/>
      <w:bookmarkStart w:id="139" w:name="_Toc1185"/>
      <w:bookmarkStart w:id="140" w:name="_Toc4367"/>
      <w:bookmarkStart w:id="141" w:name="_Toc29424"/>
      <w:r>
        <w:rPr>
          <w:rFonts w:hint="eastAsia" w:eastAsia="仿宋_GB2312"/>
          <w:sz w:val="32"/>
          <w:szCs w:val="32"/>
        </w:rPr>
        <w:t>35.慢性病患者健康管理</w:t>
      </w:r>
      <w:bookmarkEnd w:id="135"/>
      <w:bookmarkEnd w:id="136"/>
      <w:bookmarkEnd w:id="137"/>
      <w:bookmarkEnd w:id="138"/>
      <w:bookmarkEnd w:id="139"/>
      <w:bookmarkEnd w:id="140"/>
      <w:bookmarkEnd w:id="141"/>
    </w:p>
    <w:p>
      <w:pPr>
        <w:spacing w:line="578" w:lineRule="exact"/>
        <w:ind w:firstLine="640" w:firstLineChars="200"/>
        <w:rPr>
          <w:rFonts w:eastAsia="仿宋_GB2312"/>
          <w:sz w:val="32"/>
          <w:szCs w:val="32"/>
        </w:rPr>
      </w:pPr>
      <w:r>
        <w:rPr>
          <w:rFonts w:hint="eastAsia" w:eastAsia="仿宋_GB2312"/>
          <w:sz w:val="32"/>
          <w:szCs w:val="32"/>
        </w:rPr>
        <w:t>服务对象：所辖原发性高血压患者和2型糖尿病患者。</w:t>
      </w:r>
    </w:p>
    <w:p>
      <w:pPr>
        <w:spacing w:line="578" w:lineRule="exact"/>
        <w:ind w:firstLine="640" w:firstLineChars="200"/>
        <w:rPr>
          <w:rFonts w:eastAsia="仿宋_GB2312"/>
          <w:sz w:val="32"/>
          <w:szCs w:val="32"/>
        </w:rPr>
      </w:pPr>
      <w:r>
        <w:rPr>
          <w:rFonts w:hint="eastAsia" w:eastAsia="仿宋_GB2312"/>
          <w:sz w:val="32"/>
          <w:szCs w:val="32"/>
        </w:rPr>
        <w:t>服务内容：为所辖18岁及以上常住居民中原发性高血压患者和35岁及以上2型糖尿病患者提供筛查、随访评估、分类干预、健康体检服务。</w:t>
      </w:r>
    </w:p>
    <w:p>
      <w:pPr>
        <w:spacing w:line="578" w:lineRule="exact"/>
        <w:ind w:firstLine="640" w:firstLineChars="200"/>
        <w:rPr>
          <w:rFonts w:eastAsia="仿宋_GB2312"/>
          <w:sz w:val="32"/>
          <w:szCs w:val="32"/>
        </w:rPr>
      </w:pPr>
      <w:r>
        <w:rPr>
          <w:rFonts w:hint="eastAsia" w:eastAsia="仿宋_GB2312"/>
          <w:sz w:val="32"/>
          <w:szCs w:val="32"/>
        </w:rPr>
        <w:t>服务标准：《国家基本公共卫生服务规范（第三版）》、《国家基层高血压防治管理指南（2017）》和《国家基层糖尿病防治管理指南（2018）》。</w:t>
      </w:r>
    </w:p>
    <w:p>
      <w:pPr>
        <w:spacing w:line="578" w:lineRule="exact"/>
        <w:ind w:firstLine="640" w:firstLineChars="200"/>
        <w:rPr>
          <w:rFonts w:eastAsia="仿宋_GB2312"/>
          <w:sz w:val="32"/>
          <w:szCs w:val="32"/>
        </w:rPr>
      </w:pPr>
      <w:r>
        <w:rPr>
          <w:rFonts w:hint="eastAsia" w:eastAsia="仿宋_GB2312"/>
          <w:sz w:val="32"/>
          <w:szCs w:val="32"/>
        </w:rPr>
        <w:t>政策依据：《基本医疗卫生与健康促进法》、《健康中国2030规划纲要》、《健康云南2030规划纲要》，国发〔2019〕13号、云政发〔2020〕13号、卫妇社发〔2009〕70号文件。</w:t>
      </w:r>
    </w:p>
    <w:p>
      <w:pPr>
        <w:spacing w:line="578" w:lineRule="exact"/>
        <w:ind w:firstLine="640" w:firstLineChars="200"/>
        <w:rPr>
          <w:rFonts w:eastAsia="仿宋_GB2312"/>
          <w:sz w:val="32"/>
          <w:szCs w:val="32"/>
        </w:rPr>
      </w:pPr>
      <w:r>
        <w:rPr>
          <w:rFonts w:hint="eastAsia" w:eastAsia="仿宋_GB2312"/>
          <w:sz w:val="32"/>
          <w:szCs w:val="32"/>
        </w:rPr>
        <w:t>支出责任：依据昆政办〔2020〕78号文件中央、省、市、区按照80：4：14.4：1.6的比例分担。</w:t>
      </w:r>
    </w:p>
    <w:p>
      <w:pPr>
        <w:spacing w:line="578" w:lineRule="exact"/>
        <w:ind w:firstLine="640" w:firstLineChars="200"/>
        <w:rPr>
          <w:rFonts w:eastAsia="仿宋_GB2312"/>
          <w:sz w:val="32"/>
          <w:szCs w:val="32"/>
        </w:rPr>
      </w:pPr>
      <w:r>
        <w:rPr>
          <w:rFonts w:hint="eastAsia" w:eastAsia="仿宋_GB2312"/>
          <w:sz w:val="32"/>
          <w:szCs w:val="32"/>
        </w:rPr>
        <w:t>牵头负责单位：区卫生健康局</w:t>
      </w:r>
    </w:p>
    <w:p>
      <w:pPr>
        <w:spacing w:line="578" w:lineRule="exact"/>
        <w:ind w:firstLine="640" w:firstLineChars="200"/>
        <w:rPr>
          <w:rFonts w:eastAsia="仿宋_GB2312"/>
          <w:sz w:val="32"/>
          <w:szCs w:val="32"/>
        </w:rPr>
      </w:pPr>
      <w:r>
        <w:rPr>
          <w:rFonts w:hint="eastAsia" w:eastAsia="仿宋_GB2312"/>
          <w:sz w:val="32"/>
          <w:szCs w:val="32"/>
        </w:rPr>
        <w:t>服务流程：严格按照《国家基本公共卫生服务规范（第三版）》执行。</w:t>
      </w:r>
    </w:p>
    <w:p>
      <w:pPr>
        <w:spacing w:line="578" w:lineRule="exact"/>
        <w:ind w:firstLine="640" w:firstLineChars="200"/>
        <w:rPr>
          <w:rFonts w:eastAsia="仿宋_GB2312"/>
          <w:sz w:val="32"/>
          <w:szCs w:val="32"/>
        </w:rPr>
      </w:pPr>
      <w:bookmarkStart w:id="142" w:name="_Toc14104"/>
      <w:bookmarkStart w:id="143" w:name="_Toc9200"/>
      <w:bookmarkStart w:id="144" w:name="_Toc566388570"/>
      <w:bookmarkStart w:id="145" w:name="_Toc13341"/>
      <w:bookmarkStart w:id="146" w:name="_Toc16415"/>
      <w:bookmarkStart w:id="147" w:name="_Toc19846"/>
      <w:bookmarkStart w:id="148" w:name="_Toc10631"/>
      <w:r>
        <w:rPr>
          <w:rFonts w:hint="eastAsia" w:eastAsia="仿宋_GB2312"/>
          <w:sz w:val="32"/>
          <w:szCs w:val="32"/>
        </w:rPr>
        <w:t>36.地方病患者健康管理</w:t>
      </w:r>
      <w:bookmarkEnd w:id="142"/>
      <w:bookmarkEnd w:id="143"/>
      <w:bookmarkEnd w:id="144"/>
      <w:bookmarkEnd w:id="145"/>
      <w:bookmarkEnd w:id="146"/>
      <w:bookmarkEnd w:id="147"/>
      <w:bookmarkEnd w:id="148"/>
    </w:p>
    <w:p>
      <w:pPr>
        <w:spacing w:line="578" w:lineRule="exact"/>
        <w:ind w:firstLine="640" w:firstLineChars="200"/>
        <w:rPr>
          <w:rFonts w:eastAsia="仿宋_GB2312"/>
          <w:sz w:val="32"/>
          <w:szCs w:val="32"/>
        </w:rPr>
      </w:pPr>
      <w:r>
        <w:rPr>
          <w:rFonts w:hint="eastAsia" w:eastAsia="仿宋_GB2312"/>
          <w:sz w:val="32"/>
          <w:szCs w:val="32"/>
        </w:rPr>
        <w:t>服务对象：现症地方病患者。</w:t>
      </w:r>
    </w:p>
    <w:p>
      <w:pPr>
        <w:spacing w:line="578" w:lineRule="exact"/>
        <w:ind w:firstLine="640" w:firstLineChars="200"/>
        <w:rPr>
          <w:rFonts w:eastAsia="仿宋_GB2312"/>
          <w:sz w:val="32"/>
          <w:szCs w:val="32"/>
        </w:rPr>
      </w:pPr>
      <w:r>
        <w:rPr>
          <w:rFonts w:hint="eastAsia" w:eastAsia="仿宋_GB2312"/>
          <w:sz w:val="32"/>
          <w:szCs w:val="32"/>
        </w:rPr>
        <w:t>服务内容：为所辖克山病、氟骨症、地方性砷中毒、克汀病、二度甲状腺肿大等地方病患者建立健康档案，进行社区管理。</w:t>
      </w:r>
    </w:p>
    <w:p>
      <w:pPr>
        <w:spacing w:line="578" w:lineRule="exact"/>
        <w:ind w:firstLine="640" w:firstLineChars="200"/>
        <w:rPr>
          <w:rFonts w:eastAsia="仿宋_GB2312"/>
          <w:sz w:val="32"/>
          <w:szCs w:val="32"/>
        </w:rPr>
      </w:pPr>
      <w:r>
        <w:rPr>
          <w:rFonts w:hint="eastAsia" w:eastAsia="仿宋_GB2312"/>
          <w:sz w:val="32"/>
          <w:szCs w:val="32"/>
        </w:rPr>
        <w:t>服务标准：①信息管理。对现症地方病患者建档立卡，一人一档；②随访评估。对慢型克山病患者每3个月随访1次，对地方性氟骨症、地方性砷中毒、克汀病、二度甲状腺肿大患者每年随访1次；③健康体检。对以上地方病患者每年进行1次健康检查，可与随访相结合；④健康教育及干预。</w:t>
      </w:r>
    </w:p>
    <w:p>
      <w:pPr>
        <w:spacing w:line="578" w:lineRule="exact"/>
        <w:ind w:firstLine="640" w:firstLineChars="200"/>
        <w:rPr>
          <w:rFonts w:eastAsia="仿宋_GB2312"/>
          <w:sz w:val="32"/>
          <w:szCs w:val="32"/>
        </w:rPr>
      </w:pPr>
      <w:r>
        <w:rPr>
          <w:rFonts w:hint="eastAsia" w:eastAsia="仿宋_GB2312"/>
          <w:sz w:val="32"/>
          <w:szCs w:val="32"/>
        </w:rPr>
        <w:t>政策依据：《新划入基本公共卫生服务相关工作规范（2019年版）》、《国家卫生健康委办公厅关于印发地方病患者管理服务规范和治疗管理办法的通知》（国卫办疾控函〔2019〕873号）、《云南省卫生健康委办公室关于印发云南省地方病患者管理服</w:t>
      </w:r>
      <w:r>
        <w:rPr>
          <w:rFonts w:hint="eastAsia" w:eastAsia="仿宋_GB2312"/>
          <w:spacing w:val="-6"/>
          <w:sz w:val="32"/>
          <w:szCs w:val="32"/>
        </w:rPr>
        <w:t>务规范和治疗管理实施办法的通知》（云卫办疾控发〔2019〕17号）。</w:t>
      </w:r>
    </w:p>
    <w:p>
      <w:pPr>
        <w:spacing w:line="578" w:lineRule="exact"/>
        <w:ind w:firstLine="640" w:firstLineChars="200"/>
        <w:rPr>
          <w:rFonts w:eastAsia="仿宋_GB2312"/>
          <w:sz w:val="32"/>
          <w:szCs w:val="32"/>
        </w:rPr>
      </w:pPr>
      <w:r>
        <w:rPr>
          <w:rFonts w:hint="eastAsia" w:eastAsia="仿宋_GB2312"/>
          <w:sz w:val="32"/>
          <w:szCs w:val="32"/>
        </w:rPr>
        <w:t>支出责任：中央主要负责，省级适当补助，市级财政统筹中央补助资金和省级补助资金，根据防控任务、工作开展情况等因素确定。</w:t>
      </w:r>
    </w:p>
    <w:p>
      <w:pPr>
        <w:spacing w:line="578" w:lineRule="exact"/>
        <w:ind w:firstLine="640" w:firstLineChars="200"/>
        <w:rPr>
          <w:rFonts w:eastAsia="仿宋_GB2312"/>
          <w:sz w:val="32"/>
          <w:szCs w:val="32"/>
        </w:rPr>
      </w:pPr>
      <w:r>
        <w:rPr>
          <w:rFonts w:hint="eastAsia" w:eastAsia="仿宋_GB2312"/>
          <w:sz w:val="32"/>
          <w:szCs w:val="32"/>
        </w:rPr>
        <w:t>牵头负责单位：区卫生健康局</w:t>
      </w:r>
    </w:p>
    <w:p>
      <w:pPr>
        <w:spacing w:line="578" w:lineRule="exact"/>
        <w:ind w:firstLine="640" w:firstLineChars="200"/>
        <w:rPr>
          <w:rFonts w:eastAsia="仿宋_GB2312"/>
          <w:sz w:val="32"/>
          <w:szCs w:val="32"/>
        </w:rPr>
      </w:pPr>
      <w:r>
        <w:rPr>
          <w:rFonts w:hint="eastAsia" w:eastAsia="仿宋_GB2312"/>
          <w:sz w:val="32"/>
          <w:szCs w:val="32"/>
        </w:rPr>
        <w:t>服务流程：按照《云南省地方病患者管理服务规范》执行。</w:t>
      </w:r>
    </w:p>
    <w:p>
      <w:pPr>
        <w:spacing w:line="578" w:lineRule="exact"/>
        <w:ind w:firstLine="640" w:firstLineChars="200"/>
        <w:rPr>
          <w:rFonts w:eastAsia="仿宋_GB2312"/>
          <w:sz w:val="32"/>
          <w:szCs w:val="32"/>
        </w:rPr>
      </w:pPr>
      <w:bookmarkStart w:id="149" w:name="_Toc20613"/>
      <w:bookmarkStart w:id="150" w:name="_Toc1942325484"/>
      <w:bookmarkStart w:id="151" w:name="_Toc18211"/>
      <w:bookmarkStart w:id="152" w:name="_Toc14471"/>
      <w:bookmarkStart w:id="153" w:name="_Toc7979"/>
      <w:bookmarkStart w:id="154" w:name="_Toc20782"/>
      <w:bookmarkStart w:id="155" w:name="_Toc6711"/>
      <w:r>
        <w:rPr>
          <w:rFonts w:hint="eastAsia" w:eastAsia="仿宋_GB2312"/>
          <w:sz w:val="32"/>
          <w:szCs w:val="32"/>
        </w:rPr>
        <w:t>37.严重精神障碍患者健康管理</w:t>
      </w:r>
      <w:bookmarkEnd w:id="149"/>
      <w:bookmarkEnd w:id="150"/>
      <w:bookmarkEnd w:id="151"/>
      <w:bookmarkEnd w:id="152"/>
      <w:bookmarkEnd w:id="153"/>
      <w:bookmarkEnd w:id="154"/>
      <w:bookmarkEnd w:id="155"/>
    </w:p>
    <w:p>
      <w:pPr>
        <w:spacing w:line="578" w:lineRule="exact"/>
        <w:ind w:firstLine="640" w:firstLineChars="200"/>
        <w:rPr>
          <w:rFonts w:eastAsia="仿宋_GB2312"/>
          <w:sz w:val="32"/>
          <w:szCs w:val="32"/>
        </w:rPr>
      </w:pPr>
      <w:r>
        <w:rPr>
          <w:rFonts w:hint="eastAsia" w:eastAsia="仿宋_GB2312"/>
          <w:sz w:val="32"/>
          <w:szCs w:val="32"/>
        </w:rPr>
        <w:t>服务对象：所辖常住居民中诊断明确、在家居住的严重精神障碍患者。主要包括精神分裂症、分裂情感性障碍、偏执性精神病、双相情感障碍、癫痫所致精神障碍、精神发育迟滞伴发精神障碍。</w:t>
      </w:r>
    </w:p>
    <w:p>
      <w:pPr>
        <w:spacing w:line="578" w:lineRule="exact"/>
        <w:ind w:firstLine="640" w:firstLineChars="200"/>
        <w:rPr>
          <w:rFonts w:eastAsia="仿宋_GB2312"/>
          <w:sz w:val="32"/>
          <w:szCs w:val="32"/>
        </w:rPr>
      </w:pPr>
      <w:r>
        <w:rPr>
          <w:rFonts w:hint="eastAsia" w:eastAsia="仿宋_GB2312"/>
          <w:sz w:val="32"/>
          <w:szCs w:val="32"/>
        </w:rPr>
        <w:t>服务内容：为所辖常住居民中诊断明确、在家居住的严重精神障碍患者提供登记管理、随访评估、分类干预等服务。</w:t>
      </w:r>
    </w:p>
    <w:p>
      <w:pPr>
        <w:spacing w:line="578" w:lineRule="exact"/>
        <w:ind w:firstLine="640" w:firstLineChars="200"/>
        <w:rPr>
          <w:rFonts w:eastAsia="仿宋_GB2312"/>
          <w:sz w:val="32"/>
          <w:szCs w:val="32"/>
        </w:rPr>
      </w:pPr>
      <w:r>
        <w:rPr>
          <w:rFonts w:hint="eastAsia" w:eastAsia="仿宋_GB2312"/>
          <w:sz w:val="32"/>
          <w:szCs w:val="32"/>
        </w:rPr>
        <w:t>服务标准：按照《国家基本公共卫生服务规范第三版）》及相应技术方案执行，在册严重精神病障碍患者每年随访4次。</w:t>
      </w:r>
    </w:p>
    <w:p>
      <w:pPr>
        <w:spacing w:line="578" w:lineRule="exact"/>
        <w:ind w:firstLine="640" w:firstLineChars="200"/>
        <w:rPr>
          <w:rFonts w:eastAsia="仿宋_GB2312"/>
          <w:sz w:val="32"/>
          <w:szCs w:val="32"/>
        </w:rPr>
      </w:pPr>
      <w:r>
        <w:rPr>
          <w:rFonts w:hint="eastAsia" w:eastAsia="仿宋_GB2312"/>
          <w:sz w:val="32"/>
          <w:szCs w:val="32"/>
        </w:rPr>
        <w:t>政策依据：《基本医疗卫生与健康促进法》、《健康中国2030规划纲要》、《健康云南2030规划纲要》，国发〔2019〕13号、云政发〔2020〕13号、卫妇社发〔2009〕70号文件。</w:t>
      </w:r>
    </w:p>
    <w:p>
      <w:pPr>
        <w:spacing w:line="578" w:lineRule="exact"/>
        <w:ind w:firstLine="640" w:firstLineChars="200"/>
        <w:rPr>
          <w:rFonts w:eastAsia="仿宋_GB2312"/>
          <w:sz w:val="32"/>
          <w:szCs w:val="32"/>
        </w:rPr>
      </w:pPr>
      <w:r>
        <w:rPr>
          <w:rFonts w:hint="eastAsia" w:eastAsia="仿宋_GB2312"/>
          <w:sz w:val="32"/>
          <w:szCs w:val="32"/>
        </w:rPr>
        <w:t>支出责任：依据昆政办〔2020〕78号文件中央、省、市、区按照80：4：14.4：1.6的比例分担。</w:t>
      </w:r>
    </w:p>
    <w:p>
      <w:pPr>
        <w:spacing w:line="578" w:lineRule="exact"/>
        <w:ind w:firstLine="640" w:firstLineChars="200"/>
        <w:rPr>
          <w:rFonts w:eastAsia="仿宋_GB2312"/>
          <w:sz w:val="32"/>
          <w:szCs w:val="32"/>
        </w:rPr>
      </w:pPr>
      <w:r>
        <w:rPr>
          <w:rFonts w:hint="eastAsia" w:eastAsia="仿宋_GB2312"/>
          <w:sz w:val="32"/>
          <w:szCs w:val="32"/>
        </w:rPr>
        <w:t>牵头负责单位：区卫生健康局</w:t>
      </w:r>
    </w:p>
    <w:p>
      <w:pPr>
        <w:spacing w:line="578" w:lineRule="exact"/>
        <w:ind w:firstLine="640" w:firstLineChars="200"/>
        <w:rPr>
          <w:rFonts w:eastAsia="仿宋_GB2312"/>
          <w:sz w:val="32"/>
          <w:szCs w:val="32"/>
        </w:rPr>
      </w:pPr>
      <w:r>
        <w:rPr>
          <w:rFonts w:hint="eastAsia" w:eastAsia="仿宋_GB2312"/>
          <w:sz w:val="32"/>
          <w:szCs w:val="32"/>
        </w:rPr>
        <w:t>服务流程：严格按照《国家基本公共卫生服务规范（第三版）》执行。</w:t>
      </w:r>
    </w:p>
    <w:p>
      <w:pPr>
        <w:spacing w:line="578" w:lineRule="exact"/>
        <w:ind w:firstLine="640" w:firstLineChars="200"/>
        <w:rPr>
          <w:rFonts w:eastAsia="仿宋_GB2312"/>
          <w:sz w:val="32"/>
          <w:szCs w:val="32"/>
        </w:rPr>
      </w:pPr>
      <w:bookmarkStart w:id="156" w:name="_Toc30773"/>
      <w:bookmarkStart w:id="157" w:name="_Toc11048"/>
      <w:bookmarkStart w:id="158" w:name="_Toc10142"/>
      <w:bookmarkStart w:id="159" w:name="_Toc1984332519"/>
      <w:bookmarkStart w:id="160" w:name="_Toc5900"/>
      <w:bookmarkStart w:id="161" w:name="_Toc2472"/>
      <w:bookmarkStart w:id="162" w:name="_Toc16167"/>
      <w:r>
        <w:rPr>
          <w:rFonts w:hint="eastAsia" w:eastAsia="仿宋_GB2312"/>
          <w:sz w:val="32"/>
          <w:szCs w:val="32"/>
        </w:rPr>
        <w:t>38.结核病患者健康管理</w:t>
      </w:r>
      <w:bookmarkEnd w:id="156"/>
      <w:bookmarkEnd w:id="157"/>
      <w:bookmarkEnd w:id="158"/>
      <w:bookmarkEnd w:id="159"/>
      <w:bookmarkEnd w:id="160"/>
      <w:bookmarkEnd w:id="161"/>
      <w:bookmarkEnd w:id="162"/>
    </w:p>
    <w:p>
      <w:pPr>
        <w:spacing w:line="578" w:lineRule="exact"/>
        <w:ind w:firstLine="640" w:firstLineChars="200"/>
        <w:rPr>
          <w:rFonts w:eastAsia="仿宋_GB2312"/>
          <w:sz w:val="32"/>
          <w:szCs w:val="32"/>
        </w:rPr>
      </w:pPr>
      <w:r>
        <w:rPr>
          <w:rFonts w:hint="eastAsia" w:eastAsia="仿宋_GB2312"/>
          <w:sz w:val="32"/>
          <w:szCs w:val="32"/>
        </w:rPr>
        <w:t>服务对象：所辖确诊的常住肺结核患者。</w:t>
      </w:r>
    </w:p>
    <w:p>
      <w:pPr>
        <w:spacing w:line="578" w:lineRule="exact"/>
        <w:ind w:firstLine="640" w:firstLineChars="200"/>
        <w:rPr>
          <w:rFonts w:eastAsia="仿宋_GB2312"/>
          <w:sz w:val="32"/>
          <w:szCs w:val="32"/>
        </w:rPr>
      </w:pPr>
      <w:r>
        <w:rPr>
          <w:rFonts w:hint="eastAsia" w:eastAsia="仿宋_GB2312"/>
          <w:sz w:val="32"/>
          <w:szCs w:val="32"/>
        </w:rPr>
        <w:t>服务内容：①肺结核可疑症状者筛查及推介转诊。以所辖65岁以上老年人和糖尿病患者、病原学阳性肺结核患者密切接触者为重点，识别常住居民肺结核可疑症状者，初步鉴别诊断后，填写“双向转诊单”，推荐转诊并督促可疑症状者及时到当地肺结核病定点治疗医院进行结核病检查；②肺结核患者健康管理。接到上级专业机构的通知后，为所辖确诊的常住肺结核患者提供密切接触者筛查（第1次入户随访、半年、1年共3次症状筛查）及推介转诊、入户随访、督导服药、结果评估、分类干预等服务。</w:t>
      </w:r>
    </w:p>
    <w:p>
      <w:pPr>
        <w:spacing w:line="578" w:lineRule="exact"/>
        <w:ind w:firstLine="640" w:firstLineChars="200"/>
        <w:rPr>
          <w:rFonts w:eastAsia="仿宋_GB2312"/>
          <w:sz w:val="32"/>
          <w:szCs w:val="32"/>
        </w:rPr>
      </w:pPr>
      <w:r>
        <w:rPr>
          <w:rFonts w:hint="eastAsia" w:eastAsia="仿宋_GB2312"/>
          <w:sz w:val="32"/>
          <w:szCs w:val="32"/>
        </w:rPr>
        <w:t>服务标准：按照国家《基本公共卫生服务规范（第三版）》及相应技术方案执行。</w:t>
      </w:r>
    </w:p>
    <w:p>
      <w:pPr>
        <w:spacing w:line="578" w:lineRule="exact"/>
        <w:ind w:firstLine="640" w:firstLineChars="200"/>
        <w:rPr>
          <w:rFonts w:eastAsia="仿宋_GB2312"/>
          <w:sz w:val="32"/>
          <w:szCs w:val="32"/>
        </w:rPr>
      </w:pPr>
      <w:r>
        <w:rPr>
          <w:rFonts w:hint="eastAsia" w:eastAsia="仿宋_GB2312"/>
          <w:sz w:val="32"/>
          <w:szCs w:val="32"/>
        </w:rPr>
        <w:t>政策依据：《传染病防治法》、《基本医疗卫生与健康促进法》、《健康中国2030规划纲要》、《健康云南2030规划纲要》、卫妇社发〔2009〕70号文件、《国家基本公共卫生服务规范（第三版）》、《中国肺结核预防控制工作技术规范（2020年版）》。</w:t>
      </w:r>
    </w:p>
    <w:p>
      <w:pPr>
        <w:spacing w:line="578" w:lineRule="exact"/>
        <w:ind w:firstLine="640" w:firstLineChars="200"/>
        <w:rPr>
          <w:rFonts w:eastAsia="仿宋_GB2312"/>
          <w:sz w:val="32"/>
          <w:szCs w:val="32"/>
          <w:highlight w:val="yellow"/>
        </w:rPr>
      </w:pPr>
      <w:r>
        <w:rPr>
          <w:rFonts w:hint="eastAsia" w:eastAsia="仿宋_GB2312"/>
          <w:sz w:val="32"/>
          <w:szCs w:val="32"/>
        </w:rPr>
        <w:t>支出责任：依据昆政办〔2020〕78号文件中央、省、市、区按照80：4：14.4：1.6的比例分担。</w:t>
      </w:r>
    </w:p>
    <w:p>
      <w:pPr>
        <w:spacing w:line="578" w:lineRule="exact"/>
        <w:ind w:firstLine="640" w:firstLineChars="200"/>
        <w:rPr>
          <w:rFonts w:eastAsia="仿宋_GB2312"/>
          <w:sz w:val="32"/>
          <w:szCs w:val="32"/>
        </w:rPr>
      </w:pPr>
      <w:r>
        <w:rPr>
          <w:rFonts w:hint="eastAsia" w:eastAsia="仿宋_GB2312"/>
          <w:sz w:val="32"/>
          <w:szCs w:val="32"/>
        </w:rPr>
        <w:t>牵头负责单位：区卫生健康局</w:t>
      </w:r>
    </w:p>
    <w:p>
      <w:pPr>
        <w:spacing w:line="578" w:lineRule="exact"/>
        <w:ind w:firstLine="640" w:firstLineChars="200"/>
        <w:rPr>
          <w:rFonts w:eastAsia="仿宋_GB2312"/>
          <w:sz w:val="32"/>
          <w:szCs w:val="32"/>
        </w:rPr>
      </w:pPr>
      <w:r>
        <w:rPr>
          <w:rFonts w:hint="eastAsia" w:eastAsia="仿宋_GB2312"/>
          <w:sz w:val="32"/>
          <w:szCs w:val="32"/>
        </w:rPr>
        <w:t>服务流程：严格按照《国家基本公共卫生服务规范（第三版）》执行。</w:t>
      </w:r>
    </w:p>
    <w:p>
      <w:pPr>
        <w:spacing w:line="578" w:lineRule="exact"/>
        <w:ind w:firstLine="640" w:firstLineChars="200"/>
        <w:rPr>
          <w:rFonts w:eastAsia="仿宋_GB2312"/>
          <w:sz w:val="32"/>
          <w:szCs w:val="32"/>
        </w:rPr>
      </w:pPr>
      <w:bookmarkStart w:id="163" w:name="_Toc22099"/>
      <w:bookmarkStart w:id="164" w:name="_Toc3708"/>
      <w:bookmarkStart w:id="165" w:name="_Toc1172"/>
      <w:bookmarkStart w:id="166" w:name="_Toc1530500549"/>
      <w:bookmarkStart w:id="167" w:name="_Toc19066"/>
      <w:bookmarkStart w:id="168" w:name="_Toc7798"/>
      <w:bookmarkStart w:id="169" w:name="_Toc21760"/>
      <w:r>
        <w:rPr>
          <w:rFonts w:hint="eastAsia" w:eastAsia="仿宋_GB2312"/>
          <w:sz w:val="32"/>
          <w:szCs w:val="32"/>
        </w:rPr>
        <w:t>39.艾滋病病毒感染者和病人随访管理</w:t>
      </w:r>
      <w:bookmarkEnd w:id="163"/>
      <w:bookmarkEnd w:id="164"/>
      <w:bookmarkEnd w:id="165"/>
      <w:bookmarkEnd w:id="166"/>
      <w:bookmarkEnd w:id="167"/>
      <w:bookmarkEnd w:id="168"/>
      <w:bookmarkEnd w:id="169"/>
    </w:p>
    <w:p>
      <w:pPr>
        <w:spacing w:line="578" w:lineRule="exact"/>
        <w:ind w:firstLine="640" w:firstLineChars="200"/>
        <w:rPr>
          <w:rFonts w:eastAsia="仿宋_GB2312"/>
          <w:sz w:val="32"/>
          <w:szCs w:val="32"/>
        </w:rPr>
      </w:pPr>
      <w:r>
        <w:rPr>
          <w:rFonts w:hint="eastAsia" w:eastAsia="仿宋_GB2312"/>
          <w:sz w:val="32"/>
          <w:szCs w:val="32"/>
        </w:rPr>
        <w:t>服务对象：艾滋病病毒感染者和病人。</w:t>
      </w:r>
    </w:p>
    <w:p>
      <w:pPr>
        <w:spacing w:line="578" w:lineRule="exact"/>
        <w:ind w:firstLine="640" w:firstLineChars="200"/>
        <w:rPr>
          <w:rFonts w:eastAsia="仿宋_GB2312"/>
          <w:sz w:val="32"/>
          <w:szCs w:val="32"/>
        </w:rPr>
      </w:pPr>
      <w:r>
        <w:rPr>
          <w:rFonts w:hint="eastAsia" w:eastAsia="仿宋_GB2312"/>
          <w:sz w:val="32"/>
          <w:szCs w:val="32"/>
        </w:rPr>
        <w:t>服务内容：提供健康咨询、行为干预、配偶/固定性伴检测、随访、转介及抗病毒治疗等服务。</w:t>
      </w:r>
    </w:p>
    <w:p>
      <w:pPr>
        <w:spacing w:line="578" w:lineRule="exact"/>
        <w:ind w:firstLine="640" w:firstLineChars="200"/>
        <w:rPr>
          <w:rFonts w:eastAsia="仿宋_GB2312"/>
          <w:sz w:val="32"/>
          <w:szCs w:val="32"/>
        </w:rPr>
      </w:pPr>
      <w:r>
        <w:rPr>
          <w:rFonts w:hint="eastAsia" w:eastAsia="仿宋_GB2312"/>
          <w:sz w:val="32"/>
          <w:szCs w:val="32"/>
        </w:rPr>
        <w:t>服务标准：感染者和病人规范管理率达90%，单阳家庭配偶年阳转率持续控制在2%以下。国家《艾滋病病毒感染者随访工作指南（2016年版）》《云南省艾滋病病毒感染者和病人综合管理工作手册》（2014年）。</w:t>
      </w:r>
    </w:p>
    <w:p>
      <w:pPr>
        <w:spacing w:line="578" w:lineRule="exact"/>
        <w:ind w:firstLine="640" w:firstLineChars="200"/>
        <w:rPr>
          <w:rFonts w:eastAsia="仿宋_GB2312"/>
          <w:sz w:val="32"/>
          <w:szCs w:val="32"/>
        </w:rPr>
      </w:pPr>
      <w:r>
        <w:rPr>
          <w:rFonts w:hint="eastAsia" w:eastAsia="仿宋_GB2312"/>
          <w:sz w:val="32"/>
          <w:szCs w:val="32"/>
        </w:rPr>
        <w:t>政策依据：《艾滋病防治条例》、《中央宣传部 中央政法委 中央网信办 教育部 科技部 公安部 民政部 财政部 广电总局 卫生健康委关于印发遏制艾滋病传播实施方案（2019-2022年）的通知》（国卫疾控发〔2019〕54号）、《云南省艾滋病防治条例》、《云南省第五轮防治艾滋病人民战争实施方案（2021-2025年）》、云卫防艾发〔2020〕1号、《昆明市第五轮防治艾滋病人民战争实施方案（2021-2025年）》、《昆明市卫生健康委员会等10部门关于印发昆明市遏制艾滋病传播实施方案（2020-2022年）的通知》（昆卫防艾发〔2021〕2号）。</w:t>
      </w:r>
    </w:p>
    <w:p>
      <w:pPr>
        <w:spacing w:line="578" w:lineRule="exact"/>
        <w:ind w:firstLine="640" w:firstLineChars="200"/>
        <w:rPr>
          <w:rFonts w:eastAsia="仿宋_GB2312"/>
          <w:sz w:val="32"/>
          <w:szCs w:val="32"/>
        </w:rPr>
      </w:pPr>
      <w:r>
        <w:rPr>
          <w:rFonts w:hint="eastAsia" w:eastAsia="仿宋_GB2312"/>
          <w:sz w:val="32"/>
          <w:szCs w:val="32"/>
        </w:rPr>
        <w:t>支出责任：中央财政承担。</w:t>
      </w:r>
    </w:p>
    <w:p>
      <w:pPr>
        <w:spacing w:line="578" w:lineRule="exact"/>
        <w:ind w:firstLine="640" w:firstLineChars="200"/>
        <w:rPr>
          <w:rFonts w:eastAsia="仿宋_GB2312"/>
          <w:sz w:val="32"/>
          <w:szCs w:val="32"/>
        </w:rPr>
      </w:pPr>
      <w:r>
        <w:rPr>
          <w:rFonts w:hint="eastAsia" w:eastAsia="仿宋_GB2312"/>
          <w:sz w:val="32"/>
          <w:szCs w:val="32"/>
        </w:rPr>
        <w:t>牵头负责单位：区卫生健康局</w:t>
      </w:r>
    </w:p>
    <w:p>
      <w:pPr>
        <w:spacing w:line="578" w:lineRule="exact"/>
        <w:ind w:firstLine="640" w:firstLineChars="200"/>
        <w:rPr>
          <w:rFonts w:eastAsia="仿宋_GB2312"/>
          <w:sz w:val="32"/>
          <w:szCs w:val="32"/>
        </w:rPr>
      </w:pPr>
      <w:r>
        <w:rPr>
          <w:rFonts w:hint="eastAsia" w:eastAsia="仿宋_GB2312"/>
          <w:sz w:val="32"/>
          <w:szCs w:val="32"/>
        </w:rPr>
        <w:t>服务流程：发现感染者和病人后，10个工作日内完成首次咨询、行为干预和随访，及时转介进行抗病毒治疗，同时告知配偶，为配偶/固定性伴提供HIV抗体检测服务；后续纳入常规随访，定期为感染者和病人提供健康咨询、行为干预、配偶/固定性伴检测、随访、督导服药等服务（未治疗感染者和病人每季度随访1次、治疗感染者和病人每半年随访1次），每年为阴性配偶或检测情况不详的配偶至少提供一次HIV抗体检测服务。</w:t>
      </w:r>
    </w:p>
    <w:p>
      <w:pPr>
        <w:spacing w:line="578" w:lineRule="exact"/>
        <w:ind w:firstLine="640" w:firstLineChars="200"/>
        <w:rPr>
          <w:rFonts w:eastAsia="仿宋_GB2312"/>
          <w:sz w:val="32"/>
          <w:szCs w:val="32"/>
        </w:rPr>
      </w:pPr>
      <w:bookmarkStart w:id="170" w:name="_Toc14567"/>
      <w:bookmarkStart w:id="171" w:name="_Toc10989"/>
      <w:bookmarkStart w:id="172" w:name="_Toc21119"/>
      <w:bookmarkStart w:id="173" w:name="_Toc49741614"/>
      <w:bookmarkStart w:id="174" w:name="_Toc22955"/>
      <w:bookmarkStart w:id="175" w:name="_Toc20833"/>
      <w:bookmarkStart w:id="176" w:name="_Toc19355"/>
      <w:r>
        <w:rPr>
          <w:rFonts w:hint="eastAsia" w:eastAsia="仿宋_GB2312"/>
          <w:sz w:val="32"/>
          <w:szCs w:val="32"/>
        </w:rPr>
        <w:t>40.社区易感染艾滋病高危行为人群干预</w:t>
      </w:r>
      <w:bookmarkEnd w:id="170"/>
      <w:bookmarkEnd w:id="171"/>
      <w:bookmarkEnd w:id="172"/>
      <w:bookmarkEnd w:id="173"/>
      <w:bookmarkEnd w:id="174"/>
      <w:bookmarkEnd w:id="175"/>
      <w:bookmarkEnd w:id="176"/>
    </w:p>
    <w:p>
      <w:pPr>
        <w:spacing w:line="578" w:lineRule="exact"/>
        <w:ind w:firstLine="640" w:firstLineChars="200"/>
        <w:rPr>
          <w:rFonts w:eastAsia="仿宋_GB2312"/>
          <w:sz w:val="32"/>
          <w:szCs w:val="32"/>
        </w:rPr>
      </w:pPr>
      <w:r>
        <w:rPr>
          <w:rFonts w:hint="eastAsia" w:eastAsia="仿宋_GB2312"/>
          <w:sz w:val="32"/>
          <w:szCs w:val="32"/>
        </w:rPr>
        <w:t>服务对象：易感染艾滋病高危行为人群。</w:t>
      </w:r>
    </w:p>
    <w:p>
      <w:pPr>
        <w:spacing w:line="578" w:lineRule="exact"/>
        <w:ind w:firstLine="640" w:firstLineChars="200"/>
        <w:rPr>
          <w:rFonts w:eastAsia="仿宋_GB2312"/>
          <w:sz w:val="32"/>
          <w:szCs w:val="32"/>
        </w:rPr>
      </w:pPr>
      <w:r>
        <w:rPr>
          <w:rFonts w:hint="eastAsia" w:eastAsia="仿宋_GB2312"/>
          <w:sz w:val="32"/>
          <w:szCs w:val="32"/>
        </w:rPr>
        <w:t>服务内容：为艾滋病性传播高危行为人群提供艾滋病预防（包括暴露前后预防）、性与生殖健康知识服务，推广使用安全套。采取艾滋病、性病咨询检测等综合干预措施，对检测发现的感染者进行治疗转介。</w:t>
      </w:r>
    </w:p>
    <w:p>
      <w:pPr>
        <w:spacing w:line="578" w:lineRule="exact"/>
        <w:ind w:firstLine="640" w:firstLineChars="200"/>
        <w:rPr>
          <w:rFonts w:eastAsia="仿宋_GB2312"/>
          <w:sz w:val="32"/>
          <w:szCs w:val="32"/>
        </w:rPr>
      </w:pPr>
      <w:r>
        <w:rPr>
          <w:rFonts w:hint="eastAsia" w:eastAsia="仿宋_GB2312"/>
          <w:sz w:val="32"/>
          <w:szCs w:val="32"/>
        </w:rPr>
        <w:t>服务标准：干预措施覆盖率达90%，安全套使用率达85%以上。《异性性传播高危人群预防艾滋病干预工作指南（2016年版）》、《男男性行为人群预防艾滋病干预工作指南（2016年版）》。</w:t>
      </w:r>
    </w:p>
    <w:p>
      <w:pPr>
        <w:spacing w:line="578" w:lineRule="exact"/>
        <w:ind w:firstLine="640" w:firstLineChars="200"/>
        <w:rPr>
          <w:rFonts w:eastAsia="仿宋_GB2312"/>
          <w:sz w:val="32"/>
          <w:szCs w:val="32"/>
        </w:rPr>
      </w:pPr>
      <w:r>
        <w:rPr>
          <w:rFonts w:hint="eastAsia" w:eastAsia="仿宋_GB2312"/>
          <w:sz w:val="32"/>
          <w:szCs w:val="32"/>
        </w:rPr>
        <w:t>政策依据：《艾滋病防治条例》、国卫疾控发〔2019〕54号文件、《云南省艾滋病防治条例》、《云南省第五轮防治艾滋病人民战争实施方案（2021-2025年）》、云卫防艾发〔2020〕1号、昆发〔2021〕23号、昆卫防艾发〔2021〕2号文件。</w:t>
      </w:r>
    </w:p>
    <w:p>
      <w:pPr>
        <w:spacing w:line="578" w:lineRule="exact"/>
        <w:ind w:firstLine="640" w:firstLineChars="200"/>
        <w:rPr>
          <w:rFonts w:eastAsia="仿宋_GB2312"/>
          <w:sz w:val="32"/>
          <w:szCs w:val="32"/>
        </w:rPr>
      </w:pPr>
      <w:r>
        <w:rPr>
          <w:rFonts w:hint="eastAsia" w:eastAsia="仿宋_GB2312"/>
          <w:sz w:val="32"/>
          <w:szCs w:val="32"/>
        </w:rPr>
        <w:t>支出责任：中央财政承担。</w:t>
      </w:r>
    </w:p>
    <w:p>
      <w:pPr>
        <w:spacing w:line="578" w:lineRule="exact"/>
        <w:ind w:firstLine="640" w:firstLineChars="200"/>
        <w:rPr>
          <w:rFonts w:eastAsia="仿宋_GB2312"/>
          <w:sz w:val="32"/>
          <w:szCs w:val="32"/>
        </w:rPr>
      </w:pPr>
      <w:r>
        <w:rPr>
          <w:rFonts w:hint="eastAsia" w:eastAsia="仿宋_GB2312"/>
          <w:sz w:val="32"/>
          <w:szCs w:val="32"/>
        </w:rPr>
        <w:t>牵头负责单位：区卫生健康局</w:t>
      </w:r>
    </w:p>
    <w:p>
      <w:pPr>
        <w:spacing w:line="578" w:lineRule="exact"/>
        <w:ind w:firstLine="640" w:firstLineChars="200"/>
        <w:rPr>
          <w:rFonts w:eastAsia="仿宋_GB2312"/>
          <w:sz w:val="32"/>
          <w:szCs w:val="32"/>
        </w:rPr>
      </w:pPr>
      <w:r>
        <w:rPr>
          <w:rFonts w:hint="eastAsia" w:eastAsia="仿宋_GB2312"/>
          <w:sz w:val="32"/>
          <w:szCs w:val="32"/>
        </w:rPr>
        <w:t>服务流程：开展社区易感染艾滋病高危行为人群规模调查，收集其数量、分布、高危行为等信息，建立信息档案；采取面对面、同伴教育、小组活动、外展干预等形式提供综合干预服务；每月对所辖易感染艾滋病高危行为人群至少进行1次干预；对所辖易感染艾滋病高危行为人群每年至少进行1次艾滋病及性病检测；对检测发现的艾滋病感染者及疑似性病患者等时进行治疗转介。</w:t>
      </w:r>
    </w:p>
    <w:p>
      <w:pPr>
        <w:spacing w:line="578" w:lineRule="exact"/>
        <w:ind w:firstLine="640" w:firstLineChars="200"/>
        <w:rPr>
          <w:rFonts w:eastAsia="仿宋_GB2312"/>
          <w:sz w:val="32"/>
          <w:szCs w:val="32"/>
        </w:rPr>
      </w:pPr>
      <w:bookmarkStart w:id="177" w:name="_Toc23838"/>
      <w:bookmarkStart w:id="178" w:name="_Toc1978854274"/>
      <w:bookmarkStart w:id="179" w:name="_Toc14025"/>
      <w:bookmarkStart w:id="180" w:name="_Toc687"/>
      <w:bookmarkStart w:id="181" w:name="_Toc24729"/>
      <w:bookmarkStart w:id="182" w:name="_Toc29625"/>
      <w:bookmarkStart w:id="183" w:name="_Toc31651"/>
      <w:r>
        <w:rPr>
          <w:rFonts w:hint="eastAsia" w:eastAsia="仿宋_GB2312"/>
          <w:sz w:val="32"/>
          <w:szCs w:val="32"/>
        </w:rPr>
        <w:t>41.基本药物供应保障服务</w:t>
      </w:r>
      <w:bookmarkEnd w:id="177"/>
      <w:bookmarkEnd w:id="178"/>
      <w:bookmarkEnd w:id="179"/>
      <w:bookmarkEnd w:id="180"/>
      <w:bookmarkEnd w:id="181"/>
      <w:bookmarkEnd w:id="182"/>
      <w:bookmarkEnd w:id="183"/>
    </w:p>
    <w:p>
      <w:pPr>
        <w:spacing w:line="578" w:lineRule="exact"/>
        <w:ind w:firstLine="640" w:firstLineChars="200"/>
        <w:rPr>
          <w:rFonts w:eastAsia="仿宋_GB2312"/>
          <w:sz w:val="32"/>
          <w:szCs w:val="32"/>
        </w:rPr>
      </w:pPr>
      <w:r>
        <w:rPr>
          <w:rFonts w:hint="eastAsia" w:eastAsia="仿宋_GB2312"/>
          <w:sz w:val="32"/>
          <w:szCs w:val="32"/>
        </w:rPr>
        <w:t>服务对象：城乡居民。</w:t>
      </w:r>
    </w:p>
    <w:p>
      <w:pPr>
        <w:spacing w:line="578" w:lineRule="exact"/>
        <w:ind w:firstLine="640" w:firstLineChars="200"/>
        <w:rPr>
          <w:rFonts w:eastAsia="仿宋_GB2312"/>
          <w:sz w:val="32"/>
          <w:szCs w:val="32"/>
        </w:rPr>
      </w:pPr>
      <w:r>
        <w:rPr>
          <w:rFonts w:hint="eastAsia" w:eastAsia="仿宋_GB2312"/>
          <w:sz w:val="32"/>
          <w:szCs w:val="32"/>
        </w:rPr>
        <w:t>服务内容：贯彻落实国家基本药物制度，加强我区药品供应保障体系建设，保障群众基本用药需求。</w:t>
      </w:r>
    </w:p>
    <w:p>
      <w:pPr>
        <w:spacing w:line="578" w:lineRule="exact"/>
        <w:ind w:firstLine="640" w:firstLineChars="200"/>
        <w:rPr>
          <w:rFonts w:eastAsia="仿宋_GB2312"/>
          <w:sz w:val="32"/>
          <w:szCs w:val="32"/>
        </w:rPr>
      </w:pPr>
      <w:r>
        <w:rPr>
          <w:rFonts w:hint="eastAsia" w:eastAsia="仿宋_GB2312"/>
          <w:sz w:val="32"/>
          <w:szCs w:val="32"/>
        </w:rPr>
        <w:t>服务标准：按照《国家基本药物目录》及国家、云南省有关规定执行。</w:t>
      </w:r>
    </w:p>
    <w:p>
      <w:pPr>
        <w:spacing w:line="578" w:lineRule="exact"/>
        <w:ind w:firstLine="640" w:firstLineChars="200"/>
        <w:rPr>
          <w:rFonts w:eastAsia="仿宋_GB2312"/>
          <w:sz w:val="32"/>
          <w:szCs w:val="32"/>
        </w:rPr>
      </w:pPr>
      <w:r>
        <w:rPr>
          <w:rFonts w:hint="eastAsia" w:eastAsia="仿宋_GB2312"/>
          <w:sz w:val="32"/>
          <w:szCs w:val="32"/>
        </w:rPr>
        <w:t>政策依据：《国务院办公厅关于完善国家基本药物制度的意见》（国办发〔2018〕88号）、《云南省人民政府办公厅关于贯彻落实国家基本药物制度的实施意见》（云政办发〔2019〕65号）。</w:t>
      </w:r>
    </w:p>
    <w:p>
      <w:pPr>
        <w:spacing w:line="578" w:lineRule="exact"/>
        <w:ind w:firstLine="640" w:firstLineChars="200"/>
        <w:rPr>
          <w:rFonts w:eastAsia="仿宋_GB2312"/>
          <w:sz w:val="32"/>
          <w:szCs w:val="32"/>
        </w:rPr>
      </w:pPr>
      <w:r>
        <w:rPr>
          <w:rFonts w:hint="eastAsia" w:eastAsia="仿宋_GB2312"/>
          <w:sz w:val="32"/>
          <w:szCs w:val="32"/>
        </w:rPr>
        <w:t>支出责任：省人民政府负责，中央财政适当补助。</w:t>
      </w:r>
    </w:p>
    <w:p>
      <w:pPr>
        <w:spacing w:line="578" w:lineRule="exact"/>
        <w:ind w:firstLine="640" w:firstLineChars="200"/>
        <w:rPr>
          <w:rFonts w:eastAsia="仿宋_GB2312"/>
          <w:sz w:val="32"/>
          <w:szCs w:val="32"/>
        </w:rPr>
      </w:pPr>
      <w:r>
        <w:rPr>
          <w:rFonts w:hint="eastAsia" w:eastAsia="仿宋_GB2312"/>
          <w:sz w:val="32"/>
          <w:szCs w:val="32"/>
        </w:rPr>
        <w:t>牵头负责单位：区卫生健康局、区医疗保障局</w:t>
      </w:r>
    </w:p>
    <w:p>
      <w:pPr>
        <w:spacing w:line="578" w:lineRule="exact"/>
        <w:ind w:firstLine="640" w:firstLineChars="200"/>
        <w:rPr>
          <w:rFonts w:eastAsia="仿宋_GB2312"/>
          <w:sz w:val="32"/>
          <w:szCs w:val="32"/>
        </w:rPr>
      </w:pPr>
      <w:r>
        <w:rPr>
          <w:rFonts w:hint="eastAsia" w:eastAsia="仿宋_GB2312"/>
          <w:sz w:val="32"/>
          <w:szCs w:val="32"/>
        </w:rPr>
        <w:t>服务流程：执行国家基本药物制度，根据国家基本药物目录，合理制定各级医疗机构基本药物使用比例，医疗机构根据比例要求优先配备使用基本药物，不断满足人民群众基本用药需求。从2022年1月1日起，全市统一执行《2021年国家基本医疗保险、工伤保险和生育保险药品目录》的支付范围，随国家目录动态调整。凡属国家实施的药品目录内基本药物，医保按规定予以支付。</w:t>
      </w:r>
    </w:p>
    <w:p>
      <w:pPr>
        <w:spacing w:line="578" w:lineRule="exact"/>
        <w:ind w:firstLine="640" w:firstLineChars="200"/>
        <w:rPr>
          <w:rFonts w:eastAsia="仿宋_GB2312"/>
          <w:sz w:val="32"/>
          <w:szCs w:val="32"/>
        </w:rPr>
      </w:pPr>
      <w:bookmarkStart w:id="184" w:name="_Toc26954"/>
      <w:bookmarkStart w:id="185" w:name="_Toc24152"/>
      <w:bookmarkStart w:id="186" w:name="_Toc517785078"/>
      <w:bookmarkStart w:id="187" w:name="_Toc12294"/>
      <w:bookmarkStart w:id="188" w:name="_Toc17680"/>
      <w:bookmarkStart w:id="189" w:name="_Toc9027"/>
      <w:bookmarkStart w:id="190" w:name="_Toc18091"/>
      <w:r>
        <w:rPr>
          <w:rFonts w:hint="eastAsia" w:eastAsia="仿宋_GB2312"/>
          <w:sz w:val="32"/>
          <w:szCs w:val="32"/>
        </w:rPr>
        <w:t>42.农村适龄妇女宫颈癌和乳腺癌筛查</w:t>
      </w:r>
      <w:bookmarkEnd w:id="184"/>
      <w:bookmarkEnd w:id="185"/>
      <w:bookmarkEnd w:id="186"/>
      <w:bookmarkEnd w:id="187"/>
      <w:bookmarkEnd w:id="188"/>
      <w:bookmarkEnd w:id="189"/>
      <w:bookmarkEnd w:id="190"/>
    </w:p>
    <w:p>
      <w:pPr>
        <w:spacing w:line="578" w:lineRule="exact"/>
        <w:ind w:firstLine="640" w:firstLineChars="200"/>
        <w:rPr>
          <w:rFonts w:eastAsia="仿宋_GB2312"/>
          <w:sz w:val="32"/>
          <w:szCs w:val="32"/>
        </w:rPr>
      </w:pPr>
      <w:r>
        <w:rPr>
          <w:rFonts w:hint="eastAsia" w:eastAsia="仿宋_GB2312"/>
          <w:sz w:val="32"/>
          <w:szCs w:val="32"/>
        </w:rPr>
        <w:t>服务对象：35-64岁农村妇女。</w:t>
      </w:r>
    </w:p>
    <w:p>
      <w:pPr>
        <w:spacing w:line="578" w:lineRule="exact"/>
        <w:ind w:firstLine="640" w:firstLineChars="200"/>
        <w:rPr>
          <w:rFonts w:eastAsia="仿宋_GB2312"/>
          <w:sz w:val="32"/>
          <w:szCs w:val="32"/>
        </w:rPr>
      </w:pPr>
      <w:r>
        <w:rPr>
          <w:rFonts w:hint="eastAsia" w:eastAsia="仿宋_GB2312"/>
          <w:sz w:val="32"/>
          <w:szCs w:val="32"/>
        </w:rPr>
        <w:t>服务内容：为农村适龄妇女提供宫颈癌、乳腺癌预防健康教育、筛查和转诊服务。</w:t>
      </w:r>
    </w:p>
    <w:p>
      <w:pPr>
        <w:spacing w:line="578" w:lineRule="exact"/>
        <w:ind w:firstLine="640" w:firstLineChars="200"/>
        <w:rPr>
          <w:rFonts w:eastAsia="仿宋_GB2312"/>
          <w:sz w:val="32"/>
          <w:szCs w:val="32"/>
        </w:rPr>
      </w:pPr>
      <w:r>
        <w:rPr>
          <w:rFonts w:hint="eastAsia" w:eastAsia="仿宋_GB2312"/>
          <w:sz w:val="32"/>
          <w:szCs w:val="32"/>
        </w:rPr>
        <w:t>服务标准：《新划入基本公共卫生服务相关工作规范（2019年版）》中《农村妇女“两癌”检查项目管理工作规范》、《宫颈癌筛查项目管理规范》、《乳腺癌筛查项目管理规范》。</w:t>
      </w:r>
    </w:p>
    <w:p>
      <w:pPr>
        <w:spacing w:line="578" w:lineRule="exact"/>
        <w:ind w:firstLine="640" w:firstLineChars="200"/>
        <w:rPr>
          <w:rFonts w:eastAsia="仿宋_GB2312"/>
          <w:sz w:val="32"/>
          <w:szCs w:val="32"/>
        </w:rPr>
      </w:pPr>
      <w:r>
        <w:rPr>
          <w:rFonts w:hint="eastAsia" w:eastAsia="仿宋_GB2312"/>
          <w:sz w:val="32"/>
          <w:szCs w:val="32"/>
        </w:rPr>
        <w:t>政策依据：《关于做好2019年基本公共卫生服务项目工作的通知》（国卫基层发〔2019〕52号）、卫生健康委2019年9月下发的《新划入基本公共卫生服务相关工作规范（2019年版）》、《健康中国2030》、《中国妇女发展纲要（2010-2020）》、《健康云南2030》、《云南省妇女发展规划（2010-2020）》。</w:t>
      </w:r>
    </w:p>
    <w:p>
      <w:pPr>
        <w:spacing w:line="578" w:lineRule="exact"/>
        <w:ind w:firstLine="640" w:firstLineChars="200"/>
        <w:rPr>
          <w:rFonts w:eastAsia="仿宋_GB2312"/>
          <w:sz w:val="32"/>
          <w:szCs w:val="32"/>
        </w:rPr>
      </w:pPr>
      <w:r>
        <w:rPr>
          <w:rFonts w:hint="eastAsia" w:eastAsia="仿宋_GB2312"/>
          <w:sz w:val="32"/>
          <w:szCs w:val="32"/>
        </w:rPr>
        <w:t>支出责任：依据昆政办〔2020〕78号文件中央、省、市、区按照80：4：14.4：1.6的比例分担。</w:t>
      </w:r>
    </w:p>
    <w:p>
      <w:pPr>
        <w:spacing w:line="578" w:lineRule="exact"/>
        <w:ind w:firstLine="640" w:firstLineChars="200"/>
        <w:rPr>
          <w:rFonts w:eastAsia="仿宋_GB2312"/>
          <w:sz w:val="32"/>
          <w:szCs w:val="32"/>
        </w:rPr>
      </w:pPr>
      <w:r>
        <w:rPr>
          <w:rFonts w:hint="eastAsia" w:eastAsia="仿宋_GB2312"/>
          <w:sz w:val="32"/>
          <w:szCs w:val="32"/>
        </w:rPr>
        <w:t>牵头责任单位：区卫生健康局、区妇联</w:t>
      </w:r>
    </w:p>
    <w:p>
      <w:pPr>
        <w:spacing w:line="578" w:lineRule="exact"/>
        <w:ind w:firstLine="640" w:firstLineChars="200"/>
        <w:rPr>
          <w:rFonts w:eastAsia="仿宋_GB2312"/>
          <w:sz w:val="32"/>
          <w:szCs w:val="32"/>
        </w:rPr>
      </w:pPr>
      <w:r>
        <w:rPr>
          <w:rFonts w:hint="eastAsia" w:eastAsia="仿宋_GB2312"/>
          <w:sz w:val="32"/>
          <w:szCs w:val="32"/>
        </w:rPr>
        <w:t>服务流程：按照国家《新划入基本公共卫生服务相关工作规范（2019年版）》、《健康云南妇幼健康行动方案》执行。</w:t>
      </w:r>
    </w:p>
    <w:p>
      <w:pPr>
        <w:spacing w:line="578" w:lineRule="exact"/>
        <w:ind w:firstLine="640" w:firstLineChars="200"/>
        <w:rPr>
          <w:rFonts w:eastAsia="仿宋_GB2312"/>
          <w:sz w:val="32"/>
          <w:szCs w:val="32"/>
        </w:rPr>
      </w:pPr>
      <w:bookmarkStart w:id="191" w:name="_Toc21347"/>
      <w:bookmarkStart w:id="192" w:name="_Toc1639137311"/>
      <w:bookmarkStart w:id="193" w:name="_Toc30313"/>
      <w:bookmarkStart w:id="194" w:name="_Toc28852"/>
      <w:bookmarkStart w:id="195" w:name="_Toc28358"/>
      <w:bookmarkStart w:id="196" w:name="_Toc27500"/>
      <w:bookmarkStart w:id="197" w:name="_Toc9767"/>
      <w:bookmarkStart w:id="198" w:name="_Toc73663915"/>
      <w:r>
        <w:rPr>
          <w:rFonts w:hint="eastAsia" w:eastAsia="仿宋_GB2312"/>
          <w:sz w:val="32"/>
          <w:szCs w:val="32"/>
        </w:rPr>
        <w:t>43.食品药品安全保障</w:t>
      </w:r>
      <w:bookmarkEnd w:id="191"/>
      <w:bookmarkEnd w:id="192"/>
      <w:bookmarkEnd w:id="193"/>
      <w:bookmarkEnd w:id="194"/>
      <w:bookmarkEnd w:id="195"/>
      <w:bookmarkEnd w:id="196"/>
      <w:bookmarkEnd w:id="197"/>
    </w:p>
    <w:p>
      <w:pPr>
        <w:spacing w:line="578" w:lineRule="exact"/>
        <w:ind w:firstLine="640" w:firstLineChars="200"/>
        <w:rPr>
          <w:rFonts w:eastAsia="仿宋_GB2312"/>
          <w:sz w:val="32"/>
          <w:szCs w:val="32"/>
        </w:rPr>
      </w:pPr>
      <w:r>
        <w:rPr>
          <w:rFonts w:hint="eastAsia" w:eastAsia="仿宋_GB2312"/>
          <w:sz w:val="32"/>
          <w:szCs w:val="32"/>
        </w:rPr>
        <w:t>43.1食品安全风险监测、食品安全标准制（修）订跟踪评价、企业标准备案等服务</w:t>
      </w:r>
    </w:p>
    <w:p>
      <w:pPr>
        <w:spacing w:line="578" w:lineRule="exact"/>
        <w:ind w:firstLine="640" w:firstLineChars="200"/>
        <w:rPr>
          <w:rFonts w:eastAsia="仿宋_GB2312"/>
          <w:sz w:val="32"/>
          <w:szCs w:val="32"/>
        </w:rPr>
      </w:pPr>
      <w:r>
        <w:rPr>
          <w:rFonts w:hint="eastAsia" w:eastAsia="仿宋_GB2312"/>
          <w:sz w:val="32"/>
          <w:szCs w:val="32"/>
        </w:rPr>
        <w:t>服务对象：城乡居民。</w:t>
      </w:r>
    </w:p>
    <w:p>
      <w:pPr>
        <w:spacing w:line="578" w:lineRule="exact"/>
        <w:ind w:firstLine="640" w:firstLineChars="200"/>
        <w:rPr>
          <w:rFonts w:eastAsia="仿宋_GB2312"/>
          <w:sz w:val="32"/>
          <w:szCs w:val="32"/>
        </w:rPr>
      </w:pPr>
      <w:r>
        <w:rPr>
          <w:rFonts w:hint="eastAsia" w:eastAsia="仿宋_GB2312"/>
          <w:sz w:val="32"/>
          <w:szCs w:val="32"/>
        </w:rPr>
        <w:t>服务内容：以问题为导向，按照《食品安全法》及实施条例、《中共中央 国务院关于深化改革加强食品安全工作的意见》和市场监管总局《食品安全抽样检测抽样检验管理办法》等有关规定，开展食品安全风险监测、食品安全标准制（修）订、跟踪评价、企业标准备案等工作，对抽检、风险监测和标准跟踪评价结果进行分析。</w:t>
      </w:r>
    </w:p>
    <w:p>
      <w:pPr>
        <w:spacing w:line="578" w:lineRule="exact"/>
        <w:ind w:firstLine="640" w:firstLineChars="200"/>
        <w:rPr>
          <w:rFonts w:eastAsia="仿宋_GB2312"/>
          <w:sz w:val="32"/>
          <w:szCs w:val="32"/>
        </w:rPr>
      </w:pPr>
      <w:r>
        <w:rPr>
          <w:rFonts w:hint="eastAsia" w:eastAsia="仿宋_GB2312"/>
          <w:sz w:val="32"/>
          <w:szCs w:val="32"/>
        </w:rPr>
        <w:t>服务标准：按照《食品安全法》及实施条例、《中共中央 国务院关于深化改革加强食品安全工作的意见》（中</w:t>
      </w:r>
      <w:r>
        <w:rPr>
          <w:rFonts w:hint="eastAsia" w:ascii="仿宋_GB2312" w:eastAsia="仿宋_GB2312"/>
          <w:sz w:val="32"/>
          <w:szCs w:val="32"/>
        </w:rPr>
        <w:t>发〔2</w:t>
      </w:r>
      <w:r>
        <w:rPr>
          <w:rFonts w:hint="eastAsia" w:eastAsia="仿宋_GB2312"/>
          <w:sz w:val="32"/>
          <w:szCs w:val="32"/>
        </w:rPr>
        <w:t>019</w:t>
      </w:r>
      <w:r>
        <w:rPr>
          <w:rFonts w:hint="eastAsia" w:ascii="仿宋_GB2312" w:eastAsia="仿宋_GB2312"/>
          <w:sz w:val="32"/>
          <w:szCs w:val="32"/>
        </w:rPr>
        <w:t>〕</w:t>
      </w:r>
      <w:r>
        <w:rPr>
          <w:rFonts w:hint="eastAsia" w:eastAsia="仿宋_GB2312"/>
          <w:sz w:val="32"/>
          <w:szCs w:val="32"/>
        </w:rPr>
        <w:t>17号）、《食品安全抽样检测抽样检验管理办法》等有关规定执行。</w:t>
      </w:r>
    </w:p>
    <w:p>
      <w:pPr>
        <w:spacing w:line="578" w:lineRule="exact"/>
        <w:ind w:firstLine="640" w:firstLineChars="200"/>
        <w:rPr>
          <w:rFonts w:eastAsia="仿宋_GB2312"/>
          <w:sz w:val="32"/>
          <w:szCs w:val="32"/>
        </w:rPr>
      </w:pPr>
      <w:r>
        <w:rPr>
          <w:rFonts w:hint="eastAsia" w:eastAsia="仿宋_GB2312"/>
          <w:sz w:val="32"/>
          <w:szCs w:val="32"/>
        </w:rPr>
        <w:t>政策依据：《食品安全法》及实施条例、中发〔2019〕17号文件、《食品安全抽样检验管理办法》（国家市场监管总局令第15号）、《中共云南省委 云南省人民政府关于深化改革加强食品安全工作的实施意见》（云发〔2020〕9号）、《中共昆明市委办公室 昆明市人民政府办公室关于印发昆明市深化改革加强食品安全工作任务清单的通知》（昆办发〔2020〕16号）。</w:t>
      </w:r>
    </w:p>
    <w:p>
      <w:pPr>
        <w:spacing w:line="578" w:lineRule="exact"/>
        <w:ind w:firstLine="640" w:firstLineChars="200"/>
        <w:rPr>
          <w:rFonts w:eastAsia="仿宋_GB2312"/>
          <w:sz w:val="32"/>
          <w:szCs w:val="32"/>
        </w:rPr>
      </w:pPr>
      <w:r>
        <w:rPr>
          <w:rFonts w:hint="eastAsia" w:eastAsia="仿宋_GB2312"/>
          <w:sz w:val="32"/>
          <w:szCs w:val="32"/>
        </w:rPr>
        <w:t>支出责任：中央、省、市、县（市）区地方人民政府分级分类负责。中央财政承担由国家市场总局下达的风险监测任务经费，省级财政承担由省市场监管局下达的风险监测任务经费，市、县（市）区财政承担由本级卫生行政部门、市场监管部门开展的风险监测任务经费。</w:t>
      </w:r>
    </w:p>
    <w:p>
      <w:pPr>
        <w:spacing w:line="578" w:lineRule="exact"/>
        <w:ind w:firstLine="640" w:firstLineChars="200"/>
        <w:rPr>
          <w:rFonts w:eastAsia="仿宋_GB2312"/>
          <w:sz w:val="32"/>
          <w:szCs w:val="32"/>
        </w:rPr>
      </w:pPr>
      <w:r>
        <w:rPr>
          <w:rFonts w:hint="eastAsia" w:eastAsia="仿宋_GB2312"/>
          <w:sz w:val="32"/>
          <w:szCs w:val="32"/>
        </w:rPr>
        <w:t>牵头负责单位：区卫生健康局、区市场监管局。</w:t>
      </w:r>
    </w:p>
    <w:p>
      <w:pPr>
        <w:spacing w:line="578" w:lineRule="exact"/>
        <w:ind w:firstLine="640" w:firstLineChars="200"/>
        <w:rPr>
          <w:rFonts w:eastAsia="仿宋_GB2312"/>
          <w:sz w:val="32"/>
          <w:szCs w:val="32"/>
          <w:highlight w:val="yellow"/>
        </w:rPr>
      </w:pPr>
      <w:r>
        <w:rPr>
          <w:rFonts w:hint="eastAsia" w:eastAsia="仿宋_GB2312"/>
          <w:sz w:val="32"/>
          <w:szCs w:val="32"/>
        </w:rPr>
        <w:t>服务流程：区卫生健康局、区市场监管局每年根据昆明市食品安全抽检监测工作计划及食品安全抽检监测方案，完成全年东川区食品安全风险监测任务。</w:t>
      </w:r>
    </w:p>
    <w:p>
      <w:pPr>
        <w:spacing w:line="578" w:lineRule="exact"/>
        <w:ind w:firstLine="640" w:firstLineChars="200"/>
        <w:rPr>
          <w:rFonts w:eastAsia="仿宋_GB2312"/>
          <w:sz w:val="32"/>
          <w:szCs w:val="32"/>
        </w:rPr>
      </w:pPr>
      <w:r>
        <w:rPr>
          <w:rFonts w:hint="eastAsia" w:eastAsia="仿宋_GB2312"/>
          <w:sz w:val="32"/>
          <w:szCs w:val="32"/>
        </w:rPr>
        <w:t>43.2药品安全保障</w:t>
      </w:r>
    </w:p>
    <w:bookmarkEnd w:id="198"/>
    <w:p>
      <w:pPr>
        <w:spacing w:line="578" w:lineRule="exact"/>
        <w:ind w:firstLine="640" w:firstLineChars="200"/>
        <w:rPr>
          <w:rFonts w:eastAsia="仿宋_GB2312"/>
          <w:sz w:val="32"/>
          <w:szCs w:val="32"/>
        </w:rPr>
      </w:pPr>
      <w:r>
        <w:rPr>
          <w:rFonts w:hint="eastAsia" w:eastAsia="仿宋_GB2312"/>
          <w:sz w:val="32"/>
          <w:szCs w:val="32"/>
        </w:rPr>
        <w:t>服务对象：城乡居民。</w:t>
      </w:r>
    </w:p>
    <w:p>
      <w:pPr>
        <w:spacing w:line="578" w:lineRule="exact"/>
        <w:ind w:firstLine="640" w:firstLineChars="200"/>
        <w:rPr>
          <w:rFonts w:eastAsia="仿宋_GB2312"/>
          <w:sz w:val="32"/>
          <w:szCs w:val="32"/>
        </w:rPr>
      </w:pPr>
      <w:r>
        <w:rPr>
          <w:rFonts w:hint="eastAsia" w:eastAsia="仿宋_GB2312"/>
          <w:sz w:val="32"/>
          <w:szCs w:val="32"/>
        </w:rPr>
        <w:t>服务内容：对药品（含疫苗）、医疗器械、化妆品（以下简称“两品一械”）进行抽查检验，保障药品安全。</w:t>
      </w:r>
    </w:p>
    <w:p>
      <w:pPr>
        <w:spacing w:line="578" w:lineRule="exact"/>
        <w:ind w:firstLine="640" w:firstLineChars="200"/>
        <w:rPr>
          <w:rFonts w:eastAsia="仿宋_GB2312"/>
          <w:sz w:val="32"/>
          <w:szCs w:val="32"/>
        </w:rPr>
      </w:pPr>
      <w:r>
        <w:rPr>
          <w:rFonts w:hint="eastAsia" w:eastAsia="仿宋_GB2312"/>
          <w:sz w:val="32"/>
          <w:szCs w:val="32"/>
        </w:rPr>
        <w:t>服务标准：按照《中华人民共和国药品管理法》、《中华人民共和国疫苗管理法》、《医疗器械监督管理条例》、《化妆品监督管理条例》及其配套规章规定执行。</w:t>
      </w:r>
    </w:p>
    <w:p>
      <w:pPr>
        <w:spacing w:line="578" w:lineRule="exact"/>
        <w:ind w:firstLine="640" w:firstLineChars="200"/>
        <w:rPr>
          <w:rFonts w:eastAsia="仿宋_GB2312"/>
          <w:sz w:val="32"/>
          <w:szCs w:val="32"/>
        </w:rPr>
      </w:pPr>
      <w:r>
        <w:rPr>
          <w:rFonts w:hint="eastAsia" w:eastAsia="仿宋_GB2312"/>
          <w:sz w:val="32"/>
          <w:szCs w:val="32"/>
        </w:rPr>
        <w:t>政策依据：《中华人民共和国药品管理法》、《中华人民共和</w:t>
      </w:r>
      <w:r>
        <w:rPr>
          <w:rFonts w:hint="eastAsia" w:eastAsia="仿宋_GB2312"/>
          <w:spacing w:val="6"/>
          <w:sz w:val="32"/>
          <w:szCs w:val="32"/>
        </w:rPr>
        <w:t>国疫苗管理法》、《医疗器械监督管理条例》、《化妆品监督管理条例》。</w:t>
      </w:r>
    </w:p>
    <w:p>
      <w:pPr>
        <w:spacing w:line="578" w:lineRule="exact"/>
        <w:ind w:firstLine="640" w:firstLineChars="200"/>
        <w:rPr>
          <w:rFonts w:eastAsia="仿宋_GB2312"/>
          <w:sz w:val="32"/>
          <w:szCs w:val="32"/>
        </w:rPr>
      </w:pPr>
      <w:r>
        <w:rPr>
          <w:rFonts w:hint="eastAsia" w:eastAsia="仿宋_GB2312"/>
          <w:sz w:val="32"/>
          <w:szCs w:val="32"/>
        </w:rPr>
        <w:t>支出责任：省、市、区人民政府分级负责，中央财政资金给予专项补助。</w:t>
      </w:r>
    </w:p>
    <w:p>
      <w:pPr>
        <w:spacing w:line="578" w:lineRule="exact"/>
        <w:ind w:firstLine="640" w:firstLineChars="200"/>
        <w:rPr>
          <w:rFonts w:eastAsia="仿宋_GB2312"/>
          <w:sz w:val="32"/>
          <w:szCs w:val="32"/>
        </w:rPr>
      </w:pPr>
      <w:r>
        <w:rPr>
          <w:rFonts w:hint="eastAsia" w:eastAsia="仿宋_GB2312"/>
          <w:sz w:val="32"/>
          <w:szCs w:val="32"/>
        </w:rPr>
        <w:t>牵头负责单位：区市场监管局</w:t>
      </w:r>
    </w:p>
    <w:p>
      <w:pPr>
        <w:spacing w:line="578" w:lineRule="exact"/>
        <w:ind w:firstLine="640" w:firstLineChars="200"/>
        <w:rPr>
          <w:rFonts w:eastAsia="仿宋_GB2312"/>
          <w:sz w:val="32"/>
          <w:szCs w:val="32"/>
        </w:rPr>
      </w:pPr>
      <w:r>
        <w:rPr>
          <w:rFonts w:hint="eastAsia" w:eastAsia="仿宋_GB2312"/>
          <w:sz w:val="32"/>
          <w:szCs w:val="32"/>
        </w:rPr>
        <w:t>服务流程：按照市市场监管局制定下达的“两品一械”抽检任务→组织开展“两品一械”抽样→有关“两品一械”检验机构进行检验→省药监局按期发布“两品一械”质量公告→对“两品一械”不合格产品进行查处。</w:t>
      </w:r>
    </w:p>
    <w:p>
      <w:pPr>
        <w:spacing w:line="578" w:lineRule="exact"/>
        <w:ind w:firstLine="640" w:firstLineChars="200"/>
        <w:rPr>
          <w:rFonts w:eastAsia="楷体_GB2312"/>
          <w:sz w:val="32"/>
          <w:szCs w:val="32"/>
        </w:rPr>
      </w:pPr>
      <w:bookmarkStart w:id="199" w:name="_Toc31773"/>
      <w:bookmarkStart w:id="200" w:name="_Toc6812"/>
      <w:r>
        <w:rPr>
          <w:rFonts w:hint="eastAsia" w:eastAsia="楷体_GB2312"/>
          <w:sz w:val="32"/>
          <w:szCs w:val="32"/>
        </w:rPr>
        <w:t>（十一）医疗保险服务</w:t>
      </w:r>
      <w:bookmarkEnd w:id="199"/>
      <w:bookmarkEnd w:id="200"/>
    </w:p>
    <w:p>
      <w:pPr>
        <w:spacing w:line="578" w:lineRule="exact"/>
        <w:ind w:firstLine="640" w:firstLineChars="200"/>
        <w:rPr>
          <w:rFonts w:eastAsia="仿宋_GB2312"/>
          <w:sz w:val="32"/>
          <w:szCs w:val="32"/>
        </w:rPr>
      </w:pPr>
      <w:bookmarkStart w:id="201" w:name="_Toc24320"/>
      <w:bookmarkStart w:id="202" w:name="_Toc19088"/>
      <w:r>
        <w:rPr>
          <w:rFonts w:hint="eastAsia" w:eastAsia="仿宋_GB2312"/>
          <w:sz w:val="32"/>
          <w:szCs w:val="32"/>
        </w:rPr>
        <w:t>44.职工基本医疗保险</w:t>
      </w:r>
      <w:bookmarkEnd w:id="201"/>
      <w:bookmarkEnd w:id="202"/>
    </w:p>
    <w:p>
      <w:pPr>
        <w:spacing w:line="578" w:lineRule="exact"/>
        <w:ind w:firstLine="640" w:firstLineChars="200"/>
        <w:rPr>
          <w:rFonts w:eastAsia="仿宋_GB2312"/>
          <w:sz w:val="32"/>
          <w:szCs w:val="32"/>
        </w:rPr>
      </w:pPr>
      <w:r>
        <w:rPr>
          <w:rFonts w:hint="eastAsia" w:eastAsia="仿宋_GB2312"/>
          <w:sz w:val="32"/>
          <w:szCs w:val="32"/>
        </w:rPr>
        <w:t>服务对象：符合条件的参保缴费人员，具体人员范围按照《中华人民共和国社会保险法》和《国务院关于建立城镇职工基本医疗保险制度的决定》（国发〔1998〕44号）、《云南省城镇职工基本医疗保险暂行规定》（云南省人民政府令第86号）、《昆明市城镇职工基本医疗保险暂行规定》（昆明市人民政府令第23号）、《云南省医疗保障局 云南省财政厅关于印发云南省医疗保障制度筹资及待遇政策（2021年版）的通知》（云医保〔2021〕110号）、昆政发〔2017〕34号文件等有关规定认定（机关、事业单位、企业、社会团体、民办非企业单位等职工）。</w:t>
      </w:r>
    </w:p>
    <w:p>
      <w:pPr>
        <w:spacing w:line="578" w:lineRule="exact"/>
        <w:ind w:firstLine="640" w:firstLineChars="200"/>
        <w:rPr>
          <w:rFonts w:eastAsia="仿宋_GB2312"/>
          <w:sz w:val="32"/>
          <w:szCs w:val="32"/>
        </w:rPr>
      </w:pPr>
      <w:r>
        <w:rPr>
          <w:rFonts w:hint="eastAsia" w:eastAsia="仿宋_GB2312"/>
          <w:sz w:val="32"/>
          <w:szCs w:val="32"/>
        </w:rPr>
        <w:t>服务内容：提供参保及待遇享受经办服务。符合条件的参保人员可按规定享受相应的医疗保险待遇，具体保障内容按照《中华人民共和国社会保险法》、国发〔1998〕44号、云南省人民政府令第86号、昆明市人民政府令第23号、云医保〔2021〕110号、昆政发〔2017〕34号文件等有关规定执行。</w:t>
      </w:r>
    </w:p>
    <w:p>
      <w:pPr>
        <w:spacing w:line="578" w:lineRule="exact"/>
        <w:ind w:firstLine="640" w:firstLineChars="200"/>
        <w:rPr>
          <w:rFonts w:eastAsia="仿宋_GB2312"/>
          <w:sz w:val="32"/>
          <w:szCs w:val="32"/>
        </w:rPr>
      </w:pPr>
      <w:r>
        <w:rPr>
          <w:rFonts w:hint="eastAsia" w:eastAsia="仿宋_GB2312"/>
          <w:sz w:val="32"/>
          <w:szCs w:val="32"/>
        </w:rPr>
        <w:t>服务标准：职工基本医疗保险保障待遇标准按照《中华人民共和国社会保险法》、国发〔1998〕44号、云南省人民政府令第86号、昆明市人民政府令第23号、云医保〔2021〕110号、昆政发〔2017〕34号文件等有关规定执行。</w:t>
      </w:r>
    </w:p>
    <w:p>
      <w:pPr>
        <w:spacing w:line="578" w:lineRule="exact"/>
        <w:ind w:firstLine="640" w:firstLineChars="200"/>
        <w:rPr>
          <w:rFonts w:eastAsia="仿宋_GB2312"/>
          <w:sz w:val="32"/>
          <w:szCs w:val="32"/>
        </w:rPr>
      </w:pPr>
      <w:r>
        <w:rPr>
          <w:rFonts w:hint="eastAsia" w:eastAsia="仿宋_GB2312"/>
          <w:sz w:val="32"/>
          <w:szCs w:val="32"/>
        </w:rPr>
        <w:t>政策依据：《中华人民共和国社会保险法》、国发〔1998〕44号、云南省人民政府令第86号、昆明市人民政府令第23号、云医保〔2021〕110号、昆政发〔2017〕34号文件，《昆明市医疗保障局 昆明市财政局关于印发昆明市医疗保障制度筹资及待遇政策实施细则（2021年版）的通知》（昆医保通〔2022〕8号）。</w:t>
      </w:r>
    </w:p>
    <w:p>
      <w:pPr>
        <w:spacing w:line="578" w:lineRule="exact"/>
        <w:ind w:firstLine="640" w:firstLineChars="200"/>
        <w:rPr>
          <w:rFonts w:eastAsia="仿宋_GB2312"/>
          <w:sz w:val="32"/>
          <w:szCs w:val="32"/>
        </w:rPr>
      </w:pPr>
      <w:r>
        <w:rPr>
          <w:rFonts w:hint="eastAsia" w:eastAsia="仿宋_GB2312"/>
          <w:sz w:val="32"/>
          <w:szCs w:val="32"/>
        </w:rPr>
        <w:t>支出责任：由用人单位和职工共同缴费。符合规定的参保人员享受职工基本医疗保险待遇所需资金从职工基本医疗保险基金中支付。经办机构的人员经费和经办保险发生的基本运行费用、管理费用，由同级财政按照国家规定予以保障。</w:t>
      </w:r>
    </w:p>
    <w:p>
      <w:pPr>
        <w:spacing w:line="578" w:lineRule="exact"/>
        <w:ind w:firstLine="640" w:firstLineChars="200"/>
        <w:rPr>
          <w:rFonts w:eastAsia="仿宋_GB2312"/>
          <w:sz w:val="32"/>
          <w:szCs w:val="32"/>
        </w:rPr>
      </w:pPr>
      <w:r>
        <w:rPr>
          <w:rFonts w:hint="eastAsia" w:eastAsia="仿宋_GB2312"/>
          <w:sz w:val="32"/>
          <w:szCs w:val="32"/>
        </w:rPr>
        <w:t>牵头负责单位：区医疗保障局</w:t>
      </w:r>
    </w:p>
    <w:p>
      <w:pPr>
        <w:spacing w:line="578" w:lineRule="exact"/>
        <w:ind w:firstLine="640" w:firstLineChars="200"/>
        <w:rPr>
          <w:rFonts w:eastAsia="仿宋_GB2312"/>
          <w:sz w:val="32"/>
          <w:szCs w:val="32"/>
        </w:rPr>
      </w:pPr>
      <w:r>
        <w:rPr>
          <w:rFonts w:hint="eastAsia" w:eastAsia="仿宋_GB2312"/>
          <w:sz w:val="32"/>
          <w:szCs w:val="32"/>
        </w:rPr>
        <w:t>服务流程：单位向医保经办机构申报→医保经办机构受理审核，并反馈办理结果。</w:t>
      </w:r>
    </w:p>
    <w:p>
      <w:pPr>
        <w:spacing w:line="578" w:lineRule="exact"/>
        <w:ind w:firstLine="640" w:firstLineChars="200"/>
        <w:rPr>
          <w:rFonts w:eastAsia="仿宋_GB2312"/>
          <w:sz w:val="32"/>
          <w:szCs w:val="32"/>
        </w:rPr>
      </w:pPr>
      <w:bookmarkStart w:id="203" w:name="_Toc974"/>
      <w:bookmarkStart w:id="204" w:name="_Toc9412"/>
      <w:r>
        <w:rPr>
          <w:rFonts w:hint="eastAsia" w:eastAsia="仿宋_GB2312"/>
          <w:sz w:val="32"/>
          <w:szCs w:val="32"/>
        </w:rPr>
        <w:t>45.城乡居民基本医疗保险</w:t>
      </w:r>
      <w:bookmarkEnd w:id="203"/>
      <w:bookmarkEnd w:id="204"/>
    </w:p>
    <w:p>
      <w:pPr>
        <w:spacing w:line="578" w:lineRule="exact"/>
        <w:ind w:firstLine="640" w:firstLineChars="200"/>
        <w:rPr>
          <w:rFonts w:eastAsia="仿宋_GB2312"/>
          <w:sz w:val="32"/>
          <w:szCs w:val="32"/>
        </w:rPr>
      </w:pPr>
      <w:r>
        <w:rPr>
          <w:rFonts w:hint="eastAsia" w:eastAsia="仿宋_GB2312"/>
          <w:sz w:val="32"/>
          <w:szCs w:val="32"/>
        </w:rPr>
        <w:t>服务对象：不属于城镇职工基本医疗保险参保范围的昆明市户籍城乡居民，持《云南省昆明市居住证》的外地户籍非从业人员及其子女；国家规定的其他人员。</w:t>
      </w:r>
    </w:p>
    <w:p>
      <w:pPr>
        <w:spacing w:line="578" w:lineRule="exact"/>
        <w:ind w:firstLine="640" w:firstLineChars="200"/>
        <w:rPr>
          <w:rFonts w:eastAsia="仿宋_GB2312"/>
          <w:sz w:val="32"/>
          <w:szCs w:val="32"/>
        </w:rPr>
      </w:pPr>
      <w:r>
        <w:rPr>
          <w:rFonts w:hint="eastAsia" w:eastAsia="仿宋_GB2312"/>
          <w:sz w:val="32"/>
          <w:szCs w:val="32"/>
        </w:rPr>
        <w:t>服务内容：提供城乡居民基本医疗保险参保登记及待遇享受经办服务。</w:t>
      </w:r>
    </w:p>
    <w:p>
      <w:pPr>
        <w:spacing w:line="578" w:lineRule="exact"/>
        <w:ind w:firstLine="640" w:firstLineChars="200"/>
        <w:rPr>
          <w:rFonts w:eastAsia="仿宋_GB2312"/>
          <w:sz w:val="32"/>
          <w:szCs w:val="32"/>
        </w:rPr>
      </w:pPr>
      <w:r>
        <w:rPr>
          <w:rFonts w:hint="eastAsia" w:eastAsia="仿宋_GB2312"/>
          <w:sz w:val="32"/>
          <w:szCs w:val="32"/>
        </w:rPr>
        <w:t>服务标准：待遇标准按照《中华人民共和国社会保险法》、《国务院关于整合城乡居民基本医疗保险制度的意见》（国发〔2016〕3号）、《关于统一城乡居民基本医疗保险覆盖范围和筹资标准有关问题的通知》（云人社发〔2016〕248号）和《云南省人力资源和社会保障厅 云南省卫生和计划生育委员会关于统一城乡居民基本医疗保险待遇有关问题的通知》（云人社发〔2016〕310号）、云医保〔2021〕110号文件、《昆明市人民政府关于印发昆明市城乡居民基本医疗保险实施办法的通知》（昆政发〔2012〕65号）等有关规定执行。</w:t>
      </w:r>
    </w:p>
    <w:p>
      <w:pPr>
        <w:spacing w:line="578" w:lineRule="exact"/>
        <w:ind w:firstLine="640" w:firstLineChars="200"/>
        <w:rPr>
          <w:rFonts w:eastAsia="仿宋_GB2312"/>
          <w:sz w:val="32"/>
          <w:szCs w:val="32"/>
        </w:rPr>
      </w:pPr>
      <w:r>
        <w:rPr>
          <w:rFonts w:hint="eastAsia" w:eastAsia="仿宋_GB2312"/>
          <w:sz w:val="32"/>
          <w:szCs w:val="32"/>
        </w:rPr>
        <w:t>政策依据：《中华人民共和国社会保险法》、国发〔2016〕3号文件、《云南省人民政府关于整合城乡居民基本医疗保险制度的实施意见》（云政发〔2016〕72号）、云人社发〔2016〕310号、云医保〔2021〕110号、昆政发〔2012〕65号、昆医保通〔2022〕8号文件。</w:t>
      </w:r>
    </w:p>
    <w:p>
      <w:pPr>
        <w:spacing w:line="578" w:lineRule="exact"/>
        <w:ind w:firstLine="640" w:firstLineChars="200"/>
        <w:rPr>
          <w:rFonts w:eastAsia="仿宋_GB2312"/>
          <w:sz w:val="32"/>
          <w:szCs w:val="32"/>
        </w:rPr>
      </w:pPr>
      <w:r>
        <w:rPr>
          <w:rFonts w:hint="eastAsia" w:eastAsia="仿宋_GB2312"/>
          <w:sz w:val="32"/>
          <w:szCs w:val="32"/>
        </w:rPr>
        <w:t>支出责任：本级政府按规定对参保城乡居民进行补助。城乡居民医保补助为中央与地方共同财政事权，由中央、省、市与区财政共同承担支出责任。中央、省和市按照80：4：16的比例分担，依据昆政办〔2020〕78号文件，市、区两级财政补助按照现行的市、区两级财政比例分担，即：市级财政承担90%、区级财政承担10%，经办机构的人员经费和经办保险发生的基本运行费用、管理费用，由区级财政按照有关规定予以保障。</w:t>
      </w:r>
    </w:p>
    <w:p>
      <w:pPr>
        <w:spacing w:line="578" w:lineRule="exact"/>
        <w:ind w:firstLine="640" w:firstLineChars="200"/>
        <w:rPr>
          <w:rFonts w:eastAsia="仿宋_GB2312"/>
          <w:sz w:val="32"/>
          <w:szCs w:val="32"/>
        </w:rPr>
      </w:pPr>
      <w:r>
        <w:rPr>
          <w:rFonts w:hint="eastAsia" w:eastAsia="仿宋_GB2312"/>
          <w:sz w:val="32"/>
          <w:szCs w:val="32"/>
        </w:rPr>
        <w:t>具有昆明户籍并参加昆明市城乡基本医疗保险的城乡低保对象，特困供养人员，低收入家庭中的老年人和未成年人、一级残疾人、二级残疾人和重病患者，计划生育家庭及政府规定的农村低收入人口等符合昆明市规定的其他特殊困难人员参加城乡居民医疗保险所需个人缴费部分，由政府分类按规定给予补贴。由中央、省、市、区共担财政事权，经办机构的人员经费和经办保险发生的基本运行费用、管理费用，由区级财政按照国家规定予以保障。</w:t>
      </w:r>
    </w:p>
    <w:p>
      <w:pPr>
        <w:spacing w:line="578" w:lineRule="exact"/>
        <w:ind w:firstLine="640" w:firstLineChars="200"/>
        <w:rPr>
          <w:rFonts w:eastAsia="仿宋_GB2312"/>
          <w:sz w:val="32"/>
          <w:szCs w:val="32"/>
        </w:rPr>
      </w:pPr>
      <w:r>
        <w:rPr>
          <w:rFonts w:hint="eastAsia" w:eastAsia="仿宋_GB2312"/>
          <w:sz w:val="32"/>
          <w:szCs w:val="32"/>
        </w:rPr>
        <w:t>牵头负责单位：区医疗保障局</w:t>
      </w:r>
    </w:p>
    <w:p>
      <w:pPr>
        <w:spacing w:line="578" w:lineRule="exact"/>
        <w:ind w:firstLine="640" w:firstLineChars="200"/>
        <w:rPr>
          <w:rFonts w:eastAsia="仿宋_GB2312"/>
          <w:sz w:val="32"/>
          <w:szCs w:val="32"/>
        </w:rPr>
      </w:pPr>
      <w:r>
        <w:rPr>
          <w:rFonts w:hint="eastAsia" w:eastAsia="仿宋_GB2312"/>
          <w:sz w:val="32"/>
          <w:szCs w:val="32"/>
        </w:rPr>
        <w:t>服务流程：在年度缴费期内，通过劳动保障服务所（站）、村委会、村民小组提交申请的，即时办结参保登记，税务部门负责城乡居民基本医疗保险费的征收工作；通过民政部门、卫健部门、残联部门、乡村振兴部门申请办理的，在每年业务办理期，及时将次年新参保人员信息报医保经办机构，医保经办机构按参保规定进行参保登记，税务部门同步做好费款的征收，各有关部门配合做好相应工作。</w:t>
      </w:r>
    </w:p>
    <w:p>
      <w:pPr>
        <w:spacing w:line="578" w:lineRule="exact"/>
        <w:ind w:firstLine="640" w:firstLineChars="200"/>
        <w:rPr>
          <w:rFonts w:eastAsia="楷体_GB2312"/>
          <w:sz w:val="32"/>
          <w:szCs w:val="32"/>
        </w:rPr>
      </w:pPr>
      <w:bookmarkStart w:id="205" w:name="_Toc28837"/>
      <w:bookmarkStart w:id="206" w:name="_Toc10033"/>
      <w:r>
        <w:rPr>
          <w:rFonts w:hint="eastAsia" w:eastAsia="楷体_GB2312"/>
          <w:sz w:val="32"/>
          <w:szCs w:val="32"/>
        </w:rPr>
        <w:t>（十二）计划生育扶助服务</w:t>
      </w:r>
      <w:bookmarkEnd w:id="205"/>
      <w:bookmarkEnd w:id="206"/>
    </w:p>
    <w:p>
      <w:pPr>
        <w:spacing w:line="578" w:lineRule="exact"/>
        <w:ind w:firstLine="640" w:firstLineChars="200"/>
        <w:rPr>
          <w:rFonts w:eastAsia="仿宋_GB2312"/>
          <w:sz w:val="32"/>
          <w:szCs w:val="32"/>
        </w:rPr>
      </w:pPr>
      <w:bookmarkStart w:id="207" w:name="_Toc17614"/>
      <w:bookmarkStart w:id="208" w:name="_Toc1981"/>
      <w:r>
        <w:rPr>
          <w:rFonts w:hint="eastAsia" w:eastAsia="仿宋_GB2312"/>
          <w:sz w:val="32"/>
          <w:szCs w:val="32"/>
        </w:rPr>
        <w:t>46.农村符合条件的计划生育家庭奖励扶助</w:t>
      </w:r>
      <w:bookmarkEnd w:id="207"/>
      <w:bookmarkEnd w:id="208"/>
    </w:p>
    <w:p>
      <w:pPr>
        <w:spacing w:line="578" w:lineRule="exact"/>
        <w:ind w:firstLine="640" w:firstLineChars="200"/>
        <w:rPr>
          <w:rFonts w:eastAsia="仿宋_GB2312"/>
          <w:sz w:val="32"/>
          <w:szCs w:val="32"/>
        </w:rPr>
      </w:pPr>
      <w:r>
        <w:rPr>
          <w:rFonts w:hint="eastAsia" w:eastAsia="仿宋_GB2312"/>
          <w:sz w:val="32"/>
          <w:szCs w:val="32"/>
        </w:rPr>
        <w:t>服务对象：年满60周岁的农业人口独生子女父母。</w:t>
      </w:r>
    </w:p>
    <w:p>
      <w:pPr>
        <w:spacing w:line="578" w:lineRule="exact"/>
        <w:ind w:firstLine="640" w:firstLineChars="200"/>
        <w:rPr>
          <w:rFonts w:eastAsia="仿宋_GB2312"/>
          <w:sz w:val="32"/>
          <w:szCs w:val="32"/>
        </w:rPr>
      </w:pPr>
      <w:r>
        <w:rPr>
          <w:rFonts w:hint="eastAsia" w:eastAsia="仿宋_GB2312"/>
          <w:sz w:val="32"/>
          <w:szCs w:val="32"/>
        </w:rPr>
        <w:t>服务内容：对年满60周岁的农村部分计划生育家庭发放奖励扶助金。</w:t>
      </w:r>
    </w:p>
    <w:p>
      <w:pPr>
        <w:spacing w:line="578" w:lineRule="exact"/>
        <w:ind w:firstLine="640" w:firstLineChars="200"/>
        <w:rPr>
          <w:rFonts w:eastAsia="仿宋_GB2312"/>
          <w:sz w:val="32"/>
          <w:szCs w:val="32"/>
        </w:rPr>
      </w:pPr>
      <w:r>
        <w:rPr>
          <w:rFonts w:hint="eastAsia" w:eastAsia="仿宋_GB2312"/>
          <w:sz w:val="32"/>
          <w:szCs w:val="32"/>
        </w:rPr>
        <w:t>服务标准：现阶段执行标准为独生子的父母每人每年奖励960元；独生女的父母每人每年奖励1080元；依法生育子女死亡现无子女的夫妻（或属农村居民的一方）每人每年奖励1200元（动态调整）。</w:t>
      </w:r>
    </w:p>
    <w:p>
      <w:pPr>
        <w:spacing w:line="578" w:lineRule="exact"/>
        <w:ind w:firstLine="640" w:firstLineChars="200"/>
        <w:rPr>
          <w:rFonts w:eastAsia="仿宋_GB2312"/>
          <w:sz w:val="32"/>
          <w:szCs w:val="32"/>
        </w:rPr>
      </w:pPr>
      <w:r>
        <w:rPr>
          <w:rFonts w:hint="eastAsia" w:eastAsia="仿宋_GB2312"/>
          <w:sz w:val="32"/>
          <w:szCs w:val="32"/>
        </w:rPr>
        <w:t>政策依据：《国家人口计生委 财政部关于实施“三项制度”工作的通知》（国人口发〔2008〕83号）、《云南省人民政府关于印发云南省农业人口独生子女家庭奖励规定的通知》（云政发〔2004〕101号）、《云南省财政厅 云南省卫生和计划生育委员会关于进一步</w:t>
      </w:r>
      <w:r>
        <w:rPr>
          <w:rFonts w:hint="eastAsia" w:eastAsia="仿宋_GB2312"/>
          <w:spacing w:val="-6"/>
          <w:sz w:val="32"/>
          <w:szCs w:val="32"/>
        </w:rPr>
        <w:t>完善计划生育投入机制的实施意见》（云财社〔2016〕321号）等。</w:t>
      </w:r>
    </w:p>
    <w:p>
      <w:pPr>
        <w:spacing w:line="578" w:lineRule="exact"/>
        <w:ind w:firstLine="640" w:firstLineChars="200"/>
        <w:rPr>
          <w:rFonts w:eastAsia="仿宋_GB2312"/>
          <w:sz w:val="32"/>
          <w:szCs w:val="32"/>
        </w:rPr>
      </w:pPr>
      <w:r>
        <w:rPr>
          <w:rFonts w:hint="eastAsia" w:eastAsia="仿宋_GB2312"/>
          <w:sz w:val="32"/>
          <w:szCs w:val="32"/>
        </w:rPr>
        <w:t>支出责任：中央和省按照8：2比例分担，地方需投入资金由省财政全额承担。</w:t>
      </w:r>
    </w:p>
    <w:p>
      <w:pPr>
        <w:spacing w:line="578" w:lineRule="exact"/>
        <w:ind w:firstLine="640" w:firstLineChars="200"/>
        <w:rPr>
          <w:rFonts w:eastAsia="仿宋_GB2312"/>
          <w:sz w:val="32"/>
          <w:szCs w:val="32"/>
        </w:rPr>
      </w:pPr>
      <w:r>
        <w:rPr>
          <w:rFonts w:hint="eastAsia" w:eastAsia="仿宋_GB2312"/>
          <w:sz w:val="32"/>
          <w:szCs w:val="32"/>
        </w:rPr>
        <w:t>牵头负责单位：区卫生健康局</w:t>
      </w:r>
    </w:p>
    <w:p>
      <w:pPr>
        <w:spacing w:line="578" w:lineRule="exact"/>
        <w:ind w:firstLine="640" w:firstLineChars="200"/>
        <w:rPr>
          <w:rFonts w:eastAsia="仿宋_GB2312"/>
          <w:sz w:val="32"/>
          <w:szCs w:val="32"/>
        </w:rPr>
      </w:pPr>
      <w:r>
        <w:rPr>
          <w:rFonts w:hint="eastAsia" w:eastAsia="仿宋_GB2312"/>
          <w:sz w:val="32"/>
          <w:szCs w:val="32"/>
        </w:rPr>
        <w:t>服务流程：本人提出申请、提交有关材料→村（居）委会核实、公示→乡镇（街道）人民政府（办事处）初审并公示→县（市）区级卫生健康部门审批。</w:t>
      </w:r>
    </w:p>
    <w:p>
      <w:pPr>
        <w:spacing w:line="578" w:lineRule="exact"/>
        <w:ind w:firstLine="640" w:firstLineChars="200"/>
        <w:rPr>
          <w:rFonts w:eastAsia="仿宋_GB2312"/>
          <w:sz w:val="32"/>
          <w:szCs w:val="32"/>
        </w:rPr>
      </w:pPr>
      <w:bookmarkStart w:id="209" w:name="_Toc13045"/>
      <w:bookmarkStart w:id="210" w:name="_Toc7636"/>
      <w:r>
        <w:rPr>
          <w:rFonts w:hint="eastAsia" w:eastAsia="仿宋_GB2312"/>
          <w:sz w:val="32"/>
          <w:szCs w:val="32"/>
        </w:rPr>
        <w:t>47.计划生育特殊家庭补助</w:t>
      </w:r>
      <w:bookmarkEnd w:id="209"/>
      <w:bookmarkEnd w:id="210"/>
    </w:p>
    <w:p>
      <w:pPr>
        <w:spacing w:line="578" w:lineRule="exact"/>
        <w:ind w:firstLine="640" w:firstLineChars="200"/>
        <w:rPr>
          <w:rFonts w:eastAsia="仿宋_GB2312"/>
          <w:sz w:val="32"/>
          <w:szCs w:val="32"/>
        </w:rPr>
      </w:pPr>
      <w:r>
        <w:rPr>
          <w:rFonts w:hint="eastAsia" w:eastAsia="仿宋_GB2312"/>
          <w:sz w:val="32"/>
          <w:szCs w:val="32"/>
        </w:rPr>
        <w:t>47.1计划生育家庭特别扶助</w:t>
      </w:r>
    </w:p>
    <w:p>
      <w:pPr>
        <w:spacing w:line="578" w:lineRule="exact"/>
        <w:ind w:firstLine="640" w:firstLineChars="200"/>
        <w:rPr>
          <w:rFonts w:eastAsia="仿宋_GB2312"/>
          <w:sz w:val="32"/>
          <w:szCs w:val="32"/>
        </w:rPr>
      </w:pPr>
      <w:r>
        <w:rPr>
          <w:rFonts w:hint="eastAsia" w:eastAsia="仿宋_GB2312"/>
          <w:sz w:val="32"/>
          <w:szCs w:val="32"/>
        </w:rPr>
        <w:t>服务对象：女方年满49周岁的独生子女伤残、死亡的计划生育家庭夫妇。</w:t>
      </w:r>
    </w:p>
    <w:p>
      <w:pPr>
        <w:spacing w:line="578" w:lineRule="exact"/>
        <w:ind w:firstLine="640" w:firstLineChars="200"/>
        <w:rPr>
          <w:rFonts w:eastAsia="仿宋_GB2312"/>
          <w:sz w:val="32"/>
          <w:szCs w:val="32"/>
        </w:rPr>
      </w:pPr>
      <w:r>
        <w:rPr>
          <w:rFonts w:hint="eastAsia" w:eastAsia="仿宋_GB2312"/>
          <w:sz w:val="32"/>
          <w:szCs w:val="32"/>
        </w:rPr>
        <w:t>服务内容：对女方年满49周岁，独生子女伤残或死亡的计划生育家庭夫妇发放特别扶助金。</w:t>
      </w:r>
    </w:p>
    <w:p>
      <w:pPr>
        <w:spacing w:line="578" w:lineRule="exact"/>
        <w:ind w:firstLine="640" w:firstLineChars="200"/>
        <w:rPr>
          <w:rFonts w:eastAsia="仿宋_GB2312"/>
          <w:sz w:val="32"/>
          <w:szCs w:val="32"/>
        </w:rPr>
      </w:pPr>
      <w:r>
        <w:rPr>
          <w:rFonts w:hint="eastAsia" w:eastAsia="仿宋_GB2312"/>
          <w:sz w:val="32"/>
          <w:szCs w:val="32"/>
        </w:rPr>
        <w:t>服务标准：现阶段执行标准为独生子女死亡家庭特别扶助金标准每人每月590元（7080元/人/年）；独生子女伤残家庭特别扶助金标准每人每月460元（5520元/人/年）（动态调整）。</w:t>
      </w:r>
    </w:p>
    <w:p>
      <w:pPr>
        <w:spacing w:line="578" w:lineRule="exact"/>
        <w:ind w:firstLine="640" w:firstLineChars="200"/>
        <w:rPr>
          <w:rFonts w:eastAsia="仿宋_GB2312"/>
          <w:sz w:val="32"/>
          <w:szCs w:val="32"/>
        </w:rPr>
      </w:pPr>
      <w:r>
        <w:rPr>
          <w:rFonts w:hint="eastAsia" w:eastAsia="仿宋_GB2312"/>
          <w:sz w:val="32"/>
          <w:szCs w:val="32"/>
        </w:rPr>
        <w:t>政策依据：国人口发〔2008〕83号文件、《云南省人口计生委 云南省财政厅关于下发对失独家庭发放一次性抚慰金和提高特别扶助标准实施方案的通知》（云人口发〔2013〕26号）、《云南省人口计生委等六部门关于转发国家五部委关于进一步做好计划生育特殊困难家庭扶助工作的通知》（云人口发〔2014〕26号）、云</w:t>
      </w:r>
      <w:r>
        <w:rPr>
          <w:rFonts w:hint="eastAsia" w:ascii="仿宋_GB2312" w:eastAsia="仿宋_GB2312"/>
          <w:sz w:val="32"/>
          <w:szCs w:val="32"/>
        </w:rPr>
        <w:t>财社〔</w:t>
      </w:r>
      <w:r>
        <w:rPr>
          <w:rFonts w:hint="eastAsia" w:eastAsia="仿宋_GB2312"/>
          <w:sz w:val="32"/>
          <w:szCs w:val="32"/>
        </w:rPr>
        <w:t>2016</w:t>
      </w:r>
      <w:r>
        <w:rPr>
          <w:rFonts w:hint="eastAsia" w:ascii="仿宋_GB2312" w:eastAsia="仿宋_GB2312"/>
          <w:sz w:val="32"/>
          <w:szCs w:val="32"/>
        </w:rPr>
        <w:t>〕</w:t>
      </w:r>
      <w:r>
        <w:rPr>
          <w:rFonts w:hint="eastAsia" w:eastAsia="仿宋_GB2312"/>
          <w:sz w:val="32"/>
          <w:szCs w:val="32"/>
        </w:rPr>
        <w:t>321号）、《关于提高计划生育家家特别扶助制度扶助标准的通知》（财社〔2022〕49号）等。</w:t>
      </w:r>
    </w:p>
    <w:p>
      <w:pPr>
        <w:spacing w:line="578" w:lineRule="exact"/>
        <w:ind w:firstLine="640" w:firstLineChars="200"/>
        <w:rPr>
          <w:rFonts w:eastAsia="仿宋_GB2312"/>
          <w:sz w:val="32"/>
          <w:szCs w:val="32"/>
        </w:rPr>
      </w:pPr>
      <w:r>
        <w:rPr>
          <w:rFonts w:hint="eastAsia" w:eastAsia="仿宋_GB2312"/>
          <w:sz w:val="32"/>
          <w:szCs w:val="32"/>
        </w:rPr>
        <w:t>支出责任：依据昆</w:t>
      </w:r>
      <w:r>
        <w:rPr>
          <w:rFonts w:hint="eastAsia" w:ascii="仿宋_GB2312" w:eastAsia="仿宋_GB2312"/>
          <w:sz w:val="32"/>
          <w:szCs w:val="32"/>
        </w:rPr>
        <w:t>政办〔</w:t>
      </w:r>
      <w:r>
        <w:rPr>
          <w:rFonts w:hint="eastAsia" w:eastAsia="仿宋_GB2312"/>
          <w:sz w:val="32"/>
          <w:szCs w:val="32"/>
        </w:rPr>
        <w:t>2020</w:t>
      </w:r>
      <w:r>
        <w:rPr>
          <w:rFonts w:hint="eastAsia" w:ascii="仿宋_GB2312" w:eastAsia="仿宋_GB2312"/>
          <w:sz w:val="32"/>
          <w:szCs w:val="32"/>
        </w:rPr>
        <w:t>〕</w:t>
      </w:r>
      <w:r>
        <w:rPr>
          <w:rFonts w:hint="eastAsia" w:eastAsia="仿宋_GB2312"/>
          <w:sz w:val="32"/>
          <w:szCs w:val="32"/>
        </w:rPr>
        <w:t>78号文件中央、省、市、区按照8074：14.4116的比例分担。</w:t>
      </w:r>
    </w:p>
    <w:p>
      <w:pPr>
        <w:spacing w:line="578" w:lineRule="exact"/>
        <w:ind w:firstLine="640" w:firstLineChars="200"/>
        <w:rPr>
          <w:rFonts w:eastAsia="仿宋_GB2312"/>
          <w:sz w:val="32"/>
          <w:szCs w:val="32"/>
        </w:rPr>
      </w:pPr>
      <w:r>
        <w:rPr>
          <w:rFonts w:hint="eastAsia" w:eastAsia="仿宋_GB2312"/>
          <w:sz w:val="32"/>
          <w:szCs w:val="32"/>
        </w:rPr>
        <w:t>牵头负责单位：区卫生健康局</w:t>
      </w:r>
    </w:p>
    <w:p>
      <w:pPr>
        <w:spacing w:line="578" w:lineRule="exact"/>
        <w:ind w:firstLine="640" w:firstLineChars="200"/>
        <w:rPr>
          <w:rFonts w:eastAsia="仿宋_GB2312"/>
          <w:sz w:val="32"/>
          <w:szCs w:val="32"/>
        </w:rPr>
      </w:pPr>
      <w:r>
        <w:rPr>
          <w:rFonts w:hint="eastAsia" w:eastAsia="仿宋_GB2312"/>
          <w:sz w:val="32"/>
          <w:szCs w:val="32"/>
        </w:rPr>
        <w:t>服务流程：本人提出申请并提交有关材料→村（居）委会核实，公示→乡镇（街道）人民政府（办事处）初审并公示→县（市）区级卫生健康部门审批。</w:t>
      </w:r>
    </w:p>
    <w:p>
      <w:pPr>
        <w:spacing w:line="578" w:lineRule="exact"/>
        <w:ind w:firstLine="640" w:firstLineChars="200"/>
        <w:rPr>
          <w:rFonts w:eastAsia="仿宋_GB2312"/>
          <w:sz w:val="32"/>
          <w:szCs w:val="32"/>
        </w:rPr>
      </w:pPr>
      <w:r>
        <w:rPr>
          <w:rFonts w:hint="eastAsia" w:eastAsia="仿宋_GB2312"/>
          <w:sz w:val="32"/>
          <w:szCs w:val="32"/>
        </w:rPr>
        <w:t>47.2 计划生育特殊家庭生活补助</w:t>
      </w:r>
    </w:p>
    <w:p>
      <w:pPr>
        <w:spacing w:line="578" w:lineRule="exact"/>
        <w:ind w:firstLine="640" w:firstLineChars="200"/>
        <w:rPr>
          <w:rFonts w:eastAsia="仿宋_GB2312"/>
          <w:sz w:val="32"/>
          <w:szCs w:val="32"/>
        </w:rPr>
      </w:pPr>
      <w:r>
        <w:rPr>
          <w:rFonts w:hint="eastAsia" w:eastAsia="仿宋_GB2312"/>
          <w:sz w:val="32"/>
          <w:szCs w:val="32"/>
        </w:rPr>
        <w:t>服务对象：我区户籍的独生子女伤残和失去独生子女的计划生育家庭夫妻。</w:t>
      </w:r>
    </w:p>
    <w:p>
      <w:pPr>
        <w:spacing w:line="578" w:lineRule="exact"/>
        <w:ind w:firstLine="640" w:firstLineChars="200"/>
        <w:rPr>
          <w:rFonts w:eastAsia="仿宋_GB2312"/>
          <w:sz w:val="32"/>
          <w:szCs w:val="32"/>
        </w:rPr>
      </w:pPr>
      <w:r>
        <w:rPr>
          <w:rFonts w:hint="eastAsia" w:eastAsia="仿宋_GB2312"/>
          <w:sz w:val="32"/>
          <w:szCs w:val="32"/>
        </w:rPr>
        <w:t>服务内容：对我区户籍的独生子女伤残和失去独生子女的计划生育家庭夫妻发放生活补助。</w:t>
      </w:r>
    </w:p>
    <w:p>
      <w:pPr>
        <w:spacing w:line="578" w:lineRule="exact"/>
        <w:ind w:firstLine="640" w:firstLineChars="200"/>
        <w:rPr>
          <w:rFonts w:eastAsia="仿宋_GB2312"/>
          <w:sz w:val="32"/>
          <w:szCs w:val="32"/>
        </w:rPr>
      </w:pPr>
      <w:r>
        <w:rPr>
          <w:rFonts w:hint="eastAsia" w:eastAsia="仿宋_GB2312"/>
          <w:sz w:val="32"/>
          <w:szCs w:val="32"/>
        </w:rPr>
        <w:t>服务标准：现阶段执行标准为对我区户籍的独生子女伤残和</w:t>
      </w:r>
      <w:r>
        <w:rPr>
          <w:rFonts w:hint="eastAsia" w:eastAsia="仿宋_GB2312"/>
          <w:spacing w:val="6"/>
          <w:sz w:val="32"/>
          <w:szCs w:val="32"/>
        </w:rPr>
        <w:t>失去独生子女的夫妻，每人每月给予200元的生活补助（动态调整）。</w:t>
      </w:r>
    </w:p>
    <w:p>
      <w:pPr>
        <w:spacing w:line="578" w:lineRule="exact"/>
        <w:ind w:firstLine="640" w:firstLineChars="200"/>
        <w:rPr>
          <w:rFonts w:eastAsia="仿宋_GB2312"/>
          <w:sz w:val="32"/>
          <w:szCs w:val="32"/>
        </w:rPr>
      </w:pPr>
      <w:r>
        <w:rPr>
          <w:rFonts w:hint="eastAsia" w:eastAsia="仿宋_GB2312"/>
          <w:sz w:val="32"/>
          <w:szCs w:val="32"/>
        </w:rPr>
        <w:t>政策依据：《中共昆明市委 昆明市人民政府关于落实全面两</w:t>
      </w:r>
      <w:r>
        <w:rPr>
          <w:rFonts w:hint="eastAsia" w:eastAsia="仿宋_GB2312"/>
          <w:spacing w:val="-12"/>
          <w:sz w:val="32"/>
          <w:szCs w:val="32"/>
        </w:rPr>
        <w:t>孩政策改革完善计划生育服务管理的实施意见》（昆发</w:t>
      </w:r>
      <w:r>
        <w:rPr>
          <w:rFonts w:hint="eastAsia"/>
          <w:spacing w:val="-12"/>
          <w:sz w:val="32"/>
          <w:szCs w:val="32"/>
        </w:rPr>
        <w:t>﹝</w:t>
      </w:r>
      <w:r>
        <w:rPr>
          <w:rFonts w:hint="eastAsia" w:eastAsia="仿宋_GB2312"/>
          <w:spacing w:val="-12"/>
          <w:sz w:val="32"/>
          <w:szCs w:val="32"/>
        </w:rPr>
        <w:t>2017</w:t>
      </w:r>
      <w:r>
        <w:rPr>
          <w:rFonts w:hint="eastAsia"/>
          <w:spacing w:val="-12"/>
          <w:sz w:val="32"/>
          <w:szCs w:val="32"/>
        </w:rPr>
        <w:t>﹞</w:t>
      </w:r>
      <w:r>
        <w:rPr>
          <w:rFonts w:hint="eastAsia" w:eastAsia="仿宋_GB2312"/>
          <w:spacing w:val="-12"/>
          <w:sz w:val="32"/>
          <w:szCs w:val="32"/>
        </w:rPr>
        <w:t>6号）。</w:t>
      </w:r>
    </w:p>
    <w:p>
      <w:pPr>
        <w:spacing w:line="578" w:lineRule="exact"/>
        <w:ind w:firstLine="640" w:firstLineChars="200"/>
        <w:rPr>
          <w:rFonts w:eastAsia="仿宋_GB2312"/>
          <w:sz w:val="32"/>
          <w:szCs w:val="32"/>
        </w:rPr>
      </w:pPr>
      <w:r>
        <w:rPr>
          <w:rFonts w:hint="eastAsia" w:eastAsia="仿宋_GB2312"/>
          <w:sz w:val="32"/>
          <w:szCs w:val="32"/>
        </w:rPr>
        <w:t>支出责任：依据昆政办〔2020〕78号文件市、区按照90：10的比例分担。</w:t>
      </w:r>
    </w:p>
    <w:p>
      <w:pPr>
        <w:spacing w:line="578" w:lineRule="exact"/>
        <w:ind w:firstLine="640" w:firstLineChars="200"/>
        <w:rPr>
          <w:rFonts w:eastAsia="仿宋_GB2312"/>
          <w:sz w:val="32"/>
          <w:szCs w:val="32"/>
        </w:rPr>
      </w:pPr>
      <w:r>
        <w:rPr>
          <w:rFonts w:hint="eastAsia" w:eastAsia="仿宋_GB2312"/>
          <w:sz w:val="32"/>
          <w:szCs w:val="32"/>
        </w:rPr>
        <w:t>牵头负责单位：区卫生健康局</w:t>
      </w:r>
    </w:p>
    <w:p>
      <w:pPr>
        <w:spacing w:line="578" w:lineRule="exact"/>
        <w:ind w:firstLine="640" w:firstLineChars="200"/>
        <w:rPr>
          <w:rFonts w:eastAsia="仿宋_GB2312"/>
          <w:sz w:val="32"/>
          <w:szCs w:val="32"/>
        </w:rPr>
      </w:pPr>
      <w:r>
        <w:rPr>
          <w:rFonts w:hint="eastAsia" w:eastAsia="仿宋_GB2312"/>
          <w:sz w:val="32"/>
          <w:szCs w:val="32"/>
        </w:rPr>
        <w:t>服务流程：本人提出申请并提交有关材料→村（居）委会核实、公示→乡镇（街道）人民政府（办事处）初审并公示→县（市）区级卫生健康部门审批。</w:t>
      </w:r>
    </w:p>
    <w:p>
      <w:pPr>
        <w:spacing w:line="578" w:lineRule="exact"/>
        <w:ind w:firstLine="640" w:firstLineChars="200"/>
        <w:rPr>
          <w:rFonts w:eastAsia="仿宋_GB2312"/>
          <w:sz w:val="32"/>
          <w:szCs w:val="32"/>
        </w:rPr>
      </w:pPr>
      <w:r>
        <w:rPr>
          <w:rFonts w:hint="eastAsia" w:eastAsia="仿宋_GB2312"/>
          <w:sz w:val="32"/>
          <w:szCs w:val="32"/>
        </w:rPr>
        <w:t>47.3计划生育低保独生子女家庭生活补助</w:t>
      </w:r>
    </w:p>
    <w:p>
      <w:pPr>
        <w:spacing w:line="578" w:lineRule="exact"/>
        <w:ind w:firstLine="640" w:firstLineChars="200"/>
        <w:rPr>
          <w:rFonts w:eastAsia="仿宋_GB2312"/>
          <w:sz w:val="32"/>
          <w:szCs w:val="32"/>
        </w:rPr>
      </w:pPr>
      <w:r>
        <w:rPr>
          <w:rFonts w:hint="eastAsia" w:eastAsia="仿宋_GB2312"/>
          <w:sz w:val="32"/>
          <w:szCs w:val="32"/>
        </w:rPr>
        <w:t>服务对象：我区户籍的低保独生子女计划生育家庭。</w:t>
      </w:r>
    </w:p>
    <w:p>
      <w:pPr>
        <w:spacing w:line="578" w:lineRule="exact"/>
        <w:ind w:firstLine="640" w:firstLineChars="200"/>
        <w:rPr>
          <w:rFonts w:eastAsia="仿宋_GB2312"/>
          <w:sz w:val="32"/>
          <w:szCs w:val="32"/>
        </w:rPr>
      </w:pPr>
      <w:r>
        <w:rPr>
          <w:rFonts w:hint="eastAsia" w:eastAsia="仿宋_GB2312"/>
          <w:sz w:val="32"/>
          <w:szCs w:val="32"/>
        </w:rPr>
        <w:t>服务内容：对我区户籍的享受低保的独生子女计划生育家庭发放生活补助。</w:t>
      </w:r>
    </w:p>
    <w:p>
      <w:pPr>
        <w:spacing w:line="578" w:lineRule="exact"/>
        <w:ind w:firstLine="640" w:firstLineChars="200"/>
        <w:rPr>
          <w:rFonts w:eastAsia="仿宋_GB2312"/>
          <w:sz w:val="32"/>
          <w:szCs w:val="32"/>
        </w:rPr>
      </w:pPr>
      <w:r>
        <w:rPr>
          <w:rFonts w:hint="eastAsia" w:eastAsia="仿宋_GB2312"/>
          <w:sz w:val="32"/>
          <w:szCs w:val="32"/>
        </w:rPr>
        <w:t>服务标准：现阶段执行标准为我区户籍低保的独生子女计划生育家庭，每户每月给予100元的生活补助（动态调整）。</w:t>
      </w:r>
    </w:p>
    <w:p>
      <w:pPr>
        <w:spacing w:line="578" w:lineRule="exact"/>
        <w:ind w:firstLine="640" w:firstLineChars="200"/>
        <w:rPr>
          <w:rFonts w:eastAsia="仿宋_GB2312"/>
          <w:sz w:val="32"/>
          <w:szCs w:val="32"/>
        </w:rPr>
      </w:pPr>
      <w:r>
        <w:rPr>
          <w:rFonts w:hint="eastAsia" w:eastAsia="仿宋_GB2312"/>
          <w:sz w:val="32"/>
          <w:szCs w:val="32"/>
        </w:rPr>
        <w:t>政策依据：</w:t>
      </w:r>
      <w:r>
        <w:rPr>
          <w:rFonts w:hint="eastAsia" w:eastAsia="仿宋_GB2312"/>
          <w:spacing w:val="-10"/>
          <w:sz w:val="32"/>
          <w:szCs w:val="32"/>
        </w:rPr>
        <w:t>昆发〔2017〕6号文件。</w:t>
      </w:r>
    </w:p>
    <w:p>
      <w:pPr>
        <w:spacing w:line="578" w:lineRule="exact"/>
        <w:ind w:firstLine="640" w:firstLineChars="200"/>
        <w:rPr>
          <w:rFonts w:eastAsia="仿宋_GB2312"/>
          <w:sz w:val="32"/>
          <w:szCs w:val="32"/>
        </w:rPr>
      </w:pPr>
      <w:r>
        <w:rPr>
          <w:rFonts w:hint="eastAsia" w:eastAsia="仿宋_GB2312"/>
          <w:sz w:val="32"/>
          <w:szCs w:val="32"/>
        </w:rPr>
        <w:t>支出责任：依据昆政办〔2020〕78号文件市、区按照90：10的比例分担。</w:t>
      </w:r>
    </w:p>
    <w:p>
      <w:pPr>
        <w:spacing w:line="578" w:lineRule="exact"/>
        <w:ind w:firstLine="640" w:firstLineChars="200"/>
        <w:rPr>
          <w:rFonts w:eastAsia="仿宋_GB2312"/>
          <w:sz w:val="32"/>
          <w:szCs w:val="32"/>
        </w:rPr>
      </w:pPr>
      <w:r>
        <w:rPr>
          <w:rFonts w:hint="eastAsia" w:eastAsia="仿宋_GB2312"/>
          <w:sz w:val="32"/>
          <w:szCs w:val="32"/>
        </w:rPr>
        <w:t>牵头负责单位：区卫生健康局</w:t>
      </w:r>
    </w:p>
    <w:p>
      <w:pPr>
        <w:spacing w:line="578" w:lineRule="exact"/>
        <w:ind w:firstLine="640" w:firstLineChars="200"/>
        <w:rPr>
          <w:rFonts w:eastAsia="仿宋_GB2312"/>
          <w:sz w:val="32"/>
          <w:szCs w:val="32"/>
        </w:rPr>
      </w:pPr>
      <w:r>
        <w:rPr>
          <w:rFonts w:hint="eastAsia" w:eastAsia="仿宋_GB2312"/>
          <w:sz w:val="32"/>
          <w:szCs w:val="32"/>
        </w:rPr>
        <w:t>服务流程：本人提出申请并提交有关材料→村（居）委会核实、公示→乡镇（街道）人民政府（办事处）初审并公示→县（市）区级卫生健康部门审批。</w:t>
      </w:r>
    </w:p>
    <w:p>
      <w:pPr>
        <w:spacing w:line="578" w:lineRule="exact"/>
        <w:ind w:firstLine="640" w:firstLineChars="200"/>
        <w:rPr>
          <w:rFonts w:eastAsia="黑体"/>
          <w:sz w:val="32"/>
          <w:szCs w:val="32"/>
        </w:rPr>
      </w:pPr>
      <w:bookmarkStart w:id="211" w:name="_Toc9937"/>
      <w:bookmarkStart w:id="212" w:name="_Toc18415"/>
      <w:r>
        <w:rPr>
          <w:rFonts w:hint="eastAsia" w:eastAsia="黑体"/>
          <w:sz w:val="32"/>
          <w:szCs w:val="32"/>
        </w:rPr>
        <w:t>五、老有所养</w:t>
      </w:r>
      <w:bookmarkEnd w:id="211"/>
      <w:bookmarkEnd w:id="212"/>
    </w:p>
    <w:p>
      <w:pPr>
        <w:spacing w:line="578" w:lineRule="exact"/>
        <w:ind w:firstLine="640" w:firstLineChars="200"/>
        <w:rPr>
          <w:rFonts w:eastAsia="楷体_GB2312"/>
          <w:sz w:val="32"/>
          <w:szCs w:val="32"/>
        </w:rPr>
      </w:pPr>
      <w:bookmarkStart w:id="213" w:name="_Toc4803"/>
      <w:bookmarkStart w:id="214" w:name="_Toc18640"/>
      <w:r>
        <w:rPr>
          <w:rFonts w:hint="eastAsia" w:eastAsia="楷体_GB2312"/>
          <w:sz w:val="32"/>
          <w:szCs w:val="32"/>
        </w:rPr>
        <w:t>（十三）养老助老服务</w:t>
      </w:r>
      <w:bookmarkEnd w:id="213"/>
      <w:bookmarkEnd w:id="214"/>
    </w:p>
    <w:p>
      <w:pPr>
        <w:spacing w:line="578" w:lineRule="exact"/>
        <w:ind w:firstLine="640" w:firstLineChars="200"/>
        <w:rPr>
          <w:rFonts w:eastAsia="仿宋_GB2312"/>
          <w:sz w:val="32"/>
          <w:szCs w:val="32"/>
        </w:rPr>
      </w:pPr>
      <w:bookmarkStart w:id="215" w:name="_Toc16418"/>
      <w:bookmarkStart w:id="216" w:name="_Toc19090"/>
      <w:r>
        <w:rPr>
          <w:rFonts w:hint="eastAsia" w:eastAsia="仿宋_GB2312"/>
          <w:sz w:val="32"/>
          <w:szCs w:val="32"/>
        </w:rPr>
        <w:t>48.老年人健康管理</w:t>
      </w:r>
      <w:bookmarkEnd w:id="215"/>
      <w:bookmarkEnd w:id="216"/>
    </w:p>
    <w:p>
      <w:pPr>
        <w:spacing w:line="578" w:lineRule="exact"/>
        <w:ind w:firstLine="640" w:firstLineChars="200"/>
        <w:rPr>
          <w:rFonts w:eastAsia="仿宋_GB2312"/>
          <w:sz w:val="32"/>
          <w:szCs w:val="32"/>
        </w:rPr>
      </w:pPr>
      <w:r>
        <w:rPr>
          <w:rFonts w:hint="eastAsia" w:eastAsia="仿宋_GB2312"/>
          <w:sz w:val="32"/>
          <w:szCs w:val="32"/>
        </w:rPr>
        <w:t>服务对象：所辖65岁及以上常住居民。</w:t>
      </w:r>
    </w:p>
    <w:p>
      <w:pPr>
        <w:spacing w:line="578" w:lineRule="exact"/>
        <w:ind w:firstLine="640" w:firstLineChars="200"/>
        <w:rPr>
          <w:rFonts w:eastAsia="仿宋_GB2312"/>
          <w:sz w:val="32"/>
          <w:szCs w:val="32"/>
        </w:rPr>
      </w:pPr>
      <w:r>
        <w:rPr>
          <w:rFonts w:hint="eastAsia" w:eastAsia="仿宋_GB2312"/>
          <w:sz w:val="32"/>
          <w:szCs w:val="32"/>
        </w:rPr>
        <w:t>服务内容：每年为所辖65岁及以上常住居民提供1次健康管理服务，包括生活方式和健康状况评估、体格检查、辅助检查和健康指导等；每年为65岁及以上老年人提供1次中医药健康管理服务，包括中医体质辨识和中医药保健指导。</w:t>
      </w:r>
    </w:p>
    <w:p>
      <w:pPr>
        <w:spacing w:line="578" w:lineRule="exact"/>
        <w:ind w:firstLine="640" w:firstLineChars="200"/>
        <w:rPr>
          <w:rFonts w:eastAsia="仿宋_GB2312"/>
          <w:sz w:val="32"/>
          <w:szCs w:val="32"/>
        </w:rPr>
      </w:pPr>
      <w:r>
        <w:rPr>
          <w:rFonts w:hint="eastAsia" w:eastAsia="仿宋_GB2312"/>
          <w:sz w:val="32"/>
          <w:szCs w:val="32"/>
        </w:rPr>
        <w:t>服务标准：按照《国家基本公共卫生服务规范（第三版）》及相应技术方案执行。</w:t>
      </w:r>
    </w:p>
    <w:p>
      <w:pPr>
        <w:spacing w:line="578" w:lineRule="exact"/>
        <w:ind w:firstLine="640" w:firstLineChars="200"/>
        <w:rPr>
          <w:rFonts w:eastAsia="仿宋_GB2312"/>
          <w:sz w:val="32"/>
          <w:szCs w:val="32"/>
        </w:rPr>
      </w:pPr>
      <w:r>
        <w:rPr>
          <w:rFonts w:hint="eastAsia" w:eastAsia="仿宋_GB2312"/>
          <w:sz w:val="32"/>
          <w:szCs w:val="32"/>
        </w:rPr>
        <w:t>政策依据：《基本医疗卫生与健康促进法》、《健康中国2030规划纲要》、《健康云南2030规划纲要》、卫妇社发〔2009〕70号文件。</w:t>
      </w:r>
    </w:p>
    <w:p>
      <w:pPr>
        <w:spacing w:line="578" w:lineRule="exact"/>
        <w:ind w:firstLine="640" w:firstLineChars="200"/>
        <w:rPr>
          <w:rFonts w:eastAsia="仿宋_GB2312"/>
          <w:sz w:val="32"/>
          <w:szCs w:val="32"/>
        </w:rPr>
      </w:pPr>
      <w:r>
        <w:rPr>
          <w:rFonts w:hint="eastAsia" w:eastAsia="仿宋_GB2312"/>
          <w:sz w:val="32"/>
          <w:szCs w:val="32"/>
        </w:rPr>
        <w:t>支出责任：按照《昆明市医疗卫生领域财政事权和支出责任划分改革实施方案》（昆政办〔2020〕78号）中央、省、市、区按照80：4：14.4：1.6的比例分担。</w:t>
      </w:r>
    </w:p>
    <w:p>
      <w:pPr>
        <w:spacing w:line="578" w:lineRule="exact"/>
        <w:ind w:firstLine="640" w:firstLineChars="200"/>
        <w:rPr>
          <w:rFonts w:eastAsia="仿宋_GB2312"/>
          <w:sz w:val="32"/>
          <w:szCs w:val="32"/>
        </w:rPr>
      </w:pPr>
      <w:r>
        <w:rPr>
          <w:rFonts w:hint="eastAsia" w:eastAsia="仿宋_GB2312"/>
          <w:sz w:val="32"/>
          <w:szCs w:val="32"/>
        </w:rPr>
        <w:t>牵头负责单位：区卫生健康局</w:t>
      </w:r>
    </w:p>
    <w:p>
      <w:pPr>
        <w:spacing w:line="578" w:lineRule="exact"/>
        <w:ind w:firstLine="640" w:firstLineChars="200"/>
        <w:rPr>
          <w:rFonts w:eastAsia="仿宋_GB2312"/>
          <w:sz w:val="32"/>
          <w:szCs w:val="32"/>
        </w:rPr>
      </w:pPr>
      <w:r>
        <w:rPr>
          <w:rFonts w:hint="eastAsia" w:eastAsia="仿宋_GB2312"/>
          <w:sz w:val="32"/>
          <w:szCs w:val="32"/>
        </w:rPr>
        <w:t>服务流程：严格按照《国家基本公共卫生服务规范（第三版）》执行。</w:t>
      </w:r>
    </w:p>
    <w:p>
      <w:pPr>
        <w:spacing w:line="578" w:lineRule="exact"/>
        <w:ind w:firstLine="640" w:firstLineChars="200"/>
        <w:rPr>
          <w:rFonts w:eastAsia="仿宋_GB2312"/>
          <w:sz w:val="32"/>
          <w:szCs w:val="32"/>
        </w:rPr>
      </w:pPr>
      <w:bookmarkStart w:id="217" w:name="_Toc4756"/>
      <w:bookmarkStart w:id="218" w:name="_Toc17164"/>
      <w:r>
        <w:rPr>
          <w:rFonts w:hint="eastAsia" w:eastAsia="仿宋_GB2312"/>
          <w:sz w:val="32"/>
          <w:szCs w:val="32"/>
        </w:rPr>
        <w:t>49.老年人福利补贴</w:t>
      </w:r>
      <w:bookmarkEnd w:id="217"/>
      <w:bookmarkEnd w:id="218"/>
    </w:p>
    <w:p>
      <w:pPr>
        <w:spacing w:line="578" w:lineRule="exact"/>
        <w:ind w:firstLine="640" w:firstLineChars="200"/>
        <w:rPr>
          <w:rFonts w:eastAsia="仿宋_GB2312"/>
          <w:sz w:val="32"/>
          <w:szCs w:val="32"/>
        </w:rPr>
      </w:pPr>
      <w:r>
        <w:rPr>
          <w:rFonts w:hint="eastAsia" w:eastAsia="仿宋_GB2312"/>
          <w:sz w:val="32"/>
          <w:szCs w:val="32"/>
        </w:rPr>
        <w:t>49.1为80周岁以上不满100周岁的老年人发放保健补助，为100周岁以上的老年人发放长寿补助。</w:t>
      </w:r>
    </w:p>
    <w:p>
      <w:pPr>
        <w:spacing w:line="578" w:lineRule="exact"/>
        <w:ind w:firstLine="640" w:firstLineChars="200"/>
        <w:rPr>
          <w:rFonts w:eastAsia="仿宋_GB2312"/>
          <w:sz w:val="32"/>
          <w:szCs w:val="32"/>
        </w:rPr>
      </w:pPr>
      <w:r>
        <w:rPr>
          <w:rFonts w:hint="eastAsia" w:eastAsia="仿宋_GB2312"/>
          <w:sz w:val="32"/>
          <w:szCs w:val="32"/>
        </w:rPr>
        <w:t>服务对象：年满80周岁以上的东川区户籍老年人。</w:t>
      </w:r>
    </w:p>
    <w:p>
      <w:pPr>
        <w:spacing w:line="578" w:lineRule="exact"/>
        <w:ind w:firstLine="640" w:firstLineChars="200"/>
        <w:rPr>
          <w:rFonts w:eastAsia="仿宋_GB2312"/>
          <w:sz w:val="32"/>
          <w:szCs w:val="32"/>
        </w:rPr>
      </w:pPr>
      <w:r>
        <w:rPr>
          <w:rFonts w:hint="eastAsia" w:eastAsia="仿宋_GB2312"/>
          <w:sz w:val="32"/>
          <w:szCs w:val="32"/>
        </w:rPr>
        <w:t>服务内容：为80周岁以上不满100周岁的老年人发放保健补助，为100 周岁以上的老年人发放长寿补助。</w:t>
      </w:r>
    </w:p>
    <w:p>
      <w:pPr>
        <w:spacing w:line="578" w:lineRule="exact"/>
        <w:ind w:firstLine="640" w:firstLineChars="200"/>
        <w:rPr>
          <w:rFonts w:eastAsia="仿宋_GB2312"/>
          <w:sz w:val="32"/>
          <w:szCs w:val="32"/>
        </w:rPr>
      </w:pPr>
      <w:r>
        <w:rPr>
          <w:rFonts w:hint="eastAsia" w:eastAsia="仿宋_GB2312"/>
          <w:sz w:val="32"/>
          <w:szCs w:val="32"/>
        </w:rPr>
        <w:t>服务标准：80-89周岁60元/人/月，全年720元；90-99周岁120元/人/月，全年1440元；100周岁以上，500元/人/月，全年6000元。</w:t>
      </w:r>
    </w:p>
    <w:p>
      <w:pPr>
        <w:spacing w:line="578" w:lineRule="exact"/>
        <w:ind w:firstLine="640" w:firstLineChars="200"/>
        <w:rPr>
          <w:rFonts w:eastAsia="仿宋_GB2312"/>
          <w:sz w:val="32"/>
          <w:szCs w:val="32"/>
        </w:rPr>
      </w:pPr>
      <w:r>
        <w:rPr>
          <w:rFonts w:hint="eastAsia" w:eastAsia="仿宋_GB2312"/>
          <w:sz w:val="32"/>
          <w:szCs w:val="32"/>
        </w:rPr>
        <w:t>政策依据：《中华人民共和国老年人权益保障法》（2018年12月29日第十三届全国人民代表大会常务委员会第七次会议第三次修正）、《云南省老年人权益保障条例》（2019年3月26日云南省第十三届人民代表大会常务委员会第九次会议通过）、《昆明市老年人保障条例》、《财政部 民政部 全国老龄工作委员会办公室关于建立健全经济困难的高龄失能等老年人补贴制度的通知》（财社〔2014〕113号）、《云南省民政厅 云南省财政厅关于认真做好80周岁以上老年人保健补助和百岁以上老年人长寿补助发放工作的通知》（云民办〔2009〕12号） 、《云南省人民政府第十四次常务会议纪要》及《昆明市老年人权益保障条例》、《关于落实</w:t>
      </w:r>
      <w:r>
        <w:rPr>
          <w:rFonts w:hint="eastAsia" w:eastAsia="仿宋_GB2312"/>
          <w:spacing w:val="6"/>
          <w:sz w:val="32"/>
          <w:szCs w:val="32"/>
        </w:rPr>
        <w:t>80岁以上高龄老年人保健补助相关工作的通知》（昆老字〔2008〕01号）。</w:t>
      </w:r>
    </w:p>
    <w:p>
      <w:pPr>
        <w:spacing w:line="578" w:lineRule="exact"/>
        <w:ind w:firstLine="640" w:firstLineChars="200"/>
        <w:rPr>
          <w:rFonts w:eastAsia="仿宋_GB2312"/>
          <w:sz w:val="32"/>
          <w:szCs w:val="32"/>
        </w:rPr>
      </w:pPr>
      <w:r>
        <w:rPr>
          <w:rFonts w:hint="eastAsia" w:eastAsia="仿宋_GB2312"/>
          <w:sz w:val="32"/>
          <w:szCs w:val="32"/>
        </w:rPr>
        <w:t>支出责任：市、区两级分级承担比例为8：2。</w:t>
      </w:r>
    </w:p>
    <w:p>
      <w:pPr>
        <w:spacing w:line="578" w:lineRule="exact"/>
        <w:ind w:firstLine="640" w:firstLineChars="200"/>
        <w:rPr>
          <w:rFonts w:eastAsia="仿宋_GB2312"/>
          <w:sz w:val="32"/>
          <w:szCs w:val="32"/>
        </w:rPr>
      </w:pPr>
      <w:r>
        <w:rPr>
          <w:rFonts w:hint="eastAsia" w:eastAsia="仿宋_GB2312"/>
          <w:sz w:val="32"/>
          <w:szCs w:val="32"/>
        </w:rPr>
        <w:t>牵头负责单位：区民政局。</w:t>
      </w:r>
    </w:p>
    <w:p>
      <w:pPr>
        <w:spacing w:line="578" w:lineRule="exact"/>
        <w:ind w:firstLine="640" w:firstLineChars="200"/>
        <w:rPr>
          <w:rFonts w:eastAsia="仿宋_GB2312"/>
          <w:sz w:val="32"/>
          <w:szCs w:val="32"/>
        </w:rPr>
      </w:pPr>
      <w:r>
        <w:rPr>
          <w:rFonts w:hint="eastAsia" w:eastAsia="仿宋_GB2312"/>
          <w:sz w:val="32"/>
          <w:szCs w:val="32"/>
        </w:rPr>
        <w:t>服务流程：申请〔本人或委托村（居）委会〕→调查核实→公示〔村（居）委会〕→审核〔乡镇（街道）人民政府（办事处）〕→审定（区民政局）→补贴资金发放（代发金融机构）。</w:t>
      </w:r>
    </w:p>
    <w:p>
      <w:pPr>
        <w:spacing w:line="578" w:lineRule="exact"/>
        <w:ind w:firstLine="640" w:firstLineChars="200"/>
        <w:rPr>
          <w:rFonts w:eastAsia="仿宋_GB2312"/>
          <w:sz w:val="32"/>
          <w:szCs w:val="32"/>
        </w:rPr>
      </w:pPr>
      <w:r>
        <w:rPr>
          <w:rFonts w:hint="eastAsia" w:eastAsia="仿宋_GB2312"/>
          <w:sz w:val="32"/>
          <w:szCs w:val="32"/>
        </w:rPr>
        <w:t>49.2为经认定生活不能自理的特困人员中的老年人提供护理补贴</w:t>
      </w:r>
    </w:p>
    <w:p>
      <w:pPr>
        <w:spacing w:line="578" w:lineRule="exact"/>
        <w:ind w:firstLine="640" w:firstLineChars="200"/>
        <w:rPr>
          <w:rFonts w:eastAsia="仿宋_GB2312"/>
          <w:sz w:val="32"/>
          <w:szCs w:val="32"/>
        </w:rPr>
      </w:pPr>
      <w:r>
        <w:rPr>
          <w:rFonts w:hint="eastAsia" w:eastAsia="仿宋_GB2312"/>
          <w:sz w:val="32"/>
          <w:szCs w:val="32"/>
        </w:rPr>
        <w:t>服务对象：符合条件的特困人员中的老年人。</w:t>
      </w:r>
    </w:p>
    <w:p>
      <w:pPr>
        <w:spacing w:line="578" w:lineRule="exact"/>
        <w:ind w:firstLine="640" w:firstLineChars="200"/>
        <w:rPr>
          <w:rFonts w:eastAsia="仿宋_GB2312"/>
          <w:sz w:val="32"/>
          <w:szCs w:val="32"/>
        </w:rPr>
      </w:pPr>
      <w:r>
        <w:rPr>
          <w:rFonts w:hint="eastAsia" w:eastAsia="仿宋_GB2312"/>
          <w:sz w:val="32"/>
          <w:szCs w:val="32"/>
        </w:rPr>
        <w:t>服务内容：为经认定生活不能自理的特困人员中的老年人提供护理补贴。</w:t>
      </w:r>
    </w:p>
    <w:p>
      <w:pPr>
        <w:spacing w:line="578" w:lineRule="exact"/>
        <w:ind w:firstLine="640" w:firstLineChars="200"/>
        <w:rPr>
          <w:rFonts w:eastAsia="仿宋_GB2312"/>
          <w:spacing w:val="-6"/>
          <w:sz w:val="32"/>
          <w:szCs w:val="32"/>
        </w:rPr>
      </w:pPr>
      <w:r>
        <w:rPr>
          <w:rFonts w:hint="eastAsia" w:eastAsia="仿宋_GB2312"/>
          <w:sz w:val="32"/>
          <w:szCs w:val="32"/>
        </w:rPr>
        <w:t>服务标准：省级按年度制定特困人员救助供养指导标准，特</w:t>
      </w:r>
      <w:r>
        <w:rPr>
          <w:rFonts w:hint="eastAsia" w:eastAsia="仿宋_GB2312"/>
          <w:spacing w:val="-6"/>
          <w:sz w:val="32"/>
          <w:szCs w:val="32"/>
        </w:rPr>
        <w:t>困人员照料护理补贴省级指导标准结合上年度最低工资标准制定。</w:t>
      </w:r>
    </w:p>
    <w:p>
      <w:pPr>
        <w:spacing w:line="578" w:lineRule="exact"/>
        <w:ind w:firstLine="640" w:firstLineChars="200"/>
        <w:rPr>
          <w:rFonts w:eastAsia="仿宋_GB2312"/>
          <w:sz w:val="32"/>
          <w:szCs w:val="32"/>
        </w:rPr>
      </w:pPr>
      <w:r>
        <w:rPr>
          <w:rFonts w:hint="eastAsia" w:eastAsia="仿宋_GB2312"/>
          <w:sz w:val="32"/>
          <w:szCs w:val="32"/>
        </w:rPr>
        <w:t>政策依据：《社会救助暂行办法》（中华人民共和国国务院令第649号）、《云南省人民政府关于印发云南省社会救助实施办法的通知》（云政发〔2014〕65号）、《中共云南省委办公厅 云南省人民政府办公厅关于印发改革完善社会救助制度的实施意见的通知》（云</w:t>
      </w:r>
      <w:r>
        <w:rPr>
          <w:rFonts w:hint="eastAsia" w:ascii="仿宋_GB2312" w:eastAsia="仿宋_GB2312"/>
          <w:sz w:val="32"/>
          <w:szCs w:val="32"/>
        </w:rPr>
        <w:t>办发〔</w:t>
      </w:r>
      <w:r>
        <w:rPr>
          <w:rFonts w:hint="eastAsia" w:eastAsia="仿宋_GB2312"/>
          <w:sz w:val="32"/>
          <w:szCs w:val="32"/>
        </w:rPr>
        <w:t>2020</w:t>
      </w:r>
      <w:r>
        <w:rPr>
          <w:rFonts w:hint="eastAsia" w:ascii="仿宋_GB2312" w:eastAsia="仿宋_GB2312"/>
          <w:sz w:val="32"/>
          <w:szCs w:val="32"/>
        </w:rPr>
        <w:t>〕</w:t>
      </w:r>
      <w:r>
        <w:rPr>
          <w:rFonts w:hint="eastAsia" w:eastAsia="仿宋_GB2312"/>
          <w:sz w:val="32"/>
          <w:szCs w:val="32"/>
        </w:rPr>
        <w:t>〕32号）、《云南省人民政府关于进一</w:t>
      </w:r>
      <w:r>
        <w:rPr>
          <w:rFonts w:hint="eastAsia" w:eastAsia="仿宋_GB2312"/>
          <w:spacing w:val="-6"/>
          <w:sz w:val="32"/>
          <w:szCs w:val="32"/>
        </w:rPr>
        <w:t>步健全特困人员救助供养制度的实施意见》（云政发〔2016〕73号）。</w:t>
      </w:r>
    </w:p>
    <w:p>
      <w:pPr>
        <w:spacing w:line="578" w:lineRule="exact"/>
        <w:ind w:firstLine="640" w:firstLineChars="200"/>
        <w:rPr>
          <w:rFonts w:eastAsia="仿宋_GB2312"/>
          <w:sz w:val="32"/>
          <w:szCs w:val="32"/>
        </w:rPr>
      </w:pPr>
      <w:r>
        <w:rPr>
          <w:rFonts w:hint="eastAsia" w:eastAsia="仿宋_GB2312"/>
          <w:sz w:val="32"/>
          <w:szCs w:val="32"/>
        </w:rPr>
        <w:t>支出责任：市区两级分级承担比例为8：2。</w:t>
      </w:r>
    </w:p>
    <w:p>
      <w:pPr>
        <w:spacing w:line="578" w:lineRule="exact"/>
        <w:ind w:firstLine="640" w:firstLineChars="200"/>
        <w:rPr>
          <w:rFonts w:eastAsia="仿宋_GB2312"/>
          <w:sz w:val="32"/>
          <w:szCs w:val="32"/>
        </w:rPr>
      </w:pPr>
      <w:r>
        <w:rPr>
          <w:rFonts w:hint="eastAsia" w:eastAsia="仿宋_GB2312"/>
          <w:sz w:val="32"/>
          <w:szCs w:val="32"/>
        </w:rPr>
        <w:t>牵头负责单位：区民政局。</w:t>
      </w:r>
    </w:p>
    <w:p>
      <w:pPr>
        <w:spacing w:line="578" w:lineRule="exact"/>
        <w:ind w:firstLine="640" w:firstLineChars="200"/>
        <w:rPr>
          <w:rFonts w:eastAsia="仿宋_GB2312"/>
          <w:sz w:val="32"/>
          <w:szCs w:val="32"/>
        </w:rPr>
      </w:pPr>
      <w:r>
        <w:rPr>
          <w:rFonts w:hint="eastAsia" w:eastAsia="仿宋_GB2312"/>
          <w:sz w:val="32"/>
          <w:szCs w:val="32"/>
        </w:rPr>
        <w:t>服务流程：特困人员本人或由他人代为申请并提供有关资料后，乡镇（街道）人民政府（办事处）采取入户调查、邻里访问、信函索证、民主评议、信息核对等方式，对申请人的经济状况、财产状况、生活状况以及对其生活自理能力进行评估和对赡养、抚养、扶养状况等进行调查核实，并提出审核意见。县（市）区级民政部门根据审核意见和公示情况，通过居民家庭经济状况核对系统进行核对，按照不低于30%的比例随机抽查核实，作出审</w:t>
      </w:r>
      <w:bookmarkStart w:id="219" w:name="_bookmark68"/>
      <w:bookmarkEnd w:id="219"/>
      <w:r>
        <w:rPr>
          <w:rFonts w:hint="eastAsia" w:eastAsia="仿宋_GB2312"/>
          <w:sz w:val="32"/>
          <w:szCs w:val="32"/>
        </w:rPr>
        <w:t>批决定。</w:t>
      </w:r>
    </w:p>
    <w:p>
      <w:pPr>
        <w:spacing w:line="578" w:lineRule="exact"/>
        <w:ind w:firstLine="640" w:firstLineChars="200"/>
        <w:rPr>
          <w:rFonts w:eastAsia="楷体_GB2312"/>
          <w:sz w:val="32"/>
          <w:szCs w:val="32"/>
        </w:rPr>
      </w:pPr>
      <w:bookmarkStart w:id="220" w:name="_Toc14986"/>
      <w:bookmarkStart w:id="221" w:name="_Toc16641"/>
      <w:r>
        <w:rPr>
          <w:rFonts w:hint="eastAsia" w:eastAsia="楷体_GB2312"/>
          <w:sz w:val="32"/>
          <w:szCs w:val="32"/>
        </w:rPr>
        <w:t>（十四）养老保险服务</w:t>
      </w:r>
      <w:bookmarkEnd w:id="220"/>
      <w:bookmarkEnd w:id="221"/>
    </w:p>
    <w:p>
      <w:pPr>
        <w:spacing w:line="578" w:lineRule="exact"/>
        <w:ind w:firstLine="640" w:firstLineChars="200"/>
        <w:rPr>
          <w:rFonts w:eastAsia="仿宋_GB2312"/>
          <w:sz w:val="32"/>
          <w:szCs w:val="32"/>
        </w:rPr>
      </w:pPr>
      <w:bookmarkStart w:id="222" w:name="_Toc20652"/>
      <w:bookmarkStart w:id="223" w:name="_Toc25630"/>
      <w:r>
        <w:rPr>
          <w:rFonts w:hint="eastAsia" w:eastAsia="仿宋_GB2312"/>
          <w:sz w:val="32"/>
          <w:szCs w:val="32"/>
        </w:rPr>
        <w:t>50.职工基本养老保险</w:t>
      </w:r>
      <w:bookmarkEnd w:id="222"/>
      <w:bookmarkEnd w:id="223"/>
    </w:p>
    <w:p>
      <w:pPr>
        <w:spacing w:line="578" w:lineRule="exact"/>
        <w:ind w:firstLine="640" w:firstLineChars="200"/>
        <w:rPr>
          <w:rFonts w:eastAsia="仿宋_GB2312"/>
          <w:sz w:val="32"/>
          <w:szCs w:val="32"/>
        </w:rPr>
      </w:pPr>
      <w:r>
        <w:rPr>
          <w:rFonts w:hint="eastAsia" w:eastAsia="仿宋_GB2312"/>
          <w:sz w:val="32"/>
          <w:szCs w:val="32"/>
        </w:rPr>
        <w:t>服务对象：符合条件的参保单位、参保人及待遇领取人。</w:t>
      </w:r>
    </w:p>
    <w:p>
      <w:pPr>
        <w:spacing w:line="578" w:lineRule="exact"/>
        <w:ind w:firstLine="640" w:firstLineChars="200"/>
        <w:rPr>
          <w:rFonts w:eastAsia="仿宋_GB2312"/>
          <w:sz w:val="32"/>
          <w:szCs w:val="32"/>
        </w:rPr>
      </w:pPr>
      <w:r>
        <w:rPr>
          <w:rFonts w:hint="eastAsia" w:eastAsia="仿宋_GB2312"/>
          <w:sz w:val="32"/>
          <w:szCs w:val="32"/>
        </w:rPr>
        <w:t>服务内容：受理参保登记申请、受理待遇给付申请、受理关系转移接续申请、提供政策咨询、提供权益记录查询、受理投诉举报等。</w:t>
      </w:r>
    </w:p>
    <w:p>
      <w:pPr>
        <w:spacing w:line="578" w:lineRule="exact"/>
        <w:ind w:firstLine="640" w:firstLineChars="200"/>
        <w:rPr>
          <w:rFonts w:eastAsia="仿宋_GB2312"/>
          <w:sz w:val="32"/>
          <w:szCs w:val="32"/>
        </w:rPr>
      </w:pPr>
      <w:r>
        <w:rPr>
          <w:rFonts w:hint="eastAsia" w:eastAsia="仿宋_GB2312"/>
          <w:sz w:val="32"/>
          <w:szCs w:val="32"/>
        </w:rPr>
        <w:t>服务标准：《社会保险服务总则》（GB/T27768-2011）及有关细则。职工基本养老保险待遇项目及标准按照国家和云南省有关政策规定执行。</w:t>
      </w:r>
    </w:p>
    <w:p>
      <w:pPr>
        <w:spacing w:line="578" w:lineRule="exact"/>
        <w:ind w:firstLine="640" w:firstLineChars="200"/>
        <w:rPr>
          <w:rFonts w:eastAsia="仿宋_GB2312"/>
          <w:spacing w:val="-6"/>
          <w:sz w:val="32"/>
          <w:szCs w:val="32"/>
        </w:rPr>
      </w:pPr>
      <w:r>
        <w:rPr>
          <w:rFonts w:hint="eastAsia" w:eastAsia="仿宋_GB2312"/>
          <w:sz w:val="32"/>
          <w:szCs w:val="32"/>
        </w:rPr>
        <w:t>政策依据：《中华人民共和国社会保险法》（中华人民共和国主席令第35号）、《社会保险个人权益记录管理办法》（中华人民共和国人力资源和社会保障部令第14号）、《社会保险费征缴暂行条例》（国务院令第259号）、《国务院关于完善企业职工基本养老保险制度的决定》（国发〔2005〕38号）、《国务院关于机关事业单位工作人员养老保险制度改革的决定》（国发〔2015〕2号）、《关于印发基本养老保险经办业务规程（试行）的通知》（劳社险中心函〔2003〕38号）、《云南省企业职工基本养老保险条例》、《云南省人民政府关于完善企业职工基本养老保险制度的实施意见》（云政发〔2006〕139号）、《云南省人民政府关于完善企业职工基本养老保险省级统筹制度的实施意见》（云政发</w:t>
      </w:r>
      <w:r>
        <w:rPr>
          <w:rFonts w:hint="eastAsia" w:eastAsia="仿宋_GB2312"/>
          <w:spacing w:val="-6"/>
          <w:sz w:val="32"/>
          <w:szCs w:val="32"/>
        </w:rPr>
        <w:t>〔2020〕5号）、《云南省基本养老保险经办业务规程（试行）》等。</w:t>
      </w:r>
    </w:p>
    <w:p>
      <w:pPr>
        <w:spacing w:line="578" w:lineRule="exact"/>
        <w:ind w:firstLine="640" w:firstLineChars="200"/>
        <w:rPr>
          <w:rFonts w:eastAsia="仿宋_GB2312"/>
          <w:sz w:val="32"/>
          <w:szCs w:val="32"/>
        </w:rPr>
      </w:pPr>
      <w:r>
        <w:rPr>
          <w:rFonts w:hint="eastAsia" w:eastAsia="仿宋_GB2312"/>
          <w:sz w:val="32"/>
          <w:szCs w:val="32"/>
        </w:rPr>
        <w:t>支出责任：确保退休人员基本养老金等各项职工基本养老保险待遇按时足额支付，所需资金从城镇职工养老保险基金支付。企业职工养老保险按照基金统一收支，责任分级负责、缺口合理分担原则，建立事权与财权相匹配、激励与约束相结合的省、市、县（市）区三级政府责任分担机制。机关事业养老保险若发生收不抵支的资金缺口，由同级财政部门安排资金予以保障。</w:t>
      </w:r>
    </w:p>
    <w:p>
      <w:pPr>
        <w:spacing w:line="578" w:lineRule="exact"/>
        <w:ind w:firstLine="640" w:firstLineChars="200"/>
        <w:rPr>
          <w:rFonts w:eastAsia="仿宋_GB2312"/>
          <w:sz w:val="32"/>
          <w:szCs w:val="32"/>
        </w:rPr>
      </w:pPr>
      <w:r>
        <w:rPr>
          <w:rFonts w:hint="eastAsia" w:eastAsia="仿宋_GB2312"/>
          <w:sz w:val="32"/>
          <w:szCs w:val="32"/>
        </w:rPr>
        <w:t>牵头负责单位：区人社局</w:t>
      </w:r>
    </w:p>
    <w:p>
      <w:pPr>
        <w:spacing w:line="578" w:lineRule="exact"/>
        <w:ind w:firstLine="640" w:firstLineChars="200"/>
        <w:rPr>
          <w:rFonts w:eastAsia="仿宋_GB2312"/>
          <w:sz w:val="32"/>
          <w:szCs w:val="32"/>
        </w:rPr>
      </w:pPr>
      <w:r>
        <w:rPr>
          <w:rFonts w:hint="eastAsia" w:eastAsia="仿宋_GB2312"/>
          <w:sz w:val="32"/>
          <w:szCs w:val="32"/>
        </w:rPr>
        <w:t>服务流程：涉及具体事项办理时，以区人社局公开发布的办事指南为准。</w:t>
      </w:r>
    </w:p>
    <w:p>
      <w:pPr>
        <w:spacing w:line="578" w:lineRule="exact"/>
        <w:ind w:firstLine="640" w:firstLineChars="200"/>
        <w:rPr>
          <w:rFonts w:eastAsia="仿宋_GB2312"/>
          <w:sz w:val="32"/>
          <w:szCs w:val="32"/>
        </w:rPr>
      </w:pPr>
      <w:bookmarkStart w:id="224" w:name="_Toc12071"/>
      <w:bookmarkStart w:id="225" w:name="_Toc20621"/>
      <w:r>
        <w:rPr>
          <w:rFonts w:hint="eastAsia" w:eastAsia="仿宋_GB2312"/>
          <w:sz w:val="32"/>
          <w:szCs w:val="32"/>
        </w:rPr>
        <w:t>51.城乡居民基本养老保险</w:t>
      </w:r>
      <w:bookmarkEnd w:id="224"/>
      <w:bookmarkEnd w:id="225"/>
    </w:p>
    <w:p>
      <w:pPr>
        <w:spacing w:line="578" w:lineRule="exact"/>
        <w:ind w:firstLine="640" w:firstLineChars="200"/>
        <w:rPr>
          <w:rFonts w:eastAsia="仿宋_GB2312"/>
          <w:sz w:val="32"/>
          <w:szCs w:val="32"/>
        </w:rPr>
      </w:pPr>
      <w:r>
        <w:rPr>
          <w:rFonts w:hint="eastAsia" w:eastAsia="仿宋_GB2312"/>
          <w:sz w:val="32"/>
          <w:szCs w:val="32"/>
        </w:rPr>
        <w:t>服务对象：符合参加东川区城乡居民基本养老保险的城乡居民个人。</w:t>
      </w:r>
    </w:p>
    <w:p>
      <w:pPr>
        <w:spacing w:line="578" w:lineRule="exact"/>
        <w:ind w:firstLine="640" w:firstLineChars="200"/>
        <w:rPr>
          <w:rFonts w:eastAsia="仿宋_GB2312"/>
          <w:sz w:val="32"/>
          <w:szCs w:val="32"/>
        </w:rPr>
      </w:pPr>
      <w:r>
        <w:rPr>
          <w:rFonts w:hint="eastAsia" w:eastAsia="仿宋_GB2312"/>
          <w:sz w:val="32"/>
          <w:szCs w:val="32"/>
        </w:rPr>
        <w:t>服务内容：受理参保登记申请、受理待遇给付申请、受理关系转移接续申请、提供政策咨询、提供权益记录查询、受理投诉举报等。</w:t>
      </w:r>
    </w:p>
    <w:p>
      <w:pPr>
        <w:spacing w:line="578" w:lineRule="exact"/>
        <w:ind w:firstLine="640" w:firstLineChars="200"/>
        <w:rPr>
          <w:rFonts w:eastAsia="仿宋_GB2312"/>
          <w:sz w:val="32"/>
          <w:szCs w:val="32"/>
        </w:rPr>
      </w:pPr>
      <w:r>
        <w:rPr>
          <w:rFonts w:hint="eastAsia" w:eastAsia="仿宋_GB2312"/>
          <w:sz w:val="32"/>
          <w:szCs w:val="32"/>
        </w:rPr>
        <w:t>服务标准：《社会保险服务总则》（GB/T27768-2011）及有关细则。城乡居民基本养老保险待遇项目及标准按照国家、云南省、昆明市、东川区有关政策规定执行。</w:t>
      </w:r>
    </w:p>
    <w:p>
      <w:pPr>
        <w:spacing w:line="578" w:lineRule="exact"/>
        <w:ind w:firstLine="640" w:firstLineChars="200"/>
        <w:rPr>
          <w:rFonts w:eastAsia="仿宋_GB2312"/>
          <w:sz w:val="32"/>
          <w:szCs w:val="32"/>
        </w:rPr>
      </w:pPr>
      <w:r>
        <w:rPr>
          <w:rFonts w:hint="eastAsia" w:eastAsia="仿宋_GB2312"/>
          <w:sz w:val="32"/>
          <w:szCs w:val="32"/>
        </w:rPr>
        <w:t>政策依据：《国务院关于建立统一的城乡居民基本养老保险制度的意见》（国发〔2014〕8号）、《人力资源社会保障部 财政部关于建立城乡居民基本养老保险待遇确定和基础养老金正常调整机制的指导意见》（人社部发〔2018〕21号）、《云南省人民政府关于印发云南省城乡居民基本养老保险实施办法的通知》（云政发〔2014〕20号）、《昆明市人民政府关于印发昆明市城乡居民基本养老保险实施细则的通知》（昆政发〔2014〕35号）、《云南省人力资源和社会保障厅 云南省财政厅关于建立城乡居民基本养老保险待遇确定和基础养老金正常调整机制的实施意见》（云人社发〔2019〕5号）、《昆明市人力资源和社会保障局 昆明市财政局印发关于建立城乡居民基本养老保险待遇确定和基础养老金正常调整机制实施方案的通知》（昆人社通〔2019〕118号）、《昆明市东川区人民政府关于印发东川区新型农村社会养老保险和城镇居民社会养老保险试点实施方案的通知》（东政发〔2011〕152号）。</w:t>
      </w:r>
    </w:p>
    <w:p>
      <w:pPr>
        <w:spacing w:line="578" w:lineRule="exact"/>
        <w:ind w:firstLine="640" w:firstLineChars="200"/>
        <w:rPr>
          <w:rFonts w:eastAsia="仿宋_GB2312"/>
          <w:sz w:val="32"/>
          <w:szCs w:val="32"/>
        </w:rPr>
      </w:pPr>
      <w:r>
        <w:rPr>
          <w:rFonts w:hint="eastAsia" w:eastAsia="仿宋_GB2312"/>
          <w:sz w:val="32"/>
          <w:szCs w:val="32"/>
        </w:rPr>
        <w:t>支出责任：确保城乡居民养老保险各项待遇按时足额支付，所需资金从城乡居民养老保险基金中支付。其中，基础养老金由中央、省、市和县（市）区确定标准并全额支付给符合领取条件的参保人。个人账户养老金由个人账户全部储存额除以国家规定的计发系数确定。参保人按照规定缴费后，由省、市、县（市）区根据参保选择缴费档次情况分别给予参保缴费补贴。政府缴费补贴所需资金，除省级财政给予的每人每年30元缴费补贴外，超出部分由省级财政承担50%，市、县级财政承担50%，其中市、县两级财政对缴费参保人的缴费补贴承担比例分别为8</w:t>
      </w:r>
      <w:r>
        <w:rPr>
          <w:rFonts w:hint="eastAsia"/>
          <w:sz w:val="32"/>
          <w:szCs w:val="32"/>
        </w:rPr>
        <w:t>︰</w:t>
      </w:r>
      <w:r>
        <w:rPr>
          <w:rFonts w:hint="eastAsia" w:eastAsia="仿宋_GB2312"/>
          <w:sz w:val="32"/>
          <w:szCs w:val="32"/>
        </w:rPr>
        <w:t>2。</w:t>
      </w:r>
    </w:p>
    <w:p>
      <w:pPr>
        <w:spacing w:line="578" w:lineRule="exact"/>
        <w:ind w:firstLine="640" w:firstLineChars="200"/>
        <w:rPr>
          <w:rFonts w:eastAsia="仿宋_GB2312"/>
          <w:sz w:val="32"/>
          <w:szCs w:val="32"/>
        </w:rPr>
      </w:pPr>
      <w:r>
        <w:rPr>
          <w:rFonts w:hint="eastAsia" w:eastAsia="仿宋_GB2312"/>
          <w:sz w:val="32"/>
          <w:szCs w:val="32"/>
        </w:rPr>
        <w:t>牵头负责单位：区人社局、区税务局</w:t>
      </w:r>
    </w:p>
    <w:p>
      <w:pPr>
        <w:spacing w:line="578" w:lineRule="exact"/>
        <w:ind w:firstLine="640" w:firstLineChars="200"/>
        <w:rPr>
          <w:rFonts w:eastAsia="仿宋_GB2312"/>
          <w:sz w:val="32"/>
          <w:szCs w:val="32"/>
        </w:rPr>
      </w:pPr>
      <w:r>
        <w:rPr>
          <w:rFonts w:hint="eastAsia" w:eastAsia="仿宋_GB2312"/>
          <w:sz w:val="32"/>
          <w:szCs w:val="32"/>
        </w:rPr>
        <w:t>服务流程：涉及具体事项办理时，以区人社局公开发布的办事指南为准。税务部门按照人社部门提供的参保登记信息进行缴费登记，缴费人可通过省政府“一部手机办事通”、税务“一部手机办税费”、税务微信公众号、合作银行APP（农行、农信社）、自助终端、批量扣费、银行柜面、办税服务厅等渠道进行缴费，费款缴入国库后，通过信息共享平台，与人社部门实行省级“总对总”按天入库数据交换。</w:t>
      </w:r>
    </w:p>
    <w:p>
      <w:pPr>
        <w:spacing w:line="578" w:lineRule="exact"/>
        <w:ind w:firstLine="640" w:firstLineChars="200"/>
        <w:rPr>
          <w:rFonts w:eastAsia="黑体"/>
          <w:sz w:val="32"/>
          <w:szCs w:val="32"/>
        </w:rPr>
      </w:pPr>
      <w:bookmarkStart w:id="226" w:name="_Toc10014"/>
      <w:bookmarkStart w:id="227" w:name="_Toc3905"/>
      <w:r>
        <w:rPr>
          <w:rFonts w:hint="eastAsia" w:eastAsia="黑体"/>
          <w:sz w:val="32"/>
          <w:szCs w:val="32"/>
        </w:rPr>
        <w:t>六、住有所居</w:t>
      </w:r>
      <w:bookmarkEnd w:id="226"/>
      <w:bookmarkEnd w:id="227"/>
    </w:p>
    <w:p>
      <w:pPr>
        <w:spacing w:line="578" w:lineRule="exact"/>
        <w:ind w:firstLine="640" w:firstLineChars="200"/>
        <w:rPr>
          <w:rFonts w:eastAsia="楷体_GB2312"/>
          <w:sz w:val="32"/>
          <w:szCs w:val="32"/>
        </w:rPr>
      </w:pPr>
      <w:bookmarkStart w:id="228" w:name="_Toc8643"/>
      <w:bookmarkStart w:id="229" w:name="_Toc14396"/>
      <w:r>
        <w:rPr>
          <w:rFonts w:hint="eastAsia" w:eastAsia="楷体_GB2312"/>
          <w:sz w:val="32"/>
          <w:szCs w:val="32"/>
        </w:rPr>
        <w:t>（十五）公租房服务</w:t>
      </w:r>
      <w:bookmarkEnd w:id="228"/>
      <w:bookmarkEnd w:id="229"/>
    </w:p>
    <w:p>
      <w:pPr>
        <w:spacing w:line="578" w:lineRule="exact"/>
        <w:ind w:firstLine="640" w:firstLineChars="200"/>
        <w:rPr>
          <w:rFonts w:eastAsia="仿宋_GB2312"/>
          <w:sz w:val="32"/>
          <w:szCs w:val="32"/>
        </w:rPr>
      </w:pPr>
      <w:bookmarkStart w:id="230" w:name="_Toc8574"/>
      <w:bookmarkStart w:id="231" w:name="_Toc19741"/>
      <w:r>
        <w:rPr>
          <w:rFonts w:hint="eastAsia" w:eastAsia="仿宋_GB2312"/>
          <w:sz w:val="32"/>
          <w:szCs w:val="32"/>
        </w:rPr>
        <w:t>52.公租房保障</w:t>
      </w:r>
      <w:bookmarkEnd w:id="230"/>
      <w:bookmarkEnd w:id="231"/>
    </w:p>
    <w:p>
      <w:pPr>
        <w:spacing w:line="578" w:lineRule="exact"/>
        <w:ind w:firstLine="640" w:firstLineChars="200"/>
        <w:rPr>
          <w:rFonts w:eastAsia="仿宋_GB2312"/>
          <w:sz w:val="32"/>
          <w:szCs w:val="32"/>
        </w:rPr>
      </w:pPr>
      <w:r>
        <w:rPr>
          <w:rFonts w:hint="eastAsia" w:eastAsia="仿宋_GB2312"/>
          <w:sz w:val="32"/>
          <w:szCs w:val="32"/>
        </w:rPr>
        <w:t>服务对象：符合东川区规定条件的城镇住房收入困难家庭。</w:t>
      </w:r>
    </w:p>
    <w:p>
      <w:pPr>
        <w:spacing w:line="578" w:lineRule="exact"/>
        <w:ind w:firstLine="640" w:firstLineChars="200"/>
        <w:rPr>
          <w:rFonts w:eastAsia="仿宋_GB2312"/>
          <w:sz w:val="32"/>
          <w:szCs w:val="32"/>
        </w:rPr>
      </w:pPr>
      <w:r>
        <w:rPr>
          <w:rFonts w:hint="eastAsia" w:eastAsia="仿宋_GB2312"/>
          <w:sz w:val="32"/>
          <w:szCs w:val="32"/>
        </w:rPr>
        <w:t>服务内容：提供实物保障或租赁补贴。</w:t>
      </w:r>
    </w:p>
    <w:p>
      <w:pPr>
        <w:spacing w:line="578" w:lineRule="exact"/>
        <w:ind w:firstLine="640" w:firstLineChars="200"/>
        <w:rPr>
          <w:rFonts w:eastAsia="仿宋_GB2312"/>
          <w:sz w:val="32"/>
          <w:szCs w:val="32"/>
        </w:rPr>
      </w:pPr>
      <w:r>
        <w:rPr>
          <w:rFonts w:hint="eastAsia" w:eastAsia="仿宋_GB2312"/>
          <w:sz w:val="32"/>
          <w:szCs w:val="32"/>
        </w:rPr>
        <w:t>服务标准：具体标准由区人民政府确定。</w:t>
      </w:r>
    </w:p>
    <w:p>
      <w:pPr>
        <w:spacing w:line="578" w:lineRule="exact"/>
        <w:ind w:firstLine="640" w:firstLineChars="200"/>
        <w:rPr>
          <w:rFonts w:eastAsia="仿宋_GB2312"/>
          <w:sz w:val="32"/>
          <w:szCs w:val="32"/>
        </w:rPr>
      </w:pPr>
      <w:r>
        <w:rPr>
          <w:rFonts w:hint="eastAsia" w:eastAsia="仿宋_GB2312"/>
          <w:sz w:val="32"/>
          <w:szCs w:val="32"/>
        </w:rPr>
        <w:t>政策依据：《公共租赁住房管理办法》（中华人民共和国住房和城乡建设部令第11号）、《住房城乡建设部 财政部关于做好城镇住房保障家庭租赁补贴工作的指导意见》（建保〔2016〕281号）、《云南省人民政府关于印发云南省公共租赁住房管理暂行办法的通知》（云政发〔2012〕14号）、《云南省住房和城乡建设厅 云南省财政厅转发住房城乡建设部 财政部做好城镇住房保障家庭租赁补贴工作指导意见的通知》（云建保〔2017〕305号）、《昆明市保障性安居工程建设领导小组办公室关于落实公共租赁住房分级定租、分级定补相关政策的通知》（昆安居办〔2020〕2号）、《昆明市公共租赁住房管理暂行办法》（昆明市人民政府公告第77号）、《昆明市东川区人民政府办公室关于印发东川区公共租赁住房管理暂行办法的通知》（东政办发〔2013〕143号）、《昆明市东川区人民政府办公室关于印发东川区廉租住房租赁补贴办法（试行）的通知》（东政办发〔2009〕33号）。</w:t>
      </w:r>
    </w:p>
    <w:p>
      <w:pPr>
        <w:spacing w:line="578" w:lineRule="exact"/>
        <w:ind w:firstLine="640" w:firstLineChars="200"/>
        <w:rPr>
          <w:rFonts w:eastAsia="仿宋_GB2312"/>
          <w:sz w:val="32"/>
          <w:szCs w:val="32"/>
        </w:rPr>
      </w:pPr>
      <w:r>
        <w:rPr>
          <w:rFonts w:hint="eastAsia" w:eastAsia="仿宋_GB2312"/>
          <w:sz w:val="32"/>
          <w:szCs w:val="32"/>
        </w:rPr>
        <w:t>支出责任：市、区级人民政府分级负责，省级人民政府给予资金支持，中央给予资金补助。</w:t>
      </w:r>
    </w:p>
    <w:p>
      <w:pPr>
        <w:spacing w:line="578" w:lineRule="exact"/>
        <w:ind w:firstLine="640" w:firstLineChars="200"/>
        <w:rPr>
          <w:rFonts w:eastAsia="仿宋_GB2312"/>
          <w:sz w:val="32"/>
          <w:szCs w:val="32"/>
        </w:rPr>
      </w:pPr>
      <w:r>
        <w:rPr>
          <w:rFonts w:hint="eastAsia" w:eastAsia="仿宋_GB2312"/>
          <w:sz w:val="32"/>
          <w:szCs w:val="32"/>
        </w:rPr>
        <w:t>牵头负责单位：区住建局。</w:t>
      </w:r>
    </w:p>
    <w:p>
      <w:pPr>
        <w:spacing w:line="578" w:lineRule="exact"/>
        <w:ind w:firstLine="640" w:firstLineChars="200"/>
        <w:rPr>
          <w:rFonts w:eastAsia="仿宋_GB2312"/>
          <w:sz w:val="32"/>
          <w:szCs w:val="32"/>
        </w:rPr>
      </w:pPr>
    </w:p>
    <w:p>
      <w:pPr>
        <w:spacing w:line="578" w:lineRule="exact"/>
        <w:ind w:firstLine="640" w:firstLineChars="200"/>
        <w:rPr>
          <w:rFonts w:eastAsia="仿宋_GB2312"/>
          <w:sz w:val="32"/>
          <w:szCs w:val="32"/>
        </w:rPr>
      </w:pPr>
    </w:p>
    <w:p>
      <w:pPr>
        <w:spacing w:line="578" w:lineRule="exact"/>
        <w:ind w:firstLine="640" w:firstLineChars="200"/>
        <w:rPr>
          <w:rFonts w:eastAsia="仿宋_GB2312"/>
          <w:sz w:val="32"/>
          <w:szCs w:val="32"/>
        </w:rPr>
      </w:pPr>
    </w:p>
    <w:p>
      <w:pPr>
        <w:spacing w:line="578" w:lineRule="exact"/>
        <w:ind w:firstLine="640" w:firstLineChars="200"/>
        <w:rPr>
          <w:rFonts w:eastAsia="仿宋_GB2312"/>
          <w:sz w:val="32"/>
          <w:szCs w:val="32"/>
        </w:rPr>
      </w:pPr>
    </w:p>
    <w:p>
      <w:pPr>
        <w:spacing w:line="578" w:lineRule="exact"/>
        <w:ind w:firstLine="640" w:firstLineChars="200"/>
        <w:rPr>
          <w:rFonts w:eastAsia="仿宋_GB2312"/>
          <w:sz w:val="32"/>
          <w:szCs w:val="32"/>
        </w:rPr>
      </w:pPr>
    </w:p>
    <w:p>
      <w:pPr>
        <w:spacing w:line="578" w:lineRule="exact"/>
        <w:ind w:firstLine="640" w:firstLineChars="200"/>
        <w:rPr>
          <w:rFonts w:eastAsia="仿宋_GB2312"/>
          <w:sz w:val="32"/>
          <w:szCs w:val="32"/>
        </w:rPr>
      </w:pPr>
    </w:p>
    <w:p>
      <w:pPr>
        <w:spacing w:line="578" w:lineRule="exact"/>
        <w:ind w:firstLine="640" w:firstLineChars="200"/>
        <w:rPr>
          <w:rFonts w:eastAsia="仿宋_GB2312"/>
          <w:sz w:val="32"/>
          <w:szCs w:val="32"/>
        </w:rPr>
      </w:pPr>
    </w:p>
    <w:p>
      <w:pPr>
        <w:spacing w:line="578" w:lineRule="exact"/>
        <w:ind w:firstLine="640" w:firstLineChars="200"/>
        <w:rPr>
          <w:rFonts w:eastAsia="仿宋_GB2312"/>
          <w:sz w:val="32"/>
          <w:szCs w:val="32"/>
        </w:rPr>
      </w:pPr>
    </w:p>
    <w:p>
      <w:pPr>
        <w:spacing w:line="578" w:lineRule="exact"/>
        <w:ind w:firstLine="640" w:firstLineChars="200"/>
        <w:rPr>
          <w:rFonts w:eastAsia="仿宋_GB2312"/>
          <w:sz w:val="32"/>
          <w:szCs w:val="32"/>
        </w:rPr>
      </w:pPr>
    </w:p>
    <w:p>
      <w:pPr>
        <w:spacing w:line="578" w:lineRule="exact"/>
        <w:ind w:firstLine="640" w:firstLineChars="200"/>
        <w:rPr>
          <w:rFonts w:eastAsia="仿宋_GB2312"/>
          <w:sz w:val="32"/>
          <w:szCs w:val="32"/>
        </w:rPr>
      </w:pPr>
    </w:p>
    <w:p>
      <w:pPr>
        <w:spacing w:line="578" w:lineRule="exact"/>
        <w:ind w:firstLine="640" w:firstLineChars="200"/>
        <w:rPr>
          <w:rFonts w:eastAsia="仿宋_GB2312"/>
          <w:sz w:val="32"/>
          <w:szCs w:val="32"/>
        </w:rPr>
      </w:pPr>
    </w:p>
    <w:p>
      <w:pPr>
        <w:spacing w:line="578" w:lineRule="exact"/>
        <w:ind w:firstLine="640" w:firstLineChars="200"/>
        <w:rPr>
          <w:rFonts w:eastAsia="仿宋_GB2312"/>
          <w:sz w:val="32"/>
          <w:szCs w:val="32"/>
        </w:rPr>
      </w:pPr>
    </w:p>
    <w:p>
      <w:pPr>
        <w:spacing w:line="578" w:lineRule="exact"/>
        <w:ind w:firstLine="640" w:firstLineChars="200"/>
        <w:rPr>
          <w:rFonts w:eastAsia="仿宋_GB2312"/>
          <w:sz w:val="32"/>
          <w:szCs w:val="32"/>
        </w:rPr>
      </w:pPr>
    </w:p>
    <w:p>
      <w:pPr>
        <w:spacing w:line="578" w:lineRule="exact"/>
        <w:ind w:firstLine="640" w:firstLineChars="200"/>
        <w:rPr>
          <w:rFonts w:eastAsia="仿宋_GB2312"/>
          <w:sz w:val="32"/>
          <w:szCs w:val="32"/>
        </w:rPr>
      </w:pPr>
    </w:p>
    <w:p>
      <w:pPr>
        <w:spacing w:line="578" w:lineRule="exact"/>
        <w:ind w:firstLine="640" w:firstLineChars="200"/>
        <w:rPr>
          <w:rFonts w:eastAsia="仿宋_GB2312"/>
          <w:sz w:val="32"/>
          <w:szCs w:val="32"/>
        </w:rPr>
      </w:pPr>
    </w:p>
    <w:p>
      <w:pPr>
        <w:spacing w:line="578" w:lineRule="exact"/>
        <w:ind w:firstLine="640" w:firstLineChars="200"/>
        <w:rPr>
          <w:rFonts w:eastAsia="仿宋_GB2312" w:cs="仿宋_GB2312"/>
          <w:sz w:val="32"/>
          <w:szCs w:val="32"/>
        </w:rPr>
      </w:pPr>
      <w:r>
        <w:rPr>
          <w:sz w:val="32"/>
        </w:rPr>
        <w:pict>
          <v:group id="组合 1050" o:spid="_x0000_s1030" o:spt="203" style="position:absolute;left:0pt;margin-left:63pt;margin-top:15.6pt;height:225.65pt;width:291.6pt;z-index:251681792;mso-width-relative:page;mso-height-relative:page;" coordorigin="5259,2656" coordsize="5832,4513203">
            <o:lock v:ext="edit"/>
            <v:rect id="矩形 2" o:spid="_x0000_s1031" o:spt="1" style="position:absolute;left:7089;top:2656;height:765;width:2264;" filled="f" coordsize="21600,21600">
              <v:path/>
              <v:fill on="f" focussize="0,0"/>
              <v:stroke/>
              <v:imagedata o:title=""/>
              <o:lock v:ext="edit"/>
              <v:textbox>
                <w:txbxContent>
                  <w:p>
                    <w:pPr>
                      <w:jc w:val="center"/>
                      <w:rPr>
                        <w:sz w:val="28"/>
                        <w:szCs w:val="28"/>
                      </w:rPr>
                    </w:pPr>
                    <w:r>
                      <w:rPr>
                        <w:rFonts w:hint="eastAsia"/>
                        <w:sz w:val="28"/>
                        <w:szCs w:val="28"/>
                      </w:rPr>
                      <w:t>申请人申请</w:t>
                    </w:r>
                  </w:p>
                </w:txbxContent>
              </v:textbox>
            </v:rect>
            <v:rect id="矩形 25" o:spid="_x0000_s1032" o:spt="1" style="position:absolute;left:5259;top:4171;height:2053;width:5833;" filled="f" coordsize="21600,21600">
              <v:path/>
              <v:fill on="f" focussize="0,0"/>
              <v:stroke/>
              <v:imagedata o:title=""/>
              <o:lock v:ext="edit"/>
              <v:textbox>
                <w:txbxContent>
                  <w:p>
                    <w:pPr>
                      <w:jc w:val="left"/>
                      <w:rPr>
                        <w:szCs w:val="21"/>
                      </w:rPr>
                    </w:pPr>
                    <w:r>
                      <w:rPr>
                        <w:rFonts w:hint="eastAsia"/>
                        <w:szCs w:val="21"/>
                      </w:rPr>
                      <w:t>准备材料：1.个人申请和保障房申请书；2.居民身份证（原件、复印件）；3.居民户口簿，公安机关出具的户籍证明（原件、复印件）；4.家庭婚姻证明（原件、复印件）；5工作和收入证明（退休人员提供养老金领取证明）；6.劳动合同（务工保险）；7.现有住房及有关财产证明；8.车辆情况证明；9.其他有关证明材料（低保领取证、存折、残疾证等）。</w:t>
                    </w:r>
                  </w:p>
                </w:txbxContent>
              </v:textbox>
            </v:rect>
            <v:line id="直线 1053" o:spid="_x0000_s1033" o:spt="20" style="position:absolute;left:8100;top:3420;height:750;width:1;" coordsize="21600,21600">
              <v:path arrowok="t"/>
              <v:fill focussize="0,0"/>
              <v:stroke endarrow="open"/>
              <v:imagedata o:title=""/>
              <o:lock v:ext="edit"/>
            </v:line>
            <v:line id="直线 1054" o:spid="_x0000_s1034" o:spt="20" style="position:absolute;left:8011;top:6225;flip:x;height:944;width:14;" coordsize="21600,21600">
              <v:path arrowok="t"/>
              <v:fill focussize="0,0"/>
              <v:stroke endarrow="open"/>
              <v:imagedata o:title=""/>
              <o:lock v:ext="edit"/>
            </v:line>
          </v:group>
        </w:pict>
      </w:r>
      <w:r>
        <w:rPr>
          <w:rFonts w:hint="eastAsia" w:eastAsia="仿宋_GB2312"/>
          <w:sz w:val="32"/>
          <w:szCs w:val="32"/>
        </w:rPr>
        <w:t>服务流程：</w:t>
      </w:r>
    </w:p>
    <w:p>
      <w:pPr>
        <w:spacing w:line="560" w:lineRule="exact"/>
        <w:rPr>
          <w:rFonts w:eastAsia="仿宋_GB2312" w:cs="仿宋_GB2312"/>
          <w:sz w:val="32"/>
          <w:szCs w:val="32"/>
        </w:rPr>
      </w:pPr>
    </w:p>
    <w:p>
      <w:pPr>
        <w:spacing w:line="560" w:lineRule="exact"/>
        <w:ind w:firstLine="640" w:firstLineChars="200"/>
        <w:jc w:val="left"/>
        <w:rPr>
          <w:rFonts w:eastAsia="楷体_GB2312" w:cs="楷体_GB2312"/>
          <w:sz w:val="32"/>
          <w:szCs w:val="32"/>
        </w:rPr>
      </w:pPr>
    </w:p>
    <w:p>
      <w:pPr>
        <w:spacing w:line="560" w:lineRule="exact"/>
        <w:ind w:firstLine="640" w:firstLineChars="200"/>
        <w:jc w:val="left"/>
        <w:rPr>
          <w:rFonts w:eastAsia="楷体_GB2312" w:cs="楷体_GB2312"/>
          <w:sz w:val="32"/>
          <w:szCs w:val="32"/>
        </w:rPr>
      </w:pPr>
    </w:p>
    <w:p>
      <w:pPr>
        <w:spacing w:line="560" w:lineRule="exact"/>
        <w:ind w:firstLine="640" w:firstLineChars="200"/>
        <w:jc w:val="left"/>
        <w:rPr>
          <w:rFonts w:eastAsia="楷体_GB2312" w:cs="楷体_GB2312"/>
          <w:sz w:val="32"/>
          <w:szCs w:val="32"/>
        </w:rPr>
      </w:pPr>
    </w:p>
    <w:p>
      <w:pPr>
        <w:spacing w:line="560" w:lineRule="exact"/>
        <w:ind w:firstLine="640" w:firstLineChars="200"/>
        <w:jc w:val="left"/>
        <w:rPr>
          <w:rFonts w:eastAsia="楷体_GB2312" w:cs="楷体_GB2312"/>
          <w:sz w:val="32"/>
          <w:szCs w:val="32"/>
        </w:rPr>
      </w:pPr>
    </w:p>
    <w:p>
      <w:pPr>
        <w:spacing w:line="560" w:lineRule="exact"/>
        <w:ind w:firstLine="640" w:firstLineChars="200"/>
        <w:jc w:val="left"/>
        <w:rPr>
          <w:rFonts w:eastAsia="楷体_GB2312" w:cs="楷体_GB2312"/>
          <w:sz w:val="32"/>
          <w:szCs w:val="32"/>
        </w:rPr>
      </w:pPr>
    </w:p>
    <w:p>
      <w:pPr>
        <w:spacing w:line="560" w:lineRule="exact"/>
        <w:ind w:firstLine="640" w:firstLineChars="200"/>
        <w:jc w:val="left"/>
        <w:rPr>
          <w:rFonts w:eastAsia="仿宋_GB2312" w:cs="仿宋_GB2312"/>
          <w:sz w:val="32"/>
          <w:szCs w:val="32"/>
        </w:rPr>
      </w:pPr>
    </w:p>
    <w:p>
      <w:pPr>
        <w:spacing w:line="560" w:lineRule="exact"/>
        <w:ind w:firstLine="640" w:firstLineChars="200"/>
        <w:jc w:val="left"/>
        <w:rPr>
          <w:rFonts w:eastAsia="仿宋_GB2312" w:cs="仿宋_GB2312"/>
          <w:sz w:val="32"/>
          <w:szCs w:val="32"/>
        </w:rPr>
      </w:pPr>
      <w:r>
        <w:rPr>
          <w:sz w:val="32"/>
        </w:rPr>
        <w:pict>
          <v:rect id="矩形 6" o:spid="_x0000_s1035" o:spt="1" style="position:absolute;left:0pt;margin-left:306pt;margin-top:9.1pt;height:54.75pt;width:104.25pt;z-index:251666432;mso-width-relative:page;mso-height-relative:page;" filled="f" coordsize="21600,21600">
            <v:path/>
            <v:fill on="f" focussize="0,0"/>
            <v:stroke/>
            <v:imagedata o:title=""/>
            <o:lock v:ext="edit"/>
            <v:textbox>
              <w:txbxContent>
                <w:p>
                  <w:r>
                    <w:rPr>
                      <w:rFonts w:hint="eastAsia"/>
                    </w:rPr>
                    <w:t>不属于受理范围的，一次性告知不予受理。</w:t>
                  </w:r>
                </w:p>
              </w:txbxContent>
            </v:textbox>
          </v:rect>
        </w:pict>
      </w:r>
      <w:r>
        <w:rPr>
          <w:sz w:val="32"/>
        </w:rPr>
        <w:pict>
          <v:shape id="自选图形 19" o:spid="_x0000_s1036" o:spt="32" type="#_x0000_t32" style="position:absolute;left:0pt;margin-left:245.25pt;margin-top:36.1pt;height:0pt;width:57.75pt;z-index:251676672;mso-width-relative:page;mso-height-relative:page;" filled="f" stroked="t" coordsize="21600,21600">
            <v:path arrowok="t"/>
            <v:fill on="f" focussize="0,0"/>
            <v:stroke color="#000000" endarrow="block"/>
            <v:imagedata o:title=""/>
            <o:lock v:ext="edit" aspectratio="f"/>
          </v:shape>
        </w:pict>
      </w:r>
      <w:r>
        <w:rPr>
          <w:sz w:val="32"/>
        </w:rPr>
        <w:pict>
          <v:rect id="矩形 5" o:spid="_x0000_s1037" o:spt="1" style="position:absolute;left:0pt;margin-left:144pt;margin-top:9.1pt;height:54pt;width:101.25pt;z-index:251665408;mso-width-relative:page;mso-height-relative:page;" filled="f" coordsize="21600,21600">
            <v:path/>
            <v:fill on="f" focussize="0,0"/>
            <v:stroke/>
            <v:imagedata o:title=""/>
            <o:lock v:ext="edit"/>
            <v:textbox>
              <w:txbxContent>
                <w:p>
                  <w:r>
                    <w:rPr>
                      <w:rFonts w:hint="eastAsia"/>
                    </w:rPr>
                    <w:t>社区受理：审查申请材料是否齐全，入户调查。</w:t>
                  </w:r>
                </w:p>
              </w:txbxContent>
            </v:textbox>
          </v:rect>
        </w:pict>
      </w:r>
      <w:r>
        <w:rPr>
          <w:sz w:val="32"/>
        </w:rPr>
        <w:pict>
          <v:rect id="矩形 3" o:spid="_x0000_s1038" o:spt="1" style="position:absolute;left:0pt;margin-left:-18pt;margin-top:9.1pt;height:54.75pt;width:118.5pt;z-index:251664384;mso-width-relative:page;mso-height-relative:page;" filled="f" coordsize="21600,21600">
            <v:path/>
            <v:fill on="f" focussize="0,0"/>
            <v:stroke/>
            <v:imagedata o:title=""/>
            <o:lock v:ext="edit"/>
            <v:textbox>
              <w:txbxContent>
                <w:p>
                  <w:r>
                    <w:rPr>
                      <w:rFonts w:hint="eastAsia"/>
                    </w:rPr>
                    <w:t>材料不齐全或不符合规定条件，一次性告知补正或修改。</w:t>
                  </w:r>
                </w:p>
              </w:txbxContent>
            </v:textbox>
          </v:rect>
        </w:pict>
      </w:r>
    </w:p>
    <w:p>
      <w:pPr>
        <w:spacing w:line="560" w:lineRule="exact"/>
        <w:ind w:firstLine="640" w:firstLineChars="200"/>
        <w:jc w:val="left"/>
        <w:rPr>
          <w:rFonts w:eastAsia="仿宋_GB2312" w:cs="仿宋_GB2312"/>
          <w:sz w:val="32"/>
          <w:szCs w:val="32"/>
        </w:rPr>
      </w:pPr>
      <w:r>
        <w:rPr>
          <w:sz w:val="32"/>
        </w:rPr>
        <w:pict>
          <v:shape id="_x0000_s1039" o:spid="_x0000_s1039" o:spt="32" type="#_x0000_t32" style="position:absolute;left:0pt;flip:x;margin-left:99pt;margin-top:4.5pt;height:0pt;width:46.5pt;z-index:251672576;mso-width-relative:page;mso-height-relative:page;" filled="f" coordsize="21600,21600">
            <v:path arrowok="t"/>
            <v:fill on="f" focussize="0,0"/>
            <v:stroke endarrow="block"/>
            <v:imagedata o:title=""/>
            <o:lock v:ext="edit"/>
          </v:shape>
        </w:pict>
      </w:r>
      <w:r>
        <w:rPr>
          <w:sz w:val="32"/>
        </w:rPr>
        <w:pict>
          <v:shape id="自选图形 17" o:spid="_x0000_s1040" o:spt="34" type="#_x0000_t34" style="position:absolute;left:0pt;flip:y;margin-left:54pt;margin-top:20.1pt;height:78.75pt;width:84.75pt;z-index:251674624;mso-width-relative:page;mso-height-relative:page;" filled="f" coordsize="21600,21600" adj="14234">
            <v:path arrowok="t"/>
            <v:fill on="f" focussize="0,0"/>
            <v:stroke endarrow="block"/>
            <v:imagedata o:title=""/>
            <o:lock v:ext="edit"/>
          </v:shape>
        </w:pict>
      </w:r>
      <w:r>
        <w:rPr>
          <w:sz w:val="32"/>
        </w:rPr>
        <w:pict>
          <v:shape id="自选图形 18" o:spid="_x0000_s1041" o:spt="32" type="#_x0000_t32" style="position:absolute;left:0pt;flip:x;margin-left:189pt;margin-top:27.9pt;height:39.05pt;width:0.3pt;z-index:251675648;mso-width-relative:page;mso-height-relative:page;" filled="f" coordsize="21600,21600">
            <v:path arrowok="t"/>
            <v:fill on="f" focussize="0,0"/>
            <v:stroke endarrow="block"/>
            <v:imagedata o:title=""/>
            <o:lock v:ext="edit"/>
          </v:shape>
        </w:pict>
      </w:r>
    </w:p>
    <w:p>
      <w:pPr>
        <w:spacing w:line="560" w:lineRule="exact"/>
        <w:ind w:firstLine="640" w:firstLineChars="200"/>
        <w:jc w:val="left"/>
        <w:rPr>
          <w:rFonts w:eastAsia="仿宋_GB2312" w:cs="仿宋_GB2312"/>
          <w:sz w:val="32"/>
          <w:szCs w:val="32"/>
        </w:rPr>
      </w:pPr>
      <w:r>
        <w:rPr>
          <w:sz w:val="32"/>
        </w:rPr>
        <w:pict>
          <v:shape id="自选图形 16" o:spid="_x0000_s1042" o:spt="32" type="#_x0000_t32" style="position:absolute;left:0pt;margin-left:18pt;margin-top:7.7pt;height:48pt;width:0pt;z-index:251673600;mso-width-relative:page;mso-height-relative:page;" filled="f" coordsize="21600,21600">
            <v:path arrowok="t"/>
            <v:fill on="f" focussize="0,0"/>
            <v:stroke endarrow="block"/>
            <v:imagedata o:title=""/>
            <o:lock v:ext="edit"/>
          </v:shape>
        </w:pict>
      </w:r>
    </w:p>
    <w:p>
      <w:pPr>
        <w:spacing w:line="560" w:lineRule="exact"/>
        <w:ind w:firstLine="640" w:firstLineChars="200"/>
        <w:jc w:val="left"/>
        <w:rPr>
          <w:rFonts w:eastAsia="仿宋_GB2312" w:cs="仿宋_GB2312"/>
          <w:sz w:val="32"/>
          <w:szCs w:val="32"/>
        </w:rPr>
      </w:pPr>
      <w:r>
        <w:rPr>
          <w:sz w:val="32"/>
        </w:rPr>
        <w:pict>
          <v:rect id="矩形 7" o:spid="_x0000_s1043" o:spt="1" style="position:absolute;left:0pt;margin-left:126pt;margin-top:10.9pt;height:55.5pt;width:115.5pt;z-index:251667456;mso-width-relative:page;mso-height-relative:page;" filled="f" coordsize="21600,21600">
            <v:path/>
            <v:fill on="f" focussize="0,0"/>
            <v:stroke/>
            <v:imagedata o:title=""/>
            <o:lock v:ext="edit"/>
            <v:textbox>
              <w:txbxContent>
                <w:p>
                  <w:r>
                    <w:rPr>
                      <w:rFonts w:hint="eastAsia"/>
                    </w:rPr>
                    <w:t>乡镇人民政府初审：调查核实符合规定条件，公示无异议。</w:t>
                  </w:r>
                </w:p>
              </w:txbxContent>
            </v:textbox>
          </v:rect>
        </w:pict>
      </w:r>
      <w:r>
        <w:rPr>
          <w:sz w:val="32"/>
        </w:rPr>
        <w:pict>
          <v:rect id="矩形 11" o:spid="_x0000_s1044" o:spt="1" style="position:absolute;left:0pt;margin-left:-18pt;margin-top:26.5pt;height:29.25pt;width:73.5pt;z-index:251671552;mso-width-relative:page;mso-height-relative:page;" filled="f" coordsize="21600,21600">
            <v:path/>
            <v:fill on="f" focussize="0,0"/>
            <v:stroke/>
            <v:imagedata o:title=""/>
            <o:lock v:ext="edit"/>
            <v:textbox>
              <w:txbxContent>
                <w:p>
                  <w:r>
                    <w:rPr>
                      <w:rFonts w:hint="eastAsia"/>
                    </w:rPr>
                    <w:t>材料补齐后</w:t>
                  </w:r>
                </w:p>
              </w:txbxContent>
            </v:textbox>
          </v:rect>
        </w:pict>
      </w:r>
    </w:p>
    <w:p>
      <w:pPr>
        <w:spacing w:line="560" w:lineRule="exact"/>
        <w:ind w:firstLine="640" w:firstLineChars="200"/>
        <w:jc w:val="left"/>
        <w:rPr>
          <w:rFonts w:eastAsia="仿宋_GB2312" w:cs="仿宋_GB2312"/>
          <w:sz w:val="32"/>
          <w:szCs w:val="32"/>
        </w:rPr>
      </w:pPr>
    </w:p>
    <w:p>
      <w:pPr>
        <w:spacing w:line="560" w:lineRule="exact"/>
        <w:ind w:firstLine="640" w:firstLineChars="200"/>
        <w:jc w:val="left"/>
        <w:rPr>
          <w:rFonts w:eastAsia="仿宋_GB2312" w:cs="仿宋_GB2312"/>
          <w:sz w:val="32"/>
          <w:szCs w:val="32"/>
        </w:rPr>
      </w:pPr>
      <w:r>
        <w:rPr>
          <w:sz w:val="32"/>
        </w:rPr>
        <w:pict>
          <v:shape id="自选图形 20" o:spid="_x0000_s1045" o:spt="32" type="#_x0000_t32" style="position:absolute;left:0pt;margin-left:189pt;margin-top:9.5pt;height:49.5pt;width:0pt;z-index:251677696;mso-width-relative:page;mso-height-relative:page;" filled="f" stroked="t" coordsize="21600,21600">
            <v:path arrowok="t"/>
            <v:fill on="f" focussize="0,0"/>
            <v:stroke color="#000000" endarrow="block"/>
            <v:imagedata o:title=""/>
            <o:lock v:ext="edit" aspectratio="f"/>
          </v:shape>
        </w:pict>
      </w:r>
    </w:p>
    <w:p>
      <w:pPr>
        <w:spacing w:line="560" w:lineRule="exact"/>
        <w:ind w:firstLine="640" w:firstLineChars="200"/>
        <w:jc w:val="left"/>
        <w:rPr>
          <w:rFonts w:eastAsia="仿宋_GB2312" w:cs="仿宋_GB2312"/>
          <w:sz w:val="32"/>
          <w:szCs w:val="32"/>
        </w:rPr>
      </w:pPr>
    </w:p>
    <w:p>
      <w:pPr>
        <w:spacing w:line="560" w:lineRule="exact"/>
        <w:ind w:firstLine="640" w:firstLineChars="200"/>
        <w:jc w:val="left"/>
        <w:rPr>
          <w:rFonts w:eastAsia="仿宋_GB2312" w:cs="仿宋_GB2312"/>
          <w:sz w:val="32"/>
          <w:szCs w:val="32"/>
        </w:rPr>
      </w:pPr>
      <w:r>
        <w:rPr>
          <w:sz w:val="32"/>
        </w:rPr>
        <w:pict>
          <v:rect id="矩形 8" o:spid="_x0000_s1046" o:spt="1" style="position:absolute;left:0pt;margin-left:117pt;margin-top:0.3pt;height:53.25pt;width:136.5pt;z-index:251668480;mso-width-relative:page;mso-height-relative:page;" filled="f" coordsize="21600,21600">
            <v:path/>
            <v:fill on="f" focussize="0,0"/>
            <v:stroke/>
            <v:imagedata o:title=""/>
            <o:lock v:ext="edit"/>
            <v:textbox>
              <w:txbxContent>
                <w:p>
                  <w:r>
                    <w:rPr>
                      <w:rFonts w:hint="eastAsia"/>
                    </w:rPr>
                    <w:t>区住建局会同民政、公安、人力资源、社会保障等部门复审、终审、公示。</w:t>
                  </w:r>
                </w:p>
              </w:txbxContent>
            </v:textbox>
          </v:rect>
        </w:pict>
      </w:r>
    </w:p>
    <w:p>
      <w:pPr>
        <w:spacing w:line="560" w:lineRule="exact"/>
        <w:ind w:firstLine="640" w:firstLineChars="200"/>
        <w:jc w:val="left"/>
        <w:rPr>
          <w:rFonts w:eastAsia="仿宋_GB2312" w:cs="仿宋_GB2312"/>
          <w:sz w:val="32"/>
          <w:szCs w:val="32"/>
        </w:rPr>
      </w:pPr>
      <w:r>
        <w:rPr>
          <w:sz w:val="32"/>
        </w:rPr>
        <w:pict>
          <v:shape id="自选图形 22" o:spid="_x0000_s1047" o:spt="32" type="#_x0000_t32" style="position:absolute;left:0pt;margin-left:189pt;margin-top:26.9pt;height:29.25pt;width:0pt;z-index:251679744;mso-width-relative:page;mso-height-relative:page;" filled="f" stroked="t" coordsize="21600,21600">
            <v:path arrowok="t"/>
            <v:fill on="f" focussize="0,0"/>
            <v:stroke color="#000000" endarrow="block"/>
            <v:imagedata o:title=""/>
            <o:lock v:ext="edit" aspectratio="f"/>
          </v:shape>
        </w:pict>
      </w:r>
    </w:p>
    <w:p>
      <w:pPr>
        <w:spacing w:line="560" w:lineRule="exact"/>
        <w:ind w:firstLine="640" w:firstLineChars="200"/>
        <w:jc w:val="left"/>
        <w:outlineLvl w:val="1"/>
        <w:rPr>
          <w:rFonts w:eastAsia="楷体_GB2312" w:cs="楷体_GB2312"/>
          <w:sz w:val="32"/>
          <w:szCs w:val="32"/>
        </w:rPr>
      </w:pPr>
      <w:bookmarkStart w:id="232" w:name="_Toc25021"/>
      <w:bookmarkStart w:id="233" w:name="_Toc19838"/>
    </w:p>
    <w:p>
      <w:pPr>
        <w:spacing w:line="560" w:lineRule="exact"/>
        <w:ind w:firstLine="640" w:firstLineChars="200"/>
        <w:jc w:val="left"/>
        <w:outlineLvl w:val="1"/>
        <w:rPr>
          <w:rFonts w:eastAsia="楷体_GB2312" w:cs="楷体_GB2312"/>
          <w:sz w:val="32"/>
          <w:szCs w:val="32"/>
        </w:rPr>
      </w:pPr>
      <w:r>
        <w:rPr>
          <w:sz w:val="32"/>
        </w:rPr>
        <w:pict>
          <v:rect id="矩形 9" o:spid="_x0000_s1048" o:spt="1" style="position:absolute;left:0pt;margin-left:288pt;margin-top:17.7pt;height:54.75pt;width:114.75pt;z-index:251669504;mso-width-relative:page;mso-height-relative:page;" filled="f" coordsize="21600,21600">
            <v:path/>
            <v:fill on="f" focussize="0,0"/>
            <v:stroke/>
            <v:imagedata o:title=""/>
            <o:lock v:ext="edit"/>
            <v:textbox>
              <w:txbxContent>
                <w:p>
                  <w:r>
                    <w:rPr>
                      <w:rFonts w:hint="eastAsia"/>
                    </w:rPr>
                    <w:t>不符合条件，审核未通过的，书面告知并说明理由。</w:t>
                  </w:r>
                </w:p>
              </w:txbxContent>
            </v:textbox>
          </v:rect>
        </w:pict>
      </w:r>
      <w:r>
        <w:rPr>
          <w:sz w:val="32"/>
        </w:rPr>
        <w:pict>
          <v:shape id="自选图形 24" o:spid="_x0000_s1049" o:spt="32" type="#_x0000_t32" style="position:absolute;left:0pt;margin-left:342pt;margin-top:2.1pt;height:15pt;width:0pt;z-index:251682816;mso-width-relative:page;mso-height-relative:page;" filled="f" stroked="t" coordsize="21600,21600">
            <v:path arrowok="t"/>
            <v:fill on="f" focussize="0,0"/>
            <v:stroke color="#000000" endarrow="block"/>
            <v:imagedata o:title=""/>
            <o:lock v:ext="edit" aspectratio="f"/>
          </v:shape>
        </w:pict>
      </w:r>
      <w:r>
        <w:rPr>
          <w:sz w:val="32"/>
        </w:rPr>
        <w:pict>
          <v:shape id="自选图形 21" o:spid="_x0000_s1050" o:spt="32" type="#_x0000_t32" style="position:absolute;left:0pt;margin-left:72pt;margin-top:2.1pt;height:0pt;width:270pt;z-index:251678720;mso-width-relative:page;mso-height-relative:page;" filled="f" stroked="t" coordsize="21600,21600">
            <v:path arrowok="t"/>
            <v:fill on="f" focussize="0,0"/>
            <v:stroke color="#000000"/>
            <v:imagedata o:title=""/>
            <o:lock v:ext="edit" aspectratio="f"/>
          </v:shape>
        </w:pict>
      </w:r>
      <w:r>
        <w:rPr>
          <w:sz w:val="32"/>
        </w:rPr>
        <w:pict>
          <v:shape id="自选图形 23" o:spid="_x0000_s1051" o:spt="32" type="#_x0000_t32" style="position:absolute;left:0pt;margin-left:72pt;margin-top:2.1pt;height:21pt;width:0pt;z-index:251680768;mso-width-relative:page;mso-height-relative:page;" filled="f" stroked="t" coordsize="21600,21600">
            <v:path arrowok="t"/>
            <v:fill on="f" focussize="0,0"/>
            <v:stroke color="#000000" endarrow="block"/>
            <v:imagedata o:title=""/>
            <o:lock v:ext="edit" aspectratio="f"/>
          </v:shape>
        </w:pict>
      </w:r>
      <w:r>
        <w:rPr>
          <w:sz w:val="32"/>
        </w:rPr>
        <w:pict>
          <v:rect id="矩形 10" o:spid="_x0000_s1052" o:spt="1" style="position:absolute;left:0pt;margin-left:9pt;margin-top:25.5pt;height:56.95pt;width:122.2pt;z-index:251670528;mso-width-relative:page;mso-height-relative:page;" filled="f" coordsize="21600,21600">
            <v:path/>
            <v:fill on="f" focussize="0,0"/>
            <v:stroke/>
            <v:imagedata o:title=""/>
            <o:lock v:ext="edit"/>
            <v:textbox>
              <w:txbxContent>
                <w:p>
                  <w:r>
                    <w:rPr>
                      <w:rFonts w:hint="eastAsia"/>
                    </w:rPr>
                    <w:t>符合条件的予以轮候登记、备案，抽签确定房屋后签订租赁合同。</w:t>
                  </w:r>
                </w:p>
              </w:txbxContent>
            </v:textbox>
          </v:rect>
        </w:pict>
      </w:r>
    </w:p>
    <w:p>
      <w:pPr>
        <w:spacing w:line="560" w:lineRule="exact"/>
        <w:ind w:firstLine="640" w:firstLineChars="200"/>
        <w:jc w:val="left"/>
        <w:outlineLvl w:val="1"/>
        <w:rPr>
          <w:rFonts w:eastAsia="楷体_GB2312" w:cs="楷体_GB2312"/>
          <w:sz w:val="32"/>
          <w:szCs w:val="32"/>
        </w:rPr>
      </w:pPr>
    </w:p>
    <w:p>
      <w:pPr>
        <w:spacing w:line="400" w:lineRule="exact"/>
        <w:ind w:firstLine="640" w:firstLineChars="200"/>
        <w:jc w:val="left"/>
        <w:outlineLvl w:val="1"/>
        <w:rPr>
          <w:rFonts w:eastAsia="楷体_GB2312" w:cs="楷体_GB2312"/>
          <w:sz w:val="32"/>
          <w:szCs w:val="32"/>
        </w:rPr>
      </w:pPr>
    </w:p>
    <w:p>
      <w:pPr>
        <w:spacing w:line="400" w:lineRule="exact"/>
        <w:ind w:firstLine="640" w:firstLineChars="200"/>
        <w:jc w:val="left"/>
        <w:outlineLvl w:val="1"/>
        <w:rPr>
          <w:rFonts w:eastAsia="楷体_GB2312" w:cs="楷体_GB2312"/>
          <w:sz w:val="32"/>
          <w:szCs w:val="32"/>
        </w:rPr>
      </w:pPr>
    </w:p>
    <w:p>
      <w:pPr>
        <w:spacing w:line="400" w:lineRule="exact"/>
        <w:ind w:firstLine="640" w:firstLineChars="200"/>
        <w:jc w:val="left"/>
        <w:outlineLvl w:val="1"/>
        <w:rPr>
          <w:rFonts w:eastAsia="楷体_GB2312" w:cs="楷体_GB2312"/>
          <w:sz w:val="32"/>
          <w:szCs w:val="32"/>
        </w:rPr>
      </w:pPr>
    </w:p>
    <w:p>
      <w:pPr>
        <w:spacing w:line="560" w:lineRule="exact"/>
        <w:ind w:firstLine="640" w:firstLineChars="200"/>
        <w:jc w:val="left"/>
        <w:outlineLvl w:val="1"/>
        <w:rPr>
          <w:rFonts w:eastAsia="楷体_GB2312" w:cs="楷体_GB2312"/>
          <w:sz w:val="32"/>
          <w:szCs w:val="32"/>
        </w:rPr>
      </w:pPr>
      <w:r>
        <w:rPr>
          <w:rFonts w:hint="eastAsia" w:eastAsia="楷体_GB2312" w:cs="楷体_GB2312"/>
          <w:sz w:val="32"/>
          <w:szCs w:val="32"/>
        </w:rPr>
        <w:t>（十六）住房改造服务</w:t>
      </w:r>
      <w:bookmarkEnd w:id="232"/>
      <w:bookmarkEnd w:id="233"/>
    </w:p>
    <w:p>
      <w:pPr>
        <w:spacing w:line="560" w:lineRule="exact"/>
        <w:ind w:firstLine="640" w:firstLineChars="200"/>
        <w:jc w:val="left"/>
        <w:outlineLvl w:val="2"/>
        <w:rPr>
          <w:rFonts w:eastAsia="仿宋_GB2312" w:cs="仿宋_GB2312"/>
          <w:sz w:val="32"/>
          <w:szCs w:val="32"/>
        </w:rPr>
      </w:pPr>
      <w:bookmarkStart w:id="234" w:name="_Toc26185"/>
      <w:bookmarkStart w:id="235" w:name="_Toc5401"/>
      <w:r>
        <w:rPr>
          <w:rFonts w:hint="eastAsia" w:eastAsia="仿宋_GB2312" w:cs="仿宋_GB2312"/>
          <w:sz w:val="32"/>
          <w:szCs w:val="32"/>
        </w:rPr>
        <w:t>53.城镇棚户区住房改造</w:t>
      </w:r>
      <w:bookmarkEnd w:id="234"/>
      <w:bookmarkEnd w:id="235"/>
    </w:p>
    <w:p>
      <w:pPr>
        <w:adjustRightInd w:val="0"/>
        <w:snapToGrid w:val="0"/>
        <w:spacing w:line="578" w:lineRule="exact"/>
        <w:ind w:firstLine="640" w:firstLineChars="200"/>
        <w:rPr>
          <w:rFonts w:eastAsia="仿宋_GB2312"/>
          <w:sz w:val="32"/>
          <w:szCs w:val="32"/>
        </w:rPr>
      </w:pPr>
      <w:r>
        <w:rPr>
          <w:rFonts w:hint="eastAsia" w:eastAsia="仿宋_GB2312"/>
          <w:sz w:val="32"/>
          <w:szCs w:val="32"/>
        </w:rPr>
        <w:t>服务对象：纳入棚户区改造计划的居民。</w:t>
      </w:r>
    </w:p>
    <w:p>
      <w:pPr>
        <w:adjustRightInd w:val="0"/>
        <w:snapToGrid w:val="0"/>
        <w:spacing w:line="578" w:lineRule="exact"/>
        <w:ind w:firstLine="640" w:firstLineChars="200"/>
        <w:rPr>
          <w:rFonts w:eastAsia="仿宋_GB2312"/>
          <w:sz w:val="32"/>
          <w:szCs w:val="32"/>
        </w:rPr>
      </w:pPr>
      <w:r>
        <w:rPr>
          <w:rFonts w:hint="eastAsia" w:eastAsia="仿宋_GB2312"/>
          <w:sz w:val="32"/>
          <w:szCs w:val="32"/>
        </w:rPr>
        <w:t>服务内容：提供实物安置、改（扩、翻）建或货币补偿。</w:t>
      </w:r>
    </w:p>
    <w:p>
      <w:pPr>
        <w:adjustRightInd w:val="0"/>
        <w:snapToGrid w:val="0"/>
        <w:spacing w:line="578" w:lineRule="exact"/>
        <w:ind w:firstLine="640" w:firstLineChars="200"/>
        <w:rPr>
          <w:rFonts w:eastAsia="仿宋_GB2312"/>
          <w:sz w:val="32"/>
          <w:szCs w:val="32"/>
        </w:rPr>
      </w:pPr>
      <w:r>
        <w:rPr>
          <w:rFonts w:hint="eastAsia" w:eastAsia="仿宋_GB2312"/>
          <w:sz w:val="32"/>
          <w:szCs w:val="32"/>
        </w:rPr>
        <w:t>服务标准：具体标准由区人民政府确定。</w:t>
      </w:r>
    </w:p>
    <w:p>
      <w:pPr>
        <w:adjustRightInd w:val="0"/>
        <w:snapToGrid w:val="0"/>
        <w:spacing w:line="578" w:lineRule="exact"/>
        <w:ind w:firstLine="640" w:firstLineChars="200"/>
        <w:rPr>
          <w:rFonts w:eastAsia="仿宋_GB2312"/>
          <w:sz w:val="32"/>
          <w:szCs w:val="32"/>
        </w:rPr>
      </w:pPr>
      <w:r>
        <w:rPr>
          <w:rFonts w:hint="eastAsia" w:eastAsia="仿宋_GB2312"/>
          <w:sz w:val="32"/>
          <w:szCs w:val="32"/>
        </w:rPr>
        <w:t>政策依据：《国务院关于加快棚户区改造工作的意见》（国 发〔2013〕25 号）、《国务院关于进一步做好城镇棚户区和城乡危房改造及配套基础设施建设有关工作的意见》（国发〔2015〕37号）、《云南省人民政府关于进一步加快保障性安居工程建设的实施意见》（云政发〔2009〕145号）、《云南省人民政府关于大力推进保障性安居工程建设的意见》（云政发〔2011〕64 号）、《云南省人民政府关于加快推进棚户区改造工作的实施意见》（云政发〔2013〕133号）。</w:t>
      </w:r>
    </w:p>
    <w:p>
      <w:pPr>
        <w:adjustRightInd w:val="0"/>
        <w:snapToGrid w:val="0"/>
        <w:spacing w:line="578" w:lineRule="exact"/>
        <w:ind w:firstLine="640" w:firstLineChars="200"/>
        <w:rPr>
          <w:rFonts w:eastAsia="仿宋_GB2312"/>
          <w:sz w:val="32"/>
          <w:szCs w:val="32"/>
        </w:rPr>
      </w:pPr>
      <w:r>
        <w:rPr>
          <w:rFonts w:hint="eastAsia" w:eastAsia="仿宋_GB2312"/>
          <w:sz w:val="32"/>
          <w:szCs w:val="32"/>
        </w:rPr>
        <w:t>支出责任：市、区级人民政府分级负责，引导社会资金投入，省级人民政府给予资金支持，中央给予资金补助。城镇棚户区改</w:t>
      </w:r>
      <w:r>
        <w:rPr>
          <w:rFonts w:hint="eastAsia" w:eastAsia="仿宋_GB2312"/>
          <w:spacing w:val="-6"/>
          <w:sz w:val="32"/>
          <w:szCs w:val="32"/>
        </w:rPr>
        <w:t>造中央补助资金根据因素法计算确定，省级补助资金5000元/套。</w:t>
      </w:r>
    </w:p>
    <w:p>
      <w:pPr>
        <w:adjustRightInd w:val="0"/>
        <w:snapToGrid w:val="0"/>
        <w:spacing w:line="578" w:lineRule="exact"/>
        <w:ind w:firstLine="640" w:firstLineChars="200"/>
        <w:rPr>
          <w:rFonts w:eastAsia="仿宋_GB2312"/>
          <w:sz w:val="32"/>
          <w:szCs w:val="32"/>
        </w:rPr>
      </w:pPr>
      <w:r>
        <w:rPr>
          <w:rFonts w:hint="eastAsia" w:eastAsia="仿宋_GB2312"/>
          <w:sz w:val="32"/>
          <w:szCs w:val="32"/>
        </w:rPr>
        <w:t>牵头负责单位：区住建局。</w:t>
      </w:r>
    </w:p>
    <w:p>
      <w:pPr>
        <w:adjustRightInd w:val="0"/>
        <w:snapToGrid w:val="0"/>
        <w:spacing w:line="578" w:lineRule="exact"/>
        <w:ind w:firstLine="640" w:firstLineChars="200"/>
        <w:rPr>
          <w:rFonts w:eastAsia="仿宋_GB2312"/>
          <w:sz w:val="32"/>
          <w:szCs w:val="32"/>
          <w:highlight w:val="yellow"/>
        </w:rPr>
      </w:pPr>
      <w:r>
        <w:rPr>
          <w:rFonts w:hint="eastAsia" w:eastAsia="仿宋_GB2312"/>
          <w:sz w:val="32"/>
          <w:szCs w:val="32"/>
        </w:rPr>
        <w:t>服务流程：由区住建局牵头制定棚户区改造计划，组织开展“三调”工作，确定改造范围、方式和对象，报区人民政府审定棚改方案和安置方案，然后完成房屋和附属物评估，与改造居民签订征收安置协议，货币安置的居民进行货币补偿。实物安置的居民待安置房屋建设验收合格后分配房屋。</w:t>
      </w:r>
    </w:p>
    <w:p>
      <w:pPr>
        <w:adjustRightInd w:val="0"/>
        <w:snapToGrid w:val="0"/>
        <w:spacing w:line="578" w:lineRule="exact"/>
        <w:ind w:firstLine="640" w:firstLineChars="200"/>
        <w:rPr>
          <w:rFonts w:eastAsia="仿宋_GB2312"/>
          <w:sz w:val="32"/>
          <w:szCs w:val="32"/>
        </w:rPr>
      </w:pPr>
      <w:bookmarkStart w:id="236" w:name="_Toc13286"/>
      <w:bookmarkStart w:id="237" w:name="_Toc7377"/>
      <w:r>
        <w:rPr>
          <w:rFonts w:hint="eastAsia" w:eastAsia="仿宋_GB2312"/>
          <w:sz w:val="32"/>
          <w:szCs w:val="32"/>
        </w:rPr>
        <w:t>54.农村危房改造</w:t>
      </w:r>
      <w:bookmarkEnd w:id="236"/>
      <w:bookmarkEnd w:id="237"/>
    </w:p>
    <w:p>
      <w:pPr>
        <w:adjustRightInd w:val="0"/>
        <w:snapToGrid w:val="0"/>
        <w:spacing w:line="578" w:lineRule="exact"/>
        <w:ind w:firstLine="640" w:firstLineChars="200"/>
        <w:rPr>
          <w:rFonts w:eastAsia="仿宋_GB2312"/>
          <w:sz w:val="32"/>
          <w:szCs w:val="32"/>
        </w:rPr>
      </w:pPr>
      <w:r>
        <w:rPr>
          <w:rFonts w:hint="eastAsia" w:eastAsia="仿宋_GB2312"/>
          <w:sz w:val="32"/>
          <w:szCs w:val="32"/>
        </w:rPr>
        <w:t>服务对象：针对2个方面，一是巩固拓展脱贫攻坚成果方面。农村住房安全保障对象主要是农村低收入群体，包括农村易返贫致贫户、农村低保户、农村分散供养特困人员以及因病因灾意外事故等刚性支出较大或收入大幅缩减，导致基本生活出现严重困难家庭等。二是继续推进乡村振兴方面。为保持农村危房改造政策和农村住房救助政策的延续性，对农村低保边缘家庭和未享受过农村住房保障政策支持且依靠自身力量无法解决住房安全问题的其他脱贫户给予支持。</w:t>
      </w:r>
    </w:p>
    <w:p>
      <w:pPr>
        <w:adjustRightInd w:val="0"/>
        <w:snapToGrid w:val="0"/>
        <w:spacing w:line="578" w:lineRule="exact"/>
        <w:ind w:firstLine="640" w:firstLineChars="200"/>
        <w:rPr>
          <w:rFonts w:eastAsia="仿宋_GB2312"/>
          <w:sz w:val="32"/>
          <w:szCs w:val="32"/>
        </w:rPr>
      </w:pPr>
      <w:r>
        <w:rPr>
          <w:rFonts w:hint="eastAsia" w:eastAsia="仿宋_GB2312"/>
          <w:sz w:val="32"/>
          <w:szCs w:val="32"/>
        </w:rPr>
        <w:t>服务内容：采取农户自筹资金为主、政府予以适当补助方式实施农村危房改造，是农村低收入群体等重点对象住房安全保障的主要方式。符合条件的保障对象可纳入农村危房改造支持范围，根据房屋危险程度和农户改造意愿选择加固改造、拆除重建或选址新建等方式解决住房安全问题。对已实施过农村危房改造但由于小型自然灾害等原因又变成危房且农户符合条件的，有条件的地区可将其再次纳入支持范围，但已纳入因灾倒损农房恢复重建补助范围的，不得重复享受农村危房改造支持政策。鼓励各地采取统建农村集体公租房、修缮加固现有闲置公房等方式，供自筹资金和投工投劳能力弱的特殊困难农户周转使用，解决其住房安全问题。村集体也可协助盘活农村闲置安全房屋，向符合条件的保障对象进行租赁或置换，地方政府可给予租赁或置换补贴，避免农户因建房而返贫致贫。7度及以上抗震设防地区住房达不到当地抗震设防要求的，引导农户因地制宜选择拆除重建、</w:t>
      </w:r>
      <w:r>
        <w:rPr>
          <w:rFonts w:hint="eastAsia" w:eastAsia="仿宋_GB2312"/>
          <w:spacing w:val="-6"/>
          <w:sz w:val="32"/>
          <w:szCs w:val="32"/>
        </w:rPr>
        <w:t>加固改造等方式，对抗震不达标且农户符合条件的农房实施改造。</w:t>
      </w:r>
    </w:p>
    <w:p>
      <w:pPr>
        <w:adjustRightInd w:val="0"/>
        <w:snapToGrid w:val="0"/>
        <w:spacing w:line="578" w:lineRule="exact"/>
        <w:ind w:firstLine="640" w:firstLineChars="200"/>
        <w:rPr>
          <w:rFonts w:eastAsia="仿宋_GB2312"/>
          <w:sz w:val="32"/>
          <w:szCs w:val="32"/>
        </w:rPr>
      </w:pPr>
      <w:r>
        <w:rPr>
          <w:rFonts w:hint="eastAsia" w:eastAsia="仿宋_GB2312"/>
          <w:sz w:val="32"/>
          <w:szCs w:val="32"/>
        </w:rPr>
        <w:t xml:space="preserve">服务标准：各地针对C、D级两类危房数量比例、改造方式等实际具体制定分级分类补助政策，按照关于继续支持脱贫县统筹整合使用财政涉农资金的有关要求，统筹支持农村低收入群体危房改造。 </w:t>
      </w:r>
    </w:p>
    <w:p>
      <w:pPr>
        <w:adjustRightInd w:val="0"/>
        <w:snapToGrid w:val="0"/>
        <w:spacing w:line="578" w:lineRule="exact"/>
        <w:ind w:firstLine="640" w:firstLineChars="200"/>
        <w:rPr>
          <w:rFonts w:eastAsia="仿宋_GB2312"/>
          <w:sz w:val="32"/>
          <w:szCs w:val="32"/>
        </w:rPr>
      </w:pPr>
      <w:r>
        <w:rPr>
          <w:rFonts w:hint="eastAsia" w:eastAsia="仿宋_GB2312"/>
          <w:sz w:val="32"/>
          <w:szCs w:val="32"/>
        </w:rPr>
        <w:t>政策依据：《住房和城乡建设部 财政部 民政部 国家乡村振兴局关于做好农村低收入群体等重点对象住房安全保障工作的实施意见》（建村〔2021〕35号）财政部、国家发展改革委等 11 部委联合印发《关于继续支持脱贫县统筹整合使用财政涉农资金工作的通知》（财农〔2021〕22号）、《云南省住房和城乡建设厅 云南省财政厅关于印发云南省农房抗震改造试点实施方案的通知》（云建村〔2020〕46号）、《关于修订云南省巩固拓展脱贫攻坚成果做好农村低收入群体等重点对象住房安全保障工作实施方案的通知》（云建村〔2022〕128号）。</w:t>
      </w:r>
    </w:p>
    <w:p>
      <w:pPr>
        <w:adjustRightInd w:val="0"/>
        <w:snapToGrid w:val="0"/>
        <w:spacing w:line="578" w:lineRule="exact"/>
        <w:ind w:firstLine="640" w:firstLineChars="200"/>
        <w:rPr>
          <w:rFonts w:eastAsia="仿宋_GB2312"/>
          <w:sz w:val="32"/>
          <w:szCs w:val="32"/>
        </w:rPr>
      </w:pPr>
      <w:r>
        <w:rPr>
          <w:rFonts w:hint="eastAsia" w:eastAsia="仿宋_GB2312"/>
          <w:sz w:val="32"/>
          <w:szCs w:val="32"/>
        </w:rPr>
        <w:t>支出责任：建立农户主体、政府补助、社会帮扶等多元化资金筹措机制。中央财政通过现有资金渠道支持地方做好农村低收入群体等重点对象住房安全保障工作。</w:t>
      </w:r>
    </w:p>
    <w:p>
      <w:pPr>
        <w:adjustRightInd w:val="0"/>
        <w:snapToGrid w:val="0"/>
        <w:spacing w:line="578" w:lineRule="exact"/>
        <w:ind w:firstLine="640" w:firstLineChars="200"/>
        <w:rPr>
          <w:rFonts w:eastAsia="仿宋_GB2312"/>
          <w:sz w:val="32"/>
          <w:szCs w:val="32"/>
        </w:rPr>
      </w:pPr>
      <w:r>
        <w:rPr>
          <w:rFonts w:hint="eastAsia" w:eastAsia="仿宋_GB2312"/>
          <w:sz w:val="32"/>
          <w:szCs w:val="32"/>
        </w:rPr>
        <w:t>牵头负责单位：区住建局</w:t>
      </w:r>
    </w:p>
    <w:p>
      <w:pPr>
        <w:adjustRightInd w:val="0"/>
        <w:snapToGrid w:val="0"/>
        <w:spacing w:line="578" w:lineRule="exact"/>
        <w:ind w:firstLine="640" w:firstLineChars="200"/>
        <w:rPr>
          <w:rFonts w:eastAsia="仿宋_GB2312"/>
          <w:sz w:val="32"/>
          <w:szCs w:val="32"/>
        </w:rPr>
      </w:pPr>
    </w:p>
    <w:p>
      <w:pPr>
        <w:adjustRightInd w:val="0"/>
        <w:snapToGrid w:val="0"/>
        <w:spacing w:line="578" w:lineRule="exact"/>
        <w:ind w:firstLine="640" w:firstLineChars="200"/>
        <w:rPr>
          <w:rFonts w:eastAsia="仿宋_GB2312"/>
          <w:sz w:val="32"/>
          <w:szCs w:val="32"/>
        </w:rPr>
      </w:pPr>
    </w:p>
    <w:p>
      <w:pPr>
        <w:adjustRightInd w:val="0"/>
        <w:snapToGrid w:val="0"/>
        <w:spacing w:line="578" w:lineRule="exact"/>
        <w:ind w:firstLine="640" w:firstLineChars="200"/>
        <w:rPr>
          <w:rFonts w:eastAsia="仿宋_GB2312"/>
          <w:sz w:val="32"/>
          <w:szCs w:val="32"/>
        </w:rPr>
      </w:pPr>
    </w:p>
    <w:p>
      <w:pPr>
        <w:adjustRightInd w:val="0"/>
        <w:snapToGrid w:val="0"/>
        <w:spacing w:line="578" w:lineRule="exact"/>
        <w:ind w:firstLine="640" w:firstLineChars="200"/>
        <w:rPr>
          <w:rFonts w:eastAsia="仿宋_GB2312"/>
          <w:sz w:val="32"/>
          <w:szCs w:val="32"/>
        </w:rPr>
      </w:pPr>
      <w:r>
        <w:rPr>
          <w:rFonts w:hint="eastAsia" w:eastAsia="仿宋_GB2312"/>
          <w:sz w:val="32"/>
          <w:szCs w:val="32"/>
        </w:rPr>
        <w:t>服务流程：农村危房改造服务流程图</w:t>
      </w:r>
    </w:p>
    <w:p>
      <w:pPr>
        <w:spacing w:line="560" w:lineRule="exact"/>
      </w:pPr>
      <w:r>
        <w:pict>
          <v:shape id="image43.jpeg" o:spid="_x0000_s1053" o:spt="75" type="#_x0000_t75" style="position:absolute;left:0pt;margin-left:115.4pt;margin-top:39pt;height:561.55pt;width:340.5pt;mso-position-horizontal-relative:page;mso-wrap-distance-bottom:0pt;mso-wrap-distance-top:0pt;z-index:251683840;mso-width-relative:page;mso-height-relative:page;" filled="f" o:preferrelative="t" stroked="f" coordsize="21600,21600">
            <v:path/>
            <v:fill on="f" focussize="0,0"/>
            <v:stroke on="f" joinstyle="miter"/>
            <v:imagedata r:id="rId11" o:title=""/>
            <o:lock v:ext="edit" aspectratio="t"/>
            <w10:wrap type="topAndBottom"/>
          </v:shape>
        </w:pict>
      </w:r>
    </w:p>
    <w:p>
      <w:pPr>
        <w:pStyle w:val="10"/>
        <w:tabs>
          <w:tab w:val="left" w:pos="238"/>
        </w:tabs>
        <w:spacing w:line="20" w:lineRule="exact"/>
      </w:pPr>
      <w:r>
        <w:rPr>
          <w:rFonts w:hint="eastAsia"/>
        </w:rPr>
        <w:tab/>
      </w:r>
    </w:p>
    <w:p>
      <w:pPr>
        <w:adjustRightInd w:val="0"/>
        <w:spacing w:line="578" w:lineRule="exact"/>
        <w:ind w:firstLine="640" w:firstLineChars="200"/>
        <w:rPr>
          <w:rFonts w:eastAsia="黑体"/>
          <w:sz w:val="32"/>
          <w:szCs w:val="32"/>
        </w:rPr>
      </w:pPr>
      <w:bookmarkStart w:id="238" w:name="_Toc19045"/>
      <w:bookmarkStart w:id="239" w:name="_Toc11606"/>
      <w:r>
        <w:rPr>
          <w:rFonts w:hint="eastAsia" w:eastAsia="黑体"/>
          <w:sz w:val="32"/>
          <w:szCs w:val="32"/>
        </w:rPr>
        <w:t>七、弱有所扶</w:t>
      </w:r>
      <w:bookmarkEnd w:id="238"/>
      <w:bookmarkEnd w:id="239"/>
    </w:p>
    <w:p>
      <w:pPr>
        <w:adjustRightInd w:val="0"/>
        <w:spacing w:line="578" w:lineRule="exact"/>
        <w:ind w:firstLine="640" w:firstLineChars="200"/>
        <w:rPr>
          <w:rFonts w:ascii="楷体_GB2312" w:eastAsia="楷体_GB2312"/>
          <w:sz w:val="32"/>
          <w:szCs w:val="32"/>
        </w:rPr>
      </w:pPr>
      <w:bookmarkStart w:id="240" w:name="_Toc28165"/>
      <w:bookmarkStart w:id="241" w:name="_Toc13584"/>
      <w:r>
        <w:rPr>
          <w:rFonts w:hint="eastAsia" w:ascii="楷体_GB2312" w:eastAsia="楷体_GB2312"/>
          <w:sz w:val="32"/>
          <w:szCs w:val="32"/>
        </w:rPr>
        <w:t>（十七）社会救助服务</w:t>
      </w:r>
      <w:bookmarkEnd w:id="240"/>
      <w:bookmarkEnd w:id="241"/>
    </w:p>
    <w:p>
      <w:pPr>
        <w:adjustRightInd w:val="0"/>
        <w:spacing w:line="578" w:lineRule="exact"/>
        <w:ind w:firstLine="640" w:firstLineChars="200"/>
        <w:rPr>
          <w:rFonts w:eastAsia="仿宋_GB2312"/>
          <w:sz w:val="32"/>
          <w:szCs w:val="32"/>
        </w:rPr>
      </w:pPr>
      <w:bookmarkStart w:id="242" w:name="_Toc23301"/>
      <w:bookmarkStart w:id="243" w:name="_Toc9733"/>
      <w:r>
        <w:rPr>
          <w:rFonts w:hint="eastAsia" w:eastAsia="仿宋_GB2312"/>
          <w:sz w:val="32"/>
          <w:szCs w:val="32"/>
        </w:rPr>
        <w:t>55.最低生活保障</w:t>
      </w:r>
      <w:bookmarkEnd w:id="242"/>
      <w:bookmarkEnd w:id="243"/>
    </w:p>
    <w:p>
      <w:pPr>
        <w:adjustRightInd w:val="0"/>
        <w:spacing w:line="578" w:lineRule="exact"/>
        <w:ind w:firstLine="640" w:firstLineChars="200"/>
        <w:rPr>
          <w:rFonts w:eastAsia="仿宋_GB2312"/>
          <w:sz w:val="32"/>
          <w:szCs w:val="32"/>
        </w:rPr>
      </w:pPr>
      <w:r>
        <w:rPr>
          <w:rFonts w:hint="eastAsia" w:eastAsia="仿宋_GB2312"/>
          <w:sz w:val="32"/>
          <w:szCs w:val="32"/>
        </w:rPr>
        <w:t>服务对象：共同生活的家庭成员人均收入低于当地最低生活保障标准，且财产状况符合当地最低生活保障家庭财产状况规定的家庭或个人。</w:t>
      </w:r>
    </w:p>
    <w:p>
      <w:pPr>
        <w:adjustRightInd w:val="0"/>
        <w:spacing w:line="578" w:lineRule="exact"/>
        <w:ind w:firstLine="640" w:firstLineChars="200"/>
        <w:rPr>
          <w:rFonts w:eastAsia="仿宋_GB2312"/>
          <w:sz w:val="32"/>
          <w:szCs w:val="32"/>
        </w:rPr>
      </w:pPr>
      <w:r>
        <w:rPr>
          <w:rFonts w:hint="eastAsia" w:eastAsia="仿宋_GB2312"/>
          <w:sz w:val="32"/>
          <w:szCs w:val="32"/>
        </w:rPr>
        <w:t>服务内容：为低保对象发放最低生活保障金。对获得最低生活保障后生活仍有困难的老年人、未成年人、一级残疾人、二级残疾人和重病患者，采取必要措施给予生活保障。</w:t>
      </w:r>
    </w:p>
    <w:p>
      <w:pPr>
        <w:adjustRightInd w:val="0"/>
        <w:spacing w:line="578" w:lineRule="exact"/>
        <w:ind w:firstLine="640" w:firstLineChars="200"/>
        <w:rPr>
          <w:rFonts w:eastAsia="仿宋_GB2312"/>
          <w:sz w:val="32"/>
          <w:szCs w:val="32"/>
        </w:rPr>
      </w:pPr>
      <w:r>
        <w:rPr>
          <w:rFonts w:hint="eastAsia" w:eastAsia="仿宋_GB2312"/>
          <w:sz w:val="32"/>
          <w:szCs w:val="32"/>
        </w:rPr>
        <w:t>服务标准：由市民政局牵头会同市级财政等部门综合考虑居民人均消费支出或人均可支配收入等因素，适时动态制定最低生活保障指导标准并报市人民政府同意。区级按不低于市级指导标准的原则制定有关标准。</w:t>
      </w:r>
    </w:p>
    <w:p>
      <w:pPr>
        <w:adjustRightInd w:val="0"/>
        <w:spacing w:line="578" w:lineRule="exact"/>
        <w:ind w:firstLine="640" w:firstLineChars="200"/>
        <w:rPr>
          <w:rFonts w:eastAsia="仿宋_GB2312"/>
          <w:sz w:val="32"/>
          <w:szCs w:val="32"/>
        </w:rPr>
      </w:pPr>
      <w:r>
        <w:rPr>
          <w:rFonts w:hint="eastAsia" w:eastAsia="仿宋_GB2312"/>
          <w:sz w:val="32"/>
          <w:szCs w:val="32"/>
        </w:rPr>
        <w:t>政策依据：中华人民共和国国务院令第649号文件、《民政部关于印发最低生活保障审核确认办法的通知》（民发〔2021〕57 号）、云政发〔2014〕65号文件、《云南省人民政府办公厅关于进一步完善农村最低生活保障制度的意见》（云政办发〔2019〕42号）、云办发〔2020〕32号文件、《关于进一步完善城市最低生活保障制度的实施意见》（云民发〔2020〕35号）、《云南省民政厅关于印发云南省最低生活保障审核确认实施细则的通知》（云民规〔2021〕2号）、《昆明市社会救助实施办法》（昆明市人民政府公告第91号）、《中共昆明市委办公室昆明市人民政府办公室关于印发昆明市改革完善社会救助制度的实施方案的通知》（昆办发〔2021〕6号）。</w:t>
      </w:r>
    </w:p>
    <w:p>
      <w:pPr>
        <w:adjustRightInd w:val="0"/>
        <w:spacing w:line="578" w:lineRule="exact"/>
        <w:ind w:firstLine="640" w:firstLineChars="200"/>
        <w:rPr>
          <w:rFonts w:eastAsia="仿宋_GB2312"/>
          <w:sz w:val="32"/>
          <w:szCs w:val="32"/>
        </w:rPr>
      </w:pPr>
      <w:r>
        <w:rPr>
          <w:rFonts w:hint="eastAsia" w:eastAsia="仿宋_GB2312"/>
          <w:sz w:val="32"/>
          <w:szCs w:val="32"/>
        </w:rPr>
        <w:t>支出责任：市县两级分级承担比例为8：2。</w:t>
      </w:r>
    </w:p>
    <w:p>
      <w:pPr>
        <w:adjustRightInd w:val="0"/>
        <w:spacing w:line="578" w:lineRule="exact"/>
        <w:ind w:firstLine="640" w:firstLineChars="200"/>
        <w:rPr>
          <w:rFonts w:eastAsia="仿宋_GB2312"/>
          <w:sz w:val="32"/>
          <w:szCs w:val="32"/>
        </w:rPr>
      </w:pPr>
      <w:r>
        <w:rPr>
          <w:rFonts w:hint="eastAsia" w:eastAsia="仿宋_GB2312"/>
          <w:sz w:val="32"/>
          <w:szCs w:val="32"/>
        </w:rPr>
        <w:t>牵头负责单位：区民政局</w:t>
      </w:r>
    </w:p>
    <w:p>
      <w:pPr>
        <w:adjustRightInd w:val="0"/>
        <w:spacing w:line="578" w:lineRule="exact"/>
        <w:ind w:firstLine="640" w:firstLineChars="200"/>
        <w:rPr>
          <w:rFonts w:eastAsia="仿宋_GB2312"/>
          <w:sz w:val="32"/>
          <w:szCs w:val="32"/>
        </w:rPr>
      </w:pPr>
      <w:r>
        <w:rPr>
          <w:rFonts w:hint="eastAsia" w:eastAsia="仿宋_GB2312"/>
          <w:sz w:val="32"/>
          <w:szCs w:val="32"/>
        </w:rPr>
        <w:t>服务流程：申请受</w:t>
      </w:r>
      <w:r>
        <w:rPr>
          <w:rFonts w:hint="eastAsia" w:ascii="仿宋_GB2312" w:eastAsia="仿宋_GB2312"/>
          <w:sz w:val="32"/>
          <w:szCs w:val="32"/>
        </w:rPr>
        <w:t>理→</w:t>
      </w:r>
      <w:r>
        <w:rPr>
          <w:rFonts w:hint="eastAsia" w:eastAsia="仿宋_GB2312"/>
          <w:sz w:val="32"/>
          <w:szCs w:val="32"/>
        </w:rPr>
        <w:t>家庭经济状况调查</w:t>
      </w:r>
      <w:r>
        <w:rPr>
          <w:rFonts w:hint="eastAsia" w:ascii="仿宋_GB2312" w:eastAsia="仿宋_GB2312"/>
          <w:sz w:val="32"/>
          <w:szCs w:val="32"/>
        </w:rPr>
        <w:t>→</w:t>
      </w:r>
      <w:r>
        <w:rPr>
          <w:rFonts w:hint="eastAsia" w:eastAsia="仿宋_GB2312"/>
          <w:sz w:val="32"/>
          <w:szCs w:val="32"/>
        </w:rPr>
        <w:t>审核</w:t>
      </w:r>
      <w:r>
        <w:rPr>
          <w:rFonts w:hint="eastAsia" w:ascii="仿宋_GB2312" w:eastAsia="仿宋_GB2312"/>
          <w:sz w:val="32"/>
          <w:szCs w:val="32"/>
        </w:rPr>
        <w:t>→</w:t>
      </w:r>
      <w:r>
        <w:rPr>
          <w:rFonts w:hint="eastAsia" w:eastAsia="仿宋_GB2312"/>
          <w:sz w:val="32"/>
          <w:szCs w:val="32"/>
        </w:rPr>
        <w:t>审批</w:t>
      </w:r>
      <w:r>
        <w:rPr>
          <w:rFonts w:hint="eastAsia" w:ascii="仿宋_GB2312" w:eastAsia="仿宋_GB2312"/>
          <w:sz w:val="32"/>
          <w:szCs w:val="32"/>
        </w:rPr>
        <w:t>→</w:t>
      </w:r>
      <w:r>
        <w:rPr>
          <w:rFonts w:hint="eastAsia" w:eastAsia="仿宋_GB2312"/>
          <w:sz w:val="32"/>
          <w:szCs w:val="32"/>
        </w:rPr>
        <w:t>发</w:t>
      </w:r>
      <w:bookmarkStart w:id="244" w:name="_bookmark80"/>
      <w:bookmarkEnd w:id="244"/>
      <w:r>
        <w:rPr>
          <w:rFonts w:hint="eastAsia" w:eastAsia="仿宋_GB2312"/>
          <w:sz w:val="32"/>
          <w:szCs w:val="32"/>
        </w:rPr>
        <w:t>放低保金。</w:t>
      </w:r>
    </w:p>
    <w:p>
      <w:pPr>
        <w:adjustRightInd w:val="0"/>
        <w:spacing w:line="578" w:lineRule="exact"/>
        <w:ind w:firstLine="640" w:firstLineChars="200"/>
        <w:rPr>
          <w:rFonts w:eastAsia="仿宋_GB2312"/>
          <w:sz w:val="32"/>
          <w:szCs w:val="32"/>
        </w:rPr>
      </w:pPr>
      <w:bookmarkStart w:id="245" w:name="_Toc29582"/>
      <w:bookmarkStart w:id="246" w:name="_Toc24248"/>
      <w:r>
        <w:rPr>
          <w:rFonts w:hint="eastAsia" w:eastAsia="仿宋_GB2312"/>
          <w:sz w:val="32"/>
          <w:szCs w:val="32"/>
        </w:rPr>
        <w:t>56.特困人员救助供养</w:t>
      </w:r>
      <w:bookmarkEnd w:id="245"/>
      <w:bookmarkEnd w:id="246"/>
    </w:p>
    <w:p>
      <w:pPr>
        <w:adjustRightInd w:val="0"/>
        <w:spacing w:line="578" w:lineRule="exact"/>
        <w:ind w:firstLine="640" w:firstLineChars="200"/>
        <w:rPr>
          <w:rFonts w:eastAsia="仿宋_GB2312"/>
          <w:sz w:val="32"/>
          <w:szCs w:val="32"/>
        </w:rPr>
      </w:pPr>
      <w:r>
        <w:rPr>
          <w:rFonts w:hint="eastAsia" w:eastAsia="仿宋_GB2312"/>
          <w:sz w:val="32"/>
          <w:szCs w:val="32"/>
        </w:rPr>
        <w:t>服务对象：无劳动能力、无生活来源、无法定赡养、抚养、扶养义务人，或者其法定义务人无履行义务能力的城乡老年人、残疾人和未成年人，且财产符合特困人员财产状况规定。</w:t>
      </w:r>
    </w:p>
    <w:p>
      <w:pPr>
        <w:adjustRightInd w:val="0"/>
        <w:spacing w:line="578" w:lineRule="exact"/>
        <w:ind w:firstLine="640" w:firstLineChars="200"/>
        <w:rPr>
          <w:rFonts w:eastAsia="仿宋_GB2312"/>
          <w:sz w:val="32"/>
          <w:szCs w:val="32"/>
        </w:rPr>
      </w:pPr>
      <w:r>
        <w:rPr>
          <w:rFonts w:hint="eastAsia" w:eastAsia="仿宋_GB2312"/>
          <w:sz w:val="32"/>
          <w:szCs w:val="32"/>
        </w:rPr>
        <w:t>服务内容：提供基本生活条件；对生活不能自理的给予照料；提供疾病治疗；以减免费用或补贴方式提供遗体接运、暂存、火化、骨灰寄存等基本殡葬服务。</w:t>
      </w:r>
    </w:p>
    <w:p>
      <w:pPr>
        <w:adjustRightInd w:val="0"/>
        <w:spacing w:line="578" w:lineRule="exact"/>
        <w:ind w:firstLine="640" w:firstLineChars="200"/>
        <w:rPr>
          <w:rFonts w:eastAsia="仿宋_GB2312"/>
          <w:sz w:val="32"/>
          <w:szCs w:val="32"/>
        </w:rPr>
      </w:pPr>
      <w:r>
        <w:rPr>
          <w:rFonts w:hint="eastAsia" w:eastAsia="仿宋_GB2312"/>
          <w:sz w:val="32"/>
          <w:szCs w:val="32"/>
        </w:rPr>
        <w:t>服务标准：特困人员基本生活市级指导标准按照不低于同年度城市最低生活保障标准的1.3倍执行，照料护理补贴标准按省级指导标准执行。丧葬费用从特困人员救助供养经费中按照每人2000元的标准给予补贴。东川区特困人员基本生活供养标准为910元/人/月。</w:t>
      </w:r>
    </w:p>
    <w:p>
      <w:pPr>
        <w:adjustRightInd w:val="0"/>
        <w:spacing w:line="578" w:lineRule="exact"/>
        <w:ind w:firstLine="640" w:firstLineChars="200"/>
        <w:rPr>
          <w:rFonts w:eastAsia="仿宋_GB2312"/>
          <w:sz w:val="32"/>
          <w:szCs w:val="32"/>
        </w:rPr>
      </w:pPr>
      <w:r>
        <w:rPr>
          <w:rFonts w:hint="eastAsia" w:eastAsia="仿宋_GB2312"/>
          <w:sz w:val="32"/>
          <w:szCs w:val="32"/>
        </w:rPr>
        <w:t>政策依据：中华人民共和国国务院令第649号文件、《民政部关于印发特困人员认定办法的通知》（民发〔2021〕43号），云政发〔2014〕65号、云办发〔2020〕32号、云政发〔2016〕73号，《云南省民政厅关于印发云南省特困人员认定实施细则的通知》（云民规〔2021〕3号）、昆办发〔2021〕6号、《昆明市人民政府关于进一步健全特困人员救助供养制度的实施意见》（昆政发〔2018〕32号）。</w:t>
      </w:r>
    </w:p>
    <w:p>
      <w:pPr>
        <w:adjustRightInd w:val="0"/>
        <w:spacing w:line="578" w:lineRule="exact"/>
        <w:ind w:firstLine="640" w:firstLineChars="200"/>
        <w:rPr>
          <w:rFonts w:eastAsia="仿宋_GB2312"/>
          <w:sz w:val="32"/>
          <w:szCs w:val="32"/>
        </w:rPr>
      </w:pPr>
      <w:r>
        <w:rPr>
          <w:rFonts w:hint="eastAsia" w:eastAsia="仿宋_GB2312"/>
          <w:sz w:val="32"/>
          <w:szCs w:val="32"/>
        </w:rPr>
        <w:t>支出责任：省、市、区人民政府分级负责，中央财政适当补</w:t>
      </w:r>
      <w:r>
        <w:rPr>
          <w:rFonts w:hint="eastAsia" w:eastAsia="仿宋_GB2312"/>
          <w:spacing w:val="-6"/>
          <w:sz w:val="32"/>
          <w:szCs w:val="32"/>
        </w:rPr>
        <w:t>助。所需资金除中央、省、市级补助外，不足部分由区级财政承担。</w:t>
      </w:r>
    </w:p>
    <w:p>
      <w:pPr>
        <w:adjustRightInd w:val="0"/>
        <w:spacing w:line="578" w:lineRule="exact"/>
        <w:ind w:firstLine="640" w:firstLineChars="200"/>
        <w:rPr>
          <w:rFonts w:eastAsia="仿宋_GB2312"/>
          <w:sz w:val="32"/>
          <w:szCs w:val="32"/>
        </w:rPr>
      </w:pPr>
      <w:r>
        <w:rPr>
          <w:rFonts w:hint="eastAsia" w:eastAsia="仿宋_GB2312"/>
          <w:sz w:val="32"/>
          <w:szCs w:val="32"/>
        </w:rPr>
        <w:t>牵头负责单位：区民政局。</w:t>
      </w:r>
    </w:p>
    <w:p>
      <w:pPr>
        <w:adjustRightInd w:val="0"/>
        <w:spacing w:line="578" w:lineRule="exact"/>
        <w:ind w:firstLine="640" w:firstLineChars="200"/>
        <w:rPr>
          <w:rFonts w:eastAsia="仿宋_GB2312"/>
          <w:sz w:val="32"/>
          <w:szCs w:val="32"/>
        </w:rPr>
      </w:pPr>
      <w:r>
        <w:rPr>
          <w:rFonts w:hint="eastAsia" w:eastAsia="仿宋_GB2312"/>
          <w:sz w:val="32"/>
          <w:szCs w:val="32"/>
        </w:rPr>
        <w:t>服务流程：申请受</w:t>
      </w:r>
      <w:r>
        <w:rPr>
          <w:rFonts w:hint="eastAsia" w:ascii="仿宋_GB2312" w:eastAsia="仿宋_GB2312"/>
          <w:sz w:val="32"/>
          <w:szCs w:val="32"/>
        </w:rPr>
        <w:t>理</w:t>
      </w:r>
      <w:bookmarkStart w:id="247" w:name="OLE_LINK1"/>
      <w:bookmarkStart w:id="248" w:name="OLE_LINK2"/>
      <w:r>
        <w:rPr>
          <w:rFonts w:hint="eastAsia" w:ascii="仿宋_GB2312" w:eastAsia="仿宋_GB2312"/>
          <w:sz w:val="32"/>
          <w:szCs w:val="32"/>
        </w:rPr>
        <w:t>→</w:t>
      </w:r>
      <w:bookmarkEnd w:id="247"/>
      <w:bookmarkEnd w:id="248"/>
      <w:r>
        <w:rPr>
          <w:rFonts w:hint="eastAsia" w:eastAsia="仿宋_GB2312"/>
          <w:sz w:val="32"/>
          <w:szCs w:val="32"/>
        </w:rPr>
        <w:t>家庭经济状况调查</w:t>
      </w:r>
      <w:r>
        <w:rPr>
          <w:rFonts w:hint="eastAsia" w:ascii="仿宋_GB2312" w:eastAsia="仿宋_GB2312"/>
          <w:sz w:val="32"/>
          <w:szCs w:val="32"/>
        </w:rPr>
        <w:t>→</w:t>
      </w:r>
      <w:r>
        <w:rPr>
          <w:rFonts w:hint="eastAsia" w:eastAsia="仿宋_GB2312"/>
          <w:sz w:val="32"/>
          <w:szCs w:val="32"/>
        </w:rPr>
        <w:t>审核</w:t>
      </w:r>
      <w:r>
        <w:rPr>
          <w:rFonts w:hint="eastAsia" w:ascii="仿宋_GB2312" w:eastAsia="仿宋_GB2312"/>
          <w:sz w:val="32"/>
          <w:szCs w:val="32"/>
        </w:rPr>
        <w:t>→</w:t>
      </w:r>
      <w:r>
        <w:rPr>
          <w:rFonts w:hint="eastAsia" w:eastAsia="仿宋_GB2312"/>
          <w:sz w:val="32"/>
          <w:szCs w:val="32"/>
        </w:rPr>
        <w:t>审批</w:t>
      </w:r>
      <w:r>
        <w:rPr>
          <w:rFonts w:hint="eastAsia" w:ascii="仿宋_GB2312" w:eastAsia="仿宋_GB2312"/>
          <w:sz w:val="32"/>
          <w:szCs w:val="32"/>
        </w:rPr>
        <w:t>→</w:t>
      </w:r>
      <w:r>
        <w:rPr>
          <w:rFonts w:hint="eastAsia" w:eastAsia="仿宋_GB2312"/>
          <w:sz w:val="32"/>
          <w:szCs w:val="32"/>
        </w:rPr>
        <w:t>生活自理能力评估。</w:t>
      </w:r>
    </w:p>
    <w:p>
      <w:pPr>
        <w:adjustRightInd w:val="0"/>
        <w:spacing w:line="578" w:lineRule="exact"/>
        <w:ind w:firstLine="640" w:firstLineChars="200"/>
        <w:rPr>
          <w:rFonts w:eastAsia="仿宋_GB2312"/>
          <w:sz w:val="32"/>
          <w:szCs w:val="32"/>
        </w:rPr>
      </w:pPr>
      <w:bookmarkStart w:id="249" w:name="_Toc30364"/>
      <w:bookmarkStart w:id="250" w:name="_Toc25160"/>
      <w:r>
        <w:rPr>
          <w:rFonts w:hint="eastAsia" w:eastAsia="仿宋_GB2312"/>
          <w:sz w:val="32"/>
          <w:szCs w:val="32"/>
        </w:rPr>
        <w:t>57.医疗救助</w:t>
      </w:r>
      <w:bookmarkEnd w:id="249"/>
      <w:bookmarkEnd w:id="250"/>
    </w:p>
    <w:p>
      <w:pPr>
        <w:adjustRightInd w:val="0"/>
        <w:spacing w:line="578" w:lineRule="exact"/>
        <w:ind w:firstLine="640" w:firstLineChars="200"/>
        <w:rPr>
          <w:rFonts w:eastAsia="仿宋_GB2312"/>
          <w:sz w:val="32"/>
          <w:szCs w:val="32"/>
        </w:rPr>
      </w:pPr>
      <w:r>
        <w:rPr>
          <w:rFonts w:hint="eastAsia" w:eastAsia="仿宋_GB2312"/>
          <w:sz w:val="32"/>
          <w:szCs w:val="32"/>
        </w:rPr>
        <w:t>57.1城乡医疗救助</w:t>
      </w:r>
    </w:p>
    <w:p>
      <w:pPr>
        <w:adjustRightInd w:val="0"/>
        <w:spacing w:line="578" w:lineRule="exact"/>
        <w:ind w:firstLine="640" w:firstLineChars="200"/>
        <w:rPr>
          <w:rFonts w:eastAsia="仿宋_GB2312"/>
          <w:sz w:val="32"/>
          <w:szCs w:val="32"/>
        </w:rPr>
      </w:pPr>
      <w:r>
        <w:rPr>
          <w:rFonts w:hint="eastAsia" w:eastAsia="仿宋_GB2312"/>
          <w:sz w:val="32"/>
          <w:szCs w:val="32"/>
        </w:rPr>
        <w:t>服务对象：具有昆明户籍并参加昆明市城乡基本医疗保险的特困人员（简称“一类人员”）；低保对象、返贫致贫人口（简称“二类人员”）；低保边缘对象、纳入监测范围的农村易返贫致贫人口、深度困难职工（简称“三类人员”）；因病致贫重病患者、相对困难职工、符合昆明市规定的其他特殊困难人员（简称“四类人员”）。</w:t>
      </w:r>
    </w:p>
    <w:p>
      <w:pPr>
        <w:adjustRightInd w:val="0"/>
        <w:spacing w:line="578" w:lineRule="exact"/>
        <w:ind w:firstLine="640" w:firstLineChars="200"/>
        <w:rPr>
          <w:rFonts w:eastAsia="仿宋_GB2312"/>
          <w:sz w:val="32"/>
          <w:szCs w:val="32"/>
        </w:rPr>
      </w:pPr>
      <w:r>
        <w:rPr>
          <w:rFonts w:hint="eastAsia" w:eastAsia="仿宋_GB2312"/>
          <w:sz w:val="32"/>
          <w:szCs w:val="32"/>
        </w:rPr>
        <w:t>服务内容：在资助救助对象参加城乡居民基本医疗保险的基础上，坚持以住院医疗救助为主，兼顾门诊医疗救助，对符合救助条件的患者，在政策范围内经基本医保、大病医疗保险或补充医疗保险补偿后仍难以负担的住院医疗费用和门诊医疗费用，按照规定给予救助。由基本医保、大病医疗保险和医疗救助支付的本地和异地就医费用，实施“一站式”结算。</w:t>
      </w:r>
    </w:p>
    <w:p>
      <w:pPr>
        <w:adjustRightInd w:val="0"/>
        <w:spacing w:line="578" w:lineRule="exact"/>
        <w:ind w:firstLine="640" w:firstLineChars="200"/>
        <w:rPr>
          <w:rFonts w:eastAsia="仿宋_GB2312"/>
          <w:sz w:val="32"/>
          <w:szCs w:val="32"/>
        </w:rPr>
      </w:pPr>
      <w:r>
        <w:rPr>
          <w:rFonts w:hint="eastAsia" w:eastAsia="仿宋_GB2312"/>
          <w:sz w:val="32"/>
          <w:szCs w:val="32"/>
        </w:rPr>
        <w:t>服务标准：具体救助标准由市人民政府按照《国务院办公厅关于健全重特大疾病医疗保险和救助制度的意见》（国办发〔2021〕42号）、《云南省人民政府办公厅关于印发云南省健全重特大疾病医疗保险和救助制度若干措施的通知》（云政办发〔2022〕40号）等有关规定，根据全区经济条件和医疗救助基</w:t>
      </w:r>
      <w:r>
        <w:rPr>
          <w:rFonts w:hint="eastAsia" w:eastAsia="仿宋_GB2312"/>
          <w:spacing w:val="-6"/>
          <w:sz w:val="32"/>
          <w:szCs w:val="32"/>
        </w:rPr>
        <w:t>金筹集情况、困难群众的支付能力以及基本医疗需求等因素确定。</w:t>
      </w:r>
    </w:p>
    <w:p>
      <w:pPr>
        <w:adjustRightInd w:val="0"/>
        <w:spacing w:line="578" w:lineRule="exact"/>
        <w:ind w:firstLine="640" w:firstLineChars="200"/>
        <w:rPr>
          <w:rFonts w:eastAsia="仿宋_GB2312"/>
          <w:sz w:val="32"/>
          <w:szCs w:val="32"/>
        </w:rPr>
      </w:pPr>
      <w:r>
        <w:rPr>
          <w:rFonts w:hint="eastAsia" w:eastAsia="仿宋_GB2312"/>
          <w:sz w:val="32"/>
          <w:szCs w:val="32"/>
        </w:rPr>
        <w:t>政策依据：中华人民共和国国务院令第649号、国办发〔2021〕42号、云政办发〔2022〕40号，《云南省医疗保障局关于进一步做好云南省城乡医疗救助工作的通知》（云医保〔2019〕128号）、《昆明市人民政府办公室关于印发城乡医疗救助管理实施办法的通知》（昆政办〔2021〕8号）、《昆明市人民政府办公室关于贯彻落实云南省健全重特大疾病医疗保险和救助制度若干措施的通知》（昆政办〔2022〕44号）。</w:t>
      </w:r>
    </w:p>
    <w:p>
      <w:pPr>
        <w:adjustRightInd w:val="0"/>
        <w:spacing w:line="578" w:lineRule="exact"/>
        <w:ind w:firstLine="640" w:firstLineChars="200"/>
        <w:rPr>
          <w:rFonts w:eastAsia="仿宋_GB2312"/>
          <w:sz w:val="32"/>
          <w:szCs w:val="32"/>
        </w:rPr>
      </w:pPr>
      <w:r>
        <w:rPr>
          <w:rFonts w:hint="eastAsia" w:eastAsia="仿宋_GB2312"/>
          <w:sz w:val="32"/>
          <w:szCs w:val="32"/>
        </w:rPr>
        <w:t>支出责任：中央、省、市与各县（市）区共担财政事权。中央和省级对下补助资金结合各地户籍人口数量、困难群众数量、财政困难程度等因素测算。区级财政每年筹资标准和规模根据当年医疗救助基金运行情况确定，并按照《昆明市医疗卫生领域财政事权和支出责任划分改革实施方案》，承担部分实行市与</w:t>
      </w:r>
      <w:r>
        <w:rPr>
          <w:rFonts w:hint="eastAsia" w:eastAsia="仿宋_GB2312"/>
          <w:spacing w:val="-10"/>
          <w:sz w:val="32"/>
          <w:szCs w:val="32"/>
        </w:rPr>
        <w:t>各县（市）区分档分担办法，东川区由市级分担90%、区级分担10%。</w:t>
      </w:r>
    </w:p>
    <w:p>
      <w:pPr>
        <w:adjustRightInd w:val="0"/>
        <w:spacing w:line="578" w:lineRule="exact"/>
        <w:ind w:firstLine="640" w:firstLineChars="200"/>
        <w:rPr>
          <w:rFonts w:eastAsia="仿宋_GB2312"/>
          <w:sz w:val="32"/>
          <w:szCs w:val="32"/>
        </w:rPr>
      </w:pPr>
      <w:r>
        <w:rPr>
          <w:rFonts w:hint="eastAsia" w:eastAsia="仿宋_GB2312"/>
          <w:sz w:val="32"/>
          <w:szCs w:val="32"/>
        </w:rPr>
        <w:t>服务流程：未享受“一站式”结算的救助对象，根据要求提供有关凭证材料→医保经办机构办理。</w:t>
      </w:r>
    </w:p>
    <w:p>
      <w:pPr>
        <w:adjustRightInd w:val="0"/>
        <w:spacing w:line="578" w:lineRule="exact"/>
        <w:ind w:firstLine="640" w:firstLineChars="200"/>
        <w:rPr>
          <w:rFonts w:eastAsia="仿宋_GB2312"/>
          <w:sz w:val="32"/>
          <w:szCs w:val="32"/>
        </w:rPr>
      </w:pPr>
      <w:r>
        <w:rPr>
          <w:rFonts w:hint="eastAsia" w:eastAsia="仿宋_GB2312"/>
          <w:sz w:val="32"/>
          <w:szCs w:val="32"/>
        </w:rPr>
        <w:t>57.2疾病应急救助</w:t>
      </w:r>
    </w:p>
    <w:p>
      <w:pPr>
        <w:adjustRightInd w:val="0"/>
        <w:spacing w:line="578" w:lineRule="exact"/>
        <w:ind w:firstLine="640" w:firstLineChars="200"/>
        <w:rPr>
          <w:rFonts w:eastAsia="仿宋_GB2312"/>
          <w:sz w:val="32"/>
          <w:szCs w:val="32"/>
        </w:rPr>
      </w:pPr>
      <w:r>
        <w:rPr>
          <w:rFonts w:hint="eastAsia" w:eastAsia="仿宋_GB2312"/>
          <w:sz w:val="32"/>
          <w:szCs w:val="32"/>
        </w:rPr>
        <w:t>服务对象：在昆明市境内发生急重危伤病、需要急救但身份不明或无力支付相应费用的患者或弃婴。具体人员范围按照《国务院办公厅关于建立疾病应急救助制度的指导意见》（国办发〔2013〕15号）、《云南省人民政府办公厅关于建立疾病应急救助制度实施的意见》（云政办发〔2014〕2号）、《国家卫生计生委办公厅关于印发&lt;疾病应急救助工作指导规范（试行）&gt;的通知》（国卫办医发〔2017〕15号）、《国家卫生健康委 公安部 民政部 财政部 国家医保局关于进一步推进疾病应急救助工作的通知》（国卫医发〔2021〕1号）等有关规定确定。</w:t>
      </w:r>
    </w:p>
    <w:p>
      <w:pPr>
        <w:adjustRightInd w:val="0"/>
        <w:spacing w:line="578" w:lineRule="exact"/>
        <w:ind w:firstLine="640" w:firstLineChars="200"/>
        <w:rPr>
          <w:rFonts w:eastAsia="仿宋_GB2312"/>
          <w:sz w:val="32"/>
          <w:szCs w:val="32"/>
        </w:rPr>
      </w:pPr>
      <w:r>
        <w:rPr>
          <w:rFonts w:hint="eastAsia" w:eastAsia="仿宋_GB2312"/>
          <w:sz w:val="32"/>
          <w:szCs w:val="32"/>
        </w:rPr>
        <w:t>服务内容：给予紧急救治服务。</w:t>
      </w:r>
    </w:p>
    <w:p>
      <w:pPr>
        <w:adjustRightInd w:val="0"/>
        <w:spacing w:line="578" w:lineRule="exact"/>
        <w:ind w:firstLine="640" w:firstLineChars="200"/>
        <w:rPr>
          <w:rFonts w:eastAsia="仿宋_GB2312"/>
          <w:sz w:val="32"/>
          <w:szCs w:val="32"/>
        </w:rPr>
      </w:pPr>
      <w:r>
        <w:rPr>
          <w:rFonts w:hint="eastAsia" w:eastAsia="仿宋_GB2312"/>
          <w:sz w:val="32"/>
          <w:szCs w:val="32"/>
        </w:rPr>
        <w:t>服务标准：按照医疗机构服务诊疗规范执行。</w:t>
      </w:r>
    </w:p>
    <w:p>
      <w:pPr>
        <w:adjustRightInd w:val="0"/>
        <w:spacing w:line="578" w:lineRule="exact"/>
        <w:ind w:firstLine="640" w:firstLineChars="200"/>
        <w:rPr>
          <w:rFonts w:eastAsia="仿宋_GB2312"/>
          <w:sz w:val="32"/>
          <w:szCs w:val="32"/>
        </w:rPr>
      </w:pPr>
      <w:r>
        <w:rPr>
          <w:rFonts w:hint="eastAsia" w:eastAsia="仿宋_GB2312"/>
          <w:sz w:val="32"/>
          <w:szCs w:val="32"/>
        </w:rPr>
        <w:t>政策依据：国办发〔2013〕15号、国卫办医发〔2017〕15号、国卫医发〔2021〕1号、云政办发〔2014〕2号文件。</w:t>
      </w:r>
    </w:p>
    <w:p>
      <w:pPr>
        <w:adjustRightInd w:val="0"/>
        <w:spacing w:line="578" w:lineRule="exact"/>
        <w:ind w:firstLine="640" w:firstLineChars="200"/>
        <w:rPr>
          <w:rFonts w:eastAsia="仿宋_GB2312"/>
          <w:sz w:val="32"/>
          <w:szCs w:val="32"/>
        </w:rPr>
      </w:pPr>
      <w:r>
        <w:rPr>
          <w:rFonts w:hint="eastAsia" w:eastAsia="仿宋_GB2312"/>
          <w:sz w:val="32"/>
          <w:szCs w:val="32"/>
        </w:rPr>
        <w:t>支出责任：医疗机构对其72小时以内紧急救治所发生的费用，可向疾病应急救助基金申请补助。地方人民政府分级设立疾病应急救助基金，通过财政投入和社会各界捐助等多渠道筹集资金。各级财政安排资金对疾病应急救助基金予以补助，由中央财政与地方财政共同承担支出责任。</w:t>
      </w:r>
    </w:p>
    <w:p>
      <w:pPr>
        <w:adjustRightInd w:val="0"/>
        <w:spacing w:line="578" w:lineRule="exact"/>
        <w:ind w:firstLine="640" w:firstLineChars="200"/>
        <w:rPr>
          <w:rFonts w:eastAsia="仿宋_GB2312"/>
          <w:sz w:val="32"/>
          <w:szCs w:val="32"/>
        </w:rPr>
      </w:pPr>
      <w:r>
        <w:rPr>
          <w:rFonts w:hint="eastAsia" w:eastAsia="仿宋_GB2312"/>
          <w:sz w:val="32"/>
          <w:szCs w:val="32"/>
        </w:rPr>
        <w:t>牵头负责单位：区卫生健康局</w:t>
      </w:r>
    </w:p>
    <w:p>
      <w:pPr>
        <w:adjustRightInd w:val="0"/>
        <w:spacing w:line="578" w:lineRule="exact"/>
        <w:ind w:firstLine="640" w:firstLineChars="200"/>
        <w:rPr>
          <w:rFonts w:eastAsia="仿宋_GB2312"/>
          <w:sz w:val="32"/>
          <w:szCs w:val="32"/>
        </w:rPr>
      </w:pPr>
      <w:r>
        <w:rPr>
          <w:rFonts w:hint="eastAsia" w:eastAsia="仿宋_GB2312"/>
          <w:sz w:val="32"/>
          <w:szCs w:val="32"/>
        </w:rPr>
        <w:br w:type="page"/>
      </w:r>
      <w:r>
        <w:rPr>
          <w:rFonts w:hint="eastAsia" w:eastAsia="仿宋_GB2312"/>
          <w:sz w:val="32"/>
          <w:szCs w:val="32"/>
        </w:rPr>
        <w:t>服务流程：</w:t>
      </w:r>
    </w:p>
    <w:p>
      <w:pPr>
        <w:spacing w:line="560" w:lineRule="exact"/>
        <w:ind w:firstLine="1600" w:firstLineChars="500"/>
        <w:rPr>
          <w:rFonts w:eastAsia="仿宋_GB2312"/>
          <w:sz w:val="32"/>
          <w:szCs w:val="32"/>
        </w:rPr>
      </w:pPr>
      <w:r>
        <w:rPr>
          <w:rFonts w:eastAsia="仿宋_GB2312"/>
          <w:sz w:val="32"/>
          <w:szCs w:val="32"/>
        </w:rPr>
        <w:pict>
          <v:shape id="图片 485" o:spid="_x0000_s1054" o:spt="75" alt="图片3" type="#_x0000_t75" style="position:absolute;left:0pt;margin-left:10.25pt;margin-top:12.6pt;height:554.1pt;width:388.9pt;mso-wrap-distance-bottom:0pt;mso-wrap-distance-top:0pt;z-index:251663360;mso-width-relative:page;mso-height-relative:page;" filled="f" o:preferrelative="t" stroked="f" coordsize="21600,21600" o:gfxdata="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">
            <v:path/>
            <v:fill on="f" focussize="0,0"/>
            <v:stroke on="f" joinstyle="miter"/>
            <v:imagedata r:id="rId12" o:title="图片3"/>
            <o:lock v:ext="edit" aspectratio="t"/>
            <w10:wrap type="topAndBottom"/>
          </v:shape>
        </w:pict>
      </w:r>
    </w:p>
    <w:p>
      <w:pPr>
        <w:spacing w:line="578" w:lineRule="exact"/>
        <w:ind w:firstLine="640" w:firstLineChars="200"/>
        <w:rPr>
          <w:rFonts w:eastAsia="仿宋_GB2312"/>
          <w:sz w:val="32"/>
          <w:szCs w:val="32"/>
        </w:rPr>
      </w:pPr>
      <w:bookmarkStart w:id="251" w:name="_Toc10315"/>
      <w:bookmarkStart w:id="252" w:name="_Toc31468"/>
      <w:r>
        <w:rPr>
          <w:rFonts w:hint="eastAsia" w:eastAsia="仿宋_GB2312"/>
          <w:sz w:val="32"/>
          <w:szCs w:val="32"/>
        </w:rPr>
        <w:t>58.临时救助</w:t>
      </w:r>
      <w:bookmarkEnd w:id="251"/>
      <w:bookmarkEnd w:id="252"/>
    </w:p>
    <w:p>
      <w:pPr>
        <w:spacing w:line="578" w:lineRule="exact"/>
        <w:ind w:firstLine="640" w:firstLineChars="200"/>
        <w:rPr>
          <w:rFonts w:eastAsia="仿宋_GB2312"/>
          <w:sz w:val="32"/>
          <w:szCs w:val="32"/>
        </w:rPr>
      </w:pPr>
      <w:r>
        <w:rPr>
          <w:rFonts w:hint="eastAsia" w:eastAsia="仿宋_GB2312"/>
          <w:sz w:val="32"/>
          <w:szCs w:val="32"/>
        </w:rPr>
        <w:t>服务对象：因火灾、交通事故等意外事件，家庭成员突发重大疾病等原因，导致基本生活暂时出现严重困难的家庭或个人；因生活必需支出突然增加超出家庭承受能力，导致基本生活暂时出现严重困难的最低生活保障家庭或个人；区人民政府规定的遭遇其他特殊困难的家庭或个人。</w:t>
      </w:r>
    </w:p>
    <w:p>
      <w:pPr>
        <w:spacing w:line="578" w:lineRule="exact"/>
        <w:ind w:firstLine="640" w:firstLineChars="200"/>
        <w:rPr>
          <w:rFonts w:eastAsia="仿宋_GB2312"/>
          <w:sz w:val="32"/>
          <w:szCs w:val="32"/>
        </w:rPr>
      </w:pPr>
      <w:r>
        <w:rPr>
          <w:rFonts w:hint="eastAsia" w:eastAsia="仿宋_GB2312"/>
          <w:sz w:val="32"/>
          <w:szCs w:val="32"/>
        </w:rPr>
        <w:t>服务内容：为救助对象发放临时救助金；根据救助对象基本生活需要，可采取发放实物的方式予以救助；对给予临时救助金、实物救助后，仍不能解决临时救助对象困难的，可分情况提供转介服务。</w:t>
      </w:r>
    </w:p>
    <w:p>
      <w:pPr>
        <w:spacing w:line="578" w:lineRule="exact"/>
        <w:ind w:firstLine="640" w:firstLineChars="200"/>
        <w:rPr>
          <w:rFonts w:eastAsia="仿宋_GB2312"/>
          <w:sz w:val="32"/>
          <w:szCs w:val="32"/>
        </w:rPr>
      </w:pPr>
      <w:r>
        <w:rPr>
          <w:rFonts w:hint="eastAsia" w:eastAsia="仿宋_GB2312"/>
          <w:sz w:val="32"/>
          <w:szCs w:val="32"/>
        </w:rPr>
        <w:t>服务标准：1个家庭或个人每年接受临时救助的次数一般不超过2次，原则上为一事一救。临时救助金一般不高于当地城乡居民最低生活保障年标准的3倍。特别困难的，可适当提高救助标准，但1年内累计临时救助金额一般不高于当地最低生活保障年标准的6倍。</w:t>
      </w:r>
    </w:p>
    <w:p>
      <w:pPr>
        <w:spacing w:line="578" w:lineRule="exact"/>
        <w:ind w:firstLine="640" w:firstLineChars="200"/>
        <w:rPr>
          <w:rFonts w:eastAsia="仿宋_GB2312"/>
          <w:sz w:val="32"/>
          <w:szCs w:val="32"/>
        </w:rPr>
      </w:pPr>
      <w:r>
        <w:rPr>
          <w:rFonts w:hint="eastAsia" w:eastAsia="仿宋_GB2312"/>
          <w:sz w:val="32"/>
          <w:szCs w:val="32"/>
        </w:rPr>
        <w:t>政策依据：中华人民共和国国务院令第649号、云政发〔2014〕65号，《云南省人民政府关于全面建立临时救助制度的实施意见》（云政发〔2015〕52号）、云办发〔2020〕32号文件、《云南省民政厅 云南省财政厅关于进一步加强和改进临时救助工作的实施意见》（云民社救〔2018〕42号）、昆办发〔2021〕6号文件、《昆明市人民政府关于全面建立临时救助制度的实施意见》（昆政发〔2017〕3号）。</w:t>
      </w:r>
    </w:p>
    <w:p>
      <w:pPr>
        <w:spacing w:line="578" w:lineRule="exact"/>
        <w:ind w:firstLine="640" w:firstLineChars="200"/>
        <w:rPr>
          <w:rFonts w:eastAsia="仿宋_GB2312"/>
          <w:sz w:val="32"/>
          <w:szCs w:val="32"/>
        </w:rPr>
      </w:pPr>
      <w:r>
        <w:rPr>
          <w:rFonts w:hint="eastAsia" w:eastAsia="仿宋_GB2312"/>
          <w:sz w:val="32"/>
          <w:szCs w:val="32"/>
        </w:rPr>
        <w:t>支出责任：市、区分级负责，中央、省级财政适当补助。中央、省、市对下补助资金结合各地户籍人口数量、困难群众数量、财政困难程度等因素测算。</w:t>
      </w:r>
    </w:p>
    <w:p>
      <w:pPr>
        <w:spacing w:line="578" w:lineRule="exact"/>
        <w:ind w:firstLine="640" w:firstLineChars="200"/>
        <w:rPr>
          <w:rFonts w:eastAsia="仿宋_GB2312"/>
          <w:sz w:val="32"/>
          <w:szCs w:val="32"/>
        </w:rPr>
      </w:pPr>
      <w:r>
        <w:rPr>
          <w:rFonts w:hint="eastAsia" w:eastAsia="仿宋_GB2312"/>
          <w:sz w:val="32"/>
          <w:szCs w:val="32"/>
        </w:rPr>
        <w:t>牵头负责单位：区民政局</w:t>
      </w:r>
    </w:p>
    <w:p>
      <w:pPr>
        <w:spacing w:line="578" w:lineRule="exact"/>
        <w:ind w:firstLine="640" w:firstLineChars="200"/>
        <w:rPr>
          <w:rFonts w:eastAsia="仿宋_GB2312"/>
          <w:sz w:val="32"/>
          <w:szCs w:val="32"/>
        </w:rPr>
      </w:pPr>
      <w:r>
        <w:rPr>
          <w:rFonts w:hint="eastAsia" w:eastAsia="仿宋_GB2312"/>
          <w:sz w:val="32"/>
          <w:szCs w:val="32"/>
        </w:rPr>
        <w:t>服务流程：根据急难程度，临时救助的办理程序分为一般程</w:t>
      </w:r>
      <w:bookmarkStart w:id="253" w:name="_bookmark83"/>
      <w:bookmarkEnd w:id="253"/>
      <w:r>
        <w:rPr>
          <w:rFonts w:hint="eastAsia" w:eastAsia="仿宋_GB2312"/>
          <w:sz w:val="32"/>
          <w:szCs w:val="32"/>
        </w:rPr>
        <w:t>序和紧急程序。一般程序：申请受</w:t>
      </w:r>
      <w:r>
        <w:rPr>
          <w:rFonts w:hint="eastAsia" w:ascii="仿宋_GB2312" w:eastAsia="仿宋_GB2312"/>
          <w:sz w:val="32"/>
          <w:szCs w:val="32"/>
        </w:rPr>
        <w:t>理→</w:t>
      </w:r>
      <w:r>
        <w:rPr>
          <w:rFonts w:hint="eastAsia" w:eastAsia="仿宋_GB2312"/>
          <w:sz w:val="32"/>
          <w:szCs w:val="32"/>
        </w:rPr>
        <w:t>家庭经济状况调查</w:t>
      </w:r>
      <w:r>
        <w:rPr>
          <w:rFonts w:hint="eastAsia" w:ascii="仿宋_GB2312" w:eastAsia="仿宋_GB2312"/>
          <w:sz w:val="32"/>
          <w:szCs w:val="32"/>
        </w:rPr>
        <w:t>→</w:t>
      </w:r>
      <w:r>
        <w:rPr>
          <w:rFonts w:hint="eastAsia" w:eastAsia="仿宋_GB2312"/>
          <w:sz w:val="32"/>
          <w:szCs w:val="32"/>
        </w:rPr>
        <w:t>民主评议</w:t>
      </w:r>
      <w:r>
        <w:rPr>
          <w:rFonts w:hint="eastAsia" w:ascii="仿宋_GB2312" w:eastAsia="仿宋_GB2312"/>
          <w:sz w:val="32"/>
          <w:szCs w:val="32"/>
        </w:rPr>
        <w:t>→</w:t>
      </w:r>
      <w:r>
        <w:rPr>
          <w:rFonts w:hint="eastAsia" w:eastAsia="仿宋_GB2312"/>
          <w:sz w:val="32"/>
          <w:szCs w:val="32"/>
        </w:rPr>
        <w:t>乡镇（街道）审核</w:t>
      </w:r>
      <w:r>
        <w:rPr>
          <w:rFonts w:hint="eastAsia" w:ascii="仿宋_GB2312" w:eastAsia="仿宋_GB2312"/>
          <w:sz w:val="32"/>
          <w:szCs w:val="32"/>
        </w:rPr>
        <w:t>→</w:t>
      </w:r>
      <w:r>
        <w:rPr>
          <w:rFonts w:hint="eastAsia" w:eastAsia="仿宋_GB2312"/>
          <w:sz w:val="32"/>
          <w:szCs w:val="32"/>
        </w:rPr>
        <w:t>公示</w:t>
      </w:r>
      <w:r>
        <w:rPr>
          <w:rFonts w:hint="eastAsia" w:ascii="仿宋_GB2312" w:eastAsia="仿宋_GB2312"/>
          <w:sz w:val="32"/>
          <w:szCs w:val="32"/>
        </w:rPr>
        <w:t>→</w:t>
      </w:r>
      <w:r>
        <w:rPr>
          <w:rFonts w:hint="eastAsia" w:eastAsia="仿宋_GB2312"/>
          <w:sz w:val="32"/>
          <w:szCs w:val="32"/>
        </w:rPr>
        <w:t>县（区）民政部门审批（救助金额在3000元以下由乡镇人民政府审批，报区民政局备案，救助金额在3000元以上的由区民政局审批）。紧急程序：对于情况紧急、需要立即采取措施以防止造成无法挽回损失或无法改变严重后果的，乡镇（街道）人民政府（办事处）、县级民政部门要及时启用发现人、报告人、纪检部门共同参与的工作机制，现行救助，紧急情况解除后再按规定补充有关材料，完善手续。</w:t>
      </w:r>
    </w:p>
    <w:p>
      <w:pPr>
        <w:spacing w:line="578" w:lineRule="exact"/>
        <w:ind w:firstLine="640" w:firstLineChars="200"/>
        <w:rPr>
          <w:rFonts w:eastAsia="仿宋_GB2312"/>
          <w:sz w:val="32"/>
          <w:szCs w:val="32"/>
        </w:rPr>
      </w:pPr>
      <w:bookmarkStart w:id="254" w:name="_Toc11806"/>
      <w:bookmarkStart w:id="255" w:name="_Toc5174"/>
      <w:r>
        <w:rPr>
          <w:rFonts w:hint="eastAsia" w:eastAsia="仿宋_GB2312"/>
          <w:sz w:val="32"/>
          <w:szCs w:val="32"/>
        </w:rPr>
        <w:t>59.受灾人员救助</w:t>
      </w:r>
      <w:bookmarkEnd w:id="254"/>
      <w:bookmarkEnd w:id="255"/>
    </w:p>
    <w:p>
      <w:pPr>
        <w:spacing w:line="578" w:lineRule="exact"/>
        <w:ind w:firstLine="640" w:firstLineChars="200"/>
        <w:rPr>
          <w:rFonts w:eastAsia="仿宋_GB2312"/>
          <w:sz w:val="32"/>
          <w:szCs w:val="32"/>
        </w:rPr>
      </w:pPr>
      <w:r>
        <w:rPr>
          <w:rFonts w:hint="eastAsia" w:eastAsia="仿宋_GB2312"/>
          <w:sz w:val="32"/>
          <w:szCs w:val="32"/>
        </w:rPr>
        <w:t>服务对象：因遭受自然灾害影响基本生活的受灾人员。</w:t>
      </w:r>
    </w:p>
    <w:p>
      <w:pPr>
        <w:spacing w:line="578" w:lineRule="exact"/>
        <w:ind w:firstLine="640" w:firstLineChars="200"/>
        <w:rPr>
          <w:rFonts w:eastAsia="仿宋_GB2312"/>
          <w:sz w:val="32"/>
          <w:szCs w:val="32"/>
        </w:rPr>
      </w:pPr>
      <w:r>
        <w:rPr>
          <w:rFonts w:hint="eastAsia" w:eastAsia="仿宋_GB2312"/>
          <w:sz w:val="32"/>
          <w:szCs w:val="32"/>
        </w:rPr>
        <w:t>服务内容：及时为本行政区域内受灾人员提供必要的食品、饮用水、衣被、取暖、临时住所等应急救助；对住房损毁严重的受灾人员进行过渡期安置；及时核定本行政区内居民住房恢复重建补助对象，并给予资金、物资等救助，为当年冬令次年春荒遇到生活困难的受灾人员提供基本生活救助。</w:t>
      </w:r>
    </w:p>
    <w:p>
      <w:pPr>
        <w:spacing w:line="578" w:lineRule="exact"/>
        <w:ind w:firstLine="640" w:firstLineChars="200"/>
        <w:rPr>
          <w:rFonts w:eastAsia="仿宋_GB2312"/>
          <w:sz w:val="32"/>
          <w:szCs w:val="32"/>
        </w:rPr>
      </w:pPr>
      <w:r>
        <w:rPr>
          <w:rFonts w:hint="eastAsia" w:eastAsia="仿宋_GB2312"/>
          <w:sz w:val="32"/>
          <w:szCs w:val="32"/>
        </w:rPr>
        <w:t>服务标准：《自然灾害救助条例》、《财政部 应急部关于印发中央自然灾害救灾资金管理暂行办法的通知》（财建〔2020〕245号）、《云南省财政厅 云南省应急管理厅关于印发云南省自然灾害救灾资金管理实施细则的通知》（云财规〔2021〕12号）、《云南省自然灾害救助规定》（云南省人民政府令第183号）、《云南省应急管理厅 云南省财政厅关于印发云南省自然灾害救助指导标准的通知》（云应急〔2022〕56号）、《昆明市人民政府办公室关于印发昆明市物资保障</w:t>
      </w:r>
      <w:r>
        <w:rPr>
          <w:rFonts w:hint="eastAsia" w:eastAsia="仿宋_GB2312"/>
          <w:sz w:val="32"/>
          <w:szCs w:val="32"/>
          <w:lang w:eastAsia="zh-CN"/>
        </w:rPr>
        <w:t>应急预案</w:t>
      </w:r>
      <w:r>
        <w:rPr>
          <w:rFonts w:hint="eastAsia" w:eastAsia="仿宋_GB2312"/>
          <w:sz w:val="32"/>
          <w:szCs w:val="32"/>
        </w:rPr>
        <w:t>、自然灾害救助应急预案和大型活动应急保障议案的通知》（昆政办〔2021〕11 号）。</w:t>
      </w:r>
    </w:p>
    <w:p>
      <w:pPr>
        <w:spacing w:line="578" w:lineRule="exact"/>
        <w:ind w:firstLine="640" w:firstLineChars="200"/>
        <w:rPr>
          <w:rFonts w:eastAsia="仿宋_GB2312"/>
          <w:sz w:val="32"/>
          <w:szCs w:val="32"/>
        </w:rPr>
      </w:pPr>
      <w:r>
        <w:rPr>
          <w:rFonts w:hint="eastAsia" w:eastAsia="仿宋_GB2312"/>
          <w:sz w:val="32"/>
          <w:szCs w:val="32"/>
        </w:rPr>
        <w:t>（1）应急救助。</w:t>
      </w:r>
    </w:p>
    <w:p>
      <w:pPr>
        <w:spacing w:line="578" w:lineRule="exact"/>
        <w:ind w:firstLine="640" w:firstLineChars="200"/>
        <w:rPr>
          <w:rFonts w:eastAsia="仿宋_GB2312"/>
          <w:sz w:val="32"/>
          <w:szCs w:val="32"/>
        </w:rPr>
      </w:pPr>
      <w:r>
        <w:rPr>
          <w:rFonts w:hint="eastAsia" w:eastAsia="仿宋_GB2312"/>
          <w:sz w:val="32"/>
          <w:szCs w:val="32"/>
        </w:rPr>
        <w:t>应急生活救助。一是为因灾需紧急转移安置人员（含非常住人口）提供生活救助；二是为住房未受严重破坏、不需转移安置，但灾后应急期间吃穿用等发生临时困难，需紧急生活救助人员（含非常住人口）提供生活救助。救助标准为每人每天30元、救助期限10天。</w:t>
      </w:r>
    </w:p>
    <w:p>
      <w:pPr>
        <w:spacing w:line="578" w:lineRule="exact"/>
        <w:ind w:firstLine="640" w:firstLineChars="200"/>
        <w:rPr>
          <w:rFonts w:eastAsia="仿宋_GB2312"/>
          <w:sz w:val="32"/>
          <w:szCs w:val="32"/>
        </w:rPr>
      </w:pPr>
      <w:r>
        <w:rPr>
          <w:rFonts w:hint="eastAsia" w:eastAsia="仿宋_GB2312"/>
          <w:sz w:val="32"/>
          <w:szCs w:val="32"/>
        </w:rPr>
        <w:t>因灾遇难人员家属抚慰。对因灾死亡（失踪）人员（含非常住人口）家属发放抚慰，救助标准为每位因灾死亡（失踪）人员2万元。</w:t>
      </w:r>
    </w:p>
    <w:p>
      <w:pPr>
        <w:spacing w:line="578" w:lineRule="exact"/>
        <w:ind w:firstLine="640" w:firstLineChars="200"/>
        <w:rPr>
          <w:rFonts w:eastAsia="仿宋_GB2312"/>
          <w:sz w:val="32"/>
          <w:szCs w:val="32"/>
        </w:rPr>
      </w:pPr>
      <w:r>
        <w:rPr>
          <w:rFonts w:hint="eastAsia" w:eastAsia="仿宋_GB2312"/>
          <w:sz w:val="32"/>
          <w:szCs w:val="32"/>
        </w:rPr>
        <w:t>旱灾临时生活困难救助。为对因旱灾造成饮水、口粮等临时生活困难人员（含非常住人口）提供生活救助，救助标准为一个旱灾过程人均90元。</w:t>
      </w:r>
    </w:p>
    <w:p>
      <w:pPr>
        <w:spacing w:line="578" w:lineRule="exact"/>
        <w:ind w:firstLine="640" w:firstLineChars="200"/>
        <w:rPr>
          <w:rFonts w:eastAsia="仿宋_GB2312"/>
          <w:sz w:val="32"/>
          <w:szCs w:val="32"/>
        </w:rPr>
      </w:pPr>
      <w:r>
        <w:rPr>
          <w:rFonts w:hint="eastAsia" w:eastAsia="仿宋_GB2312"/>
          <w:sz w:val="32"/>
          <w:szCs w:val="32"/>
        </w:rPr>
        <w:t>（2）过渡期生活救助</w:t>
      </w:r>
    </w:p>
    <w:p>
      <w:pPr>
        <w:spacing w:line="578" w:lineRule="exact"/>
        <w:ind w:firstLine="640" w:firstLineChars="200"/>
        <w:rPr>
          <w:rFonts w:eastAsia="仿宋_GB2312"/>
          <w:sz w:val="32"/>
          <w:szCs w:val="32"/>
        </w:rPr>
      </w:pPr>
      <w:r>
        <w:rPr>
          <w:rFonts w:hint="eastAsia" w:eastAsia="仿宋_GB2312"/>
          <w:sz w:val="32"/>
          <w:szCs w:val="32"/>
        </w:rPr>
        <w:t>对住房因灾倒塌或严重损坏无房可住、无生活来源、无自救能力的受灾人员。救助标准：对启动省级I级、II级自然灾害救助应急响应的，按照每人每天30元和1斤粮、救助期限原则上90天；对启动省级III级、IV级自然灾害救助应急响应的，按照每人每天补助20元，救助期限3个月（90天）。</w:t>
      </w:r>
    </w:p>
    <w:p>
      <w:pPr>
        <w:spacing w:line="578" w:lineRule="exact"/>
        <w:ind w:firstLine="640" w:firstLineChars="200"/>
        <w:rPr>
          <w:rFonts w:eastAsia="仿宋_GB2312"/>
          <w:sz w:val="32"/>
          <w:szCs w:val="32"/>
        </w:rPr>
      </w:pPr>
      <w:r>
        <w:rPr>
          <w:rFonts w:hint="eastAsia" w:eastAsia="仿宋_GB2312"/>
          <w:sz w:val="32"/>
          <w:szCs w:val="32"/>
        </w:rPr>
        <w:t>（3）农村住房恢复重建补助</w:t>
      </w:r>
    </w:p>
    <w:p>
      <w:pPr>
        <w:spacing w:line="578" w:lineRule="exact"/>
        <w:ind w:firstLine="640" w:firstLineChars="200"/>
        <w:rPr>
          <w:rFonts w:eastAsia="仿宋_GB2312"/>
          <w:sz w:val="32"/>
          <w:szCs w:val="32"/>
        </w:rPr>
      </w:pPr>
      <w:r>
        <w:rPr>
          <w:rFonts w:hint="eastAsia" w:eastAsia="仿宋_GB2312"/>
          <w:sz w:val="32"/>
          <w:szCs w:val="32"/>
        </w:rPr>
        <w:t>居民住房因灾倒塌或不同程度损坏，经审核确认需恢复重建的，对房屋所有人发放恢复重建补助。补助标准为：对高寒寒冷地区农房倒塌和严重损坏的按照户均28000元进行救助，一般损坏农房按照户均2800元进行救助；一般受灾地区农房倒塌和严重损坏的按照户均20000元进行救助；一般损坏农房按照户均2000元进行救助；因灾倒损的独立厨房、牲畜棚等辅助用房、活动房、工棚有、简易房和临时房屋不纳入倒塌、损坏住房恢复重建和维修资金补助范围。积极鼓励并推动农村居民参加政策性农村住房灾害保险，并依保险合同享受因灾倒塌、损坏房屋理赔。</w:t>
      </w:r>
    </w:p>
    <w:p>
      <w:pPr>
        <w:spacing w:line="578" w:lineRule="exact"/>
        <w:ind w:firstLine="640" w:firstLineChars="200"/>
        <w:rPr>
          <w:rFonts w:eastAsia="仿宋_GB2312"/>
          <w:sz w:val="32"/>
          <w:szCs w:val="32"/>
        </w:rPr>
      </w:pPr>
      <w:r>
        <w:rPr>
          <w:rFonts w:hint="eastAsia" w:eastAsia="仿宋_GB2312"/>
          <w:sz w:val="32"/>
          <w:szCs w:val="32"/>
        </w:rPr>
        <w:t>（4）冬春临时生活困难救助</w:t>
      </w:r>
    </w:p>
    <w:p>
      <w:pPr>
        <w:spacing w:line="578" w:lineRule="exact"/>
        <w:ind w:firstLine="640" w:firstLineChars="200"/>
        <w:rPr>
          <w:rFonts w:eastAsia="仿宋_GB2312"/>
          <w:sz w:val="32"/>
          <w:szCs w:val="32"/>
        </w:rPr>
      </w:pPr>
      <w:r>
        <w:rPr>
          <w:rFonts w:hint="eastAsia" w:eastAsia="仿宋_GB2312"/>
          <w:sz w:val="32"/>
          <w:szCs w:val="32"/>
        </w:rPr>
        <w:t>对当年冬季到次年春季（12月至次年5月），因灾造成临时生活困难人员，中央、和省适当给予冬春临时生活困难救助资金补助。救助标准：因灾造成住房倒塌和严重损坏、农作物全部绝收、家庭主要劳动力死亡或重大伤病情况之一，给予重点救助，按照每人不低于500元的标准进行救助；根据实际困难发放救灾衣被；对因灾造成重大伤病人员，另按照每人不低于300元标准进行一次性基本生活救助。因灾住房损坏、农作物部分绝收、家庭成员出现较大伤病情况之一，造成冬春基本生活困难的，给予部分救助，按照每人不低于300元的标准进行救助，视情发放救灾衣被；对因灾造成较大伤病人员按每人不低于200元标准进行一次性基本生活救助。因灾其他情况造成冬春基本生活困难的，根据受灾群众家庭困难程度给予酌情救助，按照每人不低于150元的标准进行救助，酌情发放救灾衣被。</w:t>
      </w:r>
    </w:p>
    <w:p>
      <w:pPr>
        <w:spacing w:line="578" w:lineRule="exact"/>
        <w:ind w:firstLine="640" w:firstLineChars="200"/>
        <w:rPr>
          <w:rFonts w:eastAsia="仿宋_GB2312"/>
          <w:sz w:val="32"/>
          <w:szCs w:val="32"/>
        </w:rPr>
      </w:pPr>
      <w:r>
        <w:rPr>
          <w:rFonts w:hint="eastAsia" w:eastAsia="仿宋_GB2312"/>
          <w:sz w:val="32"/>
          <w:szCs w:val="32"/>
        </w:rPr>
        <w:t>支出责任：区级启动响应的重大自然灾害救灾及未达到启动应急响应条件，但局部地区灾情、险情特别严重的特殊情况，由受灾地区财政部门和应急部门联合向市财政局、市应急局申请救灾资金，市级财政根据实际情况安排资金。其他自然灾害救灾，由地方财政承担支出责任。</w:t>
      </w:r>
    </w:p>
    <w:p>
      <w:pPr>
        <w:spacing w:line="578" w:lineRule="exact"/>
        <w:ind w:firstLine="640" w:firstLineChars="200"/>
        <w:rPr>
          <w:rFonts w:eastAsia="仿宋_GB2312"/>
          <w:sz w:val="32"/>
          <w:szCs w:val="32"/>
        </w:rPr>
      </w:pPr>
      <w:r>
        <w:rPr>
          <w:rFonts w:hint="eastAsia" w:eastAsia="仿宋_GB2312"/>
          <w:sz w:val="32"/>
          <w:szCs w:val="32"/>
        </w:rPr>
        <w:t>牵头负责单位：区应急管理局</w:t>
      </w:r>
    </w:p>
    <w:p>
      <w:pPr>
        <w:spacing w:line="578" w:lineRule="exact"/>
        <w:ind w:firstLine="640" w:firstLineChars="200"/>
        <w:rPr>
          <w:rFonts w:eastAsia="仿宋_GB2312"/>
          <w:sz w:val="32"/>
          <w:szCs w:val="32"/>
        </w:rPr>
      </w:pPr>
      <w:r>
        <w:rPr>
          <w:rFonts w:hint="eastAsia" w:eastAsia="仿宋_GB2312"/>
          <w:sz w:val="32"/>
          <w:szCs w:val="32"/>
        </w:rPr>
        <w:t>服务流程：本人申请或者村（居）民小组提名→村（居）民村委会民主评议→张榜公示→乡镇（街道）审核→县（市）区级应急部门审批→发放救助资金或物资。</w:t>
      </w:r>
    </w:p>
    <w:p>
      <w:pPr>
        <w:spacing w:line="578" w:lineRule="exact"/>
        <w:ind w:firstLine="640" w:firstLineChars="200"/>
        <w:rPr>
          <w:rFonts w:ascii="楷体_GB2312" w:eastAsia="楷体_GB2312"/>
          <w:sz w:val="32"/>
          <w:szCs w:val="32"/>
        </w:rPr>
      </w:pPr>
      <w:bookmarkStart w:id="256" w:name="_Toc10686"/>
      <w:bookmarkStart w:id="257" w:name="_Toc30490"/>
      <w:r>
        <w:rPr>
          <w:rFonts w:hint="eastAsia" w:ascii="楷体_GB2312" w:eastAsia="楷体_GB2312"/>
          <w:sz w:val="32"/>
          <w:szCs w:val="32"/>
        </w:rPr>
        <w:t>（十八）公共法律服务</w:t>
      </w:r>
      <w:bookmarkEnd w:id="256"/>
      <w:bookmarkEnd w:id="257"/>
    </w:p>
    <w:p>
      <w:pPr>
        <w:spacing w:line="578" w:lineRule="exact"/>
        <w:ind w:firstLine="640" w:firstLineChars="200"/>
        <w:rPr>
          <w:rFonts w:eastAsia="仿宋_GB2312"/>
          <w:sz w:val="32"/>
          <w:szCs w:val="32"/>
        </w:rPr>
      </w:pPr>
      <w:bookmarkStart w:id="258" w:name="_Toc4486"/>
      <w:bookmarkStart w:id="259" w:name="_Toc7638"/>
      <w:r>
        <w:rPr>
          <w:rFonts w:hint="eastAsia" w:eastAsia="仿宋_GB2312"/>
          <w:sz w:val="32"/>
          <w:szCs w:val="32"/>
        </w:rPr>
        <w:t>60.法律援助</w:t>
      </w:r>
      <w:bookmarkEnd w:id="258"/>
      <w:bookmarkEnd w:id="259"/>
    </w:p>
    <w:p>
      <w:pPr>
        <w:spacing w:line="578" w:lineRule="exact"/>
        <w:ind w:firstLine="640" w:firstLineChars="200"/>
        <w:rPr>
          <w:rFonts w:eastAsia="仿宋_GB2312"/>
          <w:sz w:val="32"/>
          <w:szCs w:val="32"/>
        </w:rPr>
      </w:pPr>
      <w:r>
        <w:rPr>
          <w:rFonts w:hint="eastAsia" w:eastAsia="仿宋_GB2312"/>
          <w:sz w:val="32"/>
          <w:szCs w:val="32"/>
        </w:rPr>
        <w:t>60.1通知辩护、通知代理类法律援助</w:t>
      </w:r>
    </w:p>
    <w:p>
      <w:pPr>
        <w:spacing w:line="578" w:lineRule="exact"/>
        <w:ind w:firstLine="640" w:firstLineChars="200"/>
        <w:rPr>
          <w:rFonts w:eastAsia="仿宋_GB2312"/>
          <w:sz w:val="32"/>
          <w:szCs w:val="32"/>
        </w:rPr>
      </w:pPr>
      <w:r>
        <w:rPr>
          <w:rFonts w:hint="eastAsia" w:eastAsia="仿宋_GB2312"/>
          <w:sz w:val="32"/>
          <w:szCs w:val="32"/>
        </w:rPr>
        <w:t>服务对象：司法机关通知辩护、通知代理的犯罪嫌疑人、刑事被告人、强制医疗被申请人。</w:t>
      </w:r>
    </w:p>
    <w:p>
      <w:pPr>
        <w:spacing w:line="578" w:lineRule="exact"/>
        <w:ind w:firstLine="640" w:firstLineChars="200"/>
        <w:rPr>
          <w:rFonts w:eastAsia="仿宋_GB2312"/>
          <w:sz w:val="32"/>
          <w:szCs w:val="32"/>
        </w:rPr>
      </w:pPr>
      <w:r>
        <w:rPr>
          <w:rFonts w:hint="eastAsia" w:eastAsia="仿宋_GB2312"/>
          <w:sz w:val="32"/>
          <w:szCs w:val="32"/>
        </w:rPr>
        <w:t>服务内容：《中华人民共和国刑事诉讼法》第三十五条、第二百七十八条、第二百九十三条、第三百零四条的有关规定。</w:t>
      </w:r>
    </w:p>
    <w:p>
      <w:pPr>
        <w:spacing w:line="578" w:lineRule="exact"/>
        <w:ind w:firstLine="640" w:firstLineChars="200"/>
        <w:rPr>
          <w:rFonts w:eastAsia="仿宋_GB2312"/>
          <w:sz w:val="32"/>
          <w:szCs w:val="32"/>
        </w:rPr>
      </w:pPr>
      <w:r>
        <w:rPr>
          <w:rFonts w:hint="eastAsia" w:eastAsia="仿宋_GB2312"/>
          <w:sz w:val="32"/>
          <w:szCs w:val="32"/>
        </w:rPr>
        <w:t>服务标准：按照《中华人民共和国刑事诉讼法》《中华人民共和国法律援助法》《全国刑事法律援助服务规范》（SF/T0032-2019）等有关规定执行。</w:t>
      </w:r>
    </w:p>
    <w:p>
      <w:pPr>
        <w:spacing w:line="578" w:lineRule="exact"/>
        <w:ind w:firstLine="640" w:firstLineChars="200"/>
        <w:rPr>
          <w:rFonts w:eastAsia="仿宋_GB2312"/>
          <w:sz w:val="32"/>
          <w:szCs w:val="32"/>
        </w:rPr>
      </w:pPr>
      <w:r>
        <w:rPr>
          <w:rFonts w:hint="eastAsia" w:eastAsia="仿宋_GB2312"/>
          <w:sz w:val="32"/>
          <w:szCs w:val="32"/>
        </w:rPr>
        <w:t>支出责任：市、区人民政府负责，中央、省级财政适当补助。全区法律援助办案补贴标准按照《昆明市司法局 昆明市财政局关于印发昆明市法律援助中心法律援助补贴管理实施细则的通知》（昆司通〔2022〕66号）和《东川区司法局 东川区财政局关于印发东川区法律援助补贴管理实施细则的通知》（东司联发〔2022〕2号）执行。</w:t>
      </w:r>
    </w:p>
    <w:p>
      <w:pPr>
        <w:spacing w:line="578" w:lineRule="exact"/>
        <w:ind w:firstLine="640" w:firstLineChars="200"/>
        <w:rPr>
          <w:rFonts w:eastAsia="仿宋_GB2312"/>
          <w:sz w:val="32"/>
          <w:szCs w:val="32"/>
        </w:rPr>
      </w:pPr>
      <w:r>
        <w:rPr>
          <w:rFonts w:hint="eastAsia" w:eastAsia="仿宋_GB2312"/>
          <w:sz w:val="32"/>
          <w:szCs w:val="32"/>
        </w:rPr>
        <w:t>牵头负责单位：区司法局</w:t>
      </w:r>
    </w:p>
    <w:p>
      <w:pPr>
        <w:spacing w:line="578" w:lineRule="exact"/>
        <w:ind w:firstLine="640" w:firstLineChars="200"/>
        <w:rPr>
          <w:rFonts w:eastAsia="仿宋_GB2312"/>
          <w:sz w:val="32"/>
          <w:szCs w:val="32"/>
        </w:rPr>
      </w:pPr>
      <w:r>
        <w:rPr>
          <w:rFonts w:hint="eastAsia" w:eastAsia="仿宋_GB2312"/>
          <w:sz w:val="32"/>
          <w:szCs w:val="32"/>
        </w:rPr>
        <w:t>服务流程：公安机关、人民检察院、人民法院向法律援助机构送达《指定辩护人通知书》或《通知辩护公函》→法律援助机构收到指定辩护通知书之日起3个工作日内负责完成案件材料的审查，对材料不齐全的可以要求通知机构补充材料，对符合法律援助条件的指派律师事务所安排律师具体承办→法律援助机构向指派的律师事务所或律师事务所律师出具《法律援助指派通知书》或《法律援助公函》，由承办律所或承办律师在收到《法律援助指派通知书》3日内，将《法律援助指派通知书》及涉及诉讼代理的手续提交给通知单位→法律援助人员根据《最高人民法院关于适用〈中华人民共和国刑事诉讼法〉的解释》、《办理法律援助案件程序规定》、《律师办理刑事案件规范》等有关要求完成阅卷、会见、调查、开庭审理（不开庭审理）、提交辩护词等环节，在案件结束之日起30日内向法律援助机构提交卷宗材料归档。</w:t>
      </w:r>
    </w:p>
    <w:p>
      <w:pPr>
        <w:spacing w:line="578" w:lineRule="exact"/>
        <w:ind w:firstLine="640" w:firstLineChars="200"/>
        <w:rPr>
          <w:rFonts w:eastAsia="仿宋_GB2312"/>
          <w:sz w:val="32"/>
          <w:szCs w:val="32"/>
        </w:rPr>
      </w:pPr>
      <w:r>
        <w:rPr>
          <w:rFonts w:hint="eastAsia" w:eastAsia="仿宋_GB2312"/>
          <w:sz w:val="32"/>
          <w:szCs w:val="32"/>
        </w:rPr>
        <w:t>60.2公证、司法鉴定法律援助</w:t>
      </w:r>
    </w:p>
    <w:p>
      <w:pPr>
        <w:spacing w:line="578" w:lineRule="exact"/>
        <w:ind w:firstLine="640" w:firstLineChars="200"/>
        <w:rPr>
          <w:rFonts w:eastAsia="仿宋_GB2312"/>
          <w:sz w:val="32"/>
          <w:szCs w:val="32"/>
        </w:rPr>
      </w:pPr>
      <w:r>
        <w:rPr>
          <w:rFonts w:hint="eastAsia" w:eastAsia="仿宋_GB2312"/>
          <w:sz w:val="32"/>
          <w:szCs w:val="32"/>
        </w:rPr>
        <w:t>服务对象：符合法律援助条件的当事人。</w:t>
      </w:r>
    </w:p>
    <w:p>
      <w:pPr>
        <w:spacing w:line="578" w:lineRule="exact"/>
        <w:ind w:firstLine="640" w:firstLineChars="200"/>
        <w:rPr>
          <w:rFonts w:eastAsia="仿宋_GB2312"/>
          <w:sz w:val="32"/>
          <w:szCs w:val="32"/>
        </w:rPr>
      </w:pPr>
      <w:r>
        <w:rPr>
          <w:rFonts w:hint="eastAsia" w:eastAsia="仿宋_GB2312"/>
          <w:sz w:val="32"/>
          <w:szCs w:val="32"/>
        </w:rPr>
        <w:t>服务内容：法律援助受援人办理公证、司法鉴定，按照规定减免费用。</w:t>
      </w:r>
    </w:p>
    <w:p>
      <w:pPr>
        <w:spacing w:line="578" w:lineRule="exact"/>
        <w:ind w:firstLine="640" w:firstLineChars="200"/>
        <w:rPr>
          <w:rFonts w:eastAsia="仿宋_GB2312"/>
          <w:sz w:val="32"/>
          <w:szCs w:val="32"/>
        </w:rPr>
      </w:pPr>
      <w:r>
        <w:rPr>
          <w:rFonts w:hint="eastAsia" w:eastAsia="仿宋_GB2312"/>
          <w:sz w:val="32"/>
          <w:szCs w:val="32"/>
        </w:rPr>
        <w:t>服务标准：按照《中华人民共和国法律援助法》《云南省公证法律援助工作暂行办法》（云司</w:t>
      </w:r>
      <w:r>
        <w:rPr>
          <w:rFonts w:hint="eastAsia" w:ascii="仿宋_GB2312" w:eastAsia="仿宋_GB2312"/>
          <w:sz w:val="32"/>
          <w:szCs w:val="32"/>
        </w:rPr>
        <w:t>发〔2</w:t>
      </w:r>
      <w:r>
        <w:rPr>
          <w:rFonts w:hint="eastAsia" w:eastAsia="仿宋_GB2312"/>
          <w:sz w:val="32"/>
          <w:szCs w:val="32"/>
        </w:rPr>
        <w:t>011</w:t>
      </w:r>
      <w:r>
        <w:rPr>
          <w:rFonts w:hint="eastAsia" w:ascii="仿宋_GB2312" w:eastAsia="仿宋_GB2312"/>
          <w:sz w:val="32"/>
          <w:szCs w:val="32"/>
        </w:rPr>
        <w:t>〕</w:t>
      </w:r>
      <w:r>
        <w:rPr>
          <w:rFonts w:hint="eastAsia" w:eastAsia="仿宋_GB2312"/>
          <w:sz w:val="32"/>
          <w:szCs w:val="32"/>
        </w:rPr>
        <w:t>58号）和《云南省司法鉴定法律援助工作实施办法（试行）》等有关规定执行。</w:t>
      </w:r>
    </w:p>
    <w:p>
      <w:pPr>
        <w:spacing w:line="578" w:lineRule="exact"/>
        <w:ind w:firstLine="640" w:firstLineChars="200"/>
        <w:rPr>
          <w:rFonts w:eastAsia="仿宋_GB2312"/>
          <w:sz w:val="32"/>
          <w:szCs w:val="32"/>
        </w:rPr>
      </w:pPr>
      <w:r>
        <w:rPr>
          <w:rFonts w:hint="eastAsia" w:eastAsia="仿宋_GB2312"/>
          <w:sz w:val="32"/>
          <w:szCs w:val="32"/>
        </w:rPr>
        <w:t>支出责任：市、区人民政府负责，中央、省级财政适当补助。全区法律援助办案补贴标准按照昆司通〔2022〕66号和东司联发〔2022〕2号文件执行。</w:t>
      </w:r>
    </w:p>
    <w:p>
      <w:pPr>
        <w:spacing w:line="578" w:lineRule="exact"/>
        <w:ind w:firstLine="640" w:firstLineChars="200"/>
        <w:rPr>
          <w:rFonts w:eastAsia="仿宋_GB2312"/>
          <w:sz w:val="32"/>
          <w:szCs w:val="32"/>
        </w:rPr>
      </w:pPr>
      <w:r>
        <w:rPr>
          <w:rFonts w:hint="eastAsia" w:eastAsia="仿宋_GB2312"/>
          <w:sz w:val="32"/>
          <w:szCs w:val="32"/>
        </w:rPr>
        <w:t>牵头负责单位：区司法局</w:t>
      </w:r>
    </w:p>
    <w:p>
      <w:pPr>
        <w:spacing w:line="578" w:lineRule="exact"/>
        <w:ind w:firstLine="640" w:firstLineChars="200"/>
        <w:rPr>
          <w:rFonts w:eastAsia="仿宋_GB2312"/>
          <w:sz w:val="32"/>
          <w:szCs w:val="32"/>
        </w:rPr>
      </w:pPr>
      <w:r>
        <w:rPr>
          <w:rFonts w:hint="eastAsia" w:eastAsia="仿宋_GB2312"/>
          <w:sz w:val="32"/>
          <w:szCs w:val="32"/>
        </w:rPr>
        <w:t>服务流程：公民需要公证法律援助、司法鉴定法律援助的，应当向具有管辖权的法律援助机构提出申请，也可以向公证机构、司法鉴定机构提出法律援助申请，由公证机构、司法鉴定机构根据事项管辖权告知公民向管辖法律援助机构申请。法律援助机构负责指导申请人填写《法律援助申请表》（以下简称《申请表》），同时要求申请人提交事项办理的有关材料→法律援助机构在3个工作日内完成申请人的《申请表》及案件材料审查，对符合法律援助条件的出具《给予公证法律援助决定书》或《给予司法鉴定法律援助决定书》，对不符合法律援助条件的口头给予不予法律援助的答复或出具《不予法律援助决定书》→法律援助机构根据给予法律援助决定，在3个工作日内向公证机构、司法鉴定机构出具《法律援助指派通知书》（以下简称《通知书》），公证机构、司法鉴定机构在接到《通知书》3日内向法律援助机构提供承办机构、承办人员信息及联系电话→承办人员在接到《通知书》之日起，应当及时与申请人取得联系，并根据有关材料办理具体事项，在事项办理完毕后，由承办机构在15个工作日内，将有关事项卷宗材料提交指派案件的法律援助机构审查。公证事项、司法鉴定事项卷宗由公证机构、司法鉴定机构保留。只需向法律援助机构提交办结的公证书副本、司法鉴定书副本以及结案报告等材料归档。</w:t>
      </w:r>
    </w:p>
    <w:p>
      <w:pPr>
        <w:spacing w:line="578" w:lineRule="exact"/>
        <w:ind w:firstLine="640" w:firstLineChars="200"/>
        <w:rPr>
          <w:rFonts w:eastAsia="仿宋_GB2312"/>
          <w:sz w:val="32"/>
          <w:szCs w:val="32"/>
        </w:rPr>
      </w:pPr>
      <w:r>
        <w:rPr>
          <w:rFonts w:hint="eastAsia" w:eastAsia="仿宋_GB2312"/>
          <w:sz w:val="32"/>
          <w:szCs w:val="32"/>
        </w:rPr>
        <w:t>60.3值班律师法律帮助</w:t>
      </w:r>
    </w:p>
    <w:p>
      <w:pPr>
        <w:spacing w:line="578" w:lineRule="exact"/>
        <w:ind w:firstLine="640" w:firstLineChars="200"/>
        <w:rPr>
          <w:rFonts w:eastAsia="仿宋_GB2312"/>
          <w:sz w:val="32"/>
          <w:szCs w:val="32"/>
        </w:rPr>
      </w:pPr>
      <w:r>
        <w:rPr>
          <w:rFonts w:hint="eastAsia" w:eastAsia="仿宋_GB2312"/>
          <w:sz w:val="32"/>
          <w:szCs w:val="32"/>
        </w:rPr>
        <w:t>服务对象：没有辩护人的犯罪嫌疑人、刑事被告人。</w:t>
      </w:r>
    </w:p>
    <w:p>
      <w:pPr>
        <w:spacing w:line="578" w:lineRule="exact"/>
        <w:ind w:firstLine="640" w:firstLineChars="200"/>
        <w:rPr>
          <w:rFonts w:eastAsia="仿宋_GB2312"/>
          <w:sz w:val="32"/>
          <w:szCs w:val="32"/>
        </w:rPr>
      </w:pPr>
      <w:r>
        <w:rPr>
          <w:rFonts w:hint="eastAsia" w:eastAsia="仿宋_GB2312"/>
          <w:sz w:val="32"/>
          <w:szCs w:val="32"/>
        </w:rPr>
        <w:t>服务内容：法律援助机构在人民法院、看守所派驻或安排值班律师，为没有辩护人的犯罪嫌疑人、刑事被告人提供法律咨询、申请法律援助、代理申诉、控告等法律帮助。</w:t>
      </w:r>
    </w:p>
    <w:p>
      <w:pPr>
        <w:spacing w:line="578" w:lineRule="exact"/>
        <w:ind w:firstLine="640" w:firstLineChars="200"/>
        <w:rPr>
          <w:rFonts w:eastAsia="仿宋_GB2312"/>
          <w:sz w:val="32"/>
          <w:szCs w:val="32"/>
        </w:rPr>
      </w:pPr>
      <w:r>
        <w:rPr>
          <w:rFonts w:hint="eastAsia" w:eastAsia="仿宋_GB2312"/>
          <w:sz w:val="32"/>
          <w:szCs w:val="32"/>
        </w:rPr>
        <w:t>服务标准：按照《中华人民共和国刑事诉讼法》、《最高人民法院 最高人民检察院 公安部 国家安全部 司法部关于印发法律援助值班律师工作办法的通知》（司规〔2020〕6号）等有关规定执行。</w:t>
      </w:r>
    </w:p>
    <w:p>
      <w:pPr>
        <w:spacing w:line="578" w:lineRule="exact"/>
        <w:ind w:firstLine="640" w:firstLineChars="200"/>
        <w:rPr>
          <w:rFonts w:eastAsia="仿宋_GB2312"/>
          <w:sz w:val="32"/>
          <w:szCs w:val="32"/>
        </w:rPr>
      </w:pPr>
      <w:r>
        <w:rPr>
          <w:rFonts w:hint="eastAsia" w:eastAsia="仿宋_GB2312"/>
          <w:sz w:val="32"/>
          <w:szCs w:val="32"/>
        </w:rPr>
        <w:t>支出责任：市、区人民政府负责，中央、省级财政适当补助。全区法律援助办案补贴标准按照昆司通〔2022〕66号和东司联发〔2022〕2号文件执行。</w:t>
      </w:r>
    </w:p>
    <w:p>
      <w:pPr>
        <w:spacing w:line="578" w:lineRule="exact"/>
        <w:ind w:firstLine="640" w:firstLineChars="200"/>
        <w:rPr>
          <w:rFonts w:eastAsia="仿宋_GB2312"/>
          <w:sz w:val="32"/>
          <w:szCs w:val="32"/>
        </w:rPr>
      </w:pPr>
      <w:r>
        <w:rPr>
          <w:rFonts w:hint="eastAsia" w:eastAsia="仿宋_GB2312"/>
          <w:sz w:val="32"/>
          <w:szCs w:val="32"/>
        </w:rPr>
        <w:t>牵头负责单位：区司法局</w:t>
      </w:r>
    </w:p>
    <w:p>
      <w:pPr>
        <w:spacing w:line="578" w:lineRule="exact"/>
        <w:ind w:firstLine="640" w:firstLineChars="200"/>
        <w:rPr>
          <w:rFonts w:eastAsia="仿宋_GB2312"/>
          <w:sz w:val="32"/>
          <w:szCs w:val="32"/>
        </w:rPr>
      </w:pPr>
      <w:r>
        <w:rPr>
          <w:rFonts w:hint="eastAsia" w:eastAsia="仿宋_GB2312"/>
          <w:sz w:val="32"/>
          <w:szCs w:val="32"/>
        </w:rPr>
        <w:t>服务流程：公安机关、人民检察院、人民法院在确定法律帮助日期前3个工作日向法律援助机构送达《指定法律帮助通知书》或《通知法律帮助公函》，收到《指定法律帮助通知书》之日起1个工作日内法律援助机构负责完成案件材料的审查，对材料不齐全的可以要求通知机构补充材料，对符合法律援助条件的指派律师事务所安排律师承办→法律援助机构向指派的律师事务所或律师事务所律师出具《法律援助指派通知书》或《法律援助公函》（以下简称《函》），由承办律所或承办律师在收到法律援助机构指派通知文1日内将《函》填写完整，并与公安机关、人民检察院、人民法院取得联系对接→法律援助人员根据《最高人民法院关于适用 &lt;中华人民共和国刑事诉讼法&gt;的解释》《法律援助值班律师工作办法》、《律师办理刑事案件规范》等有关要求，按照公安机关、人民检察院、人民法院的工作安排完成法律帮助事项，于案件结束之日起30日内向法律援助机构提交卷宗材料归档。</w:t>
      </w:r>
    </w:p>
    <w:p>
      <w:pPr>
        <w:spacing w:line="578" w:lineRule="exact"/>
        <w:ind w:firstLine="640" w:firstLineChars="200"/>
        <w:rPr>
          <w:rFonts w:ascii="楷体_GB2312" w:eastAsia="楷体_GB2312"/>
          <w:sz w:val="32"/>
          <w:szCs w:val="32"/>
        </w:rPr>
      </w:pPr>
      <w:bookmarkStart w:id="260" w:name="_Toc26717"/>
      <w:bookmarkStart w:id="261" w:name="_Toc1123"/>
      <w:r>
        <w:rPr>
          <w:rFonts w:hint="eastAsia" w:ascii="楷体_GB2312" w:eastAsia="楷体_GB2312"/>
          <w:sz w:val="32"/>
          <w:szCs w:val="32"/>
        </w:rPr>
        <w:t>（十九）扶残助残服务</w:t>
      </w:r>
      <w:bookmarkEnd w:id="260"/>
      <w:bookmarkEnd w:id="261"/>
    </w:p>
    <w:p>
      <w:pPr>
        <w:spacing w:line="578" w:lineRule="exact"/>
        <w:ind w:firstLine="640" w:firstLineChars="200"/>
        <w:rPr>
          <w:rFonts w:eastAsia="仿宋_GB2312"/>
          <w:sz w:val="32"/>
          <w:szCs w:val="32"/>
        </w:rPr>
      </w:pPr>
      <w:bookmarkStart w:id="262" w:name="_Toc16029"/>
      <w:bookmarkStart w:id="263" w:name="_Toc1475"/>
      <w:r>
        <w:rPr>
          <w:rFonts w:hint="eastAsia" w:eastAsia="仿宋_GB2312"/>
          <w:sz w:val="32"/>
          <w:szCs w:val="32"/>
        </w:rPr>
        <w:t>61.困难残疾人生活补贴和重度残疾人护理补贴</w:t>
      </w:r>
      <w:bookmarkEnd w:id="262"/>
      <w:bookmarkEnd w:id="263"/>
    </w:p>
    <w:p>
      <w:pPr>
        <w:spacing w:line="578" w:lineRule="exact"/>
        <w:ind w:firstLine="640" w:firstLineChars="200"/>
        <w:rPr>
          <w:rFonts w:eastAsia="仿宋_GB2312"/>
          <w:sz w:val="32"/>
          <w:szCs w:val="32"/>
        </w:rPr>
      </w:pPr>
      <w:r>
        <w:rPr>
          <w:rFonts w:hint="eastAsia" w:eastAsia="仿宋_GB2312"/>
          <w:sz w:val="32"/>
          <w:szCs w:val="32"/>
        </w:rPr>
        <w:t>服务对象：困难残疾人生活补贴对象为具有昆明市东川区户籍的低保家庭中持有有效《中华人民共和国残疾人证》中的一、二、三、四级残疾人。重度残疾人护理补贴对象为具有昆明市东川区户籍，残疾等级被评定为一级、二级且需要长期照护的重度残疾人。</w:t>
      </w:r>
    </w:p>
    <w:p>
      <w:pPr>
        <w:spacing w:line="578" w:lineRule="exact"/>
        <w:ind w:firstLine="640" w:firstLineChars="200"/>
        <w:rPr>
          <w:rFonts w:eastAsia="仿宋_GB2312"/>
          <w:sz w:val="32"/>
          <w:szCs w:val="32"/>
        </w:rPr>
      </w:pPr>
      <w:r>
        <w:rPr>
          <w:rFonts w:hint="eastAsia" w:eastAsia="仿宋_GB2312"/>
          <w:sz w:val="32"/>
          <w:szCs w:val="32"/>
        </w:rPr>
        <w:t>服务内容：补助残疾人因残疾产生的额外生活支出，补助残疾人因残疾产生的额外长期照护支出。</w:t>
      </w:r>
    </w:p>
    <w:p>
      <w:pPr>
        <w:spacing w:line="578" w:lineRule="exact"/>
        <w:ind w:firstLine="640" w:firstLineChars="200"/>
        <w:rPr>
          <w:rFonts w:eastAsia="仿宋_GB2312"/>
          <w:sz w:val="32"/>
          <w:szCs w:val="32"/>
        </w:rPr>
      </w:pPr>
      <w:r>
        <w:rPr>
          <w:rFonts w:hint="eastAsia" w:eastAsia="仿宋_GB2312"/>
          <w:sz w:val="32"/>
          <w:szCs w:val="32"/>
        </w:rPr>
        <w:t>服务标准：困难残疾人生活补贴按照每人每月90元发放，重度残疾人护理补贴按照一级每人每月110元、二级每人每月 90元发放，省、市按照与经济社会发展水平相适应并兼顾残疾人生活保障和长期照护需求原则，与有关民生政策标准衔接，适时提高残疾人两项补贴指导标准。</w:t>
      </w:r>
    </w:p>
    <w:p>
      <w:pPr>
        <w:spacing w:line="578" w:lineRule="exact"/>
        <w:ind w:firstLine="640" w:firstLineChars="200"/>
        <w:rPr>
          <w:rFonts w:eastAsia="仿宋_GB2312"/>
          <w:sz w:val="32"/>
          <w:szCs w:val="32"/>
        </w:rPr>
      </w:pPr>
      <w:r>
        <w:rPr>
          <w:rFonts w:hint="eastAsia" w:eastAsia="仿宋_GB2312"/>
          <w:sz w:val="32"/>
          <w:szCs w:val="32"/>
        </w:rPr>
        <w:t>政策依据：《财政部 民政部 中国残疾人联合会关于建立困难残疾人生活补贴和重度残疾人护理补贴标准动态调整机制的指导意见》（民发〔2019〕67号）、《云南省人民政府关于关于印发云南省困难残疾人生活补贴和重度残疾人护理补贴制度实施办法的通知》（云政发〔2016〕5号）、《关于建立困难残疾人生活补贴和重度残疾人护理补贴标准动态调整机制的实施意见（试行）》（云民规〔2020〕2号）、《云南省民政厅 云南省残疾人联合会关于贯彻落实残疾人两项补贴制度有关政策衔接的通知》（云民福〔2019〕21号）、《云南省民政厅 云南省残疾人联合会关于做好残疾人两项补贴资格认定申请“跨省通办”工作的通知》（云民发〔2021〕71号）、《昆明市人民政府关于印发昆明市困难残疾人生活补贴和重度残疾人护理补贴制度实施方案的通知》（昆政发〔2016〕70号）、《昆明市民政局 昆明市财政局 昆明市残疾人联合会关于调整残疾人两项补贴标准的通知》（昆民联发〔2023〕1号）。</w:t>
      </w:r>
    </w:p>
    <w:p>
      <w:pPr>
        <w:spacing w:line="578" w:lineRule="exact"/>
        <w:ind w:firstLine="640" w:firstLineChars="200"/>
        <w:rPr>
          <w:rFonts w:eastAsia="仿宋_GB2312"/>
          <w:sz w:val="32"/>
          <w:szCs w:val="32"/>
          <w:highlight w:val="yellow"/>
        </w:rPr>
      </w:pPr>
      <w:r>
        <w:rPr>
          <w:rFonts w:hint="eastAsia" w:eastAsia="仿宋_GB2312"/>
          <w:sz w:val="32"/>
          <w:szCs w:val="32"/>
        </w:rPr>
        <w:t>支出责任：两项补贴所需资金实行分级负担制，由中央、省、市、区财政共同承担，中央财政通过增加一般性转移支付对各省予以支持，省级财政纳入地方基本财力保障给予适当补助。依据昆政发〔2016〕70号文件，实行市、区两级按8：2比例共同承担。同时，依据《昆明市人民政府办公室关于印发昆明市基本公共服务领域市以下共同财政事权和支出责任划分改革实施方案的通知》（昆政办〔2019〕86号）、昆民联发〔2023〕1号文件，提标增支部分，市、区两级按9：1的比例共同承担。</w:t>
      </w:r>
    </w:p>
    <w:p>
      <w:pPr>
        <w:spacing w:line="578" w:lineRule="exact"/>
        <w:ind w:firstLine="640" w:firstLineChars="200"/>
        <w:rPr>
          <w:rFonts w:eastAsia="仿宋_GB2312"/>
          <w:sz w:val="32"/>
          <w:szCs w:val="32"/>
        </w:rPr>
      </w:pPr>
      <w:r>
        <w:rPr>
          <w:rFonts w:hint="eastAsia" w:eastAsia="仿宋_GB2312"/>
          <w:sz w:val="32"/>
          <w:szCs w:val="32"/>
        </w:rPr>
        <w:t>牵头负责单位：区民政局、区残联、区财政局</w:t>
      </w:r>
    </w:p>
    <w:p>
      <w:pPr>
        <w:spacing w:line="578" w:lineRule="exact"/>
        <w:ind w:firstLine="640" w:firstLineChars="200"/>
        <w:rPr>
          <w:rFonts w:eastAsia="仿宋_GB2312"/>
          <w:sz w:val="32"/>
          <w:szCs w:val="32"/>
        </w:rPr>
      </w:pPr>
      <w:r>
        <w:rPr>
          <w:rFonts w:hint="eastAsia" w:eastAsia="仿宋_GB2312"/>
          <w:sz w:val="32"/>
          <w:szCs w:val="32"/>
        </w:rPr>
        <w:t>服务流程：区级建立月动态核实机制，对新增残疾等级调整办理残疾证的残疾人，由区残联、区民政局每月初统计出上月新增残疾证发证人员名单、新增低保人员名单，死亡注销人员名单、残疾人迁出人员名单并下发各乡镇（街道）核对，各乡镇（街道）对新增残疾证发证人员和新增低保人员进行初审，符合困难残疾人生活补贴和重度残疾人护理补贴条件的残疾人，会同村（居）社区主动联系残疾人及其监护人确认是否申请。确认申请的，将有关信息录入系统后打印申请表由本人签字确认。本着自愿申请的原则，不愿申请的进行登记备注，后期残疾人本人需要申请的，可向居住地乡镇（街道）受理窗口提交书面申请，根据申请补贴项目分别填写《困难残疾人生活补贴申请审核登记表》、《重度残疾人护理补贴申请审核登记表》，业务属地乡镇（街道）依托“一门受理、协同办理”机制受理并进行初审；异地受理的，由受理地乡镇（街道）推送至属地乡镇（街道）进行初审，对申请人实际情况进行调查核实后出具初审意见，并在乡镇（街道）政务信息公开平台公示，无异议后报送区级残联组织进行审核。区级残联审核合格后转送同级民政部门审定。区级民政部门审定合格后将名单在本级民政部门政务信息公开平台公示，无异议后在申请登记表上签署审定意见。公示有异议的，按照初审程序重新组织调查核实。各环节审核不符合条件的，在3个工作日内退回上一环节。从初审到审定不超过10个工作日。审定合格材料报送同级财政部门申请拨付资金，补贴资格审定合格的残疾人自递交申请当月计发补贴，于每月10日前通过经办金融机构转账存入本人账户或监护人账户。村（居）社区履行动态监管责任，对户口迁移、死亡等情况及时向乡镇（街道）报告，经核实确认，对当月死亡人员及时在系统办理核退，并于次月停发补贴；对户口迁移人员及时联系当事人按属地原则办理补贴申领手续，</w:t>
      </w:r>
      <w:bookmarkStart w:id="264" w:name="_bookmark88"/>
      <w:bookmarkEnd w:id="264"/>
      <w:r>
        <w:rPr>
          <w:rFonts w:hint="eastAsia" w:eastAsia="仿宋_GB2312"/>
          <w:sz w:val="32"/>
          <w:szCs w:val="32"/>
        </w:rPr>
        <w:t>并通知迁入地乡镇（街道）协助当事人办理。</w:t>
      </w:r>
    </w:p>
    <w:p>
      <w:pPr>
        <w:spacing w:line="578" w:lineRule="exact"/>
        <w:ind w:firstLine="640" w:firstLineChars="200"/>
        <w:rPr>
          <w:rFonts w:eastAsia="仿宋_GB2312"/>
          <w:sz w:val="32"/>
          <w:szCs w:val="32"/>
        </w:rPr>
      </w:pPr>
      <w:bookmarkStart w:id="265" w:name="_Toc19218"/>
      <w:bookmarkStart w:id="266" w:name="_Toc25392"/>
      <w:r>
        <w:rPr>
          <w:rFonts w:hint="eastAsia" w:eastAsia="仿宋_GB2312"/>
          <w:sz w:val="32"/>
          <w:szCs w:val="32"/>
        </w:rPr>
        <w:t>62.无业重度残疾人最低生活保障</w:t>
      </w:r>
      <w:bookmarkEnd w:id="265"/>
      <w:bookmarkEnd w:id="266"/>
    </w:p>
    <w:p>
      <w:pPr>
        <w:spacing w:line="578" w:lineRule="exact"/>
        <w:ind w:firstLine="640" w:firstLineChars="200"/>
        <w:rPr>
          <w:rFonts w:eastAsia="仿宋_GB2312"/>
          <w:sz w:val="32"/>
          <w:szCs w:val="32"/>
        </w:rPr>
      </w:pPr>
      <w:r>
        <w:rPr>
          <w:rFonts w:hint="eastAsia" w:eastAsia="仿宋_GB2312"/>
          <w:sz w:val="32"/>
          <w:szCs w:val="32"/>
        </w:rPr>
        <w:t>服务对象：生活困难、靠家庭供养且无法单独立户的成年无业一、二级残疾人以及三级智力、精神残疾人且符合条件的应保尽保。</w:t>
      </w:r>
    </w:p>
    <w:p>
      <w:pPr>
        <w:spacing w:line="578" w:lineRule="exact"/>
        <w:ind w:firstLine="640" w:firstLineChars="200"/>
        <w:rPr>
          <w:rFonts w:eastAsia="仿宋_GB2312"/>
          <w:sz w:val="32"/>
          <w:szCs w:val="32"/>
        </w:rPr>
      </w:pPr>
      <w:r>
        <w:rPr>
          <w:rFonts w:hint="eastAsia" w:eastAsia="仿宋_GB2312"/>
          <w:sz w:val="32"/>
          <w:szCs w:val="32"/>
        </w:rPr>
        <w:t>服务内容：符合条件的对象，经个人申请可按照单人户纳入最低生活保障范围。</w:t>
      </w:r>
    </w:p>
    <w:p>
      <w:pPr>
        <w:spacing w:line="578" w:lineRule="exact"/>
        <w:ind w:firstLine="640" w:firstLineChars="200"/>
        <w:rPr>
          <w:rFonts w:eastAsia="仿宋_GB2312"/>
          <w:sz w:val="32"/>
          <w:szCs w:val="32"/>
        </w:rPr>
      </w:pPr>
      <w:r>
        <w:rPr>
          <w:rFonts w:hint="eastAsia" w:eastAsia="仿宋_GB2312"/>
          <w:sz w:val="32"/>
          <w:szCs w:val="32"/>
        </w:rPr>
        <w:t>服务标准：省民政厅牵头会同省级财政等部门综合考虑居民人均消费支出或人均可支配收入等因素，每年动态制定最低生活保障指导标准并报省人民政府同意。市级按不低于省级指导标准的原则制定有关标准，并根据当地经济社会发展水平和物价波动情况适时调整。2023年7月1日，昆明市城市低保标准为728元/人/月差额发放；农村最低生活保障标准6060元/人/年。对低收入家庭中的一、二级残疾人等特殊困难人员，经本人申请，参照“单人户”纳入低保。低收入家庭一般指家庭人均收入高于当地城乡低保标准，但低</w:t>
      </w:r>
      <w:r>
        <w:rPr>
          <w:rFonts w:hint="eastAsia" w:eastAsia="仿宋_GB2312"/>
          <w:spacing w:val="-8"/>
          <w:sz w:val="32"/>
          <w:szCs w:val="32"/>
        </w:rPr>
        <w:t>于低保标准1.5倍，且财产状况符合当地有关规定的低保边缘家庭。</w:t>
      </w:r>
    </w:p>
    <w:p>
      <w:pPr>
        <w:spacing w:line="578" w:lineRule="exact"/>
        <w:ind w:firstLine="640" w:firstLineChars="200"/>
        <w:rPr>
          <w:rFonts w:eastAsia="仿宋_GB2312"/>
          <w:sz w:val="32"/>
          <w:szCs w:val="32"/>
        </w:rPr>
      </w:pPr>
      <w:r>
        <w:rPr>
          <w:rFonts w:hint="eastAsia" w:eastAsia="仿宋_GB2312"/>
          <w:sz w:val="32"/>
          <w:szCs w:val="32"/>
        </w:rPr>
        <w:t>政策依据：云办发〔2020〕32号文件、《云南省民政厅 云南省财政厅关于进一步做好困难群众基本生活保障工作的通知》（云民办发〔2020〕8号）。</w:t>
      </w:r>
    </w:p>
    <w:p>
      <w:pPr>
        <w:spacing w:line="578" w:lineRule="exact"/>
        <w:ind w:firstLine="640" w:firstLineChars="200"/>
        <w:rPr>
          <w:rFonts w:eastAsia="仿宋_GB2312"/>
          <w:sz w:val="32"/>
          <w:szCs w:val="32"/>
        </w:rPr>
      </w:pPr>
      <w:r>
        <w:rPr>
          <w:rFonts w:hint="eastAsia" w:eastAsia="仿宋_GB2312"/>
          <w:sz w:val="32"/>
          <w:szCs w:val="32"/>
        </w:rPr>
        <w:t>支出责任：市、区两级按8：2比例共同承担；提标部分市、区两级按9：1比例共同承担。</w:t>
      </w:r>
    </w:p>
    <w:p>
      <w:pPr>
        <w:spacing w:line="578" w:lineRule="exact"/>
        <w:ind w:firstLine="640" w:firstLineChars="200"/>
        <w:rPr>
          <w:rFonts w:eastAsia="仿宋_GB2312"/>
          <w:sz w:val="32"/>
          <w:szCs w:val="32"/>
        </w:rPr>
      </w:pPr>
      <w:r>
        <w:rPr>
          <w:rFonts w:hint="eastAsia" w:eastAsia="仿宋_GB2312"/>
          <w:sz w:val="32"/>
          <w:szCs w:val="32"/>
        </w:rPr>
        <w:t>牵头负责单位：区民政局</w:t>
      </w:r>
    </w:p>
    <w:p>
      <w:pPr>
        <w:spacing w:line="578" w:lineRule="exact"/>
        <w:ind w:firstLine="640" w:firstLineChars="200"/>
        <w:rPr>
          <w:rFonts w:eastAsia="仿宋_GB2312"/>
          <w:sz w:val="32"/>
          <w:szCs w:val="32"/>
        </w:rPr>
      </w:pPr>
      <w:r>
        <w:rPr>
          <w:rFonts w:hint="eastAsia" w:eastAsia="仿宋_GB2312"/>
          <w:sz w:val="32"/>
          <w:szCs w:val="32"/>
        </w:rPr>
        <w:t>服务流程：申请受理家庭经济状况调查、民主评议审核审批、发放低保金。</w:t>
      </w:r>
    </w:p>
    <w:p>
      <w:pPr>
        <w:spacing w:line="578" w:lineRule="exact"/>
        <w:ind w:firstLine="640" w:firstLineChars="200"/>
        <w:rPr>
          <w:rFonts w:eastAsia="仿宋_GB2312"/>
          <w:sz w:val="32"/>
          <w:szCs w:val="32"/>
        </w:rPr>
      </w:pPr>
      <w:bookmarkStart w:id="267" w:name="_Toc9552"/>
      <w:bookmarkStart w:id="268" w:name="_Toc6304"/>
      <w:r>
        <w:rPr>
          <w:rFonts w:hint="eastAsia" w:eastAsia="仿宋_GB2312"/>
          <w:sz w:val="32"/>
          <w:szCs w:val="32"/>
        </w:rPr>
        <w:t>63.残疾人托养服务</w:t>
      </w:r>
      <w:bookmarkEnd w:id="267"/>
      <w:bookmarkEnd w:id="268"/>
    </w:p>
    <w:p>
      <w:pPr>
        <w:spacing w:line="578" w:lineRule="exact"/>
        <w:ind w:firstLine="640" w:firstLineChars="200"/>
        <w:rPr>
          <w:rFonts w:eastAsia="仿宋_GB2312"/>
          <w:sz w:val="32"/>
          <w:szCs w:val="32"/>
        </w:rPr>
      </w:pPr>
      <w:r>
        <w:rPr>
          <w:rFonts w:hint="eastAsia" w:eastAsia="仿宋_GB2312"/>
          <w:sz w:val="32"/>
          <w:szCs w:val="32"/>
        </w:rPr>
        <w:t>服务对象：16-59周岁无业智力、精神及重度肢体残疾人。</w:t>
      </w:r>
    </w:p>
    <w:p>
      <w:pPr>
        <w:spacing w:line="578" w:lineRule="exact"/>
        <w:ind w:firstLine="640" w:firstLineChars="200"/>
        <w:rPr>
          <w:rFonts w:eastAsia="仿宋_GB2312"/>
          <w:sz w:val="32"/>
          <w:szCs w:val="32"/>
        </w:rPr>
      </w:pPr>
      <w:r>
        <w:rPr>
          <w:rFonts w:hint="eastAsia" w:eastAsia="仿宋_GB2312"/>
          <w:sz w:val="32"/>
          <w:szCs w:val="32"/>
        </w:rPr>
        <w:t>服务内容：为符合条件的残疾人提供生活照料和护理、生活自理能力、社会适应能力训练、运动功能训练、职业康复与劳动技能训练、辅助性就业服务、支持性就业服务和运动功能训练等方面社会服务，如：生活照料、居家送餐、家政服务、康复护理、康体训练、精神慰藉、文化娱乐、教育辅导、紧急救援等等服务。</w:t>
      </w:r>
    </w:p>
    <w:p>
      <w:pPr>
        <w:spacing w:line="578" w:lineRule="exact"/>
        <w:ind w:firstLine="640" w:firstLineChars="200"/>
        <w:rPr>
          <w:rFonts w:eastAsia="仿宋_GB2312"/>
          <w:sz w:val="32"/>
          <w:szCs w:val="32"/>
        </w:rPr>
      </w:pPr>
      <w:r>
        <w:rPr>
          <w:rFonts w:hint="eastAsia" w:eastAsia="仿宋_GB2312"/>
          <w:sz w:val="32"/>
          <w:szCs w:val="32"/>
        </w:rPr>
        <w:t>服务标准：按照《就业年龄段智力、精神及重度肢体残疾人托养服务规范》（GB/T3716-2019）执行。</w:t>
      </w:r>
    </w:p>
    <w:p>
      <w:pPr>
        <w:spacing w:line="578" w:lineRule="exact"/>
        <w:ind w:firstLine="640" w:firstLineChars="200"/>
        <w:rPr>
          <w:rFonts w:eastAsia="仿宋_GB2312"/>
          <w:sz w:val="32"/>
          <w:szCs w:val="32"/>
        </w:rPr>
      </w:pPr>
      <w:r>
        <w:rPr>
          <w:rFonts w:hint="eastAsia" w:eastAsia="仿宋_GB2312"/>
          <w:sz w:val="32"/>
          <w:szCs w:val="32"/>
        </w:rPr>
        <w:t>政策依据：《关于印发关于加快发展残疾人托养服务的意见的通知》（残联发〔2012〕16号）、《中国残疾人联合会关于印发“十三五”残疾人托养服务工作计划的通知》（残联发〔2016〕29号）、《云南省人民政府关于印发云南省“十三五”加快残疾人小康进程规划纲要的通知》（云政发〔2016〕106号）、《昆明市人民政府关于印发昆明市“十三五”加快残疾人小康进程规划纲要的通知》（昆政发〔2017〕58号）、《关于印发昆明市十三五残疾人托养服务工作计划的通知》（昆残联发〔2017〕12号）。</w:t>
      </w:r>
    </w:p>
    <w:p>
      <w:pPr>
        <w:spacing w:line="578" w:lineRule="exact"/>
        <w:ind w:firstLine="640" w:firstLineChars="200"/>
        <w:rPr>
          <w:rFonts w:eastAsia="仿宋_GB2312"/>
          <w:sz w:val="32"/>
          <w:szCs w:val="32"/>
        </w:rPr>
      </w:pPr>
      <w:r>
        <w:rPr>
          <w:rFonts w:hint="eastAsia" w:eastAsia="仿宋_GB2312"/>
          <w:sz w:val="32"/>
          <w:szCs w:val="32"/>
        </w:rPr>
        <w:t>支出责任：中央、省、市三级财政适当补助。中央及省级、市级财政按照不低于1500元／人／年的标准进行补助；中央及省、市三级财政补助经费可叠加使用。</w:t>
      </w:r>
    </w:p>
    <w:p>
      <w:pPr>
        <w:spacing w:line="578" w:lineRule="exact"/>
        <w:ind w:firstLine="640" w:firstLineChars="200"/>
        <w:rPr>
          <w:rFonts w:eastAsia="仿宋_GB2312"/>
          <w:sz w:val="32"/>
          <w:szCs w:val="32"/>
        </w:rPr>
      </w:pPr>
      <w:r>
        <w:rPr>
          <w:rFonts w:hint="eastAsia" w:eastAsia="仿宋_GB2312"/>
          <w:sz w:val="32"/>
          <w:szCs w:val="32"/>
        </w:rPr>
        <w:t>牵头负责单位：区残联</w:t>
      </w:r>
    </w:p>
    <w:p>
      <w:pPr>
        <w:spacing w:line="578" w:lineRule="exact"/>
        <w:ind w:firstLine="640" w:firstLineChars="200"/>
        <w:rPr>
          <w:rFonts w:eastAsia="仿宋_GB2312"/>
          <w:sz w:val="32"/>
          <w:szCs w:val="32"/>
        </w:rPr>
      </w:pPr>
      <w:r>
        <w:rPr>
          <w:rFonts w:hint="eastAsia" w:eastAsia="仿宋_GB2312"/>
          <w:sz w:val="32"/>
          <w:szCs w:val="32"/>
        </w:rPr>
        <w:t>服务流程：对服务对象进行筛查、审核、签订三方服务协议，明确双方责任和义务。托养机构按照服务协议开展托养服务及满意度调查，并记录存档。</w:t>
      </w:r>
    </w:p>
    <w:p>
      <w:pPr>
        <w:spacing w:line="578" w:lineRule="exact"/>
        <w:ind w:firstLine="640" w:firstLineChars="200"/>
        <w:rPr>
          <w:rFonts w:eastAsia="仿宋_GB2312"/>
          <w:sz w:val="32"/>
          <w:szCs w:val="32"/>
        </w:rPr>
      </w:pPr>
      <w:bookmarkStart w:id="269" w:name="_Toc30726"/>
      <w:bookmarkStart w:id="270" w:name="_Toc20479"/>
      <w:r>
        <w:rPr>
          <w:rFonts w:hint="eastAsia" w:eastAsia="仿宋_GB2312"/>
          <w:sz w:val="32"/>
          <w:szCs w:val="32"/>
        </w:rPr>
        <w:t>64.残疾人康复服务</w:t>
      </w:r>
      <w:bookmarkEnd w:id="269"/>
      <w:bookmarkEnd w:id="270"/>
    </w:p>
    <w:p>
      <w:pPr>
        <w:spacing w:line="578" w:lineRule="exact"/>
        <w:ind w:firstLine="640" w:firstLineChars="200"/>
        <w:rPr>
          <w:rFonts w:eastAsia="仿宋_GB2312"/>
          <w:sz w:val="32"/>
          <w:szCs w:val="32"/>
        </w:rPr>
      </w:pPr>
      <w:r>
        <w:rPr>
          <w:rFonts w:hint="eastAsia" w:eastAsia="仿宋_GB2312"/>
          <w:sz w:val="32"/>
          <w:szCs w:val="32"/>
        </w:rPr>
        <w:t>64.1精准康复</w:t>
      </w:r>
    </w:p>
    <w:p>
      <w:pPr>
        <w:spacing w:line="578" w:lineRule="exact"/>
        <w:ind w:firstLine="640" w:firstLineChars="200"/>
        <w:rPr>
          <w:rFonts w:eastAsia="仿宋_GB2312"/>
          <w:sz w:val="32"/>
          <w:szCs w:val="32"/>
        </w:rPr>
      </w:pPr>
      <w:r>
        <w:rPr>
          <w:rFonts w:hint="eastAsia" w:eastAsia="仿宋_GB2312"/>
          <w:sz w:val="32"/>
          <w:szCs w:val="32"/>
        </w:rPr>
        <w:t>服务对象：符合条件有康复需求的持证残疾人。</w:t>
      </w:r>
    </w:p>
    <w:p>
      <w:pPr>
        <w:spacing w:line="578" w:lineRule="exact"/>
        <w:ind w:firstLine="640" w:firstLineChars="200"/>
        <w:rPr>
          <w:rFonts w:eastAsia="仿宋_GB2312"/>
          <w:sz w:val="32"/>
          <w:szCs w:val="32"/>
        </w:rPr>
      </w:pPr>
      <w:r>
        <w:rPr>
          <w:rFonts w:hint="eastAsia" w:eastAsia="仿宋_GB2312"/>
          <w:sz w:val="32"/>
          <w:szCs w:val="32"/>
        </w:rPr>
        <w:t>服务内容：提供康复评估、康复训练、辅具适配、康复知识培训、护理、心理疏导、咨询、社会融合活动、指导和转介等基本康复服务。</w:t>
      </w:r>
    </w:p>
    <w:p>
      <w:pPr>
        <w:spacing w:line="578" w:lineRule="exact"/>
        <w:ind w:firstLine="640" w:firstLineChars="200"/>
        <w:rPr>
          <w:rFonts w:eastAsia="仿宋_GB2312"/>
          <w:sz w:val="32"/>
          <w:szCs w:val="32"/>
        </w:rPr>
      </w:pPr>
      <w:r>
        <w:rPr>
          <w:rFonts w:hint="eastAsia" w:eastAsia="仿宋_GB2312"/>
          <w:sz w:val="32"/>
          <w:szCs w:val="32"/>
        </w:rPr>
        <w:t>服务标准：结合《残疾人基本康复服务目录（2019年版）》及残联有关服务规范执行。</w:t>
      </w:r>
    </w:p>
    <w:p>
      <w:pPr>
        <w:spacing w:line="578" w:lineRule="exact"/>
        <w:ind w:firstLine="640" w:firstLineChars="200"/>
        <w:rPr>
          <w:rFonts w:eastAsia="仿宋_GB2312"/>
          <w:sz w:val="32"/>
          <w:szCs w:val="32"/>
        </w:rPr>
      </w:pPr>
      <w:r>
        <w:rPr>
          <w:rFonts w:hint="eastAsia" w:eastAsia="仿宋_GB2312"/>
          <w:sz w:val="32"/>
          <w:szCs w:val="32"/>
        </w:rPr>
        <w:t>政策依据：《残疾预防和残疾人康复条例》（中华人民共和国国务院令〔2017〕675号）、《中华人民共和国残疾人保障法》、《关于印发残疾人精准康复服务行动实施方案的通知》（残联发〔2016〕27号）、《云南省残疾预防和残疾人康复规定》（云南省</w:t>
      </w:r>
      <w:r>
        <w:rPr>
          <w:rFonts w:hint="eastAsia" w:eastAsia="仿宋_GB2312"/>
          <w:spacing w:val="-12"/>
          <w:sz w:val="32"/>
          <w:szCs w:val="32"/>
        </w:rPr>
        <w:t>政府令第221号）、《云南省残疾人保障条例》昆残联发〔2017〕7号。</w:t>
      </w:r>
    </w:p>
    <w:p>
      <w:pPr>
        <w:spacing w:line="578" w:lineRule="exact"/>
        <w:ind w:firstLine="640" w:firstLineChars="200"/>
        <w:rPr>
          <w:rFonts w:eastAsia="仿宋_GB2312"/>
          <w:sz w:val="32"/>
          <w:szCs w:val="32"/>
        </w:rPr>
      </w:pPr>
      <w:r>
        <w:rPr>
          <w:rFonts w:hint="eastAsia" w:eastAsia="仿宋_GB2312"/>
          <w:sz w:val="32"/>
          <w:szCs w:val="32"/>
        </w:rPr>
        <w:t>支出责任：区人民政府负责实施，中央、省、市财政适当补助。有康复需求的残疾人服务率不低于85%；依据昆残联发〔2017〕7号文件，中央、省、市财政安排残疾人事业专项经费用于补贴残疾人基本康复服务，支持开展残疾人精准康复服务行动。《残疾人基本康复服务目录》由中国残疾人联合会有关部门制定。区残联根据本地持卡人康复需求，统筹使用医疗保险、医疗救助等资金，并相应安排残疾人事业经费，用于补贴残疾人基本康复服务，开展残疾人精准康复服务行动。</w:t>
      </w:r>
    </w:p>
    <w:p>
      <w:pPr>
        <w:spacing w:line="578" w:lineRule="exact"/>
        <w:ind w:firstLine="640" w:firstLineChars="200"/>
        <w:rPr>
          <w:rFonts w:eastAsia="仿宋_GB2312"/>
          <w:sz w:val="32"/>
          <w:szCs w:val="32"/>
        </w:rPr>
      </w:pPr>
      <w:r>
        <w:rPr>
          <w:rFonts w:hint="eastAsia" w:eastAsia="仿宋_GB2312"/>
          <w:sz w:val="32"/>
          <w:szCs w:val="32"/>
        </w:rPr>
        <w:t>牵头负责单位：区残联、区民政局、区财政局</w:t>
      </w:r>
    </w:p>
    <w:p>
      <w:pPr>
        <w:spacing w:line="578" w:lineRule="exact"/>
        <w:ind w:firstLine="640" w:firstLineChars="200"/>
        <w:rPr>
          <w:rFonts w:eastAsia="仿宋_GB2312"/>
          <w:sz w:val="32"/>
          <w:szCs w:val="32"/>
        </w:rPr>
      </w:pPr>
      <w:r>
        <w:rPr>
          <w:rFonts w:hint="eastAsia" w:eastAsia="仿宋_GB2312"/>
          <w:sz w:val="32"/>
          <w:szCs w:val="32"/>
        </w:rPr>
        <w:t>服务流程：对有康复服务需求的残疾儿童和持证残疾人的基本信息进行核实，入户采集具体服务需求，开展评估和服务转介，制定服务方案，直接服务或委托康复机构提供服务，服务信息及时准确录入精准康复服务平台。</w:t>
      </w:r>
    </w:p>
    <w:p>
      <w:pPr>
        <w:spacing w:line="578" w:lineRule="exact"/>
        <w:ind w:firstLine="640" w:firstLineChars="200"/>
        <w:rPr>
          <w:rFonts w:eastAsia="仿宋_GB2312"/>
          <w:sz w:val="32"/>
          <w:szCs w:val="32"/>
        </w:rPr>
      </w:pPr>
      <w:r>
        <w:rPr>
          <w:rFonts w:hint="eastAsia" w:eastAsia="仿宋_GB2312"/>
          <w:sz w:val="32"/>
          <w:szCs w:val="32"/>
        </w:rPr>
        <w:t>64.2儿童康复</w:t>
      </w:r>
    </w:p>
    <w:p>
      <w:pPr>
        <w:spacing w:line="578" w:lineRule="exact"/>
        <w:ind w:firstLine="640" w:firstLineChars="200"/>
        <w:rPr>
          <w:rFonts w:eastAsia="仿宋_GB2312"/>
          <w:spacing w:val="-8"/>
          <w:sz w:val="32"/>
          <w:szCs w:val="32"/>
        </w:rPr>
      </w:pPr>
      <w:r>
        <w:rPr>
          <w:rFonts w:hint="eastAsia" w:eastAsia="仿宋_GB2312"/>
          <w:sz w:val="32"/>
          <w:szCs w:val="32"/>
        </w:rPr>
        <w:t>服务对象：符合条件的0—6岁，经评估具有较好康复价值的救助对象年龄可延长至14岁（其中，语后聋的听障儿童申请</w:t>
      </w:r>
      <w:r>
        <w:rPr>
          <w:rFonts w:hint="eastAsia" w:eastAsia="仿宋_GB2312"/>
          <w:spacing w:val="-6"/>
          <w:sz w:val="32"/>
          <w:szCs w:val="32"/>
        </w:rPr>
        <w:t>人工耳蜗植入、肢体残疾儿童申请矫治手术年龄可放宽至18岁）。</w:t>
      </w:r>
    </w:p>
    <w:p>
      <w:pPr>
        <w:spacing w:line="578" w:lineRule="exact"/>
        <w:ind w:firstLine="640" w:firstLineChars="200"/>
        <w:rPr>
          <w:rFonts w:eastAsia="仿宋_GB2312"/>
          <w:sz w:val="32"/>
          <w:szCs w:val="32"/>
        </w:rPr>
      </w:pPr>
      <w:r>
        <w:rPr>
          <w:rFonts w:hint="eastAsia" w:eastAsia="仿宋_GB2312"/>
          <w:sz w:val="32"/>
          <w:szCs w:val="32"/>
        </w:rPr>
        <w:t>服务内容：为符合条件的残疾儿童提供以减轻功能障碍、改善功能状况、增强生活自理和社会参与能力为主要目的的手术、辅助器具配置和康复训练等服务。</w:t>
      </w:r>
    </w:p>
    <w:p>
      <w:pPr>
        <w:spacing w:line="578" w:lineRule="exact"/>
        <w:ind w:firstLine="640" w:firstLineChars="200"/>
        <w:rPr>
          <w:rFonts w:eastAsia="仿宋_GB2312"/>
          <w:sz w:val="32"/>
          <w:szCs w:val="32"/>
        </w:rPr>
      </w:pPr>
      <w:r>
        <w:rPr>
          <w:rFonts w:hint="eastAsia" w:eastAsia="仿宋_GB2312"/>
          <w:sz w:val="32"/>
          <w:szCs w:val="32"/>
        </w:rPr>
        <w:t>服务标准：按照《昆明市人民政府关于建立残疾儿童康复救助制度的实施意见》（昆政函〔2019〕68号）及残联有关服务规范执行。</w:t>
      </w:r>
    </w:p>
    <w:p>
      <w:pPr>
        <w:spacing w:line="578" w:lineRule="exact"/>
        <w:ind w:firstLine="640" w:firstLineChars="200"/>
        <w:rPr>
          <w:rFonts w:eastAsia="仿宋_GB2312"/>
          <w:sz w:val="32"/>
          <w:szCs w:val="32"/>
        </w:rPr>
      </w:pPr>
      <w:r>
        <w:rPr>
          <w:rFonts w:hint="eastAsia" w:eastAsia="仿宋_GB2312"/>
          <w:sz w:val="32"/>
          <w:szCs w:val="32"/>
        </w:rPr>
        <w:t>政策依据：《中华人民共和国残疾人保障法》《云南省残疾人保障条例》、昆政函〔2019〕68号文件。</w:t>
      </w:r>
    </w:p>
    <w:p>
      <w:pPr>
        <w:spacing w:line="578" w:lineRule="exact"/>
        <w:ind w:firstLine="640" w:firstLineChars="200"/>
        <w:rPr>
          <w:rFonts w:eastAsia="仿宋_GB2312"/>
          <w:sz w:val="32"/>
          <w:szCs w:val="32"/>
        </w:rPr>
      </w:pPr>
      <w:r>
        <w:rPr>
          <w:rFonts w:hint="eastAsia" w:eastAsia="仿宋_GB2312"/>
          <w:sz w:val="32"/>
          <w:szCs w:val="32"/>
        </w:rPr>
        <w:t>支出责任：区人民政府负责实施，中央、省、市财政适当补助。符合救助条件的残疾儿童应救尽救（救助标准按各县出台的救助制度规定执行），依据昆政函〔2019〕68号文件，按照应救尽救和财政分级负担的原则，我市承担部分实行市、区两级按8：2比例共同承担。</w:t>
      </w:r>
    </w:p>
    <w:p>
      <w:pPr>
        <w:spacing w:line="578" w:lineRule="exact"/>
        <w:ind w:firstLine="640" w:firstLineChars="200"/>
        <w:rPr>
          <w:rFonts w:eastAsia="仿宋_GB2312"/>
          <w:sz w:val="32"/>
          <w:szCs w:val="32"/>
        </w:rPr>
      </w:pPr>
      <w:r>
        <w:rPr>
          <w:rFonts w:hint="eastAsia" w:eastAsia="仿宋_GB2312"/>
          <w:sz w:val="32"/>
          <w:szCs w:val="32"/>
        </w:rPr>
        <w:t>牵头负责单位：区残联、区民政局、区财政局</w:t>
      </w:r>
    </w:p>
    <w:p>
      <w:pPr>
        <w:spacing w:line="578" w:lineRule="exact"/>
        <w:ind w:firstLine="640" w:firstLineChars="200"/>
        <w:rPr>
          <w:rFonts w:eastAsia="仿宋_GB2312"/>
          <w:sz w:val="32"/>
          <w:szCs w:val="32"/>
        </w:rPr>
      </w:pPr>
      <w:r>
        <w:rPr>
          <w:rFonts w:hint="eastAsia" w:eastAsia="仿宋_GB2312"/>
          <w:sz w:val="32"/>
          <w:szCs w:val="32"/>
        </w:rPr>
        <w:t>服务流程：有康复服务救助需求的残疾儿童监护人向残疾儿童户籍所在地或居住证发放地区级残联提出救助申请，区级残联对申请人是否符合救助条件进行审核，经审核符合条件的救助对象，由监护人自主选择定点康复机构接受康复服务，按有关规定进行服务费用结算，服务信息及时准确录入残疾儿童康复救助服务平台。</w:t>
      </w:r>
    </w:p>
    <w:p>
      <w:pPr>
        <w:spacing w:line="578" w:lineRule="exact"/>
        <w:ind w:firstLine="640" w:firstLineChars="200"/>
        <w:rPr>
          <w:rFonts w:eastAsia="仿宋_GB2312"/>
          <w:sz w:val="32"/>
          <w:szCs w:val="32"/>
        </w:rPr>
      </w:pPr>
      <w:bookmarkStart w:id="271" w:name="_Toc15337"/>
      <w:bookmarkStart w:id="272" w:name="_Toc24355"/>
      <w:r>
        <w:rPr>
          <w:rFonts w:hint="eastAsia" w:eastAsia="仿宋_GB2312"/>
          <w:sz w:val="32"/>
          <w:szCs w:val="32"/>
        </w:rPr>
        <w:t>65.残疾儿童及青少年教育</w:t>
      </w:r>
      <w:bookmarkEnd w:id="271"/>
      <w:bookmarkEnd w:id="272"/>
    </w:p>
    <w:p>
      <w:pPr>
        <w:spacing w:line="578" w:lineRule="exact"/>
        <w:ind w:firstLine="640" w:firstLineChars="200"/>
        <w:rPr>
          <w:rFonts w:eastAsia="仿宋_GB2312"/>
          <w:sz w:val="32"/>
          <w:szCs w:val="32"/>
        </w:rPr>
      </w:pPr>
      <w:r>
        <w:rPr>
          <w:rFonts w:hint="eastAsia" w:eastAsia="仿宋_GB2312"/>
          <w:sz w:val="32"/>
          <w:szCs w:val="32"/>
        </w:rPr>
        <w:t>服务对象</w:t>
      </w:r>
      <w:r>
        <w:rPr>
          <w:rFonts w:hint="eastAsia" w:ascii="仿宋_GB2312" w:eastAsia="仿宋_GB2312"/>
          <w:sz w:val="32"/>
          <w:szCs w:val="32"/>
        </w:rPr>
        <w:t>：①</w:t>
      </w:r>
      <w:r>
        <w:rPr>
          <w:rFonts w:hint="eastAsia" w:eastAsia="仿宋_GB2312"/>
          <w:sz w:val="32"/>
          <w:szCs w:val="32"/>
        </w:rPr>
        <w:t>热爱祖国，拥护中国共产党领导，遵守法律和社会公德</w:t>
      </w:r>
      <w:r>
        <w:rPr>
          <w:rFonts w:hint="eastAsia" w:ascii="仿宋_GB2312" w:eastAsia="仿宋_GB2312"/>
          <w:sz w:val="32"/>
          <w:szCs w:val="32"/>
        </w:rPr>
        <w:t>；②</w:t>
      </w:r>
      <w:r>
        <w:rPr>
          <w:rFonts w:hint="eastAsia" w:eastAsia="仿宋_GB2312"/>
          <w:sz w:val="32"/>
          <w:szCs w:val="32"/>
        </w:rPr>
        <w:t>遵守校纪校规，尊敬师长，努力学习</w:t>
      </w:r>
      <w:r>
        <w:rPr>
          <w:rFonts w:hint="eastAsia" w:ascii="仿宋_GB2312" w:eastAsia="仿宋_GB2312"/>
          <w:sz w:val="32"/>
          <w:szCs w:val="32"/>
        </w:rPr>
        <w:t>；③</w:t>
      </w:r>
      <w:r>
        <w:rPr>
          <w:rFonts w:hint="eastAsia" w:eastAsia="仿宋_GB2312"/>
          <w:sz w:val="32"/>
          <w:szCs w:val="32"/>
        </w:rPr>
        <w:t>持有《中华人民共和国残疾人证》的东川籍初中、小学在校残疾学生。</w:t>
      </w:r>
    </w:p>
    <w:p>
      <w:pPr>
        <w:spacing w:line="578" w:lineRule="exact"/>
        <w:ind w:firstLine="640" w:firstLineChars="200"/>
        <w:rPr>
          <w:rFonts w:eastAsia="仿宋_GB2312"/>
          <w:sz w:val="32"/>
          <w:szCs w:val="32"/>
        </w:rPr>
      </w:pPr>
      <w:r>
        <w:rPr>
          <w:rFonts w:hint="eastAsia" w:eastAsia="仿宋_GB2312"/>
          <w:sz w:val="32"/>
          <w:szCs w:val="32"/>
        </w:rPr>
        <w:t>服务内容：学前教育阶段可享受幼儿资助，义务教育阶段可享受免教科书、免学杂费和家庭经济困难学生生活补助、营养改善计划补助，普通高中教育阶段可享受国家助学金及免学杂费，中等职业教育阶段可享受国家助学金及免学费。</w:t>
      </w:r>
    </w:p>
    <w:p>
      <w:pPr>
        <w:spacing w:line="578" w:lineRule="exact"/>
        <w:ind w:firstLine="616" w:firstLineChars="200"/>
        <w:rPr>
          <w:rFonts w:eastAsia="仿宋_GB2312"/>
          <w:spacing w:val="-6"/>
          <w:sz w:val="32"/>
          <w:szCs w:val="32"/>
        </w:rPr>
      </w:pPr>
      <w:r>
        <w:rPr>
          <w:rFonts w:hint="eastAsia" w:eastAsia="仿宋_GB2312"/>
          <w:spacing w:val="-6"/>
          <w:sz w:val="32"/>
          <w:szCs w:val="32"/>
        </w:rPr>
        <w:t>服务标准：具体资助标准参照残疾学生所在学段的政策执行。</w:t>
      </w:r>
    </w:p>
    <w:p>
      <w:pPr>
        <w:spacing w:line="578" w:lineRule="exact"/>
        <w:ind w:firstLine="640" w:firstLineChars="200"/>
        <w:rPr>
          <w:rFonts w:eastAsia="仿宋_GB2312"/>
          <w:sz w:val="32"/>
          <w:szCs w:val="32"/>
        </w:rPr>
      </w:pPr>
      <w:r>
        <w:rPr>
          <w:rFonts w:hint="eastAsia" w:eastAsia="仿宋_GB2312"/>
          <w:sz w:val="32"/>
          <w:szCs w:val="32"/>
        </w:rPr>
        <w:t>政策依据：财教〔2011〕410号、云政发〔2016〕74号、财科教〔2021〕310号文件。</w:t>
      </w:r>
    </w:p>
    <w:p>
      <w:pPr>
        <w:spacing w:line="578" w:lineRule="exact"/>
        <w:ind w:firstLine="640" w:firstLineChars="200"/>
        <w:rPr>
          <w:rFonts w:eastAsia="仿宋_GB2312"/>
          <w:sz w:val="32"/>
          <w:szCs w:val="32"/>
        </w:rPr>
      </w:pPr>
      <w:r>
        <w:rPr>
          <w:rFonts w:hint="eastAsia" w:eastAsia="仿宋_GB2312"/>
          <w:sz w:val="32"/>
          <w:szCs w:val="32"/>
        </w:rPr>
        <w:t>支出责任：依据《云南省人民政府办公厅关于印发云南省教育领域财政事权和支出责任划分改革和实施方案的通知》（云政办发〔2020〕7号）执行。</w:t>
      </w:r>
    </w:p>
    <w:p>
      <w:pPr>
        <w:spacing w:line="578" w:lineRule="exact"/>
        <w:ind w:firstLine="640" w:firstLineChars="200"/>
        <w:rPr>
          <w:rFonts w:eastAsia="仿宋_GB2312"/>
          <w:sz w:val="32"/>
          <w:szCs w:val="32"/>
        </w:rPr>
      </w:pPr>
      <w:r>
        <w:rPr>
          <w:rFonts w:hint="eastAsia" w:eastAsia="仿宋_GB2312"/>
          <w:sz w:val="32"/>
          <w:szCs w:val="32"/>
        </w:rPr>
        <w:t>牵头负责单位：区教育体育局、区残联</w:t>
      </w:r>
    </w:p>
    <w:p>
      <w:pPr>
        <w:spacing w:line="578" w:lineRule="exact"/>
        <w:ind w:firstLine="640" w:firstLineChars="200"/>
        <w:rPr>
          <w:rFonts w:eastAsia="仿宋_GB2312"/>
          <w:sz w:val="32"/>
          <w:szCs w:val="32"/>
        </w:rPr>
      </w:pPr>
      <w:r>
        <w:rPr>
          <w:rFonts w:hint="eastAsia" w:eastAsia="仿宋_GB2312"/>
          <w:sz w:val="32"/>
          <w:szCs w:val="32"/>
        </w:rPr>
        <w:t>服务流程：学生申请，学校认定及审核，学校落实相应资助</w:t>
      </w:r>
      <w:bookmarkStart w:id="273" w:name="_bookmark92"/>
      <w:bookmarkEnd w:id="273"/>
      <w:r>
        <w:rPr>
          <w:rFonts w:hint="eastAsia" w:eastAsia="仿宋_GB2312"/>
          <w:sz w:val="32"/>
          <w:szCs w:val="32"/>
        </w:rPr>
        <w:t>政策。</w:t>
      </w:r>
    </w:p>
    <w:p>
      <w:pPr>
        <w:spacing w:line="578" w:lineRule="exact"/>
        <w:ind w:firstLine="640" w:firstLineChars="200"/>
        <w:rPr>
          <w:rFonts w:eastAsia="仿宋_GB2312"/>
          <w:sz w:val="32"/>
          <w:szCs w:val="32"/>
        </w:rPr>
      </w:pPr>
      <w:bookmarkStart w:id="274" w:name="_Toc11190"/>
      <w:bookmarkStart w:id="275" w:name="_Toc19604"/>
      <w:r>
        <w:rPr>
          <w:rFonts w:hint="eastAsia" w:eastAsia="仿宋_GB2312"/>
          <w:sz w:val="32"/>
          <w:szCs w:val="32"/>
        </w:rPr>
        <w:t>66.残疾人职业培训和创业就业服务</w:t>
      </w:r>
      <w:bookmarkEnd w:id="274"/>
      <w:bookmarkEnd w:id="275"/>
    </w:p>
    <w:p>
      <w:pPr>
        <w:spacing w:line="578" w:lineRule="exact"/>
        <w:ind w:firstLine="640" w:firstLineChars="200"/>
        <w:rPr>
          <w:rFonts w:eastAsia="仿宋_GB2312"/>
          <w:sz w:val="32"/>
          <w:szCs w:val="32"/>
        </w:rPr>
      </w:pPr>
      <w:r>
        <w:rPr>
          <w:rFonts w:hint="eastAsia" w:eastAsia="仿宋_GB2312"/>
          <w:sz w:val="32"/>
          <w:szCs w:val="32"/>
        </w:rPr>
        <w:t>66.1残疾人职业培训</w:t>
      </w:r>
    </w:p>
    <w:p>
      <w:pPr>
        <w:spacing w:line="578" w:lineRule="exact"/>
        <w:ind w:firstLine="640" w:firstLineChars="200"/>
        <w:rPr>
          <w:rFonts w:eastAsia="仿宋_GB2312"/>
          <w:sz w:val="32"/>
          <w:szCs w:val="32"/>
        </w:rPr>
      </w:pPr>
      <w:r>
        <w:rPr>
          <w:rFonts w:hint="eastAsia" w:eastAsia="仿宋_GB2312"/>
          <w:sz w:val="32"/>
          <w:szCs w:val="32"/>
        </w:rPr>
        <w:t>服务对象：户籍地、常住地、求职就业地在我区的，有就业愿望、培训需求的残疾人（含不符合培训项目要求的残疾人的直系亲属或监护人）。</w:t>
      </w:r>
    </w:p>
    <w:p>
      <w:pPr>
        <w:spacing w:line="578" w:lineRule="exact"/>
        <w:ind w:firstLine="640" w:firstLineChars="200"/>
        <w:rPr>
          <w:rFonts w:eastAsia="仿宋_GB2312"/>
          <w:sz w:val="32"/>
          <w:szCs w:val="32"/>
        </w:rPr>
      </w:pPr>
      <w:r>
        <w:rPr>
          <w:rFonts w:hint="eastAsia" w:eastAsia="仿宋_GB2312"/>
          <w:sz w:val="32"/>
          <w:szCs w:val="32"/>
        </w:rPr>
        <w:t>服务内容：残疾人就业服务机构应当针对残疾人组织开展免费的职业培训；组织残疾人开展就业前培训、在职培训、再就业培训和创业培训；及时发布残疾人职业培训信息，鼓励残疾人参加各种形式的培训。</w:t>
      </w:r>
    </w:p>
    <w:p>
      <w:pPr>
        <w:spacing w:line="578" w:lineRule="exact"/>
        <w:ind w:firstLine="640" w:firstLineChars="200"/>
        <w:rPr>
          <w:rFonts w:eastAsia="仿宋_GB2312"/>
          <w:sz w:val="32"/>
          <w:szCs w:val="32"/>
        </w:rPr>
      </w:pPr>
      <w:r>
        <w:rPr>
          <w:rFonts w:hint="eastAsia" w:eastAsia="仿宋_GB2312"/>
          <w:sz w:val="32"/>
          <w:szCs w:val="32"/>
        </w:rPr>
        <w:t>服务标准：参照《云南省残疾人职业技能培训项目组织实施办法》和《云南省残疾人职业培训费标准指导目录（2019年）试行》执行。</w:t>
      </w:r>
    </w:p>
    <w:p>
      <w:pPr>
        <w:spacing w:line="578" w:lineRule="exact"/>
        <w:ind w:firstLine="640" w:firstLineChars="200"/>
        <w:rPr>
          <w:rFonts w:eastAsia="仿宋_GB2312"/>
          <w:sz w:val="32"/>
          <w:szCs w:val="32"/>
        </w:rPr>
      </w:pPr>
      <w:r>
        <w:rPr>
          <w:rFonts w:hint="eastAsia" w:eastAsia="仿宋_GB2312"/>
          <w:sz w:val="32"/>
          <w:szCs w:val="32"/>
        </w:rPr>
        <w:t>政策依据：《云南省残疾人联合会关于发布云南省残疾人职业培训费标准指导目录（2019年）试行的通知》（云残发〔2019〕41号）。</w:t>
      </w:r>
    </w:p>
    <w:p>
      <w:pPr>
        <w:spacing w:line="578" w:lineRule="exact"/>
        <w:ind w:firstLine="640" w:firstLineChars="200"/>
        <w:rPr>
          <w:rFonts w:eastAsia="仿宋_GB2312"/>
          <w:sz w:val="32"/>
          <w:szCs w:val="32"/>
        </w:rPr>
      </w:pPr>
      <w:r>
        <w:rPr>
          <w:rFonts w:hint="eastAsia" w:eastAsia="仿宋_GB2312"/>
          <w:sz w:val="32"/>
          <w:szCs w:val="32"/>
        </w:rPr>
        <w:t>支出责任：市、区两级根据年度任务财政分别负责，中央、省级财政适当补助。资金比例为各级项目由各级单独使用经费。省级根据市、区两级申请情况适当补助。补助项目的全部资金或部分资金，资金不足部分使用本级经费。</w:t>
      </w:r>
    </w:p>
    <w:p>
      <w:pPr>
        <w:adjustRightInd w:val="0"/>
        <w:snapToGrid w:val="0"/>
        <w:spacing w:line="578" w:lineRule="exact"/>
        <w:ind w:firstLine="420" w:firstLineChars="200"/>
        <w:rPr>
          <w:rFonts w:eastAsia="仿宋_GB2312"/>
          <w:sz w:val="32"/>
          <w:szCs w:val="32"/>
        </w:rPr>
      </w:pPr>
      <w:r>
        <w:pict>
          <v:shape id="图片 1076" o:spid="_x0000_s1055" o:spt="75" type="#_x0000_t75" style="position:absolute;left:0pt;margin-left:9pt;margin-top:101.4pt;height:532.7pt;width:442.4pt;mso-wrap-distance-bottom:0pt;mso-wrap-distance-top:0pt;z-index:251684864;mso-width-relative:page;mso-height-relative:page;" filled="f" o:preferrelative="t" stroked="f" coordsize="21600,21600">
            <v:path/>
            <v:fill on="f" focussize="0,0"/>
            <v:stroke on="f" joinstyle="miter"/>
            <v:imagedata r:id="rId13" o:title=""/>
            <o:lock v:ext="edit" aspectratio="t"/>
            <w10:wrap type="topAndBottom"/>
          </v:shape>
        </w:pict>
      </w:r>
      <w:r>
        <w:rPr>
          <w:rFonts w:hint="eastAsia" w:eastAsia="仿宋_GB2312"/>
          <w:sz w:val="32"/>
          <w:szCs w:val="32"/>
        </w:rPr>
        <w:t>牵头负责单位：区残联、区人社局</w:t>
      </w:r>
    </w:p>
    <w:p>
      <w:pPr>
        <w:adjustRightInd w:val="0"/>
        <w:snapToGrid w:val="0"/>
        <w:spacing w:line="578" w:lineRule="exact"/>
        <w:ind w:firstLine="360"/>
        <w:rPr>
          <w:rFonts w:ascii="仿宋_GB2312" w:eastAsia="仿宋_GB2312"/>
          <w:sz w:val="32"/>
          <w:szCs w:val="32"/>
        </w:rPr>
      </w:pPr>
      <w:r>
        <w:rPr>
          <w:rFonts w:hint="eastAsia" w:ascii="仿宋_GB2312" w:eastAsia="仿宋_GB2312"/>
          <w:sz w:val="32"/>
          <w:szCs w:val="32"/>
        </w:rPr>
        <w:t>服务流程：</w:t>
      </w:r>
    </w:p>
    <w:p>
      <w:pPr>
        <w:adjustRightInd w:val="0"/>
        <w:snapToGrid w:val="0"/>
        <w:spacing w:line="578" w:lineRule="exact"/>
        <w:ind w:firstLine="200"/>
        <w:rPr>
          <w:rFonts w:ascii="仿宋_GB2312" w:eastAsia="仿宋_GB2312"/>
          <w:sz w:val="32"/>
          <w:szCs w:val="32"/>
        </w:rPr>
      </w:pPr>
    </w:p>
    <w:p>
      <w:pPr>
        <w:spacing w:line="578" w:lineRule="exact"/>
        <w:ind w:firstLine="640" w:firstLineChars="200"/>
        <w:rPr>
          <w:rFonts w:eastAsia="仿宋_GB2312"/>
          <w:sz w:val="32"/>
          <w:szCs w:val="32"/>
        </w:rPr>
      </w:pPr>
      <w:r>
        <w:rPr>
          <w:rFonts w:hint="eastAsia" w:eastAsia="仿宋_GB2312"/>
          <w:sz w:val="32"/>
          <w:szCs w:val="32"/>
        </w:rPr>
        <w:t>66.2残疾人创业就业服务</w:t>
      </w:r>
    </w:p>
    <w:p>
      <w:pPr>
        <w:spacing w:line="578" w:lineRule="exact"/>
        <w:ind w:firstLine="640" w:firstLineChars="200"/>
        <w:rPr>
          <w:rFonts w:eastAsia="仿宋_GB2312"/>
          <w:sz w:val="32"/>
          <w:szCs w:val="32"/>
        </w:rPr>
      </w:pPr>
      <w:r>
        <w:rPr>
          <w:rFonts w:hint="eastAsia" w:eastAsia="仿宋_GB2312"/>
          <w:sz w:val="32"/>
          <w:szCs w:val="32"/>
        </w:rPr>
        <w:t>服务对象：残疾人微小企业、集中安置残疾人就业单位、安置5人以上残疾人就业的、残疾人自主创业、高校残疾人毕业生、农村残疾人转移就业示范带头人。</w:t>
      </w:r>
    </w:p>
    <w:p>
      <w:pPr>
        <w:spacing w:line="578" w:lineRule="exact"/>
        <w:ind w:firstLine="640" w:firstLineChars="200"/>
        <w:rPr>
          <w:rFonts w:eastAsia="仿宋_GB2312"/>
          <w:sz w:val="32"/>
          <w:szCs w:val="32"/>
        </w:rPr>
      </w:pPr>
      <w:r>
        <w:rPr>
          <w:rFonts w:hint="eastAsia" w:eastAsia="仿宋_GB2312"/>
          <w:sz w:val="32"/>
          <w:szCs w:val="32"/>
        </w:rPr>
        <w:t>服务内容：发布残疾人就业信息；组织开展残疾人职业培训；为残疾人提供职业心理咨询、职业适应评估、职业康复训练、求职定向指导、职业介绍等服务；为残疾人自主择业提供必要的帮助；为用人单位安排残疾人就业提供必要的支持。受劳动保障部</w:t>
      </w:r>
      <w:r>
        <w:rPr>
          <w:rFonts w:hint="eastAsia" w:eastAsia="仿宋_GB2312"/>
          <w:spacing w:val="-6"/>
          <w:sz w:val="32"/>
          <w:szCs w:val="32"/>
        </w:rPr>
        <w:t>门的委托，残疾人就业服务机构可以进行残疾人就业与失业统计。</w:t>
      </w:r>
    </w:p>
    <w:p>
      <w:pPr>
        <w:spacing w:line="578" w:lineRule="exact"/>
        <w:ind w:firstLine="640" w:firstLineChars="200"/>
        <w:rPr>
          <w:rFonts w:eastAsia="仿宋_GB2312"/>
          <w:sz w:val="32"/>
          <w:szCs w:val="32"/>
        </w:rPr>
      </w:pPr>
      <w:r>
        <w:rPr>
          <w:rFonts w:hint="eastAsia" w:eastAsia="仿宋_GB2312"/>
          <w:sz w:val="32"/>
          <w:szCs w:val="32"/>
        </w:rPr>
        <w:t>服务标准：参照《云南省财政厅 云南省地方税务局 云南省残疾人联合会关于印发云南省残疾人就业保障金征收使用管理实施办法的通知》（云财非税〔2017〕32号）、《关于印发残疾人创业孵化基地服务规范试行和农村扶贫助残基地基本规范与 评价（试行）的通知》（残联发〔2020〕24号）、《云南省残疾人联合会 云南省发展和改革委员会 云南省民政厅 云南省财政厅 云南省人力资源和社会保障厅 云南省国土资源厅 中国人民银行昆明中心支行 云南省国家税务局 云南省地方税务局关于发展残疾人辅助性就业的实施意见》（云残发〔2017〕8号）、《云南省残疾人联合会关于修订印发云南省“助残就业同奔小康”残疾人创业就业扶持行动方案及其配套管理办法的通知》（云残发〔2019〕7号）、《关于印发云南省“十四五”助残就业“十百千万工程”实施方案的通知》（云残发〔2022〕36号）、《云南省人民政府办公厅关于印发云南省促进残疾人就业三年行动实施方案（2022—2024年）的通知》（云政办发〔2022〕56号）执行。</w:t>
      </w:r>
    </w:p>
    <w:p>
      <w:pPr>
        <w:spacing w:line="578" w:lineRule="exact"/>
        <w:ind w:firstLine="640" w:firstLineChars="200"/>
        <w:rPr>
          <w:rFonts w:eastAsia="仿宋_GB2312"/>
          <w:sz w:val="32"/>
          <w:szCs w:val="32"/>
        </w:rPr>
      </w:pPr>
      <w:r>
        <w:rPr>
          <w:rFonts w:hint="eastAsia" w:eastAsia="仿宋_GB2312"/>
          <w:sz w:val="32"/>
          <w:szCs w:val="32"/>
        </w:rPr>
        <w:t>政策依据：《关于发展残疾人辅助性就业的意见》（残联发〔2015〕27号）、《关于印发残疾人就业保障金征收使用管理办法的通知》（财税〔2015〕72号）、国发〔2017〕28号文件、《关于扶持残疾人自主创业就业的意见》（残联发〔2018〕6号）、残联发〔2020〕24号文件、《云南省人民政府关于印发云南省“十四五”残疾人保障和发展规划的通知》（云政发〔2021〕26号）、《关于扶持云南省残疾人自主就业创业的实施意见》（云残发〔2019〕52号），云残发〔2019〕7号、云财非税〔2017〕32号、云残发〔2017〕8号文件，《云南省残疾人联合会关于印发云南省农村残疾人劳动力转移就业行动方案的通知》（云残发〔2019〕106号）、《云南省残疾人联合会关于印发云南省</w:t>
      </w:r>
      <w:r>
        <w:rPr>
          <w:rFonts w:hint="eastAsia" w:eastAsia="仿宋_GB2312"/>
          <w:spacing w:val="-6"/>
          <w:sz w:val="32"/>
          <w:szCs w:val="32"/>
        </w:rPr>
        <w:t>高校残疾人毕业生创业就业促进实施方案的通知》（云残发〔2019〕102号）。</w:t>
      </w:r>
    </w:p>
    <w:p>
      <w:pPr>
        <w:spacing w:line="578" w:lineRule="exact"/>
        <w:ind w:firstLine="640" w:firstLineChars="200"/>
        <w:rPr>
          <w:rFonts w:eastAsia="仿宋_GB2312"/>
          <w:sz w:val="32"/>
          <w:szCs w:val="32"/>
        </w:rPr>
      </w:pPr>
      <w:r>
        <w:rPr>
          <w:rFonts w:hint="eastAsia" w:eastAsia="仿宋_GB2312"/>
          <w:sz w:val="32"/>
          <w:szCs w:val="32"/>
        </w:rPr>
        <w:t>支出责任：市、区两级按8：2比例共同承担。省级根据市、区两级申请情况适当进行补助，补助金额为项目的全部资金或部分资金，资金不足部分使用本级经费。</w:t>
      </w:r>
    </w:p>
    <w:p>
      <w:pPr>
        <w:spacing w:line="578" w:lineRule="exact"/>
        <w:ind w:firstLine="640" w:firstLineChars="200"/>
        <w:rPr>
          <w:rFonts w:eastAsia="仿宋_GB2312"/>
          <w:sz w:val="32"/>
          <w:szCs w:val="32"/>
        </w:rPr>
      </w:pPr>
      <w:r>
        <w:rPr>
          <w:rFonts w:hint="eastAsia" w:eastAsia="仿宋_GB2312"/>
          <w:sz w:val="32"/>
          <w:szCs w:val="32"/>
        </w:rPr>
        <w:t>牵头负责单位：区残联、区人社局</w:t>
      </w:r>
    </w:p>
    <w:p>
      <w:pPr>
        <w:spacing w:line="578" w:lineRule="exact"/>
        <w:ind w:firstLine="640" w:firstLineChars="200"/>
        <w:rPr>
          <w:rFonts w:eastAsia="仿宋_GB2312"/>
          <w:sz w:val="32"/>
          <w:szCs w:val="32"/>
        </w:rPr>
      </w:pPr>
      <w:r>
        <w:rPr>
          <w:rFonts w:hint="eastAsia" w:eastAsia="仿宋_GB2312"/>
          <w:sz w:val="32"/>
          <w:szCs w:val="32"/>
        </w:rPr>
        <w:t>服务流程：符合申报条件的企业或个人可向区残联申请资格考察，由区残联对申报主体资格、申报材料的真实性和完整性进行初审并进行实地考察，名单汇总。对符合申报条件的企业或个人由区残联向市级残联推荐；市级残联经过资格认定后向省残联推荐，名单确定。省残联根据市残联推荐情况，确定名单。由省残联发文予以确认或备案。</w:t>
      </w:r>
    </w:p>
    <w:p>
      <w:pPr>
        <w:spacing w:line="578" w:lineRule="exact"/>
        <w:ind w:firstLine="640" w:firstLineChars="200"/>
        <w:rPr>
          <w:rFonts w:eastAsia="仿宋_GB2312"/>
          <w:sz w:val="32"/>
          <w:szCs w:val="32"/>
        </w:rPr>
      </w:pPr>
      <w:bookmarkStart w:id="276" w:name="_Toc17364"/>
      <w:bookmarkStart w:id="277" w:name="_Toc7009"/>
      <w:r>
        <w:rPr>
          <w:rFonts w:hint="eastAsia" w:eastAsia="仿宋_GB2312"/>
          <w:sz w:val="32"/>
          <w:szCs w:val="32"/>
        </w:rPr>
        <w:t>67.残疾人文化体育服务</w:t>
      </w:r>
      <w:bookmarkEnd w:id="276"/>
      <w:bookmarkEnd w:id="277"/>
    </w:p>
    <w:p>
      <w:pPr>
        <w:spacing w:line="578" w:lineRule="exact"/>
        <w:ind w:firstLine="640" w:firstLineChars="200"/>
        <w:rPr>
          <w:rFonts w:eastAsia="仿宋_GB2312"/>
          <w:sz w:val="32"/>
          <w:szCs w:val="32"/>
        </w:rPr>
      </w:pPr>
      <w:r>
        <w:rPr>
          <w:rFonts w:hint="eastAsia" w:eastAsia="仿宋_GB2312"/>
          <w:sz w:val="32"/>
          <w:szCs w:val="32"/>
        </w:rPr>
        <w:t>服务对象：残疾人。</w:t>
      </w:r>
    </w:p>
    <w:p>
      <w:pPr>
        <w:spacing w:line="578" w:lineRule="exact"/>
        <w:ind w:firstLine="640" w:firstLineChars="200"/>
        <w:rPr>
          <w:rFonts w:eastAsia="仿宋_GB2312"/>
          <w:sz w:val="32"/>
          <w:szCs w:val="32"/>
        </w:rPr>
      </w:pPr>
      <w:r>
        <w:rPr>
          <w:rFonts w:hint="eastAsia" w:eastAsia="仿宋_GB2312"/>
          <w:sz w:val="32"/>
          <w:szCs w:val="32"/>
        </w:rPr>
        <w:t>服务内容：开展残疾人文化进家庭“五个一”服务活动；在公共图书馆提供盲文和有声读物等阅读服务；为基层残疾人体育活动场所和残疾人综合服务设施配置适宜的器材器械，完善公共文化体育设施无障碍条件。</w:t>
      </w:r>
    </w:p>
    <w:p>
      <w:pPr>
        <w:spacing w:line="578" w:lineRule="exact"/>
        <w:ind w:firstLine="640" w:firstLineChars="200"/>
        <w:rPr>
          <w:rFonts w:eastAsia="仿宋_GB2312"/>
          <w:sz w:val="32"/>
          <w:szCs w:val="32"/>
        </w:rPr>
      </w:pPr>
      <w:r>
        <w:rPr>
          <w:rFonts w:hint="eastAsia" w:eastAsia="仿宋_GB2312"/>
          <w:sz w:val="32"/>
          <w:szCs w:val="32"/>
        </w:rPr>
        <w:t>服务标准：区级公共图书馆阅览室普遍设立盲人阅览区，配置盲文图书、有声读物、大字读物和盲人专用电脑等设备。开展残疾人文化周、残疾人阅读推广等群众性文化活动。公共图书馆与公共文化体育活动场所按照《公共图书馆建设标准》、《无障碍设计规范》等执行，保障残疾人使用公共文化体育设施均等化。</w:t>
      </w:r>
    </w:p>
    <w:p>
      <w:pPr>
        <w:spacing w:line="578" w:lineRule="exact"/>
        <w:ind w:firstLine="640" w:firstLineChars="200"/>
        <w:rPr>
          <w:rFonts w:eastAsia="仿宋_GB2312"/>
          <w:sz w:val="32"/>
          <w:szCs w:val="32"/>
        </w:rPr>
      </w:pPr>
      <w:r>
        <w:rPr>
          <w:rFonts w:hint="eastAsia" w:eastAsia="仿宋_GB2312"/>
          <w:sz w:val="32"/>
          <w:szCs w:val="32"/>
        </w:rPr>
        <w:t>政策依据：《云南省人民政府关于加快推进残疾人小康进程</w:t>
      </w:r>
      <w:r>
        <w:rPr>
          <w:rFonts w:hint="eastAsia" w:eastAsia="仿宋_GB2312"/>
          <w:spacing w:val="-6"/>
          <w:sz w:val="32"/>
          <w:szCs w:val="32"/>
        </w:rPr>
        <w:t>的实施意见》（云政发〔2015〕91号）、云政发〔2016〕106号文件。</w:t>
      </w:r>
    </w:p>
    <w:p>
      <w:pPr>
        <w:spacing w:line="578" w:lineRule="exact"/>
        <w:ind w:firstLine="640" w:firstLineChars="200"/>
        <w:rPr>
          <w:rFonts w:eastAsia="仿宋_GB2312"/>
          <w:sz w:val="32"/>
          <w:szCs w:val="32"/>
        </w:rPr>
      </w:pPr>
      <w:r>
        <w:rPr>
          <w:rFonts w:hint="eastAsia" w:eastAsia="仿宋_GB2312"/>
          <w:sz w:val="32"/>
          <w:szCs w:val="32"/>
        </w:rPr>
        <w:t>支出责任：区级人民政府负责，省级财政适当补助。省级财政分担20%。在公共图书馆提供盲文和有声读物等阅读服务从中央和省配套的公共图书馆免开经费中根据实际情况评估后统筹安排列支。各级项目由同级财政单独安排使用经费。</w:t>
      </w:r>
    </w:p>
    <w:p>
      <w:pPr>
        <w:spacing w:line="578" w:lineRule="exact"/>
        <w:ind w:firstLine="640" w:firstLineChars="200"/>
        <w:rPr>
          <w:rFonts w:eastAsia="仿宋_GB2312"/>
          <w:sz w:val="32"/>
          <w:szCs w:val="32"/>
        </w:rPr>
      </w:pPr>
      <w:r>
        <w:rPr>
          <w:rFonts w:hint="eastAsia" w:eastAsia="仿宋_GB2312"/>
          <w:sz w:val="32"/>
          <w:szCs w:val="32"/>
        </w:rPr>
        <w:t>牵头负责单位：区委宣传部、区残联、区文化旅游局、区教育体育局。</w:t>
      </w:r>
    </w:p>
    <w:p>
      <w:pPr>
        <w:spacing w:line="578" w:lineRule="exact"/>
        <w:ind w:firstLine="640" w:firstLineChars="200"/>
        <w:rPr>
          <w:rFonts w:eastAsia="仿宋_GB2312"/>
          <w:spacing w:val="6"/>
          <w:sz w:val="32"/>
          <w:szCs w:val="32"/>
        </w:rPr>
      </w:pPr>
      <w:r>
        <w:rPr>
          <w:rFonts w:hint="eastAsia" w:eastAsia="仿宋_GB2312"/>
          <w:sz w:val="32"/>
          <w:szCs w:val="32"/>
        </w:rPr>
        <w:t>服务流程：充分利用全区各地公共文化场所、设备和产品，适时组织残疾人文化服务活动，协调有关部门对基层文化场所进行无障碍改造或提升，方便残疾人参与和使用。各级残联和公共文化服务机构结合当地实际和残疾人的实际需求，利用全国助残日、国际残疾人日等时机，开展“残疾人文化周”“残疾人文艺演出”“残疾人读书”“残疾人健身周”等活动。为基层残疾人体育活动场所和残疾人综合服务设施配置适宜的器材器械，完善公共文化体育设施无障碍条件，积极引导和帮助残疾人参与文化体</w:t>
      </w:r>
      <w:r>
        <w:rPr>
          <w:rFonts w:hint="eastAsia" w:eastAsia="仿宋_GB2312"/>
          <w:spacing w:val="6"/>
          <w:sz w:val="32"/>
          <w:szCs w:val="32"/>
        </w:rPr>
        <w:t>育活动；公共图书馆免费向残疾人提供盲文和有声读物等阅读服务。</w:t>
      </w:r>
    </w:p>
    <w:p>
      <w:pPr>
        <w:spacing w:line="578" w:lineRule="exact"/>
        <w:ind w:firstLine="640" w:firstLineChars="200"/>
        <w:rPr>
          <w:rFonts w:eastAsia="仿宋_GB2312"/>
          <w:sz w:val="32"/>
          <w:szCs w:val="32"/>
        </w:rPr>
      </w:pPr>
      <w:bookmarkStart w:id="278" w:name="_Toc26503"/>
      <w:bookmarkStart w:id="279" w:name="_Toc16927"/>
      <w:r>
        <w:rPr>
          <w:rFonts w:hint="eastAsia" w:eastAsia="仿宋_GB2312"/>
          <w:sz w:val="32"/>
          <w:szCs w:val="32"/>
        </w:rPr>
        <w:t>68.残疾人和老年人无障碍环境建设</w:t>
      </w:r>
      <w:bookmarkEnd w:id="278"/>
      <w:bookmarkEnd w:id="279"/>
    </w:p>
    <w:p>
      <w:pPr>
        <w:spacing w:line="578" w:lineRule="exact"/>
        <w:ind w:firstLine="640" w:firstLineChars="200"/>
        <w:rPr>
          <w:rFonts w:eastAsia="仿宋_GB2312"/>
          <w:sz w:val="32"/>
          <w:szCs w:val="32"/>
        </w:rPr>
      </w:pPr>
      <w:r>
        <w:rPr>
          <w:rFonts w:hint="eastAsia" w:eastAsia="仿宋_GB2312"/>
          <w:sz w:val="32"/>
          <w:szCs w:val="32"/>
        </w:rPr>
        <w:t>服务对象：残疾人、老年人等。</w:t>
      </w:r>
    </w:p>
    <w:p>
      <w:pPr>
        <w:spacing w:line="578" w:lineRule="exact"/>
        <w:ind w:firstLine="640" w:firstLineChars="200"/>
        <w:rPr>
          <w:rFonts w:eastAsia="仿宋_GB2312"/>
          <w:sz w:val="32"/>
          <w:szCs w:val="32"/>
        </w:rPr>
      </w:pPr>
      <w:r>
        <w:rPr>
          <w:rFonts w:hint="eastAsia" w:eastAsia="仿宋_GB2312"/>
          <w:sz w:val="32"/>
          <w:szCs w:val="32"/>
        </w:rPr>
        <w:t>服务内容：按照地方人民政府年度工作计划，逐步为残疾人家庭提供无障碍改造服务。</w:t>
      </w:r>
    </w:p>
    <w:p>
      <w:pPr>
        <w:spacing w:line="578" w:lineRule="exact"/>
        <w:ind w:firstLine="640" w:firstLineChars="200"/>
        <w:rPr>
          <w:rFonts w:eastAsia="仿宋_GB2312"/>
          <w:sz w:val="32"/>
          <w:szCs w:val="32"/>
        </w:rPr>
      </w:pPr>
      <w:r>
        <w:rPr>
          <w:rFonts w:hint="eastAsia" w:eastAsia="仿宋_GB2312"/>
          <w:sz w:val="32"/>
          <w:szCs w:val="32"/>
        </w:rPr>
        <w:t>服务标准：按照《无障碍设计规范》及有关技术方案执行。</w:t>
      </w:r>
    </w:p>
    <w:p>
      <w:pPr>
        <w:spacing w:line="578" w:lineRule="exact"/>
        <w:ind w:firstLine="640" w:firstLineChars="200"/>
        <w:rPr>
          <w:rFonts w:eastAsia="仿宋_GB2312"/>
          <w:spacing w:val="-6"/>
          <w:sz w:val="32"/>
          <w:szCs w:val="32"/>
        </w:rPr>
      </w:pPr>
      <w:r>
        <w:rPr>
          <w:rFonts w:hint="eastAsia" w:eastAsia="仿宋_GB2312"/>
          <w:sz w:val="32"/>
          <w:szCs w:val="32"/>
        </w:rPr>
        <w:t>政策依据：《中共中央 国务院关于促进残疾人事业发展的意见》（中发〔2008〕7号），中国残疾人联合会、住房和城乡建设</w:t>
      </w:r>
      <w:r>
        <w:rPr>
          <w:rFonts w:hint="eastAsia" w:eastAsia="仿宋_GB2312"/>
          <w:spacing w:val="-6"/>
          <w:sz w:val="32"/>
          <w:szCs w:val="32"/>
        </w:rPr>
        <w:t>部等13个部门联合印发的《无障碍环境建设“十四五”实施方案》。</w:t>
      </w:r>
    </w:p>
    <w:p>
      <w:pPr>
        <w:spacing w:line="578" w:lineRule="exact"/>
        <w:ind w:firstLine="640" w:firstLineChars="200"/>
        <w:rPr>
          <w:rFonts w:eastAsia="仿宋_GB2312"/>
          <w:sz w:val="32"/>
          <w:szCs w:val="32"/>
        </w:rPr>
      </w:pPr>
      <w:r>
        <w:rPr>
          <w:rFonts w:hint="eastAsia" w:eastAsia="仿宋_GB2312"/>
          <w:sz w:val="32"/>
          <w:szCs w:val="32"/>
        </w:rPr>
        <w:t>支出责任：中央和省级彩票公益金，市、区财政适当补助。开展困难失能、残疾、高龄老年人家庭居家适老化改造，按照户均3000元的标准执行。使用国家、省、市级财政资金实施的残疾人家庭无障碍改造，按照户均6000元的标准执行，市级适当补助工作经费。</w:t>
      </w:r>
    </w:p>
    <w:p>
      <w:pPr>
        <w:spacing w:line="578" w:lineRule="exact"/>
        <w:ind w:firstLine="640" w:firstLineChars="200"/>
        <w:rPr>
          <w:rFonts w:eastAsia="仿宋_GB2312"/>
          <w:sz w:val="32"/>
          <w:szCs w:val="32"/>
        </w:rPr>
      </w:pPr>
      <w:r>
        <w:rPr>
          <w:rFonts w:hint="eastAsia" w:eastAsia="仿宋_GB2312"/>
          <w:sz w:val="32"/>
          <w:szCs w:val="32"/>
        </w:rPr>
        <w:t>负责单位：区民政局、区住建局、区残联按照职责分工负责</w:t>
      </w:r>
    </w:p>
    <w:p>
      <w:pPr>
        <w:spacing w:line="578" w:lineRule="exact"/>
        <w:ind w:firstLine="640" w:firstLineChars="200"/>
        <w:rPr>
          <w:rFonts w:eastAsia="仿宋_GB2312"/>
          <w:sz w:val="32"/>
          <w:szCs w:val="32"/>
        </w:rPr>
      </w:pPr>
      <w:r>
        <w:rPr>
          <w:rFonts w:hint="eastAsia" w:eastAsia="仿宋_GB2312"/>
          <w:sz w:val="32"/>
          <w:szCs w:val="32"/>
        </w:rPr>
        <w:t>服务流程：制定实施方案，拨付配套经费，确定受益人，组织实施改造，完善档案资料，检查验收评估。</w:t>
      </w:r>
    </w:p>
    <w:p>
      <w:pPr>
        <w:spacing w:line="578" w:lineRule="exact"/>
        <w:ind w:firstLine="640" w:firstLineChars="200"/>
        <w:rPr>
          <w:rFonts w:eastAsia="黑体"/>
          <w:sz w:val="32"/>
          <w:szCs w:val="32"/>
        </w:rPr>
      </w:pPr>
      <w:bookmarkStart w:id="280" w:name="_Toc5078"/>
      <w:bookmarkStart w:id="281" w:name="_Toc18310"/>
      <w:r>
        <w:rPr>
          <w:rFonts w:hint="eastAsia" w:eastAsia="黑体"/>
          <w:sz w:val="32"/>
          <w:szCs w:val="32"/>
        </w:rPr>
        <w:t>八、优军服务保障</w:t>
      </w:r>
      <w:bookmarkEnd w:id="280"/>
      <w:bookmarkEnd w:id="281"/>
    </w:p>
    <w:p>
      <w:pPr>
        <w:spacing w:line="578" w:lineRule="exact"/>
        <w:ind w:firstLine="640" w:firstLineChars="200"/>
        <w:rPr>
          <w:rFonts w:eastAsia="楷体_GB2312"/>
          <w:sz w:val="32"/>
          <w:szCs w:val="32"/>
        </w:rPr>
      </w:pPr>
      <w:bookmarkStart w:id="282" w:name="_Toc20469"/>
      <w:bookmarkStart w:id="283" w:name="_Toc5969"/>
      <w:r>
        <w:rPr>
          <w:rFonts w:hint="eastAsia" w:eastAsia="楷体_GB2312"/>
          <w:sz w:val="32"/>
          <w:szCs w:val="32"/>
        </w:rPr>
        <w:t>（二十）优军优抚服务</w:t>
      </w:r>
      <w:bookmarkEnd w:id="282"/>
      <w:bookmarkEnd w:id="283"/>
    </w:p>
    <w:p>
      <w:pPr>
        <w:spacing w:line="578" w:lineRule="exact"/>
        <w:ind w:firstLine="640" w:firstLineChars="200"/>
        <w:rPr>
          <w:rFonts w:eastAsia="仿宋_GB2312"/>
          <w:sz w:val="32"/>
          <w:szCs w:val="32"/>
        </w:rPr>
      </w:pPr>
      <w:bookmarkStart w:id="284" w:name="_Toc24659"/>
      <w:bookmarkStart w:id="285" w:name="_Toc941"/>
      <w:r>
        <w:rPr>
          <w:rFonts w:hint="eastAsia" w:eastAsia="仿宋_GB2312"/>
          <w:sz w:val="32"/>
          <w:szCs w:val="32"/>
        </w:rPr>
        <w:t>69.优待抚恤</w:t>
      </w:r>
      <w:bookmarkEnd w:id="284"/>
      <w:bookmarkEnd w:id="285"/>
    </w:p>
    <w:p>
      <w:pPr>
        <w:spacing w:line="578" w:lineRule="exact"/>
        <w:ind w:firstLine="640" w:firstLineChars="200"/>
        <w:rPr>
          <w:rFonts w:eastAsia="仿宋_GB2312"/>
          <w:sz w:val="32"/>
          <w:szCs w:val="32"/>
        </w:rPr>
      </w:pPr>
      <w:r>
        <w:rPr>
          <w:rFonts w:hint="eastAsia" w:eastAsia="仿宋_GB2312"/>
          <w:sz w:val="32"/>
          <w:szCs w:val="32"/>
        </w:rPr>
        <w:t>服务对象：户口属于东川区的现役军人、服现役或者退出现役的残疾军人以及复员军人、退伍军人、离退休军人、烈士遗属、因公牺牲军人遗属、病故军人遗属、现役军人家属。</w:t>
      </w:r>
    </w:p>
    <w:p>
      <w:pPr>
        <w:spacing w:line="578" w:lineRule="exact"/>
        <w:ind w:firstLine="640" w:firstLineChars="200"/>
        <w:rPr>
          <w:rFonts w:eastAsia="仿宋_GB2312"/>
          <w:sz w:val="32"/>
          <w:szCs w:val="32"/>
        </w:rPr>
      </w:pPr>
      <w:r>
        <w:rPr>
          <w:rFonts w:hint="eastAsia" w:eastAsia="仿宋_GB2312"/>
          <w:sz w:val="32"/>
          <w:szCs w:val="32"/>
        </w:rPr>
        <w:t>服务内容：为符合政府优待条件人员发放抚恤金、优待金、生活补助或者给予其他优待。</w:t>
      </w:r>
    </w:p>
    <w:p>
      <w:pPr>
        <w:spacing w:line="578" w:lineRule="exact"/>
        <w:ind w:firstLine="640" w:firstLineChars="200"/>
        <w:rPr>
          <w:rFonts w:eastAsia="仿宋_GB2312"/>
          <w:sz w:val="32"/>
          <w:szCs w:val="32"/>
        </w:rPr>
      </w:pPr>
      <w:r>
        <w:rPr>
          <w:rFonts w:hint="eastAsia" w:eastAsia="仿宋_GB2312"/>
          <w:sz w:val="32"/>
          <w:szCs w:val="32"/>
        </w:rPr>
        <w:t>服务标准：按照《军人抚恤优待条例》及有关规定执行。</w:t>
      </w:r>
    </w:p>
    <w:p>
      <w:pPr>
        <w:spacing w:line="578" w:lineRule="exact"/>
        <w:ind w:firstLine="640" w:firstLineChars="200"/>
        <w:rPr>
          <w:rFonts w:eastAsia="仿宋_GB2312"/>
          <w:sz w:val="32"/>
          <w:szCs w:val="32"/>
        </w:rPr>
      </w:pPr>
      <w:r>
        <w:rPr>
          <w:rFonts w:hint="eastAsia" w:eastAsia="仿宋_GB2312"/>
          <w:sz w:val="32"/>
          <w:szCs w:val="32"/>
        </w:rPr>
        <w:t>政策依据：中华人民共和国主席令第六十三号）、《军人抚恤优待条例》（中华人民共和国国务院 中央军事委员会令第709号）、《烈士褒扬条例》（中华人民共和国国务院 中央军事委员会国务院令第601号）、《伤残抚恤管理办法》（中华人民共和国退役军人事务部令第1号）、《军队离休退休干部服务管理办法》（中华人民共和国退役军人事务部令〔2021〕5号）、《国务院办公厅关于印发为烈属、军属和退役军人等家庭悬挂光荣牌工作实施办法的通知》（国办发〔2018〕72号）、《退役军人事务部等5个部门关于加强困难退役军人帮扶援助工作的意见》（退役军人部发〔2019〕62号）、《云南省拥军优属规定》（云南省人民政府令第63号）、《云南省军人抚恤优待规定》（云南省人民政府令第148号）、《云南省退役士兵安置规定》（云南省人民政府令第191号）、《云南省人民政府办公厅关于印发云南省为烈属军属和退役军人等家庭悬挂光荣牌工作实施细则的通知》（云政办发〔2018〕102号）。</w:t>
      </w:r>
    </w:p>
    <w:p>
      <w:pPr>
        <w:spacing w:line="578" w:lineRule="exact"/>
        <w:ind w:firstLine="640" w:firstLineChars="200"/>
        <w:rPr>
          <w:rFonts w:eastAsia="仿宋_GB2312"/>
          <w:sz w:val="32"/>
          <w:szCs w:val="32"/>
        </w:rPr>
      </w:pPr>
      <w:r>
        <w:rPr>
          <w:rFonts w:hint="eastAsia" w:eastAsia="仿宋_GB2312"/>
          <w:sz w:val="32"/>
          <w:szCs w:val="32"/>
        </w:rPr>
        <w:t>支出责任：按国家有关要求执行。</w:t>
      </w:r>
    </w:p>
    <w:p>
      <w:pPr>
        <w:spacing w:line="578" w:lineRule="exact"/>
        <w:ind w:firstLine="640" w:firstLineChars="200"/>
        <w:rPr>
          <w:rFonts w:eastAsia="仿宋_GB2312"/>
          <w:sz w:val="32"/>
          <w:szCs w:val="32"/>
        </w:rPr>
      </w:pPr>
      <w:r>
        <w:rPr>
          <w:rFonts w:hint="eastAsia" w:eastAsia="仿宋_GB2312"/>
          <w:sz w:val="32"/>
          <w:szCs w:val="32"/>
        </w:rPr>
        <w:t>牵头负责单位：区退役军人局</w:t>
      </w:r>
    </w:p>
    <w:p>
      <w:pPr>
        <w:spacing w:line="578" w:lineRule="exact"/>
        <w:ind w:firstLine="640" w:firstLineChars="200"/>
        <w:rPr>
          <w:rFonts w:eastAsia="仿宋_GB2312"/>
          <w:sz w:val="32"/>
          <w:szCs w:val="32"/>
        </w:rPr>
      </w:pPr>
      <w:r>
        <w:rPr>
          <w:rFonts w:hint="eastAsia" w:eastAsia="仿宋_GB2312"/>
          <w:sz w:val="32"/>
          <w:szCs w:val="32"/>
        </w:rPr>
        <w:t>服务流程：按照《军人抚恤优待条例》等有关规定，享受伤残抚恤待遇由申请人到区退役军人局提出申请，或由区退役军人局根据上级部门或军队有关部门提供的名单审核后，经市级、省级退役军人事务部门逐级审核后发放。享受优抚对象定期生活补助待遇，由退役军人事务部门依照国家有关政策规定核定对象及发放标准，按照财政部门核拨资金，金融机构代发到个人的规程，</w:t>
      </w:r>
      <w:r>
        <w:rPr>
          <w:rFonts w:hint="eastAsia" w:eastAsia="仿宋_GB2312"/>
          <w:spacing w:val="6"/>
          <w:sz w:val="32"/>
          <w:szCs w:val="32"/>
        </w:rPr>
        <w:t>严格落实抚恤补助资金社会化发放，按规定做好足额定期兑现工作。</w:t>
      </w:r>
    </w:p>
    <w:p>
      <w:pPr>
        <w:spacing w:line="578" w:lineRule="exact"/>
        <w:ind w:firstLine="640" w:firstLineChars="200"/>
        <w:rPr>
          <w:rFonts w:eastAsia="仿宋_GB2312"/>
          <w:sz w:val="32"/>
          <w:szCs w:val="32"/>
        </w:rPr>
      </w:pPr>
      <w:bookmarkStart w:id="286" w:name="_Toc30749"/>
      <w:bookmarkStart w:id="287" w:name="_Toc2406"/>
      <w:r>
        <w:rPr>
          <w:rFonts w:hint="eastAsia" w:eastAsia="仿宋_GB2312"/>
          <w:sz w:val="32"/>
          <w:szCs w:val="32"/>
        </w:rPr>
        <w:t>70.退役军人安置</w:t>
      </w:r>
      <w:bookmarkEnd w:id="286"/>
      <w:bookmarkEnd w:id="287"/>
    </w:p>
    <w:p>
      <w:pPr>
        <w:spacing w:line="578" w:lineRule="exact"/>
        <w:ind w:firstLine="640" w:firstLineChars="200"/>
        <w:rPr>
          <w:rFonts w:eastAsia="仿宋_GB2312"/>
          <w:sz w:val="32"/>
          <w:szCs w:val="32"/>
        </w:rPr>
      </w:pPr>
      <w:r>
        <w:rPr>
          <w:rFonts w:hint="eastAsia" w:eastAsia="仿宋_GB2312"/>
          <w:sz w:val="32"/>
          <w:szCs w:val="32"/>
        </w:rPr>
        <w:t>服务对象：符合在东川区安置的退役军人。</w:t>
      </w:r>
    </w:p>
    <w:p>
      <w:pPr>
        <w:spacing w:line="578" w:lineRule="exact"/>
        <w:ind w:firstLine="640" w:firstLineChars="200"/>
        <w:rPr>
          <w:rFonts w:eastAsia="仿宋_GB2312"/>
          <w:sz w:val="32"/>
          <w:szCs w:val="32"/>
        </w:rPr>
      </w:pPr>
      <w:r>
        <w:rPr>
          <w:rFonts w:hint="eastAsia" w:eastAsia="仿宋_GB2312"/>
          <w:sz w:val="32"/>
          <w:szCs w:val="32"/>
        </w:rPr>
        <w:t>服务内容：自主择业、自主就业、自谋职业和复员等4类退役军人按规定享受扶持就业优惠政策；其他分别采取安排工作、逐月领取退役金、退休、供养等方式予以安置。</w:t>
      </w:r>
    </w:p>
    <w:p>
      <w:pPr>
        <w:spacing w:line="578" w:lineRule="exact"/>
        <w:ind w:firstLine="640" w:firstLineChars="200"/>
        <w:rPr>
          <w:rFonts w:eastAsia="仿宋_GB2312"/>
          <w:sz w:val="32"/>
          <w:szCs w:val="32"/>
        </w:rPr>
      </w:pPr>
      <w:r>
        <w:rPr>
          <w:rFonts w:hint="eastAsia" w:eastAsia="仿宋_GB2312"/>
          <w:sz w:val="32"/>
          <w:szCs w:val="32"/>
        </w:rPr>
        <w:t>服务标准：按照《退役士兵安置条例》及有关规定执行。</w:t>
      </w:r>
    </w:p>
    <w:p>
      <w:pPr>
        <w:spacing w:line="578" w:lineRule="exact"/>
        <w:ind w:firstLine="640" w:firstLineChars="200"/>
        <w:rPr>
          <w:rFonts w:eastAsia="仿宋_GB2312"/>
          <w:sz w:val="32"/>
          <w:szCs w:val="32"/>
        </w:rPr>
      </w:pPr>
      <w:r>
        <w:rPr>
          <w:rFonts w:hint="eastAsia" w:eastAsia="仿宋_GB2312"/>
          <w:sz w:val="32"/>
          <w:szCs w:val="32"/>
        </w:rPr>
        <w:t>政策依据：《退役军人保障法》、《退役士兵安置条例》（中华人民共和国国务院 中华人民共和国军事委员会令第608号）、《中共中央 国务院 中央军委关于印发军队转业干部安置暂行办法的通知》（中发〔2001〕3号）、《关于印发退役军人逐月领取退役金安置办法的通知》（退役军人部发〔2021〕82号）、《关于进一步加强由政府安排工作退役士兵就业安置工作的意见》（退役军人部发〔2018〕27号），《云南省退役军人事务厅 中共云南省委组织部 云南省精神文明建设指导委员会办公室 云南省发展和改革委员会 云南省公安厅 云南省财政厅 云南省人力资源和社会保障厅 云南省人民政府国有资产监督管理委员会 云南省医疗保障局 云南省军区政治工作局关于进一步加强由政府安排工作退役士兵就业安置工作的实施意见》（云退役发〔2019〕51号）。</w:t>
      </w:r>
    </w:p>
    <w:p>
      <w:pPr>
        <w:spacing w:line="578" w:lineRule="exact"/>
        <w:ind w:firstLine="640" w:firstLineChars="200"/>
        <w:rPr>
          <w:rFonts w:eastAsia="仿宋_GB2312"/>
          <w:sz w:val="32"/>
          <w:szCs w:val="32"/>
        </w:rPr>
      </w:pPr>
      <w:r>
        <w:rPr>
          <w:rFonts w:hint="eastAsia" w:eastAsia="仿宋_GB2312"/>
          <w:sz w:val="32"/>
          <w:szCs w:val="32"/>
        </w:rPr>
        <w:t>支出责任：按国家有关要求执行。</w:t>
      </w:r>
    </w:p>
    <w:p>
      <w:pPr>
        <w:spacing w:line="578" w:lineRule="exact"/>
        <w:ind w:firstLine="640" w:firstLineChars="200"/>
        <w:rPr>
          <w:rFonts w:eastAsia="仿宋_GB2312"/>
          <w:sz w:val="32"/>
          <w:szCs w:val="32"/>
        </w:rPr>
      </w:pPr>
      <w:r>
        <w:rPr>
          <w:rFonts w:hint="eastAsia" w:eastAsia="仿宋_GB2312"/>
          <w:sz w:val="32"/>
          <w:szCs w:val="32"/>
        </w:rPr>
        <w:t>牵头负责单位：区退役军人局</w:t>
      </w:r>
    </w:p>
    <w:p>
      <w:pPr>
        <w:spacing w:line="578" w:lineRule="exact"/>
        <w:ind w:firstLine="640" w:firstLineChars="200"/>
        <w:rPr>
          <w:rFonts w:eastAsia="仿宋_GB2312"/>
          <w:sz w:val="32"/>
          <w:szCs w:val="32"/>
        </w:rPr>
      </w:pPr>
      <w:r>
        <w:rPr>
          <w:rFonts w:hint="eastAsia" w:eastAsia="仿宋_GB2312"/>
          <w:sz w:val="32"/>
          <w:szCs w:val="32"/>
        </w:rPr>
        <w:t>服务流程：按照中央退役军人事务部门制定的安置计划，省级退役军人事务部门逐级下达到市级、市级按计划下达区级，区退役军人局组织安排工作、退休、逐月领取退役金、自主就业、自谋职业、供养、复员等安置工作。</w:t>
      </w:r>
    </w:p>
    <w:p>
      <w:pPr>
        <w:spacing w:line="578" w:lineRule="exact"/>
        <w:ind w:firstLine="640" w:firstLineChars="200"/>
        <w:rPr>
          <w:rFonts w:eastAsia="仿宋_GB2312"/>
          <w:sz w:val="32"/>
          <w:szCs w:val="32"/>
        </w:rPr>
      </w:pPr>
      <w:bookmarkStart w:id="288" w:name="_Toc21619"/>
      <w:bookmarkStart w:id="289" w:name="_Toc14873"/>
      <w:r>
        <w:rPr>
          <w:rFonts w:hint="eastAsia" w:eastAsia="仿宋_GB2312"/>
          <w:sz w:val="32"/>
          <w:szCs w:val="32"/>
        </w:rPr>
        <w:t>71.退役军人就业创业服务</w:t>
      </w:r>
      <w:bookmarkEnd w:id="288"/>
      <w:bookmarkEnd w:id="289"/>
    </w:p>
    <w:p>
      <w:pPr>
        <w:spacing w:line="578" w:lineRule="exact"/>
        <w:ind w:firstLine="640" w:firstLineChars="200"/>
        <w:rPr>
          <w:rFonts w:eastAsia="仿宋_GB2312"/>
          <w:sz w:val="32"/>
          <w:szCs w:val="32"/>
        </w:rPr>
      </w:pPr>
      <w:r>
        <w:rPr>
          <w:rFonts w:hint="eastAsia" w:eastAsia="仿宋_GB2312"/>
          <w:sz w:val="32"/>
          <w:szCs w:val="32"/>
        </w:rPr>
        <w:t>服务对象：全区自主择业、自谋职业、自主就业、复员、下岗失业退役军人。</w:t>
      </w:r>
    </w:p>
    <w:p>
      <w:pPr>
        <w:spacing w:line="578" w:lineRule="exact"/>
        <w:ind w:firstLine="640" w:firstLineChars="200"/>
        <w:rPr>
          <w:rFonts w:eastAsia="仿宋_GB2312"/>
          <w:sz w:val="32"/>
          <w:szCs w:val="32"/>
        </w:rPr>
      </w:pPr>
      <w:r>
        <w:rPr>
          <w:rFonts w:hint="eastAsia" w:eastAsia="仿宋_GB2312"/>
          <w:sz w:val="32"/>
          <w:szCs w:val="32"/>
        </w:rPr>
        <w:t>服务内容：提供退役军人专场招聘活动服务；组织开展退役军人适应性培训、职业技能培训、个性化培训等培训；组织有创业意愿的退役军人开展创业意识教育、创业项目指导、企业经营管理等创业培训。</w:t>
      </w:r>
    </w:p>
    <w:p>
      <w:pPr>
        <w:spacing w:line="578" w:lineRule="exact"/>
        <w:ind w:firstLine="640" w:firstLineChars="200"/>
        <w:rPr>
          <w:rFonts w:eastAsia="仿宋_GB2312"/>
          <w:sz w:val="32"/>
          <w:szCs w:val="32"/>
        </w:rPr>
      </w:pPr>
      <w:r>
        <w:rPr>
          <w:rFonts w:hint="eastAsia" w:eastAsia="仿宋_GB2312"/>
          <w:sz w:val="32"/>
          <w:szCs w:val="32"/>
        </w:rPr>
        <w:t>服务标准：由区人民政府每年至少组织2次退役军人专场招聘活动。适应性培训、职业技能培训、个性化培训、创业培训等工作按照《退役士兵安置条例》及有关规定执行。</w:t>
      </w:r>
    </w:p>
    <w:p>
      <w:pPr>
        <w:spacing w:line="578" w:lineRule="exact"/>
        <w:ind w:firstLine="640" w:firstLineChars="200"/>
        <w:rPr>
          <w:rFonts w:eastAsia="仿宋_GB2312"/>
          <w:spacing w:val="-6"/>
          <w:sz w:val="32"/>
          <w:szCs w:val="32"/>
        </w:rPr>
      </w:pPr>
      <w:r>
        <w:rPr>
          <w:rFonts w:hint="eastAsia" w:eastAsia="仿宋_GB2312"/>
          <w:sz w:val="32"/>
          <w:szCs w:val="32"/>
        </w:rPr>
        <w:t>政策依据：中华人民共和国国务院 中央军事委员会令第608号文件、《关于加强和改进军队转业干部教育培训工作的意见》（国转联〔2008〕5号）、《关于促进新时代退役军人就业创业工作的意见》（退役军人部发〔2018〕26号）、《关于促进新时代退役军人就业创业工作18条措施的意见》（云退役发〔2019〕81号）、《云南省人民政府 云南省军区关于印发云南省退役军人教育培训实施办法的通知》（云政发〔2020〕32号）、《昆明市人民政府办公厅关于转发昆明市企业下岗失业参战退役人员就业帮</w:t>
      </w:r>
      <w:r>
        <w:rPr>
          <w:rFonts w:hint="eastAsia" w:eastAsia="仿宋_GB2312"/>
          <w:spacing w:val="-6"/>
          <w:sz w:val="32"/>
          <w:szCs w:val="32"/>
        </w:rPr>
        <w:t>扶专项资金管理使用办法（暂行）的通知》（昆政办〔2014〕33号）。</w:t>
      </w:r>
    </w:p>
    <w:p>
      <w:pPr>
        <w:spacing w:line="578" w:lineRule="exact"/>
        <w:ind w:firstLine="640" w:firstLineChars="200"/>
        <w:rPr>
          <w:rFonts w:eastAsia="仿宋_GB2312"/>
          <w:sz w:val="32"/>
          <w:szCs w:val="32"/>
        </w:rPr>
      </w:pPr>
      <w:r>
        <w:rPr>
          <w:rFonts w:hint="eastAsia" w:eastAsia="仿宋_GB2312"/>
          <w:sz w:val="32"/>
          <w:szCs w:val="32"/>
        </w:rPr>
        <w:t>支出责任：按国家有关要求执行。</w:t>
      </w:r>
    </w:p>
    <w:p>
      <w:pPr>
        <w:spacing w:line="578" w:lineRule="exact"/>
        <w:ind w:firstLine="640" w:firstLineChars="200"/>
        <w:rPr>
          <w:rFonts w:eastAsia="仿宋_GB2312"/>
          <w:sz w:val="32"/>
          <w:szCs w:val="32"/>
        </w:rPr>
      </w:pPr>
      <w:r>
        <w:rPr>
          <w:rFonts w:hint="eastAsia" w:eastAsia="仿宋_GB2312"/>
          <w:sz w:val="32"/>
          <w:szCs w:val="32"/>
        </w:rPr>
        <w:t>牵头负责单位：区退役军人局、区人社局</w:t>
      </w:r>
    </w:p>
    <w:p>
      <w:pPr>
        <w:spacing w:line="578" w:lineRule="exact"/>
        <w:ind w:firstLine="640" w:firstLineChars="200"/>
        <w:rPr>
          <w:rFonts w:eastAsia="仿宋_GB2312"/>
          <w:sz w:val="32"/>
          <w:szCs w:val="32"/>
        </w:rPr>
      </w:pPr>
      <w:r>
        <w:rPr>
          <w:rFonts w:hint="eastAsia" w:eastAsia="仿宋_GB2312"/>
          <w:sz w:val="32"/>
          <w:szCs w:val="32"/>
        </w:rPr>
        <w:t>服务流程：专场招聘由区退役军人局联合区人社局组织，每年不少于2场；适应性培训、创业培训由区退役军人局根据当年接收的自主就业退役士兵组织进行培训。职业技能培训、个性化培训等由退役军人向区退役军人局、区人社局报名申请参加，由区退役军人局、区人社局审核认定后到退役军人教育培训承训机构或人力资源和社会保障部门确定的培训机构学习参训。</w:t>
      </w:r>
    </w:p>
    <w:p>
      <w:pPr>
        <w:spacing w:line="578" w:lineRule="exact"/>
        <w:ind w:firstLine="640" w:firstLineChars="200"/>
        <w:rPr>
          <w:rFonts w:eastAsia="仿宋_GB2312"/>
          <w:sz w:val="32"/>
          <w:szCs w:val="32"/>
        </w:rPr>
      </w:pPr>
      <w:bookmarkStart w:id="290" w:name="_Toc13548"/>
      <w:bookmarkStart w:id="291" w:name="_Toc8179"/>
      <w:r>
        <w:rPr>
          <w:rFonts w:hint="eastAsia" w:eastAsia="仿宋_GB2312"/>
          <w:sz w:val="32"/>
          <w:szCs w:val="32"/>
        </w:rPr>
        <w:t>72.特殊群体集中供养</w:t>
      </w:r>
      <w:bookmarkEnd w:id="290"/>
      <w:bookmarkEnd w:id="291"/>
    </w:p>
    <w:p>
      <w:pPr>
        <w:spacing w:line="578" w:lineRule="exact"/>
        <w:ind w:firstLine="640" w:firstLineChars="200"/>
        <w:rPr>
          <w:rFonts w:eastAsia="仿宋_GB2312"/>
          <w:sz w:val="32"/>
          <w:szCs w:val="32"/>
        </w:rPr>
      </w:pPr>
      <w:r>
        <w:rPr>
          <w:rFonts w:hint="eastAsia" w:eastAsia="仿宋_GB2312"/>
          <w:sz w:val="32"/>
          <w:szCs w:val="32"/>
        </w:rPr>
        <w:t>服务对象：老年、残疾或者未满16周岁的烈士遗属、因公牺牲军人遗属、病故军人遗属和进入老年的残疾军人、复员军人、退伍军人，无法定赡养人、扶养人、抚养人或者法定赡养人、扶养人、抚养人无赡养、扶养、抚养能力且享受国家定期抚恤补助待遇的可以申请享受光荣院集中供养待遇。（国家供养退役士兵指被评定为1-4级残疾等级退出现役，由国家供养终身的义务兵和初级士官，以及因战因公致残被评定为1-4级残疾等级，本人自愿放弃退休安置，选择由国家供养的中级以上士官。）</w:t>
      </w:r>
    </w:p>
    <w:p>
      <w:pPr>
        <w:spacing w:line="578" w:lineRule="exact"/>
        <w:ind w:firstLine="640" w:firstLineChars="200"/>
        <w:rPr>
          <w:rFonts w:eastAsia="仿宋_GB2312"/>
          <w:sz w:val="32"/>
          <w:szCs w:val="32"/>
        </w:rPr>
      </w:pPr>
      <w:r>
        <w:rPr>
          <w:rFonts w:hint="eastAsia" w:eastAsia="仿宋_GB2312"/>
          <w:sz w:val="32"/>
          <w:szCs w:val="32"/>
        </w:rPr>
        <w:t>服务内容：对符合条件的残疾军人以及其他涉军人员集中在省、市、区优抚医院、荣誉军人疗养院、光荣院，由国家集中供养、提供优惠服务。</w:t>
      </w:r>
    </w:p>
    <w:p>
      <w:pPr>
        <w:spacing w:line="578" w:lineRule="exact"/>
        <w:ind w:firstLine="640" w:firstLineChars="200"/>
        <w:rPr>
          <w:rFonts w:eastAsia="仿宋_GB2312"/>
          <w:sz w:val="32"/>
          <w:szCs w:val="32"/>
        </w:rPr>
      </w:pPr>
      <w:r>
        <w:rPr>
          <w:rFonts w:hint="eastAsia" w:eastAsia="仿宋_GB2312"/>
          <w:sz w:val="32"/>
          <w:szCs w:val="32"/>
        </w:rPr>
        <w:t>（1）提供饮食；</w:t>
      </w:r>
    </w:p>
    <w:p>
      <w:pPr>
        <w:spacing w:line="578" w:lineRule="exact"/>
        <w:ind w:firstLine="640" w:firstLineChars="200"/>
        <w:rPr>
          <w:rFonts w:eastAsia="仿宋_GB2312"/>
          <w:sz w:val="32"/>
          <w:szCs w:val="32"/>
        </w:rPr>
      </w:pPr>
      <w:r>
        <w:rPr>
          <w:rFonts w:hint="eastAsia" w:eastAsia="仿宋_GB2312"/>
          <w:sz w:val="32"/>
          <w:szCs w:val="32"/>
        </w:rPr>
        <w:t>（2）提供生活必需品；</w:t>
      </w:r>
    </w:p>
    <w:p>
      <w:pPr>
        <w:spacing w:line="578" w:lineRule="exact"/>
        <w:ind w:firstLine="640" w:firstLineChars="200"/>
        <w:rPr>
          <w:rFonts w:eastAsia="仿宋_GB2312"/>
          <w:sz w:val="32"/>
          <w:szCs w:val="32"/>
        </w:rPr>
      </w:pPr>
      <w:r>
        <w:rPr>
          <w:rFonts w:hint="eastAsia" w:eastAsia="仿宋_GB2312"/>
          <w:sz w:val="32"/>
          <w:szCs w:val="32"/>
        </w:rPr>
        <w:t>（3）提供住房；</w:t>
      </w:r>
    </w:p>
    <w:p>
      <w:pPr>
        <w:spacing w:line="578" w:lineRule="exact"/>
        <w:ind w:firstLine="640" w:firstLineChars="200"/>
        <w:rPr>
          <w:rFonts w:eastAsia="仿宋_GB2312"/>
          <w:sz w:val="32"/>
          <w:szCs w:val="32"/>
        </w:rPr>
      </w:pPr>
      <w:r>
        <w:rPr>
          <w:rFonts w:hint="eastAsia" w:eastAsia="仿宋_GB2312"/>
          <w:sz w:val="32"/>
          <w:szCs w:val="32"/>
        </w:rPr>
        <w:t>（4）提供医疗、康复、护理、保健服务；</w:t>
      </w:r>
    </w:p>
    <w:p>
      <w:pPr>
        <w:spacing w:line="578" w:lineRule="exact"/>
        <w:ind w:firstLine="640" w:firstLineChars="200"/>
        <w:rPr>
          <w:rFonts w:eastAsia="仿宋_GB2312"/>
          <w:sz w:val="32"/>
          <w:szCs w:val="32"/>
        </w:rPr>
      </w:pPr>
      <w:r>
        <w:rPr>
          <w:rFonts w:hint="eastAsia" w:eastAsia="仿宋_GB2312"/>
          <w:sz w:val="32"/>
          <w:szCs w:val="32"/>
        </w:rPr>
        <w:t>（5）提供学习娱乐、精神关怀服务；</w:t>
      </w:r>
    </w:p>
    <w:p>
      <w:pPr>
        <w:spacing w:line="578" w:lineRule="exact"/>
        <w:ind w:firstLine="640" w:firstLineChars="200"/>
        <w:rPr>
          <w:rFonts w:eastAsia="仿宋_GB2312"/>
          <w:sz w:val="32"/>
          <w:szCs w:val="32"/>
        </w:rPr>
      </w:pPr>
      <w:r>
        <w:rPr>
          <w:rFonts w:hint="eastAsia" w:eastAsia="仿宋_GB2312"/>
          <w:sz w:val="32"/>
          <w:szCs w:val="32"/>
        </w:rPr>
        <w:t>（6）提供清洁卫生、安全保卫服务；</w:t>
      </w:r>
    </w:p>
    <w:p>
      <w:pPr>
        <w:spacing w:line="578" w:lineRule="exact"/>
        <w:ind w:firstLine="640" w:firstLineChars="200"/>
        <w:rPr>
          <w:rFonts w:eastAsia="仿宋_GB2312"/>
          <w:sz w:val="32"/>
          <w:szCs w:val="32"/>
        </w:rPr>
      </w:pPr>
      <w:r>
        <w:rPr>
          <w:rFonts w:hint="eastAsia" w:eastAsia="仿宋_GB2312"/>
          <w:sz w:val="32"/>
          <w:szCs w:val="32"/>
        </w:rPr>
        <w:t>（7）提供心理抚慰等社会工作服务；</w:t>
      </w:r>
    </w:p>
    <w:p>
      <w:pPr>
        <w:spacing w:line="578" w:lineRule="exact"/>
        <w:ind w:firstLine="640" w:firstLineChars="200"/>
        <w:rPr>
          <w:rFonts w:eastAsia="仿宋_GB2312"/>
          <w:sz w:val="32"/>
          <w:szCs w:val="32"/>
        </w:rPr>
      </w:pPr>
      <w:r>
        <w:rPr>
          <w:rFonts w:hint="eastAsia" w:eastAsia="仿宋_GB2312"/>
          <w:sz w:val="32"/>
          <w:szCs w:val="32"/>
        </w:rPr>
        <w:t>（8）其他服务。</w:t>
      </w:r>
    </w:p>
    <w:p>
      <w:pPr>
        <w:spacing w:line="578" w:lineRule="exact"/>
        <w:ind w:firstLine="640" w:firstLineChars="200"/>
        <w:rPr>
          <w:rFonts w:eastAsia="仿宋_GB2312"/>
          <w:sz w:val="32"/>
          <w:szCs w:val="32"/>
        </w:rPr>
      </w:pPr>
      <w:r>
        <w:rPr>
          <w:rFonts w:hint="eastAsia" w:eastAsia="仿宋_GB2312"/>
          <w:sz w:val="32"/>
          <w:szCs w:val="32"/>
        </w:rPr>
        <w:t>集中供养对象未满16周岁或者已满16周岁仍在接受义务教育的，光荣院应当保障其接受义务教育所需费用。</w:t>
      </w:r>
    </w:p>
    <w:p>
      <w:pPr>
        <w:spacing w:line="578" w:lineRule="exact"/>
        <w:ind w:firstLine="640" w:firstLineChars="200"/>
        <w:rPr>
          <w:rFonts w:eastAsia="仿宋_GB2312"/>
          <w:sz w:val="32"/>
          <w:szCs w:val="32"/>
        </w:rPr>
      </w:pPr>
      <w:r>
        <w:rPr>
          <w:rFonts w:hint="eastAsia" w:eastAsia="仿宋_GB2312"/>
          <w:sz w:val="32"/>
          <w:szCs w:val="32"/>
        </w:rPr>
        <w:t>服务标准：按照《光荣院管理办法》（中华人民共和国退役军人事务部令第3号）、《优抚医院管理办法》（中华人民共和国退役军人事务部 中华人民共和国国家卫生健康委员会、国家医疗保障局令第7号）等集中供养、优惠服务有关规定执行。</w:t>
      </w:r>
      <w:bookmarkStart w:id="292" w:name="_Toc30885"/>
      <w:bookmarkStart w:id="293" w:name="_Toc22742"/>
      <w:bookmarkStart w:id="294" w:name="_Toc13321"/>
    </w:p>
    <w:p>
      <w:pPr>
        <w:spacing w:line="578" w:lineRule="exact"/>
        <w:ind w:firstLine="640" w:firstLineChars="200"/>
        <w:rPr>
          <w:rFonts w:eastAsia="仿宋_GB2312"/>
          <w:sz w:val="32"/>
          <w:szCs w:val="32"/>
        </w:rPr>
      </w:pPr>
      <w:r>
        <w:rPr>
          <w:rFonts w:hint="eastAsia" w:eastAsia="仿宋_GB2312"/>
          <w:sz w:val="32"/>
          <w:szCs w:val="32"/>
        </w:rPr>
        <w:t>政策依据：《军人抚恤优待条例》（2011年修改版）、中华人民共和国退役军人事务部令第3号）、《优抚医院管理办法》（中华人民共和国退役军人事务部 中华人民共和国国家卫生健康委员会、中华人民共和国国家医疗保障局令第7号文件）。</w:t>
      </w:r>
      <w:bookmarkEnd w:id="292"/>
      <w:bookmarkEnd w:id="293"/>
      <w:bookmarkEnd w:id="294"/>
    </w:p>
    <w:p>
      <w:pPr>
        <w:spacing w:line="578" w:lineRule="exact"/>
        <w:ind w:firstLine="640" w:firstLineChars="200"/>
        <w:rPr>
          <w:rFonts w:eastAsia="仿宋_GB2312"/>
          <w:sz w:val="32"/>
          <w:szCs w:val="32"/>
        </w:rPr>
      </w:pPr>
      <w:r>
        <w:rPr>
          <w:rFonts w:hint="eastAsia" w:eastAsia="仿宋_GB2312"/>
          <w:sz w:val="32"/>
          <w:szCs w:val="32"/>
        </w:rPr>
        <w:t>支出责任：按国家有关要求执行。</w:t>
      </w:r>
    </w:p>
    <w:p>
      <w:pPr>
        <w:spacing w:line="578" w:lineRule="exact"/>
        <w:ind w:firstLine="640" w:firstLineChars="200"/>
        <w:rPr>
          <w:rFonts w:eastAsia="仿宋_GB2312"/>
          <w:sz w:val="32"/>
          <w:szCs w:val="32"/>
        </w:rPr>
      </w:pPr>
      <w:r>
        <w:rPr>
          <w:rFonts w:hint="eastAsia" w:eastAsia="仿宋_GB2312"/>
          <w:sz w:val="32"/>
          <w:szCs w:val="32"/>
        </w:rPr>
        <w:t>牵头负责单位：区退役军人局</w:t>
      </w:r>
    </w:p>
    <w:p>
      <w:pPr>
        <w:spacing w:line="578" w:lineRule="exact"/>
        <w:ind w:firstLine="640" w:firstLineChars="200"/>
        <w:rPr>
          <w:rFonts w:eastAsia="仿宋_GB2312"/>
          <w:sz w:val="32"/>
          <w:szCs w:val="32"/>
        </w:rPr>
      </w:pPr>
      <w:r>
        <w:rPr>
          <w:rFonts w:hint="eastAsia" w:eastAsia="仿宋_GB2312"/>
          <w:sz w:val="32"/>
          <w:szCs w:val="32"/>
        </w:rPr>
        <w:t>服务流程：（1）由供养范围的优抚对象本人（精神病患者由其利害关系人）向户籍地村（社区）退役军人服务站提出申请，或者由其村（社区）向乡镇（街道）退役军人服务站代为提出申请；（2）退役军人服务站应当在10个工作日内将申请材料报光荣院，光荣院初审后及时报区退役军人局审核批准；（3）光荣院根据下达的计划和任务安排集中供养、优惠服务对象入院，并根据实际情况接收优待服务对象。</w:t>
      </w:r>
    </w:p>
    <w:p>
      <w:pPr>
        <w:spacing w:line="578" w:lineRule="exact"/>
        <w:ind w:firstLine="640" w:firstLineChars="200"/>
        <w:rPr>
          <w:rFonts w:eastAsia="黑体"/>
          <w:sz w:val="32"/>
          <w:szCs w:val="32"/>
        </w:rPr>
      </w:pPr>
      <w:bookmarkStart w:id="295" w:name="_Toc13212"/>
      <w:bookmarkStart w:id="296" w:name="_Toc11169"/>
      <w:r>
        <w:rPr>
          <w:rFonts w:hint="eastAsia" w:eastAsia="黑体"/>
          <w:sz w:val="32"/>
          <w:szCs w:val="32"/>
        </w:rPr>
        <w:t>九、文体服务保障</w:t>
      </w:r>
      <w:bookmarkEnd w:id="295"/>
      <w:bookmarkEnd w:id="296"/>
    </w:p>
    <w:p>
      <w:pPr>
        <w:spacing w:line="578" w:lineRule="exact"/>
        <w:ind w:firstLine="640" w:firstLineChars="200"/>
        <w:rPr>
          <w:rFonts w:eastAsia="楷体_GB2312"/>
          <w:sz w:val="32"/>
          <w:szCs w:val="32"/>
        </w:rPr>
      </w:pPr>
      <w:bookmarkStart w:id="297" w:name="_Toc3860"/>
      <w:bookmarkStart w:id="298" w:name="_Toc10275"/>
      <w:r>
        <w:rPr>
          <w:rFonts w:hint="eastAsia" w:eastAsia="楷体_GB2312"/>
          <w:sz w:val="32"/>
          <w:szCs w:val="32"/>
        </w:rPr>
        <w:t>（二十一）公共文化服务</w:t>
      </w:r>
      <w:bookmarkEnd w:id="297"/>
      <w:bookmarkEnd w:id="298"/>
    </w:p>
    <w:p>
      <w:pPr>
        <w:spacing w:line="578" w:lineRule="exact"/>
        <w:ind w:firstLine="640" w:firstLineChars="200"/>
        <w:rPr>
          <w:rFonts w:eastAsia="仿宋_GB2312"/>
          <w:sz w:val="32"/>
          <w:szCs w:val="32"/>
        </w:rPr>
      </w:pPr>
      <w:bookmarkStart w:id="299" w:name="_Toc3629"/>
      <w:bookmarkStart w:id="300" w:name="_Toc3713"/>
      <w:r>
        <w:rPr>
          <w:rFonts w:hint="eastAsia" w:eastAsia="仿宋_GB2312"/>
          <w:sz w:val="32"/>
          <w:szCs w:val="32"/>
        </w:rPr>
        <w:t>73.公共文化设施免费开放</w:t>
      </w:r>
      <w:bookmarkEnd w:id="299"/>
      <w:bookmarkEnd w:id="300"/>
    </w:p>
    <w:p>
      <w:pPr>
        <w:spacing w:line="578" w:lineRule="exact"/>
        <w:ind w:firstLine="640" w:firstLineChars="200"/>
        <w:rPr>
          <w:rFonts w:eastAsia="仿宋_GB2312"/>
          <w:sz w:val="32"/>
          <w:szCs w:val="32"/>
        </w:rPr>
      </w:pPr>
      <w:r>
        <w:rPr>
          <w:rFonts w:hint="eastAsia" w:eastAsia="仿宋_GB2312"/>
          <w:sz w:val="32"/>
          <w:szCs w:val="32"/>
        </w:rPr>
        <w:t>服务对象：城乡居民。</w:t>
      </w:r>
    </w:p>
    <w:p>
      <w:pPr>
        <w:spacing w:line="578" w:lineRule="exact"/>
        <w:ind w:firstLine="640" w:firstLineChars="200"/>
        <w:rPr>
          <w:rFonts w:eastAsia="仿宋_GB2312"/>
          <w:sz w:val="32"/>
          <w:szCs w:val="32"/>
        </w:rPr>
      </w:pPr>
      <w:r>
        <w:rPr>
          <w:rFonts w:hint="eastAsia" w:eastAsia="仿宋_GB2312"/>
          <w:sz w:val="32"/>
          <w:szCs w:val="32"/>
        </w:rPr>
        <w:t>服务内容：昆明市东川区公共图书馆、文化馆（站）等公共文化设施全部免费开放，基本服务项目健全，均有免费开放项目公示。</w:t>
      </w:r>
    </w:p>
    <w:p>
      <w:pPr>
        <w:spacing w:line="578" w:lineRule="exact"/>
        <w:ind w:firstLine="640" w:firstLineChars="200"/>
        <w:rPr>
          <w:rFonts w:eastAsia="仿宋_GB2312"/>
          <w:sz w:val="32"/>
          <w:szCs w:val="32"/>
        </w:rPr>
      </w:pPr>
      <w:r>
        <w:rPr>
          <w:rFonts w:hint="eastAsia" w:eastAsia="仿宋_GB2312"/>
          <w:sz w:val="32"/>
          <w:szCs w:val="32"/>
        </w:rPr>
        <w:t>服务标准：①公共图书馆：区图书馆每周开放时间不少于59小时，公共电子阅览室每周开放时间不少于28小时；②区文化馆每周开放时间不少于58小时；③乡镇（街道）综合文化站每周开放时间不少于42小时。</w:t>
      </w:r>
    </w:p>
    <w:p>
      <w:pPr>
        <w:spacing w:line="578" w:lineRule="exact"/>
        <w:ind w:firstLine="640" w:firstLineChars="200"/>
        <w:rPr>
          <w:rFonts w:eastAsia="仿宋_GB2312"/>
          <w:sz w:val="32"/>
          <w:szCs w:val="32"/>
        </w:rPr>
      </w:pPr>
      <w:r>
        <w:rPr>
          <w:rFonts w:hint="eastAsia" w:eastAsia="仿宋_GB2312"/>
          <w:sz w:val="32"/>
          <w:szCs w:val="32"/>
        </w:rPr>
        <w:t>政策依据：《财政部 文化和旅游部关于印发中央对地方公共图书馆 美术馆 文化馆（站）免费开放补助资金管理办法的通知》（财教〔2020〕156号）、《国务院办公厅关于印发公共文化领域中央与地方财政事权和支出责任划分改革方案的通知》（国办发〔2020〕14号）、《文化部办公厅关于开展第六次全国县级以上公共图书馆评估定级工作的通知》（办公共函〔2017〕5号）、《文化和旅游部办公厅关于开展第五次全国文化馆评估定级工作的通知》（办公共发〔2020〕99号）、《云南省人民政府办公厅关于印发云南省公共文化领域财政事权和支出责任划分改革实施方案的通知》（云政办发〔2021〕7号）、《第四批国家公共文化服务体系示范区（项目）创建标准（西部）》、《中共昆明市委办公厅 昆明市人民政府办公厅印发昆明市关于加快构建现代公共文化服务体系的实施意见的通知》（昆办发〔2017〕4号）、《昆明市人民政府办公室关于印发昆明市公共文化、自然资源、生态环境及应急救援领域财政事权和支出责任划分改革实施方案》（昆政</w:t>
      </w:r>
      <w:r>
        <w:rPr>
          <w:rFonts w:hint="eastAsia" w:ascii="仿宋_GB2312" w:eastAsia="仿宋_GB2312"/>
          <w:sz w:val="32"/>
          <w:szCs w:val="32"/>
        </w:rPr>
        <w:t>办〔2</w:t>
      </w:r>
      <w:r>
        <w:rPr>
          <w:rFonts w:hint="eastAsia" w:eastAsia="仿宋_GB2312"/>
          <w:sz w:val="32"/>
          <w:szCs w:val="32"/>
        </w:rPr>
        <w:t>022</w:t>
      </w:r>
      <w:r>
        <w:rPr>
          <w:rFonts w:hint="eastAsia" w:ascii="仿宋_GB2312" w:eastAsia="仿宋_GB2312"/>
          <w:sz w:val="32"/>
          <w:szCs w:val="32"/>
        </w:rPr>
        <w:t>〕</w:t>
      </w:r>
      <w:r>
        <w:rPr>
          <w:rFonts w:hint="eastAsia" w:eastAsia="仿宋_GB2312"/>
          <w:sz w:val="32"/>
          <w:szCs w:val="32"/>
        </w:rPr>
        <w:t>43号）。</w:t>
      </w:r>
    </w:p>
    <w:p>
      <w:pPr>
        <w:spacing w:line="578" w:lineRule="exact"/>
        <w:ind w:firstLine="640" w:firstLineChars="200"/>
        <w:rPr>
          <w:rFonts w:eastAsia="仿宋_GB2312"/>
          <w:sz w:val="32"/>
          <w:szCs w:val="32"/>
        </w:rPr>
      </w:pPr>
      <w:r>
        <w:rPr>
          <w:rFonts w:hint="eastAsia" w:eastAsia="仿宋_GB2312"/>
          <w:sz w:val="32"/>
          <w:szCs w:val="32"/>
        </w:rPr>
        <w:t>支出责任：区图书馆、文化馆（站）免费开放，按照中央、省、市划分的财政事权，中央与地方共同承担支出责任，所需经费由中央、省和市按照80：4：16比例承担，昆明市承担部分实行市与各县（市）区分档分担办法。市级分担90%、东川区财政分担10%。</w:t>
      </w:r>
    </w:p>
    <w:p>
      <w:pPr>
        <w:spacing w:line="578" w:lineRule="exact"/>
        <w:ind w:firstLine="640" w:firstLineChars="200"/>
        <w:rPr>
          <w:rFonts w:eastAsia="仿宋_GB2312"/>
          <w:sz w:val="32"/>
          <w:szCs w:val="32"/>
        </w:rPr>
      </w:pPr>
      <w:r>
        <w:rPr>
          <w:rFonts w:hint="eastAsia" w:eastAsia="仿宋_GB2312"/>
          <w:sz w:val="32"/>
          <w:szCs w:val="32"/>
        </w:rPr>
        <w:t>牵头负责单位：区文化旅游局</w:t>
      </w:r>
    </w:p>
    <w:p>
      <w:pPr>
        <w:spacing w:line="578" w:lineRule="exact"/>
        <w:ind w:firstLine="640" w:firstLineChars="200"/>
        <w:rPr>
          <w:rFonts w:eastAsia="仿宋_GB2312"/>
          <w:sz w:val="32"/>
          <w:szCs w:val="32"/>
        </w:rPr>
      </w:pPr>
      <w:r>
        <w:rPr>
          <w:rFonts w:hint="eastAsia" w:eastAsia="仿宋_GB2312"/>
          <w:sz w:val="32"/>
          <w:szCs w:val="32"/>
        </w:rPr>
        <w:t>服务流程：免费开放。</w:t>
      </w:r>
    </w:p>
    <w:p>
      <w:pPr>
        <w:spacing w:line="578" w:lineRule="exact"/>
        <w:ind w:firstLine="640" w:firstLineChars="200"/>
        <w:rPr>
          <w:rFonts w:eastAsia="仿宋_GB2312"/>
          <w:sz w:val="32"/>
          <w:szCs w:val="32"/>
        </w:rPr>
      </w:pPr>
      <w:bookmarkStart w:id="301" w:name="_Toc6956"/>
      <w:bookmarkStart w:id="302" w:name="_Toc4372"/>
      <w:r>
        <w:rPr>
          <w:rFonts w:hint="eastAsia" w:eastAsia="仿宋_GB2312"/>
          <w:sz w:val="32"/>
          <w:szCs w:val="32"/>
        </w:rPr>
        <w:t>74.送戏曲下乡</w:t>
      </w:r>
      <w:bookmarkEnd w:id="301"/>
      <w:bookmarkEnd w:id="302"/>
    </w:p>
    <w:p>
      <w:pPr>
        <w:spacing w:line="578" w:lineRule="exact"/>
        <w:ind w:firstLine="640" w:firstLineChars="200"/>
        <w:rPr>
          <w:rFonts w:eastAsia="仿宋_GB2312"/>
          <w:sz w:val="32"/>
          <w:szCs w:val="32"/>
        </w:rPr>
      </w:pPr>
      <w:r>
        <w:rPr>
          <w:rFonts w:hint="eastAsia" w:eastAsia="仿宋_GB2312"/>
          <w:sz w:val="32"/>
          <w:szCs w:val="32"/>
        </w:rPr>
        <w:t>服务对象：农村居民。</w:t>
      </w:r>
    </w:p>
    <w:p>
      <w:pPr>
        <w:spacing w:line="578" w:lineRule="exact"/>
        <w:ind w:firstLine="640" w:firstLineChars="200"/>
        <w:rPr>
          <w:rFonts w:eastAsia="仿宋_GB2312"/>
          <w:sz w:val="32"/>
          <w:szCs w:val="32"/>
        </w:rPr>
      </w:pPr>
      <w:r>
        <w:rPr>
          <w:rFonts w:hint="eastAsia" w:eastAsia="仿宋_GB2312"/>
          <w:sz w:val="32"/>
          <w:szCs w:val="32"/>
        </w:rPr>
        <w:t>服务内容：为农村乡镇（街道）每年组织送戏曲演出、开展戏曲培训和普及、培育农村戏曲团队等。</w:t>
      </w:r>
    </w:p>
    <w:p>
      <w:pPr>
        <w:spacing w:line="578" w:lineRule="exact"/>
        <w:ind w:firstLine="640" w:firstLineChars="200"/>
        <w:rPr>
          <w:rFonts w:eastAsia="仿宋_GB2312"/>
          <w:sz w:val="32"/>
          <w:szCs w:val="32"/>
        </w:rPr>
      </w:pPr>
      <w:r>
        <w:rPr>
          <w:rFonts w:hint="eastAsia" w:eastAsia="仿宋_GB2312"/>
          <w:sz w:val="32"/>
          <w:szCs w:val="32"/>
        </w:rPr>
        <w:t>服务标准：“戏曲进乡村”项目东川区所辖乡镇（街道）每年每个乡镇（街道）不少于6场，“文化大篷车</w:t>
      </w:r>
      <w:r>
        <w:rPr>
          <w:rFonts w:hint="eastAsia" w:cs="MS Mincho"/>
          <w:sz w:val="32"/>
          <w:szCs w:val="32"/>
        </w:rPr>
        <w:t>·</w:t>
      </w:r>
      <w:r>
        <w:rPr>
          <w:rFonts w:hint="eastAsia" w:eastAsia="仿宋_GB2312"/>
          <w:sz w:val="32"/>
          <w:szCs w:val="32"/>
        </w:rPr>
        <w:t>千乡万里行”惠民演出项目东川区不少于50场。</w:t>
      </w:r>
    </w:p>
    <w:p>
      <w:pPr>
        <w:spacing w:line="578" w:lineRule="exact"/>
        <w:ind w:firstLine="640" w:firstLineChars="200"/>
        <w:rPr>
          <w:rFonts w:eastAsia="仿宋_GB2312"/>
          <w:sz w:val="32"/>
          <w:szCs w:val="32"/>
        </w:rPr>
      </w:pPr>
      <w:r>
        <w:rPr>
          <w:rFonts w:hint="eastAsia" w:eastAsia="仿宋_GB2312"/>
          <w:sz w:val="32"/>
          <w:szCs w:val="32"/>
        </w:rPr>
        <w:t>政策依据：《中共中央宣传部 文化部 财政部关于印发关于戏曲进乡村的实施方案的通知》（文公共发〔2017〕11号）。</w:t>
      </w:r>
    </w:p>
    <w:p>
      <w:pPr>
        <w:spacing w:line="578" w:lineRule="exact"/>
        <w:ind w:firstLine="640" w:firstLineChars="200"/>
        <w:rPr>
          <w:rFonts w:eastAsia="仿宋_GB2312"/>
          <w:sz w:val="32"/>
          <w:szCs w:val="32"/>
        </w:rPr>
      </w:pPr>
      <w:r>
        <w:rPr>
          <w:rFonts w:hint="eastAsia" w:eastAsia="仿宋_GB2312"/>
          <w:sz w:val="32"/>
          <w:szCs w:val="32"/>
        </w:rPr>
        <w:t>支出责任：东川区所辖乡镇（街道）的“戏曲进乡村”演出由中央财政资金支持。“文化大篷车</w:t>
      </w:r>
      <w:r>
        <w:rPr>
          <w:rFonts w:hint="eastAsia" w:cs="MS Mincho"/>
          <w:sz w:val="32"/>
          <w:szCs w:val="32"/>
        </w:rPr>
        <w:t>·</w:t>
      </w:r>
      <w:r>
        <w:rPr>
          <w:rFonts w:hint="eastAsia" w:eastAsia="仿宋_GB2312"/>
          <w:sz w:val="32"/>
          <w:szCs w:val="32"/>
        </w:rPr>
        <w:t>千乡万里行”惠民演出由省、市、区分别给予资金支持。</w:t>
      </w:r>
    </w:p>
    <w:p>
      <w:pPr>
        <w:spacing w:line="578" w:lineRule="exact"/>
        <w:ind w:firstLine="640" w:firstLineChars="200"/>
        <w:rPr>
          <w:rFonts w:eastAsia="仿宋_GB2312"/>
          <w:sz w:val="32"/>
          <w:szCs w:val="32"/>
        </w:rPr>
      </w:pPr>
      <w:r>
        <w:rPr>
          <w:rFonts w:hint="eastAsia" w:eastAsia="仿宋_GB2312"/>
          <w:sz w:val="32"/>
          <w:szCs w:val="32"/>
        </w:rPr>
        <w:t>牵头负责单位：区文化旅游局、区教育体育局、区委宣传部</w:t>
      </w:r>
    </w:p>
    <w:p>
      <w:pPr>
        <w:spacing w:line="578" w:lineRule="exact"/>
        <w:ind w:firstLine="640" w:firstLineChars="200"/>
        <w:rPr>
          <w:rFonts w:eastAsia="仿宋_GB2312"/>
          <w:sz w:val="32"/>
          <w:szCs w:val="32"/>
        </w:rPr>
      </w:pPr>
      <w:r>
        <w:rPr>
          <w:rFonts w:hint="eastAsia" w:eastAsia="仿宋_GB2312"/>
          <w:sz w:val="32"/>
          <w:szCs w:val="32"/>
        </w:rPr>
        <w:t>服务流程：免费开展惠民演出。</w:t>
      </w:r>
    </w:p>
    <w:p>
      <w:pPr>
        <w:spacing w:line="578" w:lineRule="exact"/>
        <w:ind w:firstLine="640" w:firstLineChars="200"/>
        <w:rPr>
          <w:rFonts w:eastAsia="仿宋_GB2312"/>
          <w:sz w:val="32"/>
          <w:szCs w:val="32"/>
        </w:rPr>
      </w:pPr>
      <w:bookmarkStart w:id="303" w:name="_Toc21259"/>
      <w:bookmarkStart w:id="304" w:name="_Toc21054"/>
      <w:r>
        <w:rPr>
          <w:rFonts w:hint="eastAsia" w:eastAsia="仿宋_GB2312"/>
          <w:sz w:val="32"/>
          <w:szCs w:val="32"/>
        </w:rPr>
        <w:t>75.收听广播</w:t>
      </w:r>
      <w:bookmarkEnd w:id="303"/>
      <w:bookmarkEnd w:id="304"/>
    </w:p>
    <w:p>
      <w:pPr>
        <w:spacing w:line="578" w:lineRule="exact"/>
        <w:ind w:firstLine="640" w:firstLineChars="200"/>
        <w:rPr>
          <w:rFonts w:eastAsia="仿宋_GB2312"/>
          <w:sz w:val="32"/>
          <w:szCs w:val="32"/>
        </w:rPr>
      </w:pPr>
      <w:r>
        <w:rPr>
          <w:rFonts w:hint="eastAsia" w:eastAsia="仿宋_GB2312"/>
          <w:sz w:val="32"/>
          <w:szCs w:val="32"/>
        </w:rPr>
        <w:t>服务对象：城乡居民。</w:t>
      </w:r>
    </w:p>
    <w:p>
      <w:pPr>
        <w:spacing w:line="578" w:lineRule="exact"/>
        <w:ind w:firstLine="640" w:firstLineChars="200"/>
        <w:rPr>
          <w:rFonts w:eastAsia="仿宋_GB2312"/>
          <w:sz w:val="32"/>
          <w:szCs w:val="32"/>
        </w:rPr>
      </w:pPr>
      <w:r>
        <w:rPr>
          <w:rFonts w:hint="eastAsia" w:eastAsia="仿宋_GB2312"/>
          <w:sz w:val="32"/>
          <w:szCs w:val="32"/>
        </w:rPr>
        <w:t>服务内容：提供广播节目和突发事件应急广播服务。</w:t>
      </w:r>
    </w:p>
    <w:p>
      <w:pPr>
        <w:spacing w:line="578" w:lineRule="exact"/>
        <w:ind w:firstLine="640" w:firstLineChars="200"/>
        <w:rPr>
          <w:rFonts w:eastAsia="仿宋_GB2312"/>
          <w:color w:val="FF0000"/>
          <w:sz w:val="32"/>
          <w:szCs w:val="32"/>
        </w:rPr>
      </w:pPr>
      <w:r>
        <w:rPr>
          <w:rFonts w:hint="eastAsia" w:eastAsia="仿宋_GB2312"/>
          <w:sz w:val="32"/>
          <w:szCs w:val="32"/>
        </w:rPr>
        <w:t>服务标准：采取地面无线方式提供不少于15套广播节目；在直播卫星公共服务覆盖地区，通过直播卫星提供不少于17套广播节目。</w:t>
      </w:r>
    </w:p>
    <w:p>
      <w:pPr>
        <w:spacing w:line="578" w:lineRule="exact"/>
        <w:ind w:firstLine="640" w:firstLineChars="200"/>
        <w:rPr>
          <w:rFonts w:eastAsia="仿宋_GB2312"/>
          <w:sz w:val="32"/>
          <w:szCs w:val="32"/>
        </w:rPr>
      </w:pPr>
      <w:r>
        <w:rPr>
          <w:rFonts w:hint="eastAsia" w:eastAsia="仿宋_GB2312"/>
          <w:sz w:val="32"/>
          <w:szCs w:val="32"/>
        </w:rPr>
        <w:t>政策依据：《国家基本公共文化服务指导标准（2015-2020年）》、《国务院关于印发“十三五”推进基本公共服务均等化规划的通知》（国发〔2017〕9号）、《国家基本公共服务标准（2021年版）》。</w:t>
      </w:r>
    </w:p>
    <w:p>
      <w:pPr>
        <w:spacing w:line="578" w:lineRule="exact"/>
        <w:ind w:firstLine="640" w:firstLineChars="200"/>
        <w:rPr>
          <w:rFonts w:eastAsia="仿宋_GB2312"/>
          <w:sz w:val="32"/>
          <w:szCs w:val="32"/>
        </w:rPr>
      </w:pPr>
      <w:r>
        <w:rPr>
          <w:rFonts w:hint="eastAsia" w:eastAsia="仿宋_GB2312"/>
          <w:sz w:val="32"/>
          <w:szCs w:val="32"/>
        </w:rPr>
        <w:t>支出责任：中央财政和地方财政共同承担支出责任，地方支出责任由省、市与各地共同承担支出责任。区级财政根据基本公共文化服务工作任务量、补助标准、绩效情况、财力状况等因素对各地予以补助。</w:t>
      </w:r>
    </w:p>
    <w:p>
      <w:pPr>
        <w:spacing w:line="578" w:lineRule="exact"/>
        <w:ind w:firstLine="640" w:firstLineChars="200"/>
        <w:rPr>
          <w:rFonts w:eastAsia="仿宋_GB2312"/>
          <w:sz w:val="32"/>
          <w:szCs w:val="32"/>
        </w:rPr>
      </w:pPr>
      <w:r>
        <w:rPr>
          <w:rFonts w:hint="eastAsia" w:eastAsia="仿宋_GB2312"/>
          <w:sz w:val="32"/>
          <w:szCs w:val="32"/>
        </w:rPr>
        <w:t>牵头负责单位：区广播电视局</w:t>
      </w:r>
    </w:p>
    <w:p>
      <w:pPr>
        <w:spacing w:line="578" w:lineRule="exact"/>
        <w:ind w:firstLine="640" w:firstLineChars="200"/>
        <w:rPr>
          <w:rFonts w:eastAsia="仿宋_GB2312"/>
          <w:sz w:val="32"/>
          <w:szCs w:val="32"/>
        </w:rPr>
      </w:pPr>
      <w:r>
        <w:rPr>
          <w:rFonts w:hint="eastAsia" w:eastAsia="仿宋_GB2312"/>
          <w:sz w:val="32"/>
          <w:szCs w:val="32"/>
        </w:rPr>
        <w:t>服务流程：①通过地面无线方式提供不少于15套广播节目，将节目，传送至广播电视发射（转播）台→广播电视发射（转播）台提供清流信号→信号覆盖区域内用户免费接收。②通过直播卫星提供不少于17套广播节目，将节目上传至国家卫星直播节目平台→通过直播卫星转发节目→直播卫星服务区域内的用户免费接收→基层服务网点提供设备维修服务；③突发事件应急广播服务，应急信息接入→应急广播平台制作播发、调度控制→应急广播终端接收、播出→效果监测评估。</w:t>
      </w:r>
    </w:p>
    <w:p>
      <w:pPr>
        <w:spacing w:line="578" w:lineRule="exact"/>
        <w:ind w:firstLine="640" w:firstLineChars="200"/>
        <w:rPr>
          <w:rFonts w:eastAsia="仿宋_GB2312"/>
          <w:sz w:val="32"/>
          <w:szCs w:val="32"/>
        </w:rPr>
      </w:pPr>
      <w:bookmarkStart w:id="305" w:name="_Toc21949"/>
      <w:bookmarkStart w:id="306" w:name="_Toc13904"/>
      <w:r>
        <w:rPr>
          <w:rFonts w:hint="eastAsia" w:eastAsia="仿宋_GB2312"/>
          <w:sz w:val="32"/>
          <w:szCs w:val="32"/>
        </w:rPr>
        <w:t>76.观看电视</w:t>
      </w:r>
      <w:bookmarkEnd w:id="305"/>
      <w:bookmarkEnd w:id="306"/>
    </w:p>
    <w:p>
      <w:pPr>
        <w:spacing w:line="578" w:lineRule="exact"/>
        <w:ind w:firstLine="640" w:firstLineChars="200"/>
        <w:rPr>
          <w:rFonts w:eastAsia="仿宋_GB2312"/>
          <w:sz w:val="32"/>
          <w:szCs w:val="32"/>
        </w:rPr>
      </w:pPr>
      <w:r>
        <w:rPr>
          <w:rFonts w:hint="eastAsia" w:eastAsia="仿宋_GB2312"/>
          <w:sz w:val="32"/>
          <w:szCs w:val="32"/>
        </w:rPr>
        <w:t>服务对象：城乡居民。</w:t>
      </w:r>
    </w:p>
    <w:p>
      <w:pPr>
        <w:spacing w:line="578" w:lineRule="exact"/>
        <w:ind w:firstLine="640" w:firstLineChars="200"/>
        <w:rPr>
          <w:rFonts w:eastAsia="仿宋_GB2312"/>
          <w:sz w:val="32"/>
          <w:szCs w:val="32"/>
        </w:rPr>
      </w:pPr>
      <w:r>
        <w:rPr>
          <w:rFonts w:hint="eastAsia" w:eastAsia="仿宋_GB2312"/>
          <w:sz w:val="32"/>
          <w:szCs w:val="32"/>
        </w:rPr>
        <w:t>服务内容：提供电视节目服务。</w:t>
      </w:r>
    </w:p>
    <w:p>
      <w:pPr>
        <w:spacing w:line="578" w:lineRule="exact"/>
        <w:ind w:firstLine="640" w:firstLineChars="200"/>
        <w:rPr>
          <w:rFonts w:eastAsia="仿宋_GB2312"/>
          <w:sz w:val="32"/>
          <w:szCs w:val="32"/>
        </w:rPr>
      </w:pPr>
      <w:r>
        <w:rPr>
          <w:rFonts w:hint="eastAsia" w:eastAsia="仿宋_GB2312"/>
          <w:sz w:val="32"/>
          <w:szCs w:val="32"/>
        </w:rPr>
        <w:t>服务标准：采取地面无线方式提供不少于15套电视节目；在直播卫星公共服务覆盖地区，通过直播卫星提供不少于 25套电视节目。</w:t>
      </w:r>
    </w:p>
    <w:p>
      <w:pPr>
        <w:spacing w:line="578" w:lineRule="exact"/>
        <w:ind w:firstLine="640" w:firstLineChars="200"/>
        <w:rPr>
          <w:rFonts w:eastAsia="仿宋_GB2312"/>
          <w:sz w:val="32"/>
          <w:szCs w:val="32"/>
        </w:rPr>
      </w:pPr>
      <w:r>
        <w:rPr>
          <w:rFonts w:hint="eastAsia" w:eastAsia="仿宋_GB2312"/>
          <w:sz w:val="32"/>
          <w:szCs w:val="32"/>
        </w:rPr>
        <w:t>政策依据：《国家基本公共文化服务指导标准（2015-2020年）》、国发〔2017〕9号文件、《国家基本公共服务标准（2021年版）》。</w:t>
      </w:r>
    </w:p>
    <w:p>
      <w:pPr>
        <w:spacing w:line="578" w:lineRule="exact"/>
        <w:ind w:firstLine="640" w:firstLineChars="200"/>
        <w:rPr>
          <w:rFonts w:eastAsia="仿宋_GB2312"/>
          <w:sz w:val="32"/>
          <w:szCs w:val="32"/>
        </w:rPr>
      </w:pPr>
      <w:r>
        <w:rPr>
          <w:rFonts w:hint="eastAsia" w:eastAsia="仿宋_GB2312"/>
          <w:sz w:val="32"/>
          <w:szCs w:val="32"/>
        </w:rPr>
        <w:t>支出责任：中央财政和地方财政共同承担支出责任，地方支出责任由省、市与各地共同承担支出责任。区级财政根据基本公共文化服务工作任务量、补助标准、绩效情况、财力状况等因素对各地予以补助。</w:t>
      </w:r>
    </w:p>
    <w:p>
      <w:pPr>
        <w:spacing w:line="578" w:lineRule="exact"/>
        <w:ind w:firstLine="640" w:firstLineChars="200"/>
        <w:rPr>
          <w:rFonts w:eastAsia="仿宋_GB2312"/>
          <w:sz w:val="32"/>
          <w:szCs w:val="32"/>
        </w:rPr>
      </w:pPr>
      <w:r>
        <w:rPr>
          <w:rFonts w:hint="eastAsia" w:eastAsia="仿宋_GB2312"/>
          <w:sz w:val="32"/>
          <w:szCs w:val="32"/>
        </w:rPr>
        <w:t>牵头负责单位：区委宣传部</w:t>
      </w:r>
    </w:p>
    <w:p>
      <w:pPr>
        <w:spacing w:line="578" w:lineRule="exact"/>
        <w:ind w:firstLine="640" w:firstLineChars="200"/>
        <w:rPr>
          <w:rFonts w:eastAsia="仿宋_GB2312"/>
          <w:sz w:val="32"/>
          <w:szCs w:val="32"/>
        </w:rPr>
      </w:pPr>
      <w:r>
        <w:rPr>
          <w:rFonts w:hint="eastAsia" w:eastAsia="仿宋_GB2312"/>
          <w:sz w:val="32"/>
          <w:szCs w:val="32"/>
        </w:rPr>
        <w:t>服务流程：①采取地面无线方式提供不少于15套电视节目，将节目传送至广播电视发射（转播）台→广播电视发射（转播）台提供清流信号→信号覆盖区域内用户免费接收；②通过直播卫星提供不少于25套电视节目，将节目上传至国家卫星直播节目平台→通过直播卫星转发节目→直播卫星服务区域内的用户免费接收→基层服务网点提供设备维修服务。</w:t>
      </w:r>
    </w:p>
    <w:p>
      <w:pPr>
        <w:spacing w:line="578" w:lineRule="exact"/>
        <w:ind w:firstLine="640" w:firstLineChars="200"/>
        <w:rPr>
          <w:rFonts w:eastAsia="仿宋_GB2312"/>
          <w:sz w:val="32"/>
          <w:szCs w:val="32"/>
        </w:rPr>
      </w:pPr>
      <w:bookmarkStart w:id="307" w:name="_Toc17367"/>
      <w:bookmarkStart w:id="308" w:name="_Toc17127"/>
      <w:r>
        <w:rPr>
          <w:rFonts w:hint="eastAsia" w:eastAsia="仿宋_GB2312"/>
          <w:sz w:val="32"/>
          <w:szCs w:val="32"/>
        </w:rPr>
        <w:t>77.观赏电影</w:t>
      </w:r>
      <w:bookmarkEnd w:id="307"/>
      <w:bookmarkEnd w:id="308"/>
    </w:p>
    <w:p>
      <w:pPr>
        <w:spacing w:line="578" w:lineRule="exact"/>
        <w:ind w:firstLine="640" w:firstLineChars="200"/>
        <w:rPr>
          <w:rFonts w:eastAsia="仿宋_GB2312"/>
          <w:sz w:val="32"/>
          <w:szCs w:val="32"/>
        </w:rPr>
      </w:pPr>
      <w:r>
        <w:rPr>
          <w:rFonts w:hint="eastAsia" w:eastAsia="仿宋_GB2312"/>
          <w:sz w:val="32"/>
          <w:szCs w:val="32"/>
        </w:rPr>
        <w:t>服务对象：中小学生、农村居民。</w:t>
      </w:r>
    </w:p>
    <w:p>
      <w:pPr>
        <w:spacing w:line="578" w:lineRule="exact"/>
        <w:ind w:firstLine="640" w:firstLineChars="200"/>
        <w:rPr>
          <w:rFonts w:eastAsia="仿宋_GB2312"/>
          <w:sz w:val="32"/>
          <w:szCs w:val="32"/>
        </w:rPr>
      </w:pPr>
      <w:r>
        <w:rPr>
          <w:rFonts w:hint="eastAsia" w:eastAsia="仿宋_GB2312"/>
          <w:sz w:val="32"/>
          <w:szCs w:val="32"/>
        </w:rPr>
        <w:t>服务内容：为中小学生观看优秀影片提供保障服务。为农村群众提供数字电影放映服务。</w:t>
      </w:r>
    </w:p>
    <w:p>
      <w:pPr>
        <w:spacing w:line="578" w:lineRule="exact"/>
        <w:ind w:firstLine="640" w:firstLineChars="200"/>
        <w:rPr>
          <w:rFonts w:eastAsia="仿宋_GB2312"/>
          <w:sz w:val="32"/>
          <w:szCs w:val="32"/>
        </w:rPr>
      </w:pPr>
      <w:r>
        <w:rPr>
          <w:rFonts w:hint="eastAsia" w:eastAsia="仿宋_GB2312"/>
          <w:sz w:val="32"/>
          <w:szCs w:val="32"/>
        </w:rPr>
        <w:t>服务标准：保障每名中小学生每学期至少观看2次优秀影片。每年国产新片（院线上映不超过2年）比例不少于1/3。进入农村义务教育阶段学校为学生放映的爱国主义电影所需经费从公用经费中开支。城市义务教育阶段学生的影视教育经费纳入公用经费开支范围。电影主管部门负责落实好上级关于农村公益电影放映工作的有关要求，按照“一村一月一场”的标准，督促放映单位完成好当年公益放映场次任务。</w:t>
      </w:r>
    </w:p>
    <w:p>
      <w:pPr>
        <w:spacing w:line="578" w:lineRule="exact"/>
        <w:ind w:firstLine="640" w:firstLineChars="200"/>
        <w:rPr>
          <w:rFonts w:eastAsia="仿宋_GB2312"/>
          <w:sz w:val="32"/>
          <w:szCs w:val="32"/>
        </w:rPr>
      </w:pPr>
      <w:r>
        <w:rPr>
          <w:rFonts w:hint="eastAsia" w:eastAsia="仿宋_GB2312"/>
          <w:sz w:val="32"/>
          <w:szCs w:val="32"/>
        </w:rPr>
        <w:t>政策依据：国办发〔2020〕14号文件、《教育部 中共中央宣传部关于加强中小学影视教育的指导意见》（教基〔2018〕24号）、《教育部 国家发展和改革委员会 财政部 文化部 国家广播电影电视总局关于进一步开展中小学影视教育的通知》（教基〔2008〕15号）、《国务院办公厅转发广电总局等部门关于做好农村电影工作意见的通知》（国办发〔2007〕38号）。</w:t>
      </w:r>
    </w:p>
    <w:p>
      <w:pPr>
        <w:spacing w:line="578" w:lineRule="exact"/>
        <w:ind w:firstLine="640" w:firstLineChars="200"/>
        <w:rPr>
          <w:rFonts w:eastAsia="仿宋_GB2312"/>
          <w:sz w:val="32"/>
          <w:szCs w:val="32"/>
        </w:rPr>
      </w:pPr>
      <w:r>
        <w:rPr>
          <w:rFonts w:hint="eastAsia" w:eastAsia="仿宋_GB2312"/>
          <w:sz w:val="32"/>
          <w:szCs w:val="32"/>
        </w:rPr>
        <w:t>支出责任：根据市级财政的补助情况开展工作。</w:t>
      </w:r>
    </w:p>
    <w:p>
      <w:pPr>
        <w:spacing w:line="578" w:lineRule="exact"/>
        <w:ind w:firstLine="640" w:firstLineChars="200"/>
        <w:rPr>
          <w:rFonts w:eastAsia="仿宋_GB2312"/>
          <w:sz w:val="32"/>
          <w:szCs w:val="32"/>
        </w:rPr>
      </w:pPr>
      <w:r>
        <w:rPr>
          <w:rFonts w:hint="eastAsia" w:eastAsia="仿宋_GB2312"/>
          <w:sz w:val="32"/>
          <w:szCs w:val="32"/>
        </w:rPr>
        <w:t>牵头负责单位：区教育体育局、区委宣传部</w:t>
      </w:r>
    </w:p>
    <w:p>
      <w:pPr>
        <w:spacing w:line="578" w:lineRule="exact"/>
        <w:ind w:firstLine="640" w:firstLineChars="200"/>
        <w:rPr>
          <w:rFonts w:eastAsia="仿宋_GB2312"/>
          <w:sz w:val="32"/>
          <w:szCs w:val="32"/>
        </w:rPr>
      </w:pPr>
      <w:r>
        <w:rPr>
          <w:rFonts w:hint="eastAsia" w:eastAsia="仿宋_GB2312"/>
          <w:sz w:val="32"/>
          <w:szCs w:val="32"/>
        </w:rPr>
        <w:t>服务流程：①按照上级电影主管部门印发的年度农村及社区广场电影公益放映方案，确定年度公益电影放映任务；②协调对接电影放映单位认真做好公益电影放映活动，落实属地管理责任，做好监督协调工作；利用校园院线进入中小学推广电影放映片花，吸引师生走进影院观看一级市场优秀国产影片；③做好总结工作，如实填报放映时间、地点、放映片名、场次、观众人数、放映员姓名等信息，并按时上报放映统计数据。</w:t>
      </w:r>
    </w:p>
    <w:p>
      <w:pPr>
        <w:spacing w:line="578" w:lineRule="exact"/>
        <w:ind w:firstLine="640" w:firstLineChars="200"/>
        <w:rPr>
          <w:rFonts w:eastAsia="仿宋_GB2312"/>
          <w:sz w:val="32"/>
          <w:szCs w:val="32"/>
        </w:rPr>
      </w:pPr>
      <w:bookmarkStart w:id="309" w:name="_Toc32532"/>
      <w:bookmarkStart w:id="310" w:name="_Toc7357"/>
      <w:r>
        <w:rPr>
          <w:rFonts w:hint="eastAsia" w:eastAsia="仿宋_GB2312"/>
          <w:sz w:val="32"/>
          <w:szCs w:val="32"/>
        </w:rPr>
        <w:t>78.读书看报</w:t>
      </w:r>
      <w:bookmarkEnd w:id="309"/>
      <w:bookmarkEnd w:id="310"/>
    </w:p>
    <w:p>
      <w:pPr>
        <w:spacing w:line="578" w:lineRule="exact"/>
        <w:ind w:firstLine="640" w:firstLineChars="200"/>
        <w:rPr>
          <w:rFonts w:eastAsia="仿宋_GB2312"/>
          <w:sz w:val="32"/>
          <w:szCs w:val="32"/>
        </w:rPr>
      </w:pPr>
      <w:r>
        <w:rPr>
          <w:rFonts w:hint="eastAsia" w:eastAsia="仿宋_GB2312"/>
          <w:sz w:val="32"/>
          <w:szCs w:val="32"/>
        </w:rPr>
        <w:t>服务对象：城乡居民。</w:t>
      </w:r>
    </w:p>
    <w:p>
      <w:pPr>
        <w:spacing w:line="578" w:lineRule="exact"/>
        <w:ind w:firstLine="640" w:firstLineChars="200"/>
        <w:rPr>
          <w:rFonts w:eastAsia="仿宋_GB2312"/>
          <w:sz w:val="32"/>
          <w:szCs w:val="32"/>
        </w:rPr>
      </w:pPr>
      <w:r>
        <w:rPr>
          <w:rFonts w:hint="eastAsia" w:eastAsia="仿宋_GB2312"/>
          <w:sz w:val="32"/>
          <w:szCs w:val="32"/>
        </w:rPr>
        <w:t>服务内容：公共图书馆（室）、文化馆（站）、行政村（社区）综合性文化服务中心、新型公共文化空间、农家书屋等配套图书、报刊和电子书刊，并免费提供借阅服务；在城镇主要街道、行政村（居委会）、公共场所、居民小区等人流密集地点设置公共阅报栏（屏），提供时政、“三农”、科普、文化、生活等方面的信息服务。</w:t>
      </w:r>
    </w:p>
    <w:p>
      <w:pPr>
        <w:spacing w:line="578" w:lineRule="exact"/>
        <w:ind w:firstLine="640" w:firstLineChars="200"/>
        <w:rPr>
          <w:rFonts w:eastAsia="仿宋_GB2312"/>
          <w:sz w:val="32"/>
          <w:szCs w:val="32"/>
        </w:rPr>
      </w:pPr>
      <w:r>
        <w:rPr>
          <w:rFonts w:hint="eastAsia" w:eastAsia="仿宋_GB2312"/>
          <w:sz w:val="32"/>
          <w:szCs w:val="32"/>
        </w:rPr>
        <w:t>服务标准：①公共图书馆（室）、文化馆（站）和村（社区）综合性文化服务中心、新型公共文化空间、农家书屋等配备图书、报刊和电子书刊，并免费提供借阅服务；②在城镇主要街道、行政村（居委会）、公共场所、居民小区等人流密集地点设置阅报栏或电子阅报屏，提供时政、“三农”、科普、文化、生活等方面的信息服务，适时更新内容；③农家书屋每周开放时间不少于40小时；④有文字的少数民族可以通过公共图书馆阅读到</w:t>
      </w:r>
      <w:r>
        <w:rPr>
          <w:rFonts w:hint="eastAsia" w:eastAsia="仿宋_GB2312"/>
          <w:spacing w:val="-6"/>
          <w:sz w:val="32"/>
          <w:szCs w:val="32"/>
        </w:rPr>
        <w:t>本民族语言文字出版和双语出版的常用图书、地方文献、音像制品。</w:t>
      </w:r>
    </w:p>
    <w:p>
      <w:pPr>
        <w:spacing w:line="578" w:lineRule="exact"/>
        <w:ind w:firstLine="640" w:firstLineChars="200"/>
        <w:rPr>
          <w:rFonts w:eastAsia="仿宋_GB2312"/>
          <w:sz w:val="32"/>
          <w:szCs w:val="32"/>
        </w:rPr>
      </w:pPr>
      <w:r>
        <w:rPr>
          <w:rFonts w:hint="eastAsia" w:eastAsia="仿宋_GB2312"/>
          <w:sz w:val="32"/>
          <w:szCs w:val="32"/>
        </w:rPr>
        <w:t>政策依据：《中共中央办公厅 国务院办公厅印发关于加快构建现代公共文化服务体系的意见的通知》（中办发〔2015〕2号）、《国务院办公厅关于推进基层综合性文化服务中心建设的指导意见》（国办发〔2015〕74号），国办发〔2020〕14号、财教〔2020〕156号文件、《中共云南省委办公厅 云南省人民政府办公厅关于加快构建现代公共文化服务体系的实施意见的通知》（云办发〔2015〕36号）、《云南省人民政府办公厅关于推进基层综合性文化服务中心建设的实施意见》（云政办发〔2016〕84号），云政办发〔2021〕7号、昆办发〔2017〕4号、《昆明市公共文化领域财政事权和支出责任划分改革实施方案》（昆政</w:t>
      </w:r>
      <w:r>
        <w:rPr>
          <w:rFonts w:hint="eastAsia" w:ascii="仿宋_GB2312" w:eastAsia="仿宋_GB2312"/>
          <w:sz w:val="32"/>
          <w:szCs w:val="32"/>
        </w:rPr>
        <w:t>办〔2</w:t>
      </w:r>
      <w:r>
        <w:rPr>
          <w:rFonts w:hint="eastAsia" w:eastAsia="仿宋_GB2312"/>
          <w:sz w:val="32"/>
          <w:szCs w:val="32"/>
        </w:rPr>
        <w:t>022</w:t>
      </w:r>
      <w:r>
        <w:rPr>
          <w:rFonts w:hint="eastAsia" w:ascii="仿宋_GB2312" w:eastAsia="仿宋_GB2312"/>
          <w:sz w:val="32"/>
          <w:szCs w:val="32"/>
        </w:rPr>
        <w:t>〕</w:t>
      </w:r>
      <w:r>
        <w:rPr>
          <w:rFonts w:hint="eastAsia" w:eastAsia="仿宋_GB2312"/>
          <w:sz w:val="32"/>
          <w:szCs w:val="32"/>
        </w:rPr>
        <w:t>43号）文件。</w:t>
      </w:r>
    </w:p>
    <w:p>
      <w:pPr>
        <w:spacing w:line="578" w:lineRule="exact"/>
        <w:ind w:firstLine="640" w:firstLineChars="200"/>
        <w:rPr>
          <w:rFonts w:eastAsia="仿宋_GB2312"/>
          <w:sz w:val="32"/>
          <w:szCs w:val="32"/>
        </w:rPr>
      </w:pPr>
      <w:r>
        <w:rPr>
          <w:rFonts w:hint="eastAsia" w:eastAsia="仿宋_GB2312"/>
          <w:sz w:val="32"/>
          <w:szCs w:val="32"/>
        </w:rPr>
        <w:t>支出责任：中央财政和地方财政共同承担支出责任，地方支出责任由省级与各地共同承担支出责任。市级财政根据基本公共文化服务工作任务量、补助标准、绩效情况、财力状况等因素对各县（市）区予以补助。</w:t>
      </w:r>
    </w:p>
    <w:p>
      <w:pPr>
        <w:spacing w:line="578" w:lineRule="exact"/>
        <w:ind w:firstLine="640" w:firstLineChars="200"/>
        <w:rPr>
          <w:rFonts w:eastAsia="仿宋_GB2312"/>
          <w:sz w:val="32"/>
          <w:szCs w:val="32"/>
        </w:rPr>
      </w:pPr>
      <w:r>
        <w:rPr>
          <w:rFonts w:hint="eastAsia" w:eastAsia="仿宋_GB2312"/>
          <w:sz w:val="32"/>
          <w:szCs w:val="32"/>
        </w:rPr>
        <w:t>牵头负责单位：区文化旅游局、区委宣传部</w:t>
      </w:r>
    </w:p>
    <w:p>
      <w:pPr>
        <w:spacing w:line="578" w:lineRule="exact"/>
        <w:ind w:firstLine="640" w:firstLineChars="200"/>
        <w:rPr>
          <w:rFonts w:eastAsia="仿宋_GB2312"/>
          <w:sz w:val="32"/>
          <w:szCs w:val="32"/>
        </w:rPr>
      </w:pPr>
      <w:r>
        <w:rPr>
          <w:rFonts w:hint="eastAsia" w:eastAsia="仿宋_GB2312"/>
          <w:sz w:val="32"/>
          <w:szCs w:val="32"/>
        </w:rPr>
        <w:t>服务流程：免费开放。针对“农家书屋”，一是在我区已建成农家书屋中提供阅读服务；二是农家书屋每年根据出版物补充更新要求增加不少于60种的出版物，丰富农家书屋图书种类，满足群众精神文化需求；三是按时开放农家书屋，每天不少于6小时，每周不少于5天；四是以农家书屋为平台开展丰富多彩的主题阅读活动，提高农家书屋使用效率，丰富农民群众精神文化生活。</w:t>
      </w:r>
    </w:p>
    <w:p>
      <w:pPr>
        <w:spacing w:line="578" w:lineRule="exact"/>
        <w:ind w:firstLine="640" w:firstLineChars="200"/>
        <w:rPr>
          <w:rFonts w:eastAsia="仿宋_GB2312"/>
          <w:sz w:val="32"/>
          <w:szCs w:val="32"/>
        </w:rPr>
      </w:pPr>
      <w:bookmarkStart w:id="311" w:name="_Toc21825"/>
      <w:bookmarkStart w:id="312" w:name="_Toc16774"/>
      <w:r>
        <w:rPr>
          <w:rFonts w:hint="eastAsia" w:eastAsia="仿宋_GB2312"/>
          <w:sz w:val="32"/>
          <w:szCs w:val="32"/>
        </w:rPr>
        <w:t>79.少数民族文化服务</w:t>
      </w:r>
      <w:bookmarkEnd w:id="311"/>
      <w:bookmarkEnd w:id="312"/>
    </w:p>
    <w:p>
      <w:pPr>
        <w:spacing w:line="578" w:lineRule="exact"/>
        <w:ind w:firstLine="640" w:firstLineChars="200"/>
        <w:rPr>
          <w:rFonts w:eastAsia="仿宋_GB2312"/>
          <w:sz w:val="32"/>
          <w:szCs w:val="32"/>
        </w:rPr>
      </w:pPr>
      <w:r>
        <w:rPr>
          <w:rFonts w:hint="eastAsia" w:eastAsia="仿宋_GB2312"/>
          <w:sz w:val="32"/>
          <w:szCs w:val="32"/>
        </w:rPr>
        <w:t>服务对象：主要少数民族地区居民。</w:t>
      </w:r>
    </w:p>
    <w:p>
      <w:pPr>
        <w:spacing w:line="578" w:lineRule="exact"/>
        <w:ind w:firstLine="640" w:firstLineChars="200"/>
        <w:rPr>
          <w:rFonts w:eastAsia="仿宋_GB2312"/>
          <w:sz w:val="32"/>
          <w:szCs w:val="32"/>
        </w:rPr>
      </w:pPr>
      <w:r>
        <w:rPr>
          <w:rFonts w:hint="eastAsia" w:eastAsia="仿宋_GB2312"/>
          <w:sz w:val="32"/>
          <w:szCs w:val="32"/>
        </w:rPr>
        <w:t>服务内容：推动民族团结进步示范区文化建设，加强少数民族文化遗产的保护、抢救、发掘、整理、展示和研究工作，推动民族民间文化艺术活动开展、少数民族题材文艺作品创作，打造少数民族文化品牌和艺术精品。</w:t>
      </w:r>
    </w:p>
    <w:p>
      <w:pPr>
        <w:spacing w:line="578" w:lineRule="exact"/>
        <w:ind w:firstLine="640" w:firstLineChars="200"/>
        <w:rPr>
          <w:rFonts w:eastAsia="仿宋_GB2312"/>
          <w:sz w:val="32"/>
          <w:szCs w:val="32"/>
        </w:rPr>
      </w:pPr>
      <w:r>
        <w:rPr>
          <w:rFonts w:hint="eastAsia" w:eastAsia="仿宋_GB2312"/>
          <w:sz w:val="32"/>
          <w:szCs w:val="32"/>
        </w:rPr>
        <w:t>服务标准：组织参加云南省民族民间歌舞乐展演、云南省传统戏剧曲艺汇演。</w:t>
      </w:r>
    </w:p>
    <w:p>
      <w:pPr>
        <w:spacing w:line="578" w:lineRule="exact"/>
        <w:ind w:firstLine="640" w:firstLineChars="200"/>
        <w:rPr>
          <w:rFonts w:eastAsia="仿宋_GB2312"/>
          <w:sz w:val="32"/>
          <w:szCs w:val="32"/>
        </w:rPr>
      </w:pPr>
      <w:r>
        <w:rPr>
          <w:rFonts w:hint="eastAsia" w:eastAsia="仿宋_GB2312"/>
          <w:sz w:val="32"/>
          <w:szCs w:val="32"/>
        </w:rPr>
        <w:t>政策依据：国发〔2017〕9号文件、《国家基本公共服务标准（2021年版）》，云办发〔2015〕36号、云政办发〔2016〕84号文件。</w:t>
      </w:r>
    </w:p>
    <w:p>
      <w:pPr>
        <w:spacing w:line="578" w:lineRule="exact"/>
        <w:ind w:firstLine="640" w:firstLineChars="200"/>
        <w:rPr>
          <w:rFonts w:eastAsia="仿宋_GB2312"/>
          <w:sz w:val="32"/>
          <w:szCs w:val="32"/>
        </w:rPr>
      </w:pPr>
      <w:r>
        <w:rPr>
          <w:rFonts w:hint="eastAsia" w:eastAsia="仿宋_GB2312"/>
          <w:sz w:val="32"/>
          <w:szCs w:val="32"/>
        </w:rPr>
        <w:t>支出责任：中央财政和地方财政共同承担支出责任，地方支出责任由市级与区级共同承担支出责任。市级财政根据基本公共文化服务工作任务量、补助标准、绩效情况、财力状况等因素对各地予以补助。</w:t>
      </w:r>
    </w:p>
    <w:p>
      <w:pPr>
        <w:spacing w:line="578" w:lineRule="exact"/>
        <w:ind w:firstLine="640" w:firstLineChars="200"/>
        <w:rPr>
          <w:rFonts w:eastAsia="仿宋_GB2312"/>
          <w:sz w:val="32"/>
          <w:szCs w:val="32"/>
        </w:rPr>
      </w:pPr>
      <w:r>
        <w:rPr>
          <w:rFonts w:hint="eastAsia" w:eastAsia="仿宋_GB2312"/>
          <w:sz w:val="32"/>
          <w:szCs w:val="32"/>
        </w:rPr>
        <w:t>牵头责任单位：区委宣传部、区文化旅游局、区民族宗教局。</w:t>
      </w:r>
    </w:p>
    <w:p>
      <w:pPr>
        <w:spacing w:line="578" w:lineRule="exact"/>
        <w:ind w:firstLine="640" w:firstLineChars="200"/>
        <w:rPr>
          <w:rFonts w:eastAsia="仿宋_GB2312"/>
          <w:sz w:val="32"/>
          <w:szCs w:val="32"/>
        </w:rPr>
      </w:pPr>
      <w:r>
        <w:rPr>
          <w:rFonts w:hint="eastAsia" w:eastAsia="仿宋_GB2312"/>
          <w:sz w:val="32"/>
          <w:szCs w:val="32"/>
        </w:rPr>
        <w:t>服务流程：制定参加云南省民族民间歌舞乐展演、云南省传统戏剧曲艺汇演方案并组织实施。</w:t>
      </w:r>
    </w:p>
    <w:p>
      <w:pPr>
        <w:spacing w:line="578" w:lineRule="exact"/>
        <w:ind w:firstLine="640" w:firstLineChars="200"/>
        <w:rPr>
          <w:rFonts w:eastAsia="楷体_GB2312"/>
          <w:sz w:val="32"/>
          <w:szCs w:val="32"/>
        </w:rPr>
      </w:pPr>
      <w:bookmarkStart w:id="313" w:name="_Toc12689"/>
      <w:bookmarkStart w:id="314" w:name="_Toc26858"/>
      <w:r>
        <w:rPr>
          <w:rFonts w:hint="eastAsia" w:eastAsia="楷体_GB2312"/>
          <w:sz w:val="32"/>
          <w:szCs w:val="32"/>
        </w:rPr>
        <w:t>（二十二）公共体育服务</w:t>
      </w:r>
      <w:bookmarkEnd w:id="313"/>
      <w:bookmarkEnd w:id="314"/>
    </w:p>
    <w:p>
      <w:pPr>
        <w:spacing w:line="578" w:lineRule="exact"/>
        <w:ind w:firstLine="640" w:firstLineChars="200"/>
        <w:rPr>
          <w:rFonts w:eastAsia="仿宋_GB2312"/>
          <w:sz w:val="32"/>
          <w:szCs w:val="32"/>
        </w:rPr>
      </w:pPr>
      <w:bookmarkStart w:id="315" w:name="_Toc1268"/>
      <w:bookmarkStart w:id="316" w:name="_Toc17226"/>
      <w:r>
        <w:rPr>
          <w:rFonts w:hint="eastAsia" w:eastAsia="仿宋_GB2312"/>
          <w:sz w:val="32"/>
          <w:szCs w:val="32"/>
        </w:rPr>
        <w:t>80.公共体育场馆开放</w:t>
      </w:r>
      <w:bookmarkEnd w:id="315"/>
      <w:bookmarkEnd w:id="316"/>
    </w:p>
    <w:p>
      <w:pPr>
        <w:spacing w:line="578" w:lineRule="exact"/>
        <w:ind w:firstLine="640" w:firstLineChars="200"/>
        <w:rPr>
          <w:rFonts w:eastAsia="仿宋_GB2312"/>
          <w:sz w:val="32"/>
          <w:szCs w:val="32"/>
        </w:rPr>
      </w:pPr>
      <w:r>
        <w:rPr>
          <w:rFonts w:hint="eastAsia" w:eastAsia="仿宋_GB2312"/>
          <w:sz w:val="32"/>
          <w:szCs w:val="32"/>
        </w:rPr>
        <w:t>服务对象：城乡居民。</w:t>
      </w:r>
    </w:p>
    <w:p>
      <w:pPr>
        <w:spacing w:line="578" w:lineRule="exact"/>
        <w:ind w:firstLine="640" w:firstLineChars="200"/>
        <w:rPr>
          <w:rFonts w:eastAsia="仿宋_GB2312"/>
          <w:sz w:val="32"/>
          <w:szCs w:val="32"/>
        </w:rPr>
      </w:pPr>
      <w:r>
        <w:rPr>
          <w:rFonts w:hint="eastAsia" w:eastAsia="仿宋_GB2312"/>
          <w:sz w:val="32"/>
          <w:szCs w:val="32"/>
        </w:rPr>
        <w:t>服务内容：公共体育场馆免费或低收费开放。</w:t>
      </w:r>
    </w:p>
    <w:p>
      <w:pPr>
        <w:spacing w:line="578" w:lineRule="exact"/>
        <w:ind w:firstLine="640" w:firstLineChars="200"/>
        <w:rPr>
          <w:rFonts w:eastAsia="仿宋_GB2312"/>
          <w:sz w:val="32"/>
          <w:szCs w:val="32"/>
        </w:rPr>
      </w:pPr>
      <w:r>
        <w:rPr>
          <w:rFonts w:hint="eastAsia" w:eastAsia="仿宋_GB2312"/>
          <w:sz w:val="32"/>
          <w:szCs w:val="32"/>
        </w:rPr>
        <w:t>服务标准：公共体育场馆每周开放时间不少于35小时，全年开放时间不少于330天；公休日、国家法定节假日、学校寒暑假期间，每天开放时间不少于8小时；全民健身日免费向社会开放；在工作日的09:00-17:00对老年人、残疾人低收费开放；全天对学生、军人半价开放；场馆所属户外公共区域及户外健身器材全年免费开放。</w:t>
      </w:r>
    </w:p>
    <w:p>
      <w:pPr>
        <w:spacing w:line="578" w:lineRule="exact"/>
        <w:ind w:firstLine="640" w:firstLineChars="200"/>
        <w:rPr>
          <w:rFonts w:eastAsia="仿宋_GB2312"/>
          <w:sz w:val="32"/>
          <w:szCs w:val="32"/>
        </w:rPr>
      </w:pPr>
      <w:r>
        <w:rPr>
          <w:rFonts w:hint="eastAsia" w:eastAsia="仿宋_GB2312"/>
          <w:sz w:val="32"/>
          <w:szCs w:val="32"/>
        </w:rPr>
        <w:t>政策依据：《公共文化体育设施条例》、《关于推进大型体育场馆免费低收费开放的通知》（体经字〔2014〕34号）、《国家体育总局关于印发体育场馆运营管理办法的通知》、《大型体育场馆基本公共服务规范》、《关于加强大型体育场馆运营管理改革创新提高公共服务水平的意见》（体经字〔2013〕381号）、《财政部 国家体育总局关于印发大型体育场馆免费低收费开放补助资金管理办法的通知》（财教〔2014〕54号）、《云南省财政厅 云南省体育局关于印发云南省大型体育场馆免费低收费开放补助资金管理办法的通知》（云财教〔2016〕40号），国办发〔2020〕14号、云政办发〔2021〕7号文件。</w:t>
      </w:r>
    </w:p>
    <w:p>
      <w:pPr>
        <w:spacing w:line="578" w:lineRule="exact"/>
        <w:ind w:firstLine="640" w:firstLineChars="200"/>
        <w:rPr>
          <w:rFonts w:eastAsia="仿宋_GB2312"/>
          <w:sz w:val="32"/>
          <w:szCs w:val="32"/>
        </w:rPr>
      </w:pPr>
      <w:r>
        <w:rPr>
          <w:rFonts w:hint="eastAsia" w:eastAsia="仿宋_GB2312"/>
          <w:sz w:val="32"/>
          <w:szCs w:val="32"/>
        </w:rPr>
        <w:t>支出责任：云政办发〔2021〕7号文件执行。公共体育场馆开放由中央、省、市共同承担支出责任，所需经费由中央、省、市按照80：4：16比例承担，昆明市承担部分实行市与各县（市）区分档分担办法。市级分担90%、东川区财政分担10%。</w:t>
      </w:r>
    </w:p>
    <w:p>
      <w:pPr>
        <w:spacing w:line="578" w:lineRule="exact"/>
        <w:ind w:firstLine="640" w:firstLineChars="200"/>
        <w:rPr>
          <w:rFonts w:eastAsia="仿宋_GB2312"/>
          <w:sz w:val="32"/>
          <w:szCs w:val="32"/>
        </w:rPr>
      </w:pPr>
      <w:r>
        <w:rPr>
          <w:rFonts w:hint="eastAsia" w:eastAsia="仿宋_GB2312"/>
          <w:sz w:val="32"/>
          <w:szCs w:val="32"/>
        </w:rPr>
        <w:t>云南省中小型体育场馆开放补助资金参照国家对大型公共体育场馆低免开放补助政策制定《云南省体育局 云南省财政厅关于印发云南省中小型体育场馆免费低收费开放补助资金管理暂行办法的通知》（云体发〔2019〕6号），云南省体育局确定中</w:t>
      </w:r>
      <w:r>
        <w:rPr>
          <w:rFonts w:hint="eastAsia" w:eastAsia="仿宋_GB2312"/>
          <w:spacing w:val="-6"/>
          <w:sz w:val="32"/>
          <w:szCs w:val="32"/>
        </w:rPr>
        <w:t>小型公共体育场馆开放补助资金总量，</w:t>
      </w:r>
      <w:r>
        <w:rPr>
          <w:rFonts w:hint="eastAsia"/>
          <w:spacing w:val="-6"/>
          <w:sz w:val="32"/>
          <w:szCs w:val="32"/>
        </w:rPr>
        <w:t>釆</w:t>
      </w:r>
      <w:r>
        <w:rPr>
          <w:rFonts w:hint="eastAsia" w:eastAsia="仿宋_GB2312"/>
          <w:spacing w:val="-6"/>
          <w:sz w:val="32"/>
          <w:szCs w:val="32"/>
        </w:rPr>
        <w:t>用因素法分配进行分配。</w:t>
      </w:r>
    </w:p>
    <w:p>
      <w:pPr>
        <w:spacing w:line="578" w:lineRule="exact"/>
        <w:ind w:firstLine="640" w:firstLineChars="200"/>
        <w:rPr>
          <w:rFonts w:eastAsia="仿宋_GB2312"/>
          <w:sz w:val="32"/>
          <w:szCs w:val="32"/>
        </w:rPr>
      </w:pPr>
      <w:r>
        <w:rPr>
          <w:rFonts w:hint="eastAsia" w:eastAsia="仿宋_GB2312"/>
          <w:sz w:val="32"/>
          <w:szCs w:val="32"/>
        </w:rPr>
        <w:t>牵头负责单位：区教育体育局</w:t>
      </w:r>
    </w:p>
    <w:p>
      <w:pPr>
        <w:spacing w:line="578" w:lineRule="exact"/>
        <w:ind w:firstLine="640" w:firstLineChars="200"/>
        <w:rPr>
          <w:rFonts w:eastAsia="仿宋_GB2312"/>
          <w:sz w:val="32"/>
          <w:szCs w:val="32"/>
        </w:rPr>
      </w:pPr>
      <w:r>
        <w:rPr>
          <w:rFonts w:hint="eastAsia" w:eastAsia="仿宋_GB2312"/>
          <w:sz w:val="32"/>
          <w:szCs w:val="32"/>
        </w:rPr>
        <w:t>服务流程：根据国家有关文件制定公共体育场馆开放方案，实施开放工作；在场馆入口显著位置对开放范围、收费标准等重要事项进行公示；做好公共体育场馆设施设备维护及安全管理；制定应急及突发情况处置预案；配备相应持证人员上岗；引导健身群众购买意外伤害商业保险；遇场馆修缮或其他原因确需关闭时，需提前7天向社会公示；落实疫情防控、爱国卫生7个专项行动常态化要求；建立、完善场馆及其周边提示、提醒牌。</w:t>
      </w:r>
    </w:p>
    <w:p>
      <w:pPr>
        <w:spacing w:line="578" w:lineRule="exact"/>
        <w:ind w:firstLine="640" w:firstLineChars="200"/>
        <w:rPr>
          <w:rFonts w:eastAsia="仿宋_GB2312"/>
          <w:sz w:val="32"/>
          <w:szCs w:val="32"/>
        </w:rPr>
      </w:pPr>
      <w:bookmarkStart w:id="317" w:name="_Toc16357"/>
      <w:bookmarkStart w:id="318" w:name="_Toc4238"/>
      <w:r>
        <w:rPr>
          <w:rFonts w:hint="eastAsia" w:eastAsia="仿宋_GB2312"/>
          <w:sz w:val="32"/>
          <w:szCs w:val="32"/>
        </w:rPr>
        <w:t>81.全民健身服务</w:t>
      </w:r>
      <w:bookmarkEnd w:id="317"/>
      <w:bookmarkEnd w:id="318"/>
    </w:p>
    <w:p>
      <w:pPr>
        <w:spacing w:line="578" w:lineRule="exact"/>
        <w:ind w:firstLine="640" w:firstLineChars="200"/>
        <w:rPr>
          <w:rFonts w:eastAsia="仿宋_GB2312"/>
          <w:sz w:val="32"/>
          <w:szCs w:val="32"/>
        </w:rPr>
      </w:pPr>
      <w:r>
        <w:rPr>
          <w:rFonts w:hint="eastAsia" w:eastAsia="仿宋_GB2312"/>
          <w:sz w:val="32"/>
          <w:szCs w:val="32"/>
        </w:rPr>
        <w:t>服务对象：城乡居民。</w:t>
      </w:r>
    </w:p>
    <w:p>
      <w:pPr>
        <w:spacing w:line="578" w:lineRule="exact"/>
        <w:ind w:firstLine="640" w:firstLineChars="200"/>
        <w:rPr>
          <w:rFonts w:eastAsia="仿宋_GB2312"/>
          <w:sz w:val="32"/>
          <w:szCs w:val="32"/>
        </w:rPr>
      </w:pPr>
      <w:r>
        <w:rPr>
          <w:rFonts w:hint="eastAsia" w:eastAsia="仿宋_GB2312"/>
          <w:sz w:val="32"/>
          <w:szCs w:val="32"/>
        </w:rPr>
        <w:t>服务内容：提供科学健身指导，群众健身活动和比赛、科学健身知识等服务，免费提供公园、绿地等公共场所全民健身器材。</w:t>
      </w:r>
    </w:p>
    <w:p>
      <w:pPr>
        <w:spacing w:line="578" w:lineRule="exact"/>
        <w:ind w:firstLine="640" w:firstLineChars="200"/>
        <w:rPr>
          <w:rFonts w:eastAsia="仿宋_GB2312"/>
          <w:sz w:val="32"/>
          <w:szCs w:val="32"/>
        </w:rPr>
      </w:pPr>
      <w:r>
        <w:rPr>
          <w:rFonts w:hint="eastAsia" w:eastAsia="仿宋_GB2312"/>
          <w:sz w:val="32"/>
          <w:szCs w:val="32"/>
        </w:rPr>
        <w:t>服务标准：城乡居民免费享有全民健身志愿服务；到2025年，实现每千人拥有社会体育指导员2名。打造2种以上不同类型的公益性品牌群众体育赛事活动，每种赛事活动每年举办2次以上；乡镇（街道）每年举办2次以上公益性群众体育赛事活动；行政村（社区）每年举办1次以上公益性群众体育赛事活动。东川区每年组织开展国民体质测定或国家体育锻炼标准测验各1次。公园、绿地等公共场所全民健身器材全年免费开放，每天开放时间不少于12小时。</w:t>
      </w:r>
    </w:p>
    <w:p>
      <w:pPr>
        <w:spacing w:line="578" w:lineRule="exact"/>
        <w:ind w:firstLine="640" w:firstLineChars="200"/>
        <w:rPr>
          <w:rFonts w:eastAsia="仿宋_GB2312"/>
          <w:sz w:val="32"/>
          <w:szCs w:val="32"/>
        </w:rPr>
      </w:pPr>
      <w:r>
        <w:rPr>
          <w:rFonts w:hint="eastAsia" w:eastAsia="仿宋_GB2312"/>
          <w:sz w:val="32"/>
          <w:szCs w:val="32"/>
        </w:rPr>
        <w:t>政策依据：按照《全民健身条例》、《云南省全民健身条例》、《七彩云南全民健身活动专项经费管理暂行办法》及国家有关规定执行。</w:t>
      </w:r>
    </w:p>
    <w:p>
      <w:pPr>
        <w:spacing w:line="578" w:lineRule="exact"/>
        <w:ind w:firstLine="640" w:firstLineChars="200"/>
        <w:rPr>
          <w:rFonts w:eastAsia="仿宋_GB2312"/>
          <w:sz w:val="32"/>
          <w:szCs w:val="32"/>
        </w:rPr>
      </w:pPr>
      <w:r>
        <w:rPr>
          <w:rFonts w:hint="eastAsia" w:eastAsia="仿宋_GB2312"/>
          <w:sz w:val="32"/>
          <w:szCs w:val="32"/>
        </w:rPr>
        <w:t>支出责任：区级与各乡镇（街道）共同承担支出责任。区级财政根据全民健身工作任务量、补助标准、绩效情况、财力状况等因素对乡镇、村、社区予以补助。</w:t>
      </w:r>
    </w:p>
    <w:p>
      <w:pPr>
        <w:spacing w:line="578" w:lineRule="exact"/>
        <w:ind w:firstLine="640" w:firstLineChars="200"/>
        <w:rPr>
          <w:rFonts w:eastAsia="仿宋_GB2312"/>
          <w:sz w:val="32"/>
          <w:szCs w:val="32"/>
        </w:rPr>
      </w:pPr>
      <w:r>
        <w:rPr>
          <w:rFonts w:hint="eastAsia" w:eastAsia="仿宋_GB2312"/>
          <w:sz w:val="32"/>
          <w:szCs w:val="32"/>
        </w:rPr>
        <w:t>牵头负责单位：区教育体育局</w:t>
      </w:r>
    </w:p>
    <w:p>
      <w:pPr>
        <w:spacing w:line="578" w:lineRule="exact"/>
        <w:ind w:firstLine="640" w:firstLineChars="200"/>
        <w:rPr>
          <w:rFonts w:eastAsia="仿宋_GB2312"/>
          <w:sz w:val="32"/>
          <w:szCs w:val="32"/>
        </w:rPr>
      </w:pPr>
      <w:r>
        <w:rPr>
          <w:rFonts w:hint="eastAsia" w:eastAsia="仿宋_GB2312"/>
          <w:sz w:val="32"/>
          <w:szCs w:val="32"/>
        </w:rPr>
        <w:t>服务流程：根据体育总局有关文件要求制定工作方案；按全民健身活动的类别拟发通知；各类全民健身活动进行培训（赛事安全及设备设施安全管理等纳入培训）；区人民政府负责实施；活动开展；统计活动开展数据，进行分析。</w:t>
      </w:r>
    </w:p>
    <w:p/>
    <w:sectPr>
      <w:footerReference r:id="rId6" w:type="default"/>
      <w:footerReference r:id="rId7" w:type="even"/>
      <w:pgSz w:w="11906" w:h="16838"/>
      <w:pgMar w:top="2098" w:right="1474" w:bottom="1985" w:left="1588" w:header="851" w:footer="1588"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楷体_GBK">
    <w:altName w:val="微软雅黑"/>
    <w:panose1 w:val="00000000000000000000"/>
    <w:charset w:val="86"/>
    <w:family w:val="script"/>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_GBK">
    <w:altName w:val="Times New Roman"/>
    <w:panose1 w:val="00000000000000000000"/>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auto"/>
    <w:pitch w:val="default"/>
    <w:sig w:usb0="00000000" w:usb1="00000000" w:usb2="00082016" w:usb3="00000000" w:csb0="00040001" w:csb1="00000000"/>
  </w:font>
  <w:font w:name="方正小标宋简体">
    <w:altName w:val="黑体"/>
    <w:panose1 w:val="02010601030101010101"/>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outside" w:y="1"/>
      <w:ind w:left="315" w:leftChars="150" w:right="315" w:rightChars="150"/>
      <w:rPr>
        <w:rStyle w:val="33"/>
        <w:rFonts w:ascii="宋体" w:hAnsi="宋体"/>
        <w:sz w:val="28"/>
        <w:szCs w:val="28"/>
      </w:rPr>
    </w:pPr>
    <w:r>
      <w:rPr>
        <w:rStyle w:val="33"/>
        <w:rFonts w:hint="eastAsia" w:ascii="宋体" w:hAnsi="宋体"/>
        <w:sz w:val="28"/>
        <w:szCs w:val="28"/>
      </w:rPr>
      <w:t xml:space="preserve">— </w:t>
    </w:r>
    <w:r>
      <w:rPr>
        <w:rStyle w:val="33"/>
        <w:rFonts w:ascii="宋体" w:hAnsi="宋体"/>
        <w:sz w:val="28"/>
        <w:szCs w:val="28"/>
      </w:rPr>
      <w:fldChar w:fldCharType="begin"/>
    </w:r>
    <w:r>
      <w:rPr>
        <w:rStyle w:val="33"/>
        <w:rFonts w:ascii="宋体" w:hAnsi="宋体"/>
        <w:sz w:val="28"/>
        <w:szCs w:val="28"/>
      </w:rPr>
      <w:instrText xml:space="preserve">PAGE  </w:instrText>
    </w:r>
    <w:r>
      <w:rPr>
        <w:rStyle w:val="33"/>
        <w:rFonts w:ascii="宋体" w:hAnsi="宋体"/>
        <w:sz w:val="28"/>
        <w:szCs w:val="28"/>
      </w:rPr>
      <w:fldChar w:fldCharType="separate"/>
    </w:r>
    <w:r>
      <w:rPr>
        <w:rStyle w:val="33"/>
        <w:rFonts w:ascii="宋体" w:hAnsi="宋体"/>
        <w:sz w:val="28"/>
        <w:szCs w:val="28"/>
      </w:rPr>
      <w:t>38</w:t>
    </w:r>
    <w:r>
      <w:rPr>
        <w:rStyle w:val="33"/>
        <w:rFonts w:ascii="宋体" w:hAnsi="宋体"/>
        <w:sz w:val="28"/>
        <w:szCs w:val="28"/>
      </w:rPr>
      <w:fldChar w:fldCharType="end"/>
    </w:r>
    <w:r>
      <w:rPr>
        <w:rStyle w:val="33"/>
        <w:rFonts w:hint="eastAsia" w:ascii="宋体" w:hAnsi="宋体"/>
        <w:sz w:val="28"/>
        <w:szCs w:val="28"/>
      </w:rPr>
      <w:t xml:space="preserve"> —</w:t>
    </w:r>
  </w:p>
  <w:p>
    <w:pPr>
      <w:pStyle w:val="17"/>
      <w:tabs>
        <w:tab w:val="clear" w:pos="4153"/>
      </w:tabs>
      <w:ind w:right="360" w:firstLine="360"/>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outside" w:y="1"/>
      <w:rPr>
        <w:rStyle w:val="33"/>
      </w:rPr>
    </w:pPr>
    <w:r>
      <w:rPr>
        <w:rStyle w:val="33"/>
      </w:rPr>
      <w:fldChar w:fldCharType="begin"/>
    </w:r>
    <w:r>
      <w:rPr>
        <w:rStyle w:val="33"/>
      </w:rPr>
      <w:instrText xml:space="preserve">PAGE  </w:instrText>
    </w:r>
    <w:r>
      <w:rPr>
        <w:rStyle w:val="33"/>
      </w:rPr>
      <w:fldChar w:fldCharType="end"/>
    </w:r>
  </w:p>
  <w:p>
    <w:pPr>
      <w:pStyle w:val="1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lear" w:pos="4153"/>
      </w:tabs>
    </w:pPr>
    <w:r>
      <w:pict>
        <v:shape id="文本框 1050" o:spid="_x0000_s2049" o:spt="202" type="#_x0000_t202" style="position:absolute;left:0pt;margin-top:0pt;height:18.15pt;width:42.05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- 40 -</w:t>
                </w:r>
                <w:r>
                  <w:rPr>
                    <w:rFonts w:hint="eastAsia" w:ascii="宋体" w:hAnsi="宋体" w:cs="宋体"/>
                    <w:sz w:val="28"/>
                    <w:szCs w:val="28"/>
                  </w:rPr>
                  <w:fldChar w:fldCharType="end"/>
                </w:r>
              </w:p>
            </w:txbxContent>
          </v:textbox>
        </v:shape>
      </w:pict>
    </w:r>
    <w:r>
      <w:pict>
        <v:shape id="文本框 1025" o:spid="_x0000_s2050" o:spt="202" type="#_x0000_t202" style="position:absolute;left:0pt;margin-top:0pt;height:12.05pt;width:9.05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txbxContent>
          </v:textbox>
        </v:shape>
      </w:pic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outside" w:y="1"/>
      <w:ind w:left="315" w:leftChars="150" w:right="315" w:rightChars="150"/>
      <w:rPr>
        <w:rStyle w:val="33"/>
        <w:rFonts w:ascii="宋体" w:hAnsi="宋体"/>
        <w:sz w:val="28"/>
        <w:szCs w:val="28"/>
      </w:rPr>
    </w:pPr>
    <w:r>
      <w:rPr>
        <w:rStyle w:val="33"/>
        <w:rFonts w:hint="eastAsia" w:ascii="宋体" w:hAnsi="宋体"/>
        <w:sz w:val="28"/>
        <w:szCs w:val="28"/>
      </w:rPr>
      <w:t xml:space="preserve">— </w:t>
    </w:r>
    <w:r>
      <w:rPr>
        <w:rFonts w:hint="eastAsia" w:ascii="宋体" w:hAnsi="宋体"/>
        <w:sz w:val="28"/>
        <w:szCs w:val="28"/>
      </w:rPr>
      <w:fldChar w:fldCharType="begin"/>
    </w:r>
    <w:r>
      <w:rPr>
        <w:rStyle w:val="33"/>
        <w:rFonts w:hint="eastAsia" w:ascii="宋体" w:hAnsi="宋体"/>
        <w:sz w:val="28"/>
        <w:szCs w:val="28"/>
      </w:rPr>
      <w:instrText xml:space="preserve">PAGE  </w:instrText>
    </w:r>
    <w:r>
      <w:rPr>
        <w:rFonts w:hint="eastAsia" w:ascii="宋体" w:hAnsi="宋体"/>
        <w:sz w:val="28"/>
        <w:szCs w:val="28"/>
      </w:rPr>
      <w:fldChar w:fldCharType="separate"/>
    </w:r>
    <w:r>
      <w:rPr>
        <w:rStyle w:val="33"/>
        <w:rFonts w:ascii="宋体" w:hAnsi="宋体"/>
        <w:sz w:val="28"/>
        <w:szCs w:val="28"/>
      </w:rPr>
      <w:t>121</w:t>
    </w:r>
    <w:r>
      <w:rPr>
        <w:rFonts w:hint="eastAsia" w:ascii="宋体" w:hAnsi="宋体"/>
        <w:sz w:val="28"/>
        <w:szCs w:val="28"/>
      </w:rPr>
      <w:fldChar w:fldCharType="end"/>
    </w:r>
    <w:r>
      <w:rPr>
        <w:rStyle w:val="33"/>
        <w:rFonts w:hint="eastAsia" w:ascii="宋体" w:hAnsi="宋体"/>
        <w:sz w:val="28"/>
        <w:szCs w:val="28"/>
      </w:rPr>
      <w:t xml:space="preserve"> —</w:t>
    </w:r>
  </w:p>
  <w:p>
    <w:pPr>
      <w:pStyle w:val="17"/>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outside" w:y="1"/>
      <w:rPr>
        <w:rStyle w:val="33"/>
      </w:rPr>
    </w:pPr>
    <w:r>
      <w:fldChar w:fldCharType="begin"/>
    </w:r>
    <w:r>
      <w:rPr>
        <w:rStyle w:val="33"/>
      </w:rPr>
      <w:instrText xml:space="preserve">PAGE  </w:instrText>
    </w:r>
    <w:r>
      <w:fldChar w:fldCharType="separate"/>
    </w:r>
    <w:r>
      <w:rPr>
        <w:rStyle w:val="33"/>
      </w:rPr>
      <w:t>- 4 -</w:t>
    </w:r>
    <w:r>
      <w:fldChar w:fldCharType="end"/>
    </w:r>
  </w:p>
  <w:p>
    <w:pPr>
      <w:pStyle w:val="1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U3YWRkZmU5OTJhNGQyMDFmYzgxYmU0MjIxODYxNTUifQ=="/>
  </w:docVars>
  <w:rsids>
    <w:rsidRoot w:val="00172A27"/>
    <w:rsid w:val="000020D8"/>
    <w:rsid w:val="0000260D"/>
    <w:rsid w:val="000056C7"/>
    <w:rsid w:val="000065F9"/>
    <w:rsid w:val="00006E08"/>
    <w:rsid w:val="00007745"/>
    <w:rsid w:val="00007E33"/>
    <w:rsid w:val="00011D00"/>
    <w:rsid w:val="00012143"/>
    <w:rsid w:val="000145DF"/>
    <w:rsid w:val="00014862"/>
    <w:rsid w:val="00014D4E"/>
    <w:rsid w:val="0001560C"/>
    <w:rsid w:val="00015AC4"/>
    <w:rsid w:val="0001660D"/>
    <w:rsid w:val="000172D3"/>
    <w:rsid w:val="00017829"/>
    <w:rsid w:val="00020692"/>
    <w:rsid w:val="00020DB2"/>
    <w:rsid w:val="0002213A"/>
    <w:rsid w:val="00022C43"/>
    <w:rsid w:val="000244FC"/>
    <w:rsid w:val="00024B4D"/>
    <w:rsid w:val="000257D7"/>
    <w:rsid w:val="000269F3"/>
    <w:rsid w:val="0002703A"/>
    <w:rsid w:val="00030BB6"/>
    <w:rsid w:val="0003230A"/>
    <w:rsid w:val="0003418F"/>
    <w:rsid w:val="000364D7"/>
    <w:rsid w:val="00036BEF"/>
    <w:rsid w:val="00036BFA"/>
    <w:rsid w:val="00037A6A"/>
    <w:rsid w:val="00040D1C"/>
    <w:rsid w:val="00040F4B"/>
    <w:rsid w:val="000415DE"/>
    <w:rsid w:val="00041A2F"/>
    <w:rsid w:val="00044C21"/>
    <w:rsid w:val="00044E28"/>
    <w:rsid w:val="00044F1A"/>
    <w:rsid w:val="00045373"/>
    <w:rsid w:val="000459B6"/>
    <w:rsid w:val="00045ECD"/>
    <w:rsid w:val="0004723E"/>
    <w:rsid w:val="00047782"/>
    <w:rsid w:val="00047B2C"/>
    <w:rsid w:val="00050A1F"/>
    <w:rsid w:val="00051A7E"/>
    <w:rsid w:val="00051B01"/>
    <w:rsid w:val="00051DB1"/>
    <w:rsid w:val="00051EED"/>
    <w:rsid w:val="000528D7"/>
    <w:rsid w:val="000532AC"/>
    <w:rsid w:val="000535B4"/>
    <w:rsid w:val="0005437E"/>
    <w:rsid w:val="00054BD3"/>
    <w:rsid w:val="0005597C"/>
    <w:rsid w:val="00057168"/>
    <w:rsid w:val="00060883"/>
    <w:rsid w:val="00061B7E"/>
    <w:rsid w:val="000632F4"/>
    <w:rsid w:val="000656C4"/>
    <w:rsid w:val="00065E02"/>
    <w:rsid w:val="0006621C"/>
    <w:rsid w:val="0006763C"/>
    <w:rsid w:val="00070529"/>
    <w:rsid w:val="00072CE7"/>
    <w:rsid w:val="00073451"/>
    <w:rsid w:val="000739CA"/>
    <w:rsid w:val="00075FEE"/>
    <w:rsid w:val="00077492"/>
    <w:rsid w:val="000776B9"/>
    <w:rsid w:val="00077C29"/>
    <w:rsid w:val="00080340"/>
    <w:rsid w:val="00081319"/>
    <w:rsid w:val="000820B8"/>
    <w:rsid w:val="000829A4"/>
    <w:rsid w:val="0008306E"/>
    <w:rsid w:val="00083E1C"/>
    <w:rsid w:val="000849BB"/>
    <w:rsid w:val="00084D33"/>
    <w:rsid w:val="0008516E"/>
    <w:rsid w:val="00085669"/>
    <w:rsid w:val="00086563"/>
    <w:rsid w:val="000867E0"/>
    <w:rsid w:val="00086BAF"/>
    <w:rsid w:val="00086C16"/>
    <w:rsid w:val="00087084"/>
    <w:rsid w:val="00087CB6"/>
    <w:rsid w:val="000906BC"/>
    <w:rsid w:val="00090DF8"/>
    <w:rsid w:val="00091877"/>
    <w:rsid w:val="00091E3B"/>
    <w:rsid w:val="00092382"/>
    <w:rsid w:val="00094BB6"/>
    <w:rsid w:val="00095A92"/>
    <w:rsid w:val="00096488"/>
    <w:rsid w:val="00096C70"/>
    <w:rsid w:val="00097C4C"/>
    <w:rsid w:val="000A0405"/>
    <w:rsid w:val="000A18B7"/>
    <w:rsid w:val="000A19AE"/>
    <w:rsid w:val="000A1E82"/>
    <w:rsid w:val="000A1FA4"/>
    <w:rsid w:val="000A355B"/>
    <w:rsid w:val="000A48AA"/>
    <w:rsid w:val="000A5395"/>
    <w:rsid w:val="000A676C"/>
    <w:rsid w:val="000A694C"/>
    <w:rsid w:val="000A7152"/>
    <w:rsid w:val="000A765B"/>
    <w:rsid w:val="000B125C"/>
    <w:rsid w:val="000B1C17"/>
    <w:rsid w:val="000B2AA9"/>
    <w:rsid w:val="000B300F"/>
    <w:rsid w:val="000B52F3"/>
    <w:rsid w:val="000B5B75"/>
    <w:rsid w:val="000B5B94"/>
    <w:rsid w:val="000B6C73"/>
    <w:rsid w:val="000B7052"/>
    <w:rsid w:val="000B70C6"/>
    <w:rsid w:val="000B74E6"/>
    <w:rsid w:val="000C0DF8"/>
    <w:rsid w:val="000C147C"/>
    <w:rsid w:val="000C1B88"/>
    <w:rsid w:val="000C41FC"/>
    <w:rsid w:val="000C43CF"/>
    <w:rsid w:val="000C534E"/>
    <w:rsid w:val="000C75FB"/>
    <w:rsid w:val="000C7CBE"/>
    <w:rsid w:val="000D08A3"/>
    <w:rsid w:val="000D1632"/>
    <w:rsid w:val="000D2112"/>
    <w:rsid w:val="000D21CD"/>
    <w:rsid w:val="000D314D"/>
    <w:rsid w:val="000D3254"/>
    <w:rsid w:val="000D5251"/>
    <w:rsid w:val="000E05C1"/>
    <w:rsid w:val="000E0AFC"/>
    <w:rsid w:val="000E1526"/>
    <w:rsid w:val="000E1860"/>
    <w:rsid w:val="000E3324"/>
    <w:rsid w:val="000E4398"/>
    <w:rsid w:val="000E4616"/>
    <w:rsid w:val="000E5CD3"/>
    <w:rsid w:val="000E5EF7"/>
    <w:rsid w:val="000E5F2D"/>
    <w:rsid w:val="000E66C0"/>
    <w:rsid w:val="000F01CC"/>
    <w:rsid w:val="000F0CF7"/>
    <w:rsid w:val="000F0D6D"/>
    <w:rsid w:val="000F11C5"/>
    <w:rsid w:val="000F2450"/>
    <w:rsid w:val="000F43C2"/>
    <w:rsid w:val="000F4658"/>
    <w:rsid w:val="000F6295"/>
    <w:rsid w:val="000F64D8"/>
    <w:rsid w:val="000F6B7A"/>
    <w:rsid w:val="0010031C"/>
    <w:rsid w:val="001005F5"/>
    <w:rsid w:val="00101907"/>
    <w:rsid w:val="001023C8"/>
    <w:rsid w:val="001025E7"/>
    <w:rsid w:val="00102D26"/>
    <w:rsid w:val="001041E9"/>
    <w:rsid w:val="001042CE"/>
    <w:rsid w:val="00105B12"/>
    <w:rsid w:val="001072DF"/>
    <w:rsid w:val="00107753"/>
    <w:rsid w:val="00107CAF"/>
    <w:rsid w:val="0011000B"/>
    <w:rsid w:val="00110F44"/>
    <w:rsid w:val="00111880"/>
    <w:rsid w:val="00113498"/>
    <w:rsid w:val="00115392"/>
    <w:rsid w:val="00117B48"/>
    <w:rsid w:val="00117B71"/>
    <w:rsid w:val="0012210D"/>
    <w:rsid w:val="0012341B"/>
    <w:rsid w:val="001263EB"/>
    <w:rsid w:val="00126435"/>
    <w:rsid w:val="001279B2"/>
    <w:rsid w:val="00130AFA"/>
    <w:rsid w:val="00131972"/>
    <w:rsid w:val="0013396E"/>
    <w:rsid w:val="00133FEE"/>
    <w:rsid w:val="001349E3"/>
    <w:rsid w:val="001369F9"/>
    <w:rsid w:val="00136D9E"/>
    <w:rsid w:val="00136ECC"/>
    <w:rsid w:val="001374BD"/>
    <w:rsid w:val="00137CAD"/>
    <w:rsid w:val="00140B6A"/>
    <w:rsid w:val="00141733"/>
    <w:rsid w:val="001429AD"/>
    <w:rsid w:val="001429F7"/>
    <w:rsid w:val="00143C17"/>
    <w:rsid w:val="001443DE"/>
    <w:rsid w:val="001453B5"/>
    <w:rsid w:val="00145C3A"/>
    <w:rsid w:val="00150A66"/>
    <w:rsid w:val="00150ECB"/>
    <w:rsid w:val="0015255F"/>
    <w:rsid w:val="001527C0"/>
    <w:rsid w:val="00152A4C"/>
    <w:rsid w:val="00155E2C"/>
    <w:rsid w:val="001562E2"/>
    <w:rsid w:val="001564BA"/>
    <w:rsid w:val="00157D8F"/>
    <w:rsid w:val="0016509A"/>
    <w:rsid w:val="00165AAC"/>
    <w:rsid w:val="00167D11"/>
    <w:rsid w:val="00170BAA"/>
    <w:rsid w:val="00170BD2"/>
    <w:rsid w:val="00171128"/>
    <w:rsid w:val="00172766"/>
    <w:rsid w:val="00172A27"/>
    <w:rsid w:val="0017335F"/>
    <w:rsid w:val="00173548"/>
    <w:rsid w:val="00174965"/>
    <w:rsid w:val="001759B1"/>
    <w:rsid w:val="00180FB4"/>
    <w:rsid w:val="00182D4D"/>
    <w:rsid w:val="00182D7D"/>
    <w:rsid w:val="00183999"/>
    <w:rsid w:val="00183AB9"/>
    <w:rsid w:val="00183C39"/>
    <w:rsid w:val="00183F30"/>
    <w:rsid w:val="00184E51"/>
    <w:rsid w:val="00184F2F"/>
    <w:rsid w:val="00187443"/>
    <w:rsid w:val="0019207A"/>
    <w:rsid w:val="0019289D"/>
    <w:rsid w:val="00192BB9"/>
    <w:rsid w:val="00193629"/>
    <w:rsid w:val="00195533"/>
    <w:rsid w:val="00196490"/>
    <w:rsid w:val="00197E24"/>
    <w:rsid w:val="001A003A"/>
    <w:rsid w:val="001A0273"/>
    <w:rsid w:val="001A0B69"/>
    <w:rsid w:val="001A1506"/>
    <w:rsid w:val="001A37E8"/>
    <w:rsid w:val="001A541F"/>
    <w:rsid w:val="001A63F6"/>
    <w:rsid w:val="001A65E0"/>
    <w:rsid w:val="001A6A09"/>
    <w:rsid w:val="001B24F6"/>
    <w:rsid w:val="001B56D7"/>
    <w:rsid w:val="001B6CF6"/>
    <w:rsid w:val="001B75C8"/>
    <w:rsid w:val="001B7DFA"/>
    <w:rsid w:val="001C1447"/>
    <w:rsid w:val="001C245E"/>
    <w:rsid w:val="001C2D83"/>
    <w:rsid w:val="001C39E7"/>
    <w:rsid w:val="001C50FF"/>
    <w:rsid w:val="001C54F7"/>
    <w:rsid w:val="001C619A"/>
    <w:rsid w:val="001C6C75"/>
    <w:rsid w:val="001C719E"/>
    <w:rsid w:val="001C725A"/>
    <w:rsid w:val="001C7AEB"/>
    <w:rsid w:val="001D062A"/>
    <w:rsid w:val="001D0688"/>
    <w:rsid w:val="001D0BDE"/>
    <w:rsid w:val="001D1837"/>
    <w:rsid w:val="001D4183"/>
    <w:rsid w:val="001D4363"/>
    <w:rsid w:val="001D4B7E"/>
    <w:rsid w:val="001D5193"/>
    <w:rsid w:val="001D584D"/>
    <w:rsid w:val="001D68BB"/>
    <w:rsid w:val="001D6DD8"/>
    <w:rsid w:val="001D6F74"/>
    <w:rsid w:val="001D6F79"/>
    <w:rsid w:val="001E1339"/>
    <w:rsid w:val="001E1BBE"/>
    <w:rsid w:val="001E2341"/>
    <w:rsid w:val="001E23C2"/>
    <w:rsid w:val="001E2F8A"/>
    <w:rsid w:val="001E32E9"/>
    <w:rsid w:val="001E517E"/>
    <w:rsid w:val="001E5E74"/>
    <w:rsid w:val="001E76DE"/>
    <w:rsid w:val="001E7A40"/>
    <w:rsid w:val="001F02E2"/>
    <w:rsid w:val="001F2C78"/>
    <w:rsid w:val="001F63AA"/>
    <w:rsid w:val="00201604"/>
    <w:rsid w:val="00201BBB"/>
    <w:rsid w:val="00201CC0"/>
    <w:rsid w:val="002025C0"/>
    <w:rsid w:val="00202B8E"/>
    <w:rsid w:val="00203B67"/>
    <w:rsid w:val="00203B98"/>
    <w:rsid w:val="0020486A"/>
    <w:rsid w:val="0020563B"/>
    <w:rsid w:val="00207A91"/>
    <w:rsid w:val="00210679"/>
    <w:rsid w:val="00210E1B"/>
    <w:rsid w:val="00211A43"/>
    <w:rsid w:val="00212822"/>
    <w:rsid w:val="00213A44"/>
    <w:rsid w:val="002142C4"/>
    <w:rsid w:val="00214730"/>
    <w:rsid w:val="0021547E"/>
    <w:rsid w:val="00216400"/>
    <w:rsid w:val="00216A13"/>
    <w:rsid w:val="00216F85"/>
    <w:rsid w:val="00221F49"/>
    <w:rsid w:val="002222A6"/>
    <w:rsid w:val="0022262F"/>
    <w:rsid w:val="0022289D"/>
    <w:rsid w:val="00222DD7"/>
    <w:rsid w:val="002234A7"/>
    <w:rsid w:val="002248EB"/>
    <w:rsid w:val="00227451"/>
    <w:rsid w:val="00227BA5"/>
    <w:rsid w:val="0023198D"/>
    <w:rsid w:val="0023221D"/>
    <w:rsid w:val="0023230D"/>
    <w:rsid w:val="00232384"/>
    <w:rsid w:val="002328AD"/>
    <w:rsid w:val="002330E4"/>
    <w:rsid w:val="0023347F"/>
    <w:rsid w:val="002336F9"/>
    <w:rsid w:val="0023370D"/>
    <w:rsid w:val="002346D5"/>
    <w:rsid w:val="002348ED"/>
    <w:rsid w:val="00234F8A"/>
    <w:rsid w:val="00235447"/>
    <w:rsid w:val="00236663"/>
    <w:rsid w:val="002401C8"/>
    <w:rsid w:val="00240247"/>
    <w:rsid w:val="00240847"/>
    <w:rsid w:val="0024150A"/>
    <w:rsid w:val="00241BF0"/>
    <w:rsid w:val="002433FB"/>
    <w:rsid w:val="002442BD"/>
    <w:rsid w:val="002452F7"/>
    <w:rsid w:val="00246C03"/>
    <w:rsid w:val="002471D5"/>
    <w:rsid w:val="0024785B"/>
    <w:rsid w:val="0025181A"/>
    <w:rsid w:val="0025245C"/>
    <w:rsid w:val="002533DD"/>
    <w:rsid w:val="00253513"/>
    <w:rsid w:val="0025358C"/>
    <w:rsid w:val="00253E8A"/>
    <w:rsid w:val="00253F9D"/>
    <w:rsid w:val="002540B8"/>
    <w:rsid w:val="002543C5"/>
    <w:rsid w:val="00254847"/>
    <w:rsid w:val="002557C1"/>
    <w:rsid w:val="00257364"/>
    <w:rsid w:val="00260828"/>
    <w:rsid w:val="002608E3"/>
    <w:rsid w:val="00261730"/>
    <w:rsid w:val="00261D7B"/>
    <w:rsid w:val="00263111"/>
    <w:rsid w:val="002635CB"/>
    <w:rsid w:val="00263C3A"/>
    <w:rsid w:val="00264FE5"/>
    <w:rsid w:val="0026534C"/>
    <w:rsid w:val="00265F1C"/>
    <w:rsid w:val="002672A3"/>
    <w:rsid w:val="002678F5"/>
    <w:rsid w:val="00267A5C"/>
    <w:rsid w:val="0027099C"/>
    <w:rsid w:val="00271F11"/>
    <w:rsid w:val="002724DD"/>
    <w:rsid w:val="00272A80"/>
    <w:rsid w:val="00272B17"/>
    <w:rsid w:val="002735D5"/>
    <w:rsid w:val="00274167"/>
    <w:rsid w:val="00275F8C"/>
    <w:rsid w:val="00275FCD"/>
    <w:rsid w:val="00277887"/>
    <w:rsid w:val="00277BA3"/>
    <w:rsid w:val="00280DB8"/>
    <w:rsid w:val="00283411"/>
    <w:rsid w:val="002835AA"/>
    <w:rsid w:val="00284140"/>
    <w:rsid w:val="002858F4"/>
    <w:rsid w:val="00285EB1"/>
    <w:rsid w:val="00286BB5"/>
    <w:rsid w:val="0028758D"/>
    <w:rsid w:val="0028790B"/>
    <w:rsid w:val="00292039"/>
    <w:rsid w:val="00293721"/>
    <w:rsid w:val="00295AE9"/>
    <w:rsid w:val="00296D57"/>
    <w:rsid w:val="00297B6F"/>
    <w:rsid w:val="002A10A0"/>
    <w:rsid w:val="002A190F"/>
    <w:rsid w:val="002A1F68"/>
    <w:rsid w:val="002A2C51"/>
    <w:rsid w:val="002A2DD8"/>
    <w:rsid w:val="002A34D3"/>
    <w:rsid w:val="002A42BF"/>
    <w:rsid w:val="002A62BF"/>
    <w:rsid w:val="002A7689"/>
    <w:rsid w:val="002B0CD3"/>
    <w:rsid w:val="002B1314"/>
    <w:rsid w:val="002B4206"/>
    <w:rsid w:val="002B46CA"/>
    <w:rsid w:val="002B6547"/>
    <w:rsid w:val="002B7A9C"/>
    <w:rsid w:val="002C16DA"/>
    <w:rsid w:val="002C2057"/>
    <w:rsid w:val="002C285F"/>
    <w:rsid w:val="002C2B13"/>
    <w:rsid w:val="002C3EFB"/>
    <w:rsid w:val="002C4923"/>
    <w:rsid w:val="002C549F"/>
    <w:rsid w:val="002C6510"/>
    <w:rsid w:val="002C6A06"/>
    <w:rsid w:val="002C7DA7"/>
    <w:rsid w:val="002D01C3"/>
    <w:rsid w:val="002D1F0B"/>
    <w:rsid w:val="002D35C1"/>
    <w:rsid w:val="002D3AC6"/>
    <w:rsid w:val="002D3CD9"/>
    <w:rsid w:val="002D3D87"/>
    <w:rsid w:val="002D55B1"/>
    <w:rsid w:val="002D5D43"/>
    <w:rsid w:val="002D6052"/>
    <w:rsid w:val="002D6627"/>
    <w:rsid w:val="002D6F14"/>
    <w:rsid w:val="002D76AF"/>
    <w:rsid w:val="002E009F"/>
    <w:rsid w:val="002E07C6"/>
    <w:rsid w:val="002E21BE"/>
    <w:rsid w:val="002E42D2"/>
    <w:rsid w:val="002E442C"/>
    <w:rsid w:val="002E7F76"/>
    <w:rsid w:val="002F0006"/>
    <w:rsid w:val="002F0BE0"/>
    <w:rsid w:val="002F0D73"/>
    <w:rsid w:val="002F26A7"/>
    <w:rsid w:val="002F2E8B"/>
    <w:rsid w:val="002F3647"/>
    <w:rsid w:val="002F55F4"/>
    <w:rsid w:val="002F5A1D"/>
    <w:rsid w:val="002F641C"/>
    <w:rsid w:val="003008FF"/>
    <w:rsid w:val="00300959"/>
    <w:rsid w:val="00300EE2"/>
    <w:rsid w:val="00302307"/>
    <w:rsid w:val="0030274E"/>
    <w:rsid w:val="00303A8C"/>
    <w:rsid w:val="00303AB1"/>
    <w:rsid w:val="00303EC8"/>
    <w:rsid w:val="00304939"/>
    <w:rsid w:val="00305AB1"/>
    <w:rsid w:val="00305F8F"/>
    <w:rsid w:val="003060CB"/>
    <w:rsid w:val="003102F9"/>
    <w:rsid w:val="00310A99"/>
    <w:rsid w:val="00310DAE"/>
    <w:rsid w:val="003116E7"/>
    <w:rsid w:val="003125DE"/>
    <w:rsid w:val="00314062"/>
    <w:rsid w:val="00315A08"/>
    <w:rsid w:val="003162AC"/>
    <w:rsid w:val="00316D1C"/>
    <w:rsid w:val="0031737C"/>
    <w:rsid w:val="00317BC9"/>
    <w:rsid w:val="00320903"/>
    <w:rsid w:val="00320CD4"/>
    <w:rsid w:val="00320E00"/>
    <w:rsid w:val="003226CE"/>
    <w:rsid w:val="003235BD"/>
    <w:rsid w:val="00323B48"/>
    <w:rsid w:val="00323C38"/>
    <w:rsid w:val="0032497C"/>
    <w:rsid w:val="00324E65"/>
    <w:rsid w:val="00326E34"/>
    <w:rsid w:val="00326FD5"/>
    <w:rsid w:val="00327965"/>
    <w:rsid w:val="00331644"/>
    <w:rsid w:val="00333B28"/>
    <w:rsid w:val="003343C7"/>
    <w:rsid w:val="0033461B"/>
    <w:rsid w:val="003350C7"/>
    <w:rsid w:val="00336377"/>
    <w:rsid w:val="00336786"/>
    <w:rsid w:val="003369C8"/>
    <w:rsid w:val="00337B35"/>
    <w:rsid w:val="00340739"/>
    <w:rsid w:val="003429EF"/>
    <w:rsid w:val="00342C7D"/>
    <w:rsid w:val="00343A79"/>
    <w:rsid w:val="00344C28"/>
    <w:rsid w:val="00345350"/>
    <w:rsid w:val="003464AA"/>
    <w:rsid w:val="003467B0"/>
    <w:rsid w:val="00346CFC"/>
    <w:rsid w:val="00347D18"/>
    <w:rsid w:val="00347FF9"/>
    <w:rsid w:val="00350578"/>
    <w:rsid w:val="003505F2"/>
    <w:rsid w:val="00351206"/>
    <w:rsid w:val="0035150C"/>
    <w:rsid w:val="003520C9"/>
    <w:rsid w:val="00352ECE"/>
    <w:rsid w:val="00353D57"/>
    <w:rsid w:val="00354778"/>
    <w:rsid w:val="0035478A"/>
    <w:rsid w:val="00354806"/>
    <w:rsid w:val="00355E2C"/>
    <w:rsid w:val="00361E64"/>
    <w:rsid w:val="00362498"/>
    <w:rsid w:val="0036255F"/>
    <w:rsid w:val="003641AA"/>
    <w:rsid w:val="00365B8E"/>
    <w:rsid w:val="00366ED4"/>
    <w:rsid w:val="00366F64"/>
    <w:rsid w:val="00370380"/>
    <w:rsid w:val="00371A7D"/>
    <w:rsid w:val="00371FE6"/>
    <w:rsid w:val="00372846"/>
    <w:rsid w:val="003736B4"/>
    <w:rsid w:val="003736ED"/>
    <w:rsid w:val="0037498B"/>
    <w:rsid w:val="00376891"/>
    <w:rsid w:val="003801F0"/>
    <w:rsid w:val="0038104A"/>
    <w:rsid w:val="00381965"/>
    <w:rsid w:val="00382195"/>
    <w:rsid w:val="00383868"/>
    <w:rsid w:val="00385220"/>
    <w:rsid w:val="00385681"/>
    <w:rsid w:val="00385ED2"/>
    <w:rsid w:val="00386BFC"/>
    <w:rsid w:val="00386CCB"/>
    <w:rsid w:val="00387619"/>
    <w:rsid w:val="00387A7B"/>
    <w:rsid w:val="00387C18"/>
    <w:rsid w:val="00387F98"/>
    <w:rsid w:val="00391111"/>
    <w:rsid w:val="003911FC"/>
    <w:rsid w:val="00391DC4"/>
    <w:rsid w:val="003928D2"/>
    <w:rsid w:val="00393D4D"/>
    <w:rsid w:val="0039450F"/>
    <w:rsid w:val="00394DB8"/>
    <w:rsid w:val="00395200"/>
    <w:rsid w:val="003967F6"/>
    <w:rsid w:val="00396960"/>
    <w:rsid w:val="00397CFE"/>
    <w:rsid w:val="003A0354"/>
    <w:rsid w:val="003A1498"/>
    <w:rsid w:val="003A25A1"/>
    <w:rsid w:val="003A3E25"/>
    <w:rsid w:val="003A5E5C"/>
    <w:rsid w:val="003A79AD"/>
    <w:rsid w:val="003B0CF5"/>
    <w:rsid w:val="003B4FD7"/>
    <w:rsid w:val="003B5600"/>
    <w:rsid w:val="003B5A11"/>
    <w:rsid w:val="003B74CE"/>
    <w:rsid w:val="003B75B6"/>
    <w:rsid w:val="003B7608"/>
    <w:rsid w:val="003C0B6E"/>
    <w:rsid w:val="003C13D6"/>
    <w:rsid w:val="003C2B9C"/>
    <w:rsid w:val="003C382D"/>
    <w:rsid w:val="003C435F"/>
    <w:rsid w:val="003C4E88"/>
    <w:rsid w:val="003C5884"/>
    <w:rsid w:val="003C72F9"/>
    <w:rsid w:val="003C759B"/>
    <w:rsid w:val="003D0456"/>
    <w:rsid w:val="003D1F25"/>
    <w:rsid w:val="003D2371"/>
    <w:rsid w:val="003D3934"/>
    <w:rsid w:val="003D3C25"/>
    <w:rsid w:val="003D43CC"/>
    <w:rsid w:val="003D4732"/>
    <w:rsid w:val="003D4E3D"/>
    <w:rsid w:val="003D5151"/>
    <w:rsid w:val="003D567C"/>
    <w:rsid w:val="003D5720"/>
    <w:rsid w:val="003D6043"/>
    <w:rsid w:val="003D6446"/>
    <w:rsid w:val="003D7B9C"/>
    <w:rsid w:val="003D7D4C"/>
    <w:rsid w:val="003E34F9"/>
    <w:rsid w:val="003E3870"/>
    <w:rsid w:val="003E4705"/>
    <w:rsid w:val="003E5184"/>
    <w:rsid w:val="003E57DD"/>
    <w:rsid w:val="003E5BAC"/>
    <w:rsid w:val="003E64DF"/>
    <w:rsid w:val="003E6A4D"/>
    <w:rsid w:val="003E75A5"/>
    <w:rsid w:val="003E7A32"/>
    <w:rsid w:val="003F02AF"/>
    <w:rsid w:val="003F2BB0"/>
    <w:rsid w:val="003F3945"/>
    <w:rsid w:val="003F412B"/>
    <w:rsid w:val="003F4399"/>
    <w:rsid w:val="003F59AD"/>
    <w:rsid w:val="003F6D03"/>
    <w:rsid w:val="003F6D43"/>
    <w:rsid w:val="003F7726"/>
    <w:rsid w:val="003F7C52"/>
    <w:rsid w:val="003F7DE6"/>
    <w:rsid w:val="00401970"/>
    <w:rsid w:val="004022D0"/>
    <w:rsid w:val="00403E1F"/>
    <w:rsid w:val="00405B63"/>
    <w:rsid w:val="00405C30"/>
    <w:rsid w:val="00406FB4"/>
    <w:rsid w:val="00411D65"/>
    <w:rsid w:val="004127BE"/>
    <w:rsid w:val="004133CC"/>
    <w:rsid w:val="0041587C"/>
    <w:rsid w:val="0041692F"/>
    <w:rsid w:val="004178E2"/>
    <w:rsid w:val="00422DDC"/>
    <w:rsid w:val="00422FCB"/>
    <w:rsid w:val="004230BE"/>
    <w:rsid w:val="0042321A"/>
    <w:rsid w:val="0042389E"/>
    <w:rsid w:val="0042494B"/>
    <w:rsid w:val="00424A0C"/>
    <w:rsid w:val="00425A05"/>
    <w:rsid w:val="00425BCA"/>
    <w:rsid w:val="004312C5"/>
    <w:rsid w:val="0043163F"/>
    <w:rsid w:val="00431814"/>
    <w:rsid w:val="00431EB3"/>
    <w:rsid w:val="0043228F"/>
    <w:rsid w:val="00432531"/>
    <w:rsid w:val="00433138"/>
    <w:rsid w:val="0043326B"/>
    <w:rsid w:val="00433984"/>
    <w:rsid w:val="00436F30"/>
    <w:rsid w:val="00437BC5"/>
    <w:rsid w:val="00437F05"/>
    <w:rsid w:val="004405BE"/>
    <w:rsid w:val="00440942"/>
    <w:rsid w:val="00440A29"/>
    <w:rsid w:val="004410EA"/>
    <w:rsid w:val="00441456"/>
    <w:rsid w:val="0044192F"/>
    <w:rsid w:val="0044206E"/>
    <w:rsid w:val="004441D2"/>
    <w:rsid w:val="0044447D"/>
    <w:rsid w:val="0044625E"/>
    <w:rsid w:val="00450D91"/>
    <w:rsid w:val="00452338"/>
    <w:rsid w:val="004524C4"/>
    <w:rsid w:val="00454F0A"/>
    <w:rsid w:val="004550DF"/>
    <w:rsid w:val="00455287"/>
    <w:rsid w:val="00456239"/>
    <w:rsid w:val="00456888"/>
    <w:rsid w:val="00456E1A"/>
    <w:rsid w:val="00457138"/>
    <w:rsid w:val="00460279"/>
    <w:rsid w:val="004604D5"/>
    <w:rsid w:val="00460B83"/>
    <w:rsid w:val="00460DF0"/>
    <w:rsid w:val="00461F84"/>
    <w:rsid w:val="004621C8"/>
    <w:rsid w:val="00462293"/>
    <w:rsid w:val="00462323"/>
    <w:rsid w:val="00462F30"/>
    <w:rsid w:val="00463A9F"/>
    <w:rsid w:val="00463D66"/>
    <w:rsid w:val="00464158"/>
    <w:rsid w:val="00464B06"/>
    <w:rsid w:val="00464B36"/>
    <w:rsid w:val="00464C6D"/>
    <w:rsid w:val="00466288"/>
    <w:rsid w:val="00466291"/>
    <w:rsid w:val="00466398"/>
    <w:rsid w:val="0046683B"/>
    <w:rsid w:val="00466F0B"/>
    <w:rsid w:val="004679CC"/>
    <w:rsid w:val="00467D70"/>
    <w:rsid w:val="0047053D"/>
    <w:rsid w:val="004725CC"/>
    <w:rsid w:val="00475633"/>
    <w:rsid w:val="00475823"/>
    <w:rsid w:val="00475CBF"/>
    <w:rsid w:val="00476221"/>
    <w:rsid w:val="00480C46"/>
    <w:rsid w:val="00481309"/>
    <w:rsid w:val="004813CC"/>
    <w:rsid w:val="00481685"/>
    <w:rsid w:val="004823F8"/>
    <w:rsid w:val="004827BA"/>
    <w:rsid w:val="004827CC"/>
    <w:rsid w:val="004829B1"/>
    <w:rsid w:val="00483058"/>
    <w:rsid w:val="00483372"/>
    <w:rsid w:val="004834B0"/>
    <w:rsid w:val="0048365E"/>
    <w:rsid w:val="00483F1D"/>
    <w:rsid w:val="00486247"/>
    <w:rsid w:val="004869F8"/>
    <w:rsid w:val="00486EC5"/>
    <w:rsid w:val="00486F42"/>
    <w:rsid w:val="00487F08"/>
    <w:rsid w:val="0049019A"/>
    <w:rsid w:val="00490F77"/>
    <w:rsid w:val="00491A87"/>
    <w:rsid w:val="004923E9"/>
    <w:rsid w:val="00493859"/>
    <w:rsid w:val="00493888"/>
    <w:rsid w:val="00493BE1"/>
    <w:rsid w:val="00493E83"/>
    <w:rsid w:val="00493ED5"/>
    <w:rsid w:val="00494958"/>
    <w:rsid w:val="004960CA"/>
    <w:rsid w:val="0049631D"/>
    <w:rsid w:val="004970EC"/>
    <w:rsid w:val="00497F39"/>
    <w:rsid w:val="004A028C"/>
    <w:rsid w:val="004A27BC"/>
    <w:rsid w:val="004A3F5A"/>
    <w:rsid w:val="004A4CEF"/>
    <w:rsid w:val="004A4DD0"/>
    <w:rsid w:val="004A5652"/>
    <w:rsid w:val="004B03CD"/>
    <w:rsid w:val="004B0E80"/>
    <w:rsid w:val="004B1093"/>
    <w:rsid w:val="004B28C3"/>
    <w:rsid w:val="004B5131"/>
    <w:rsid w:val="004B5845"/>
    <w:rsid w:val="004B6230"/>
    <w:rsid w:val="004B62E7"/>
    <w:rsid w:val="004B6444"/>
    <w:rsid w:val="004B6918"/>
    <w:rsid w:val="004B6BE7"/>
    <w:rsid w:val="004B6E3B"/>
    <w:rsid w:val="004B70B3"/>
    <w:rsid w:val="004B74EF"/>
    <w:rsid w:val="004C1CD2"/>
    <w:rsid w:val="004C27CF"/>
    <w:rsid w:val="004C3B67"/>
    <w:rsid w:val="004C549C"/>
    <w:rsid w:val="004C6DCD"/>
    <w:rsid w:val="004C78C4"/>
    <w:rsid w:val="004D006E"/>
    <w:rsid w:val="004D27AC"/>
    <w:rsid w:val="004D3307"/>
    <w:rsid w:val="004D77DB"/>
    <w:rsid w:val="004D7C8C"/>
    <w:rsid w:val="004E1271"/>
    <w:rsid w:val="004E1329"/>
    <w:rsid w:val="004E2237"/>
    <w:rsid w:val="004E2934"/>
    <w:rsid w:val="004E2983"/>
    <w:rsid w:val="004E5574"/>
    <w:rsid w:val="004E729A"/>
    <w:rsid w:val="004F2EE2"/>
    <w:rsid w:val="004F3289"/>
    <w:rsid w:val="004F39D1"/>
    <w:rsid w:val="004F675C"/>
    <w:rsid w:val="004F7575"/>
    <w:rsid w:val="004F7C45"/>
    <w:rsid w:val="00500677"/>
    <w:rsid w:val="00501B8B"/>
    <w:rsid w:val="00501DA8"/>
    <w:rsid w:val="005026BB"/>
    <w:rsid w:val="0050320E"/>
    <w:rsid w:val="00504103"/>
    <w:rsid w:val="005042D3"/>
    <w:rsid w:val="0050471E"/>
    <w:rsid w:val="0050580E"/>
    <w:rsid w:val="0050759E"/>
    <w:rsid w:val="00507A48"/>
    <w:rsid w:val="005125BA"/>
    <w:rsid w:val="00513B60"/>
    <w:rsid w:val="0051499B"/>
    <w:rsid w:val="00516269"/>
    <w:rsid w:val="00516EC2"/>
    <w:rsid w:val="00517B12"/>
    <w:rsid w:val="00517CBC"/>
    <w:rsid w:val="00520549"/>
    <w:rsid w:val="0052097C"/>
    <w:rsid w:val="005223CD"/>
    <w:rsid w:val="00522E83"/>
    <w:rsid w:val="00522F32"/>
    <w:rsid w:val="005238FA"/>
    <w:rsid w:val="00523CE9"/>
    <w:rsid w:val="00523F13"/>
    <w:rsid w:val="005248B7"/>
    <w:rsid w:val="005252B9"/>
    <w:rsid w:val="005262E1"/>
    <w:rsid w:val="00527121"/>
    <w:rsid w:val="0053103A"/>
    <w:rsid w:val="00531BEB"/>
    <w:rsid w:val="0053203C"/>
    <w:rsid w:val="00532184"/>
    <w:rsid w:val="005330F9"/>
    <w:rsid w:val="005339C9"/>
    <w:rsid w:val="005348FF"/>
    <w:rsid w:val="005349BA"/>
    <w:rsid w:val="00534E67"/>
    <w:rsid w:val="005353EC"/>
    <w:rsid w:val="005354CD"/>
    <w:rsid w:val="00535E8F"/>
    <w:rsid w:val="0053633C"/>
    <w:rsid w:val="00536E42"/>
    <w:rsid w:val="0053751F"/>
    <w:rsid w:val="00537E70"/>
    <w:rsid w:val="00540223"/>
    <w:rsid w:val="00541989"/>
    <w:rsid w:val="00541E07"/>
    <w:rsid w:val="00542063"/>
    <w:rsid w:val="0054256F"/>
    <w:rsid w:val="00543A28"/>
    <w:rsid w:val="00543D1A"/>
    <w:rsid w:val="00544150"/>
    <w:rsid w:val="005444D6"/>
    <w:rsid w:val="00544D20"/>
    <w:rsid w:val="00546549"/>
    <w:rsid w:val="0055194C"/>
    <w:rsid w:val="00552D45"/>
    <w:rsid w:val="00553A3A"/>
    <w:rsid w:val="00556F7F"/>
    <w:rsid w:val="00557432"/>
    <w:rsid w:val="00560077"/>
    <w:rsid w:val="00560634"/>
    <w:rsid w:val="00560958"/>
    <w:rsid w:val="005610A7"/>
    <w:rsid w:val="00564257"/>
    <w:rsid w:val="00566C1A"/>
    <w:rsid w:val="00566E05"/>
    <w:rsid w:val="00566EC9"/>
    <w:rsid w:val="005675AE"/>
    <w:rsid w:val="00567988"/>
    <w:rsid w:val="00571CFF"/>
    <w:rsid w:val="00573CFE"/>
    <w:rsid w:val="00573FBF"/>
    <w:rsid w:val="005740B2"/>
    <w:rsid w:val="0057486C"/>
    <w:rsid w:val="005749EB"/>
    <w:rsid w:val="00574A99"/>
    <w:rsid w:val="00574F54"/>
    <w:rsid w:val="0057675A"/>
    <w:rsid w:val="00576B83"/>
    <w:rsid w:val="00580016"/>
    <w:rsid w:val="00580475"/>
    <w:rsid w:val="00580CF0"/>
    <w:rsid w:val="00581D56"/>
    <w:rsid w:val="00581E12"/>
    <w:rsid w:val="00581FC9"/>
    <w:rsid w:val="00582CF9"/>
    <w:rsid w:val="00583F88"/>
    <w:rsid w:val="00584656"/>
    <w:rsid w:val="005848D6"/>
    <w:rsid w:val="005852BA"/>
    <w:rsid w:val="005854FB"/>
    <w:rsid w:val="0058725E"/>
    <w:rsid w:val="0058734F"/>
    <w:rsid w:val="0058748D"/>
    <w:rsid w:val="005877D8"/>
    <w:rsid w:val="00590117"/>
    <w:rsid w:val="0059061A"/>
    <w:rsid w:val="00591329"/>
    <w:rsid w:val="00591425"/>
    <w:rsid w:val="00591D1F"/>
    <w:rsid w:val="00591D75"/>
    <w:rsid w:val="00592B00"/>
    <w:rsid w:val="00592ED1"/>
    <w:rsid w:val="0059382A"/>
    <w:rsid w:val="00593F00"/>
    <w:rsid w:val="00594671"/>
    <w:rsid w:val="005954AA"/>
    <w:rsid w:val="005958C7"/>
    <w:rsid w:val="00596634"/>
    <w:rsid w:val="005966EF"/>
    <w:rsid w:val="005969FE"/>
    <w:rsid w:val="00597A3D"/>
    <w:rsid w:val="00597C87"/>
    <w:rsid w:val="005A1342"/>
    <w:rsid w:val="005A1584"/>
    <w:rsid w:val="005A1CCF"/>
    <w:rsid w:val="005A26EB"/>
    <w:rsid w:val="005A3DDC"/>
    <w:rsid w:val="005A4747"/>
    <w:rsid w:val="005A4A14"/>
    <w:rsid w:val="005A5D5D"/>
    <w:rsid w:val="005A5E03"/>
    <w:rsid w:val="005B1478"/>
    <w:rsid w:val="005B26BC"/>
    <w:rsid w:val="005B4269"/>
    <w:rsid w:val="005B604F"/>
    <w:rsid w:val="005B6FEB"/>
    <w:rsid w:val="005C2F76"/>
    <w:rsid w:val="005C3FE6"/>
    <w:rsid w:val="005C4360"/>
    <w:rsid w:val="005C4DCE"/>
    <w:rsid w:val="005C569B"/>
    <w:rsid w:val="005C6D78"/>
    <w:rsid w:val="005D00EC"/>
    <w:rsid w:val="005D03A1"/>
    <w:rsid w:val="005D04B6"/>
    <w:rsid w:val="005D1ECE"/>
    <w:rsid w:val="005D1F20"/>
    <w:rsid w:val="005D322B"/>
    <w:rsid w:val="005D37D1"/>
    <w:rsid w:val="005D4035"/>
    <w:rsid w:val="005D5DC3"/>
    <w:rsid w:val="005D6902"/>
    <w:rsid w:val="005E20CC"/>
    <w:rsid w:val="005E3085"/>
    <w:rsid w:val="005E436F"/>
    <w:rsid w:val="005E62AE"/>
    <w:rsid w:val="005F16E7"/>
    <w:rsid w:val="005F2F31"/>
    <w:rsid w:val="005F31B0"/>
    <w:rsid w:val="005F39D3"/>
    <w:rsid w:val="005F3B42"/>
    <w:rsid w:val="005F4C5F"/>
    <w:rsid w:val="005F4E1C"/>
    <w:rsid w:val="005F4EDE"/>
    <w:rsid w:val="005F4FDB"/>
    <w:rsid w:val="005F60C5"/>
    <w:rsid w:val="005F69F6"/>
    <w:rsid w:val="00600889"/>
    <w:rsid w:val="00602B18"/>
    <w:rsid w:val="00602F1C"/>
    <w:rsid w:val="00604805"/>
    <w:rsid w:val="006051DA"/>
    <w:rsid w:val="00605A51"/>
    <w:rsid w:val="00606047"/>
    <w:rsid w:val="0060661D"/>
    <w:rsid w:val="00607A00"/>
    <w:rsid w:val="006117B2"/>
    <w:rsid w:val="006136A8"/>
    <w:rsid w:val="0061468D"/>
    <w:rsid w:val="00614820"/>
    <w:rsid w:val="00615B58"/>
    <w:rsid w:val="00615E33"/>
    <w:rsid w:val="0061659F"/>
    <w:rsid w:val="00616A5A"/>
    <w:rsid w:val="0062026D"/>
    <w:rsid w:val="00621759"/>
    <w:rsid w:val="00621FFF"/>
    <w:rsid w:val="0062233C"/>
    <w:rsid w:val="00622C51"/>
    <w:rsid w:val="00623B1D"/>
    <w:rsid w:val="00623DD6"/>
    <w:rsid w:val="006246C0"/>
    <w:rsid w:val="00624B9D"/>
    <w:rsid w:val="00624B9F"/>
    <w:rsid w:val="00625970"/>
    <w:rsid w:val="00625C7B"/>
    <w:rsid w:val="00625DDC"/>
    <w:rsid w:val="00625FA9"/>
    <w:rsid w:val="006276EB"/>
    <w:rsid w:val="00630049"/>
    <w:rsid w:val="0063206B"/>
    <w:rsid w:val="00632433"/>
    <w:rsid w:val="00632BA4"/>
    <w:rsid w:val="00633E6A"/>
    <w:rsid w:val="006401BA"/>
    <w:rsid w:val="006401D7"/>
    <w:rsid w:val="0064149D"/>
    <w:rsid w:val="0064160A"/>
    <w:rsid w:val="006419F5"/>
    <w:rsid w:val="006420E3"/>
    <w:rsid w:val="00645920"/>
    <w:rsid w:val="00646E6D"/>
    <w:rsid w:val="006471F7"/>
    <w:rsid w:val="0065030A"/>
    <w:rsid w:val="00650FBF"/>
    <w:rsid w:val="006510B9"/>
    <w:rsid w:val="00651A5F"/>
    <w:rsid w:val="00654052"/>
    <w:rsid w:val="0065442C"/>
    <w:rsid w:val="00654976"/>
    <w:rsid w:val="00654C94"/>
    <w:rsid w:val="0065611C"/>
    <w:rsid w:val="00657DF9"/>
    <w:rsid w:val="00660FEC"/>
    <w:rsid w:val="0066112A"/>
    <w:rsid w:val="00661541"/>
    <w:rsid w:val="006618BD"/>
    <w:rsid w:val="00661944"/>
    <w:rsid w:val="00662B86"/>
    <w:rsid w:val="00662C3F"/>
    <w:rsid w:val="0066317B"/>
    <w:rsid w:val="006632F4"/>
    <w:rsid w:val="00663310"/>
    <w:rsid w:val="006646DB"/>
    <w:rsid w:val="00664B82"/>
    <w:rsid w:val="006650C8"/>
    <w:rsid w:val="0066577C"/>
    <w:rsid w:val="00665CB9"/>
    <w:rsid w:val="006663E4"/>
    <w:rsid w:val="006678B2"/>
    <w:rsid w:val="00670216"/>
    <w:rsid w:val="006717C9"/>
    <w:rsid w:val="00673250"/>
    <w:rsid w:val="0067373F"/>
    <w:rsid w:val="0067402B"/>
    <w:rsid w:val="006749E2"/>
    <w:rsid w:val="00674DEA"/>
    <w:rsid w:val="00675538"/>
    <w:rsid w:val="006774CE"/>
    <w:rsid w:val="00677727"/>
    <w:rsid w:val="00680825"/>
    <w:rsid w:val="00681145"/>
    <w:rsid w:val="00686104"/>
    <w:rsid w:val="00686E86"/>
    <w:rsid w:val="006871C8"/>
    <w:rsid w:val="0068767E"/>
    <w:rsid w:val="00687F9C"/>
    <w:rsid w:val="00690F99"/>
    <w:rsid w:val="006913F8"/>
    <w:rsid w:val="006917D7"/>
    <w:rsid w:val="00691804"/>
    <w:rsid w:val="00691866"/>
    <w:rsid w:val="00691D02"/>
    <w:rsid w:val="00691D31"/>
    <w:rsid w:val="00692A36"/>
    <w:rsid w:val="0069476B"/>
    <w:rsid w:val="00695DA9"/>
    <w:rsid w:val="00696599"/>
    <w:rsid w:val="0069798B"/>
    <w:rsid w:val="006A19DB"/>
    <w:rsid w:val="006A2A52"/>
    <w:rsid w:val="006A3B7C"/>
    <w:rsid w:val="006A4118"/>
    <w:rsid w:val="006A4FA0"/>
    <w:rsid w:val="006A534F"/>
    <w:rsid w:val="006A59EE"/>
    <w:rsid w:val="006A627B"/>
    <w:rsid w:val="006A70F2"/>
    <w:rsid w:val="006A758B"/>
    <w:rsid w:val="006A7618"/>
    <w:rsid w:val="006B1FAE"/>
    <w:rsid w:val="006B2D66"/>
    <w:rsid w:val="006B5740"/>
    <w:rsid w:val="006B607B"/>
    <w:rsid w:val="006B60F2"/>
    <w:rsid w:val="006B7938"/>
    <w:rsid w:val="006B7975"/>
    <w:rsid w:val="006C09FB"/>
    <w:rsid w:val="006C0D1F"/>
    <w:rsid w:val="006C2FD1"/>
    <w:rsid w:val="006C35ED"/>
    <w:rsid w:val="006C3BE2"/>
    <w:rsid w:val="006C46D3"/>
    <w:rsid w:val="006C4F2F"/>
    <w:rsid w:val="006C52CA"/>
    <w:rsid w:val="006C5B8B"/>
    <w:rsid w:val="006C6A19"/>
    <w:rsid w:val="006C7FB0"/>
    <w:rsid w:val="006D08E4"/>
    <w:rsid w:val="006D1202"/>
    <w:rsid w:val="006D2B24"/>
    <w:rsid w:val="006D2D45"/>
    <w:rsid w:val="006D3CC0"/>
    <w:rsid w:val="006D56FE"/>
    <w:rsid w:val="006E0962"/>
    <w:rsid w:val="006E1E24"/>
    <w:rsid w:val="006E3A19"/>
    <w:rsid w:val="006E41CB"/>
    <w:rsid w:val="006E48C8"/>
    <w:rsid w:val="006E58E0"/>
    <w:rsid w:val="006E7E0E"/>
    <w:rsid w:val="006F05F0"/>
    <w:rsid w:val="006F144D"/>
    <w:rsid w:val="006F3FAB"/>
    <w:rsid w:val="006F4853"/>
    <w:rsid w:val="006F56C5"/>
    <w:rsid w:val="006F660B"/>
    <w:rsid w:val="00701D1C"/>
    <w:rsid w:val="00702443"/>
    <w:rsid w:val="00702BA2"/>
    <w:rsid w:val="00704636"/>
    <w:rsid w:val="00705BEF"/>
    <w:rsid w:val="00705FAE"/>
    <w:rsid w:val="00706A7E"/>
    <w:rsid w:val="00706D72"/>
    <w:rsid w:val="0070768C"/>
    <w:rsid w:val="00712C8F"/>
    <w:rsid w:val="00714A6C"/>
    <w:rsid w:val="00714D86"/>
    <w:rsid w:val="007151ED"/>
    <w:rsid w:val="00716007"/>
    <w:rsid w:val="00717898"/>
    <w:rsid w:val="0072101C"/>
    <w:rsid w:val="00722762"/>
    <w:rsid w:val="007228FF"/>
    <w:rsid w:val="00723389"/>
    <w:rsid w:val="00723727"/>
    <w:rsid w:val="00723FF1"/>
    <w:rsid w:val="007247C6"/>
    <w:rsid w:val="007248E6"/>
    <w:rsid w:val="00725193"/>
    <w:rsid w:val="00725748"/>
    <w:rsid w:val="007262C8"/>
    <w:rsid w:val="00726A7C"/>
    <w:rsid w:val="00726E89"/>
    <w:rsid w:val="00726FCD"/>
    <w:rsid w:val="00727C14"/>
    <w:rsid w:val="00727EC3"/>
    <w:rsid w:val="0073047A"/>
    <w:rsid w:val="00730FA0"/>
    <w:rsid w:val="007333EE"/>
    <w:rsid w:val="007334A0"/>
    <w:rsid w:val="007336D9"/>
    <w:rsid w:val="007345AD"/>
    <w:rsid w:val="007347A3"/>
    <w:rsid w:val="007352C6"/>
    <w:rsid w:val="00735540"/>
    <w:rsid w:val="007356D9"/>
    <w:rsid w:val="00736B36"/>
    <w:rsid w:val="00737FA0"/>
    <w:rsid w:val="0074325B"/>
    <w:rsid w:val="007440B4"/>
    <w:rsid w:val="0074435B"/>
    <w:rsid w:val="0074575E"/>
    <w:rsid w:val="00746B21"/>
    <w:rsid w:val="00746CEF"/>
    <w:rsid w:val="00746D1E"/>
    <w:rsid w:val="007511E3"/>
    <w:rsid w:val="00751959"/>
    <w:rsid w:val="00752093"/>
    <w:rsid w:val="00752A65"/>
    <w:rsid w:val="00755E29"/>
    <w:rsid w:val="007560AD"/>
    <w:rsid w:val="00756198"/>
    <w:rsid w:val="00756207"/>
    <w:rsid w:val="00757719"/>
    <w:rsid w:val="007606EA"/>
    <w:rsid w:val="0076220B"/>
    <w:rsid w:val="00762603"/>
    <w:rsid w:val="00762BAA"/>
    <w:rsid w:val="0076393A"/>
    <w:rsid w:val="00763A75"/>
    <w:rsid w:val="00763E14"/>
    <w:rsid w:val="00765D10"/>
    <w:rsid w:val="00766664"/>
    <w:rsid w:val="00766859"/>
    <w:rsid w:val="00766999"/>
    <w:rsid w:val="00766C00"/>
    <w:rsid w:val="00766D6F"/>
    <w:rsid w:val="00766E83"/>
    <w:rsid w:val="00767F25"/>
    <w:rsid w:val="007703F9"/>
    <w:rsid w:val="0077087A"/>
    <w:rsid w:val="00770D0C"/>
    <w:rsid w:val="00773155"/>
    <w:rsid w:val="0077329C"/>
    <w:rsid w:val="007738B3"/>
    <w:rsid w:val="00773B12"/>
    <w:rsid w:val="00774223"/>
    <w:rsid w:val="007749D8"/>
    <w:rsid w:val="0077628B"/>
    <w:rsid w:val="00776C94"/>
    <w:rsid w:val="00780803"/>
    <w:rsid w:val="00781357"/>
    <w:rsid w:val="00781B76"/>
    <w:rsid w:val="00782C31"/>
    <w:rsid w:val="0078544A"/>
    <w:rsid w:val="00785EC2"/>
    <w:rsid w:val="00791035"/>
    <w:rsid w:val="00792A17"/>
    <w:rsid w:val="00792A80"/>
    <w:rsid w:val="00792F79"/>
    <w:rsid w:val="00793DEB"/>
    <w:rsid w:val="007944D2"/>
    <w:rsid w:val="007952DC"/>
    <w:rsid w:val="00795975"/>
    <w:rsid w:val="00795C95"/>
    <w:rsid w:val="00795F1C"/>
    <w:rsid w:val="00796EDD"/>
    <w:rsid w:val="00797865"/>
    <w:rsid w:val="00797BCA"/>
    <w:rsid w:val="00797C4D"/>
    <w:rsid w:val="007A3EF8"/>
    <w:rsid w:val="007A4129"/>
    <w:rsid w:val="007A4AD4"/>
    <w:rsid w:val="007A5595"/>
    <w:rsid w:val="007A5D54"/>
    <w:rsid w:val="007A6961"/>
    <w:rsid w:val="007A7818"/>
    <w:rsid w:val="007B0637"/>
    <w:rsid w:val="007B0998"/>
    <w:rsid w:val="007B2E4E"/>
    <w:rsid w:val="007B3962"/>
    <w:rsid w:val="007B4080"/>
    <w:rsid w:val="007B4A7A"/>
    <w:rsid w:val="007B541E"/>
    <w:rsid w:val="007B6C1D"/>
    <w:rsid w:val="007B705F"/>
    <w:rsid w:val="007B7371"/>
    <w:rsid w:val="007B7DD5"/>
    <w:rsid w:val="007C03A8"/>
    <w:rsid w:val="007C1AFE"/>
    <w:rsid w:val="007C1CD7"/>
    <w:rsid w:val="007C2016"/>
    <w:rsid w:val="007C2DF7"/>
    <w:rsid w:val="007C318F"/>
    <w:rsid w:val="007C31D4"/>
    <w:rsid w:val="007C3A86"/>
    <w:rsid w:val="007C426F"/>
    <w:rsid w:val="007C4538"/>
    <w:rsid w:val="007C4638"/>
    <w:rsid w:val="007C62FE"/>
    <w:rsid w:val="007C6AF9"/>
    <w:rsid w:val="007D432E"/>
    <w:rsid w:val="007D4586"/>
    <w:rsid w:val="007D486E"/>
    <w:rsid w:val="007D5CF5"/>
    <w:rsid w:val="007D6F42"/>
    <w:rsid w:val="007D7E2C"/>
    <w:rsid w:val="007E286E"/>
    <w:rsid w:val="007E2897"/>
    <w:rsid w:val="007E3224"/>
    <w:rsid w:val="007E6457"/>
    <w:rsid w:val="007E65FF"/>
    <w:rsid w:val="007F1235"/>
    <w:rsid w:val="007F1BD8"/>
    <w:rsid w:val="007F1E96"/>
    <w:rsid w:val="007F2117"/>
    <w:rsid w:val="007F2699"/>
    <w:rsid w:val="007F27E7"/>
    <w:rsid w:val="007F2B37"/>
    <w:rsid w:val="007F3699"/>
    <w:rsid w:val="007F4558"/>
    <w:rsid w:val="007F4ECB"/>
    <w:rsid w:val="007F54DA"/>
    <w:rsid w:val="007F567B"/>
    <w:rsid w:val="007F6068"/>
    <w:rsid w:val="007F66C7"/>
    <w:rsid w:val="007F6843"/>
    <w:rsid w:val="00801377"/>
    <w:rsid w:val="00801B58"/>
    <w:rsid w:val="008027AB"/>
    <w:rsid w:val="00803812"/>
    <w:rsid w:val="00803837"/>
    <w:rsid w:val="00804861"/>
    <w:rsid w:val="00806396"/>
    <w:rsid w:val="00806662"/>
    <w:rsid w:val="008066A2"/>
    <w:rsid w:val="008076C3"/>
    <w:rsid w:val="00807E5C"/>
    <w:rsid w:val="00807FD8"/>
    <w:rsid w:val="00810EDA"/>
    <w:rsid w:val="0081161D"/>
    <w:rsid w:val="00811F9A"/>
    <w:rsid w:val="0081285D"/>
    <w:rsid w:val="008128E4"/>
    <w:rsid w:val="00812FA9"/>
    <w:rsid w:val="00813C69"/>
    <w:rsid w:val="00813DFC"/>
    <w:rsid w:val="00813EF3"/>
    <w:rsid w:val="00814509"/>
    <w:rsid w:val="0081572C"/>
    <w:rsid w:val="00815C5C"/>
    <w:rsid w:val="00815E61"/>
    <w:rsid w:val="0081603C"/>
    <w:rsid w:val="0081638A"/>
    <w:rsid w:val="00817310"/>
    <w:rsid w:val="00817855"/>
    <w:rsid w:val="0082018A"/>
    <w:rsid w:val="0082171E"/>
    <w:rsid w:val="00821852"/>
    <w:rsid w:val="00822453"/>
    <w:rsid w:val="0082247F"/>
    <w:rsid w:val="008229B3"/>
    <w:rsid w:val="00823172"/>
    <w:rsid w:val="0082343E"/>
    <w:rsid w:val="0082363E"/>
    <w:rsid w:val="008259F6"/>
    <w:rsid w:val="008260BA"/>
    <w:rsid w:val="0082640C"/>
    <w:rsid w:val="00826527"/>
    <w:rsid w:val="00827476"/>
    <w:rsid w:val="008317C0"/>
    <w:rsid w:val="00833EE1"/>
    <w:rsid w:val="00834352"/>
    <w:rsid w:val="00834F41"/>
    <w:rsid w:val="00837078"/>
    <w:rsid w:val="0083759D"/>
    <w:rsid w:val="00837DC3"/>
    <w:rsid w:val="00840F1D"/>
    <w:rsid w:val="00843287"/>
    <w:rsid w:val="00843AD4"/>
    <w:rsid w:val="00844C4B"/>
    <w:rsid w:val="00845133"/>
    <w:rsid w:val="0084639C"/>
    <w:rsid w:val="00846B18"/>
    <w:rsid w:val="00850611"/>
    <w:rsid w:val="0085076E"/>
    <w:rsid w:val="00851149"/>
    <w:rsid w:val="00851693"/>
    <w:rsid w:val="00851D19"/>
    <w:rsid w:val="008531D4"/>
    <w:rsid w:val="00855903"/>
    <w:rsid w:val="008570F2"/>
    <w:rsid w:val="0085786A"/>
    <w:rsid w:val="0086020A"/>
    <w:rsid w:val="00863438"/>
    <w:rsid w:val="00863CFE"/>
    <w:rsid w:val="008643E1"/>
    <w:rsid w:val="0086726B"/>
    <w:rsid w:val="00867DB9"/>
    <w:rsid w:val="008707DE"/>
    <w:rsid w:val="00871E84"/>
    <w:rsid w:val="00872C86"/>
    <w:rsid w:val="00873CD8"/>
    <w:rsid w:val="008745CC"/>
    <w:rsid w:val="00874B1C"/>
    <w:rsid w:val="00874C67"/>
    <w:rsid w:val="00876C06"/>
    <w:rsid w:val="0087700F"/>
    <w:rsid w:val="008773EC"/>
    <w:rsid w:val="00877922"/>
    <w:rsid w:val="008808F7"/>
    <w:rsid w:val="008814E5"/>
    <w:rsid w:val="008825D3"/>
    <w:rsid w:val="0088275C"/>
    <w:rsid w:val="00882B10"/>
    <w:rsid w:val="00882C6F"/>
    <w:rsid w:val="00884633"/>
    <w:rsid w:val="008849F6"/>
    <w:rsid w:val="00884ABB"/>
    <w:rsid w:val="008854CF"/>
    <w:rsid w:val="00885ACE"/>
    <w:rsid w:val="00886832"/>
    <w:rsid w:val="00886BE8"/>
    <w:rsid w:val="008939FD"/>
    <w:rsid w:val="00894B74"/>
    <w:rsid w:val="008956DD"/>
    <w:rsid w:val="0089578F"/>
    <w:rsid w:val="00895797"/>
    <w:rsid w:val="008964EF"/>
    <w:rsid w:val="00897AAF"/>
    <w:rsid w:val="008A0D95"/>
    <w:rsid w:val="008A0FD7"/>
    <w:rsid w:val="008A2619"/>
    <w:rsid w:val="008A3026"/>
    <w:rsid w:val="008A33A6"/>
    <w:rsid w:val="008A33BA"/>
    <w:rsid w:val="008A37FB"/>
    <w:rsid w:val="008A3903"/>
    <w:rsid w:val="008A4675"/>
    <w:rsid w:val="008A507C"/>
    <w:rsid w:val="008A654C"/>
    <w:rsid w:val="008A7454"/>
    <w:rsid w:val="008A7AC4"/>
    <w:rsid w:val="008B094E"/>
    <w:rsid w:val="008B11E0"/>
    <w:rsid w:val="008B1FB8"/>
    <w:rsid w:val="008B35C8"/>
    <w:rsid w:val="008B4666"/>
    <w:rsid w:val="008B611E"/>
    <w:rsid w:val="008B7DBD"/>
    <w:rsid w:val="008B7F69"/>
    <w:rsid w:val="008C0589"/>
    <w:rsid w:val="008C0654"/>
    <w:rsid w:val="008C25C2"/>
    <w:rsid w:val="008C28B6"/>
    <w:rsid w:val="008C29DF"/>
    <w:rsid w:val="008C2CDA"/>
    <w:rsid w:val="008C4EB1"/>
    <w:rsid w:val="008C614F"/>
    <w:rsid w:val="008C723D"/>
    <w:rsid w:val="008D0F7D"/>
    <w:rsid w:val="008D2A3E"/>
    <w:rsid w:val="008D31B3"/>
    <w:rsid w:val="008D3FBF"/>
    <w:rsid w:val="008D459E"/>
    <w:rsid w:val="008D6A4E"/>
    <w:rsid w:val="008E00B9"/>
    <w:rsid w:val="008E08C7"/>
    <w:rsid w:val="008E0F62"/>
    <w:rsid w:val="008E1766"/>
    <w:rsid w:val="008E1A61"/>
    <w:rsid w:val="008E20CF"/>
    <w:rsid w:val="008E3219"/>
    <w:rsid w:val="008E4A18"/>
    <w:rsid w:val="008E4E6C"/>
    <w:rsid w:val="008E602A"/>
    <w:rsid w:val="008E65C3"/>
    <w:rsid w:val="008E733D"/>
    <w:rsid w:val="008E7BAF"/>
    <w:rsid w:val="008F0B19"/>
    <w:rsid w:val="008F174F"/>
    <w:rsid w:val="008F20B2"/>
    <w:rsid w:val="008F25EF"/>
    <w:rsid w:val="008F3989"/>
    <w:rsid w:val="008F406D"/>
    <w:rsid w:val="00900238"/>
    <w:rsid w:val="0090058D"/>
    <w:rsid w:val="009008D8"/>
    <w:rsid w:val="00902640"/>
    <w:rsid w:val="00904871"/>
    <w:rsid w:val="00904D41"/>
    <w:rsid w:val="009059F0"/>
    <w:rsid w:val="00906146"/>
    <w:rsid w:val="00906466"/>
    <w:rsid w:val="009068A5"/>
    <w:rsid w:val="009068F2"/>
    <w:rsid w:val="00907D32"/>
    <w:rsid w:val="00911A2A"/>
    <w:rsid w:val="00911DAE"/>
    <w:rsid w:val="00912BB2"/>
    <w:rsid w:val="00912EA9"/>
    <w:rsid w:val="009164B4"/>
    <w:rsid w:val="00917861"/>
    <w:rsid w:val="00920767"/>
    <w:rsid w:val="00920B70"/>
    <w:rsid w:val="00921512"/>
    <w:rsid w:val="00922F3C"/>
    <w:rsid w:val="009238E6"/>
    <w:rsid w:val="00924C87"/>
    <w:rsid w:val="00925C15"/>
    <w:rsid w:val="009264A2"/>
    <w:rsid w:val="00926C58"/>
    <w:rsid w:val="009303A1"/>
    <w:rsid w:val="00930DD6"/>
    <w:rsid w:val="00931437"/>
    <w:rsid w:val="00931A3B"/>
    <w:rsid w:val="00931B85"/>
    <w:rsid w:val="00934C69"/>
    <w:rsid w:val="00936939"/>
    <w:rsid w:val="00937844"/>
    <w:rsid w:val="00941105"/>
    <w:rsid w:val="009412EC"/>
    <w:rsid w:val="0094228D"/>
    <w:rsid w:val="00942DCB"/>
    <w:rsid w:val="00945598"/>
    <w:rsid w:val="009461AB"/>
    <w:rsid w:val="00946EB2"/>
    <w:rsid w:val="00947286"/>
    <w:rsid w:val="00947987"/>
    <w:rsid w:val="00947F2B"/>
    <w:rsid w:val="00950C78"/>
    <w:rsid w:val="00951511"/>
    <w:rsid w:val="00951E80"/>
    <w:rsid w:val="0095280C"/>
    <w:rsid w:val="00954BF4"/>
    <w:rsid w:val="00955EA7"/>
    <w:rsid w:val="009563E6"/>
    <w:rsid w:val="0095668F"/>
    <w:rsid w:val="00956982"/>
    <w:rsid w:val="00956B7E"/>
    <w:rsid w:val="00956DCF"/>
    <w:rsid w:val="00956FB9"/>
    <w:rsid w:val="009576AD"/>
    <w:rsid w:val="00957BE5"/>
    <w:rsid w:val="00960D40"/>
    <w:rsid w:val="0096264F"/>
    <w:rsid w:val="009647E0"/>
    <w:rsid w:val="00965BFF"/>
    <w:rsid w:val="00965EC3"/>
    <w:rsid w:val="00965EC4"/>
    <w:rsid w:val="00966197"/>
    <w:rsid w:val="009666E7"/>
    <w:rsid w:val="00967E8F"/>
    <w:rsid w:val="00970E96"/>
    <w:rsid w:val="00970F9D"/>
    <w:rsid w:val="009719DF"/>
    <w:rsid w:val="009749B3"/>
    <w:rsid w:val="00974CD9"/>
    <w:rsid w:val="00975F15"/>
    <w:rsid w:val="0097617E"/>
    <w:rsid w:val="009764D9"/>
    <w:rsid w:val="00982C13"/>
    <w:rsid w:val="0098372D"/>
    <w:rsid w:val="00984133"/>
    <w:rsid w:val="00984997"/>
    <w:rsid w:val="00984E76"/>
    <w:rsid w:val="00985A49"/>
    <w:rsid w:val="00986F96"/>
    <w:rsid w:val="00986FA1"/>
    <w:rsid w:val="009873AB"/>
    <w:rsid w:val="0098755A"/>
    <w:rsid w:val="00990A49"/>
    <w:rsid w:val="00992552"/>
    <w:rsid w:val="009939EE"/>
    <w:rsid w:val="0099548D"/>
    <w:rsid w:val="009955F4"/>
    <w:rsid w:val="0099682D"/>
    <w:rsid w:val="009968FE"/>
    <w:rsid w:val="00996ABE"/>
    <w:rsid w:val="009973D4"/>
    <w:rsid w:val="009A06AE"/>
    <w:rsid w:val="009A1610"/>
    <w:rsid w:val="009A30AF"/>
    <w:rsid w:val="009A32A6"/>
    <w:rsid w:val="009A3360"/>
    <w:rsid w:val="009A369D"/>
    <w:rsid w:val="009A37C8"/>
    <w:rsid w:val="009A3A3C"/>
    <w:rsid w:val="009A5753"/>
    <w:rsid w:val="009B102B"/>
    <w:rsid w:val="009B1F22"/>
    <w:rsid w:val="009B3B16"/>
    <w:rsid w:val="009B720F"/>
    <w:rsid w:val="009B7EA2"/>
    <w:rsid w:val="009C00E5"/>
    <w:rsid w:val="009C0D2F"/>
    <w:rsid w:val="009C2AD4"/>
    <w:rsid w:val="009C4525"/>
    <w:rsid w:val="009C629F"/>
    <w:rsid w:val="009D0286"/>
    <w:rsid w:val="009D08EA"/>
    <w:rsid w:val="009D1E60"/>
    <w:rsid w:val="009D30A3"/>
    <w:rsid w:val="009D3A1B"/>
    <w:rsid w:val="009D453C"/>
    <w:rsid w:val="009D4DE1"/>
    <w:rsid w:val="009D6329"/>
    <w:rsid w:val="009D6B43"/>
    <w:rsid w:val="009D7CB0"/>
    <w:rsid w:val="009E00B1"/>
    <w:rsid w:val="009E0505"/>
    <w:rsid w:val="009E16DF"/>
    <w:rsid w:val="009E451D"/>
    <w:rsid w:val="009E47E2"/>
    <w:rsid w:val="009E4BE8"/>
    <w:rsid w:val="009E5842"/>
    <w:rsid w:val="009E5D15"/>
    <w:rsid w:val="009E60E9"/>
    <w:rsid w:val="009E6231"/>
    <w:rsid w:val="009E737D"/>
    <w:rsid w:val="009F0542"/>
    <w:rsid w:val="009F0F7B"/>
    <w:rsid w:val="009F26DB"/>
    <w:rsid w:val="009F435E"/>
    <w:rsid w:val="009F4801"/>
    <w:rsid w:val="009F5A3A"/>
    <w:rsid w:val="009F5E5B"/>
    <w:rsid w:val="00A00582"/>
    <w:rsid w:val="00A01C5A"/>
    <w:rsid w:val="00A02B83"/>
    <w:rsid w:val="00A0386B"/>
    <w:rsid w:val="00A04155"/>
    <w:rsid w:val="00A044CF"/>
    <w:rsid w:val="00A04AC5"/>
    <w:rsid w:val="00A053AA"/>
    <w:rsid w:val="00A078FC"/>
    <w:rsid w:val="00A10A36"/>
    <w:rsid w:val="00A12C66"/>
    <w:rsid w:val="00A12FFE"/>
    <w:rsid w:val="00A1372F"/>
    <w:rsid w:val="00A14A3D"/>
    <w:rsid w:val="00A1589A"/>
    <w:rsid w:val="00A15E4F"/>
    <w:rsid w:val="00A17353"/>
    <w:rsid w:val="00A17838"/>
    <w:rsid w:val="00A17EF9"/>
    <w:rsid w:val="00A20520"/>
    <w:rsid w:val="00A2073C"/>
    <w:rsid w:val="00A21734"/>
    <w:rsid w:val="00A21843"/>
    <w:rsid w:val="00A228B9"/>
    <w:rsid w:val="00A25BD1"/>
    <w:rsid w:val="00A268D4"/>
    <w:rsid w:val="00A26E0D"/>
    <w:rsid w:val="00A275C9"/>
    <w:rsid w:val="00A27E50"/>
    <w:rsid w:val="00A31A2C"/>
    <w:rsid w:val="00A32EC4"/>
    <w:rsid w:val="00A34395"/>
    <w:rsid w:val="00A34BEB"/>
    <w:rsid w:val="00A34DC8"/>
    <w:rsid w:val="00A36404"/>
    <w:rsid w:val="00A36FFE"/>
    <w:rsid w:val="00A379A6"/>
    <w:rsid w:val="00A40D24"/>
    <w:rsid w:val="00A4105E"/>
    <w:rsid w:val="00A41FF1"/>
    <w:rsid w:val="00A424C2"/>
    <w:rsid w:val="00A427D6"/>
    <w:rsid w:val="00A43D78"/>
    <w:rsid w:val="00A44DE6"/>
    <w:rsid w:val="00A45C55"/>
    <w:rsid w:val="00A4650C"/>
    <w:rsid w:val="00A46757"/>
    <w:rsid w:val="00A509F7"/>
    <w:rsid w:val="00A52F6B"/>
    <w:rsid w:val="00A530A5"/>
    <w:rsid w:val="00A53255"/>
    <w:rsid w:val="00A55316"/>
    <w:rsid w:val="00A557DA"/>
    <w:rsid w:val="00A56DFA"/>
    <w:rsid w:val="00A57FE4"/>
    <w:rsid w:val="00A603E9"/>
    <w:rsid w:val="00A60CAD"/>
    <w:rsid w:val="00A60D96"/>
    <w:rsid w:val="00A6358B"/>
    <w:rsid w:val="00A638A3"/>
    <w:rsid w:val="00A63E4C"/>
    <w:rsid w:val="00A65814"/>
    <w:rsid w:val="00A659DA"/>
    <w:rsid w:val="00A65D82"/>
    <w:rsid w:val="00A66551"/>
    <w:rsid w:val="00A665E7"/>
    <w:rsid w:val="00A702FC"/>
    <w:rsid w:val="00A703EB"/>
    <w:rsid w:val="00A709E5"/>
    <w:rsid w:val="00A725BE"/>
    <w:rsid w:val="00A72953"/>
    <w:rsid w:val="00A7440C"/>
    <w:rsid w:val="00A7551F"/>
    <w:rsid w:val="00A75FE5"/>
    <w:rsid w:val="00A77797"/>
    <w:rsid w:val="00A77CD2"/>
    <w:rsid w:val="00A804E7"/>
    <w:rsid w:val="00A80B06"/>
    <w:rsid w:val="00A81F34"/>
    <w:rsid w:val="00A832C8"/>
    <w:rsid w:val="00A864DE"/>
    <w:rsid w:val="00A8712E"/>
    <w:rsid w:val="00A87B82"/>
    <w:rsid w:val="00A90101"/>
    <w:rsid w:val="00A90699"/>
    <w:rsid w:val="00A9082C"/>
    <w:rsid w:val="00A90A1E"/>
    <w:rsid w:val="00A93801"/>
    <w:rsid w:val="00A9416B"/>
    <w:rsid w:val="00A94DEE"/>
    <w:rsid w:val="00A96666"/>
    <w:rsid w:val="00AA09B0"/>
    <w:rsid w:val="00AA1F69"/>
    <w:rsid w:val="00AA231B"/>
    <w:rsid w:val="00AA2CC1"/>
    <w:rsid w:val="00AA2E83"/>
    <w:rsid w:val="00AA2E98"/>
    <w:rsid w:val="00AA3362"/>
    <w:rsid w:val="00AA42B2"/>
    <w:rsid w:val="00AA5B4C"/>
    <w:rsid w:val="00AA63B9"/>
    <w:rsid w:val="00AA6EC9"/>
    <w:rsid w:val="00AA7527"/>
    <w:rsid w:val="00AB0C8C"/>
    <w:rsid w:val="00AB3CA2"/>
    <w:rsid w:val="00AB3CAF"/>
    <w:rsid w:val="00AB6127"/>
    <w:rsid w:val="00AB7885"/>
    <w:rsid w:val="00AC128C"/>
    <w:rsid w:val="00AC161B"/>
    <w:rsid w:val="00AC1EB2"/>
    <w:rsid w:val="00AC1FA1"/>
    <w:rsid w:val="00AC27EB"/>
    <w:rsid w:val="00AC28BE"/>
    <w:rsid w:val="00AC2BE9"/>
    <w:rsid w:val="00AC3189"/>
    <w:rsid w:val="00AC4F95"/>
    <w:rsid w:val="00AD0548"/>
    <w:rsid w:val="00AD2135"/>
    <w:rsid w:val="00AD439A"/>
    <w:rsid w:val="00AD4965"/>
    <w:rsid w:val="00AD6926"/>
    <w:rsid w:val="00AE099D"/>
    <w:rsid w:val="00AE0F1F"/>
    <w:rsid w:val="00AE1483"/>
    <w:rsid w:val="00AE2AC9"/>
    <w:rsid w:val="00AE3FC0"/>
    <w:rsid w:val="00AE4238"/>
    <w:rsid w:val="00AE5123"/>
    <w:rsid w:val="00AE644D"/>
    <w:rsid w:val="00AE6AB2"/>
    <w:rsid w:val="00AE7596"/>
    <w:rsid w:val="00AF02A5"/>
    <w:rsid w:val="00AF0DBD"/>
    <w:rsid w:val="00AF1467"/>
    <w:rsid w:val="00AF3085"/>
    <w:rsid w:val="00AF33E3"/>
    <w:rsid w:val="00AF3E09"/>
    <w:rsid w:val="00AF47A4"/>
    <w:rsid w:val="00AF57B7"/>
    <w:rsid w:val="00AF7CC0"/>
    <w:rsid w:val="00AF7E61"/>
    <w:rsid w:val="00B005DA"/>
    <w:rsid w:val="00B0145F"/>
    <w:rsid w:val="00B01A0B"/>
    <w:rsid w:val="00B02E9E"/>
    <w:rsid w:val="00B03216"/>
    <w:rsid w:val="00B03672"/>
    <w:rsid w:val="00B04646"/>
    <w:rsid w:val="00B04F9D"/>
    <w:rsid w:val="00B072A8"/>
    <w:rsid w:val="00B073BF"/>
    <w:rsid w:val="00B109C1"/>
    <w:rsid w:val="00B11C6C"/>
    <w:rsid w:val="00B1414B"/>
    <w:rsid w:val="00B14BC3"/>
    <w:rsid w:val="00B152F5"/>
    <w:rsid w:val="00B15AD5"/>
    <w:rsid w:val="00B16646"/>
    <w:rsid w:val="00B16998"/>
    <w:rsid w:val="00B16D16"/>
    <w:rsid w:val="00B172BD"/>
    <w:rsid w:val="00B20E5F"/>
    <w:rsid w:val="00B20F6A"/>
    <w:rsid w:val="00B21007"/>
    <w:rsid w:val="00B23953"/>
    <w:rsid w:val="00B241BA"/>
    <w:rsid w:val="00B24A6F"/>
    <w:rsid w:val="00B2523F"/>
    <w:rsid w:val="00B2535A"/>
    <w:rsid w:val="00B26865"/>
    <w:rsid w:val="00B26F76"/>
    <w:rsid w:val="00B30076"/>
    <w:rsid w:val="00B309D8"/>
    <w:rsid w:val="00B314E1"/>
    <w:rsid w:val="00B31A47"/>
    <w:rsid w:val="00B31C4E"/>
    <w:rsid w:val="00B32A2F"/>
    <w:rsid w:val="00B33AB9"/>
    <w:rsid w:val="00B351E2"/>
    <w:rsid w:val="00B367C5"/>
    <w:rsid w:val="00B367D6"/>
    <w:rsid w:val="00B36B30"/>
    <w:rsid w:val="00B3755B"/>
    <w:rsid w:val="00B37ABE"/>
    <w:rsid w:val="00B40938"/>
    <w:rsid w:val="00B40D70"/>
    <w:rsid w:val="00B41049"/>
    <w:rsid w:val="00B413DB"/>
    <w:rsid w:val="00B42516"/>
    <w:rsid w:val="00B432C5"/>
    <w:rsid w:val="00B439E9"/>
    <w:rsid w:val="00B43B0D"/>
    <w:rsid w:val="00B45456"/>
    <w:rsid w:val="00B45641"/>
    <w:rsid w:val="00B4617F"/>
    <w:rsid w:val="00B46488"/>
    <w:rsid w:val="00B4777E"/>
    <w:rsid w:val="00B47DBB"/>
    <w:rsid w:val="00B51800"/>
    <w:rsid w:val="00B5197E"/>
    <w:rsid w:val="00B5356E"/>
    <w:rsid w:val="00B54CAA"/>
    <w:rsid w:val="00B55FC5"/>
    <w:rsid w:val="00B57658"/>
    <w:rsid w:val="00B57FA2"/>
    <w:rsid w:val="00B616A5"/>
    <w:rsid w:val="00B6209C"/>
    <w:rsid w:val="00B62CEA"/>
    <w:rsid w:val="00B62F6D"/>
    <w:rsid w:val="00B63781"/>
    <w:rsid w:val="00B63C70"/>
    <w:rsid w:val="00B660A6"/>
    <w:rsid w:val="00B66886"/>
    <w:rsid w:val="00B67643"/>
    <w:rsid w:val="00B67A57"/>
    <w:rsid w:val="00B70035"/>
    <w:rsid w:val="00B71130"/>
    <w:rsid w:val="00B71B97"/>
    <w:rsid w:val="00B737EF"/>
    <w:rsid w:val="00B77149"/>
    <w:rsid w:val="00B77597"/>
    <w:rsid w:val="00B80A6B"/>
    <w:rsid w:val="00B82E8E"/>
    <w:rsid w:val="00B831B8"/>
    <w:rsid w:val="00B83560"/>
    <w:rsid w:val="00B84227"/>
    <w:rsid w:val="00B85C54"/>
    <w:rsid w:val="00B866F4"/>
    <w:rsid w:val="00B867BF"/>
    <w:rsid w:val="00B87AE9"/>
    <w:rsid w:val="00B90480"/>
    <w:rsid w:val="00B90751"/>
    <w:rsid w:val="00B91163"/>
    <w:rsid w:val="00B91DF2"/>
    <w:rsid w:val="00B93330"/>
    <w:rsid w:val="00B94551"/>
    <w:rsid w:val="00B94DAD"/>
    <w:rsid w:val="00B950CD"/>
    <w:rsid w:val="00B95122"/>
    <w:rsid w:val="00B960CF"/>
    <w:rsid w:val="00B974E7"/>
    <w:rsid w:val="00B9751A"/>
    <w:rsid w:val="00BA153D"/>
    <w:rsid w:val="00BA1E02"/>
    <w:rsid w:val="00BA55DA"/>
    <w:rsid w:val="00BA574A"/>
    <w:rsid w:val="00BA7C31"/>
    <w:rsid w:val="00BB03AF"/>
    <w:rsid w:val="00BB3752"/>
    <w:rsid w:val="00BB376E"/>
    <w:rsid w:val="00BB5D57"/>
    <w:rsid w:val="00BB686B"/>
    <w:rsid w:val="00BB75F3"/>
    <w:rsid w:val="00BC1AD9"/>
    <w:rsid w:val="00BC1BD7"/>
    <w:rsid w:val="00BC1CD5"/>
    <w:rsid w:val="00BC1D02"/>
    <w:rsid w:val="00BC208B"/>
    <w:rsid w:val="00BC26E5"/>
    <w:rsid w:val="00BC2A64"/>
    <w:rsid w:val="00BC3A73"/>
    <w:rsid w:val="00BC4BB9"/>
    <w:rsid w:val="00BC54F8"/>
    <w:rsid w:val="00BD0D29"/>
    <w:rsid w:val="00BD2A8A"/>
    <w:rsid w:val="00BD38D2"/>
    <w:rsid w:val="00BD67DA"/>
    <w:rsid w:val="00BD68C8"/>
    <w:rsid w:val="00BD6DF7"/>
    <w:rsid w:val="00BD6FF7"/>
    <w:rsid w:val="00BD729B"/>
    <w:rsid w:val="00BD72FC"/>
    <w:rsid w:val="00BE0936"/>
    <w:rsid w:val="00BE0E1B"/>
    <w:rsid w:val="00BE0FB3"/>
    <w:rsid w:val="00BE31CB"/>
    <w:rsid w:val="00BE33E4"/>
    <w:rsid w:val="00BE3BA9"/>
    <w:rsid w:val="00BE5A58"/>
    <w:rsid w:val="00BE6164"/>
    <w:rsid w:val="00BE62A8"/>
    <w:rsid w:val="00BE66D2"/>
    <w:rsid w:val="00BE7FE2"/>
    <w:rsid w:val="00BF019E"/>
    <w:rsid w:val="00BF06AD"/>
    <w:rsid w:val="00BF1588"/>
    <w:rsid w:val="00BF254B"/>
    <w:rsid w:val="00BF2C7E"/>
    <w:rsid w:val="00BF3CF5"/>
    <w:rsid w:val="00BF3DC9"/>
    <w:rsid w:val="00BF477C"/>
    <w:rsid w:val="00BF4FB1"/>
    <w:rsid w:val="00BF57B5"/>
    <w:rsid w:val="00BF6FE1"/>
    <w:rsid w:val="00BF7DD3"/>
    <w:rsid w:val="00C00F04"/>
    <w:rsid w:val="00C0209E"/>
    <w:rsid w:val="00C04CCD"/>
    <w:rsid w:val="00C051FC"/>
    <w:rsid w:val="00C05ACF"/>
    <w:rsid w:val="00C07155"/>
    <w:rsid w:val="00C0773F"/>
    <w:rsid w:val="00C07A2A"/>
    <w:rsid w:val="00C07DF5"/>
    <w:rsid w:val="00C10882"/>
    <w:rsid w:val="00C118AF"/>
    <w:rsid w:val="00C11A57"/>
    <w:rsid w:val="00C13485"/>
    <w:rsid w:val="00C13508"/>
    <w:rsid w:val="00C136DA"/>
    <w:rsid w:val="00C1374C"/>
    <w:rsid w:val="00C143C4"/>
    <w:rsid w:val="00C148C7"/>
    <w:rsid w:val="00C14A7D"/>
    <w:rsid w:val="00C14C0A"/>
    <w:rsid w:val="00C1652E"/>
    <w:rsid w:val="00C168C9"/>
    <w:rsid w:val="00C16B86"/>
    <w:rsid w:val="00C16BAA"/>
    <w:rsid w:val="00C17303"/>
    <w:rsid w:val="00C179EA"/>
    <w:rsid w:val="00C208BA"/>
    <w:rsid w:val="00C2094C"/>
    <w:rsid w:val="00C2159E"/>
    <w:rsid w:val="00C21792"/>
    <w:rsid w:val="00C22088"/>
    <w:rsid w:val="00C24844"/>
    <w:rsid w:val="00C24E3F"/>
    <w:rsid w:val="00C26005"/>
    <w:rsid w:val="00C2775A"/>
    <w:rsid w:val="00C30F7E"/>
    <w:rsid w:val="00C30F8D"/>
    <w:rsid w:val="00C31975"/>
    <w:rsid w:val="00C31C17"/>
    <w:rsid w:val="00C321C8"/>
    <w:rsid w:val="00C33ACC"/>
    <w:rsid w:val="00C349CE"/>
    <w:rsid w:val="00C34A23"/>
    <w:rsid w:val="00C34F9C"/>
    <w:rsid w:val="00C3521C"/>
    <w:rsid w:val="00C35252"/>
    <w:rsid w:val="00C36090"/>
    <w:rsid w:val="00C36C31"/>
    <w:rsid w:val="00C37C56"/>
    <w:rsid w:val="00C415F8"/>
    <w:rsid w:val="00C42967"/>
    <w:rsid w:val="00C43237"/>
    <w:rsid w:val="00C447B6"/>
    <w:rsid w:val="00C46E5F"/>
    <w:rsid w:val="00C474D0"/>
    <w:rsid w:val="00C51128"/>
    <w:rsid w:val="00C52E16"/>
    <w:rsid w:val="00C52E4A"/>
    <w:rsid w:val="00C5377F"/>
    <w:rsid w:val="00C5392B"/>
    <w:rsid w:val="00C53C6A"/>
    <w:rsid w:val="00C53D11"/>
    <w:rsid w:val="00C53E90"/>
    <w:rsid w:val="00C540A0"/>
    <w:rsid w:val="00C5532C"/>
    <w:rsid w:val="00C578B3"/>
    <w:rsid w:val="00C60BD3"/>
    <w:rsid w:val="00C63DF9"/>
    <w:rsid w:val="00C64674"/>
    <w:rsid w:val="00C67074"/>
    <w:rsid w:val="00C67BFF"/>
    <w:rsid w:val="00C71465"/>
    <w:rsid w:val="00C7193C"/>
    <w:rsid w:val="00C72B75"/>
    <w:rsid w:val="00C73C47"/>
    <w:rsid w:val="00C75071"/>
    <w:rsid w:val="00C7534F"/>
    <w:rsid w:val="00C75795"/>
    <w:rsid w:val="00C760FC"/>
    <w:rsid w:val="00C76BC6"/>
    <w:rsid w:val="00C80560"/>
    <w:rsid w:val="00C82A3F"/>
    <w:rsid w:val="00C837C0"/>
    <w:rsid w:val="00C83AFC"/>
    <w:rsid w:val="00C848B3"/>
    <w:rsid w:val="00C85661"/>
    <w:rsid w:val="00C85B66"/>
    <w:rsid w:val="00C86952"/>
    <w:rsid w:val="00C873FF"/>
    <w:rsid w:val="00C8755B"/>
    <w:rsid w:val="00C90DB8"/>
    <w:rsid w:val="00C9170C"/>
    <w:rsid w:val="00C96E06"/>
    <w:rsid w:val="00C96E9A"/>
    <w:rsid w:val="00C9714D"/>
    <w:rsid w:val="00C97C90"/>
    <w:rsid w:val="00CA10E4"/>
    <w:rsid w:val="00CA27AD"/>
    <w:rsid w:val="00CA27E8"/>
    <w:rsid w:val="00CA2CD7"/>
    <w:rsid w:val="00CA3F24"/>
    <w:rsid w:val="00CA4110"/>
    <w:rsid w:val="00CA469E"/>
    <w:rsid w:val="00CA7086"/>
    <w:rsid w:val="00CA7643"/>
    <w:rsid w:val="00CB0A6E"/>
    <w:rsid w:val="00CB0D12"/>
    <w:rsid w:val="00CB107F"/>
    <w:rsid w:val="00CB108E"/>
    <w:rsid w:val="00CB1630"/>
    <w:rsid w:val="00CB2274"/>
    <w:rsid w:val="00CB28DD"/>
    <w:rsid w:val="00CB3030"/>
    <w:rsid w:val="00CB3825"/>
    <w:rsid w:val="00CB3951"/>
    <w:rsid w:val="00CB4334"/>
    <w:rsid w:val="00CB4A0A"/>
    <w:rsid w:val="00CB4D29"/>
    <w:rsid w:val="00CB5F4B"/>
    <w:rsid w:val="00CC0544"/>
    <w:rsid w:val="00CC12E7"/>
    <w:rsid w:val="00CC170C"/>
    <w:rsid w:val="00CC1E62"/>
    <w:rsid w:val="00CC2435"/>
    <w:rsid w:val="00CC2E6D"/>
    <w:rsid w:val="00CC3FA4"/>
    <w:rsid w:val="00CD0685"/>
    <w:rsid w:val="00CD07DA"/>
    <w:rsid w:val="00CD0887"/>
    <w:rsid w:val="00CD0AE9"/>
    <w:rsid w:val="00CD1571"/>
    <w:rsid w:val="00CD261E"/>
    <w:rsid w:val="00CD4D4E"/>
    <w:rsid w:val="00CD5E00"/>
    <w:rsid w:val="00CD6CED"/>
    <w:rsid w:val="00CD6FDF"/>
    <w:rsid w:val="00CD70AB"/>
    <w:rsid w:val="00CE025C"/>
    <w:rsid w:val="00CE14DA"/>
    <w:rsid w:val="00CE23D3"/>
    <w:rsid w:val="00CE4FAC"/>
    <w:rsid w:val="00CE5A3F"/>
    <w:rsid w:val="00CE69D1"/>
    <w:rsid w:val="00CE7627"/>
    <w:rsid w:val="00CE78FB"/>
    <w:rsid w:val="00CF04E4"/>
    <w:rsid w:val="00CF09D6"/>
    <w:rsid w:val="00CF2C3B"/>
    <w:rsid w:val="00CF3048"/>
    <w:rsid w:val="00CF3D6B"/>
    <w:rsid w:val="00CF50FB"/>
    <w:rsid w:val="00CF5840"/>
    <w:rsid w:val="00CF5F9C"/>
    <w:rsid w:val="00CF6002"/>
    <w:rsid w:val="00CF6EFA"/>
    <w:rsid w:val="00D008CB"/>
    <w:rsid w:val="00D02626"/>
    <w:rsid w:val="00D0289F"/>
    <w:rsid w:val="00D034CE"/>
    <w:rsid w:val="00D03AA4"/>
    <w:rsid w:val="00D04054"/>
    <w:rsid w:val="00D04E0A"/>
    <w:rsid w:val="00D05335"/>
    <w:rsid w:val="00D05D55"/>
    <w:rsid w:val="00D060EB"/>
    <w:rsid w:val="00D063D0"/>
    <w:rsid w:val="00D065CB"/>
    <w:rsid w:val="00D06E10"/>
    <w:rsid w:val="00D07B06"/>
    <w:rsid w:val="00D07E1C"/>
    <w:rsid w:val="00D10C1E"/>
    <w:rsid w:val="00D1136A"/>
    <w:rsid w:val="00D1163C"/>
    <w:rsid w:val="00D119EF"/>
    <w:rsid w:val="00D126A3"/>
    <w:rsid w:val="00D12CE8"/>
    <w:rsid w:val="00D13504"/>
    <w:rsid w:val="00D13902"/>
    <w:rsid w:val="00D13992"/>
    <w:rsid w:val="00D14505"/>
    <w:rsid w:val="00D220C2"/>
    <w:rsid w:val="00D221D3"/>
    <w:rsid w:val="00D2230A"/>
    <w:rsid w:val="00D237E3"/>
    <w:rsid w:val="00D25E31"/>
    <w:rsid w:val="00D26DC3"/>
    <w:rsid w:val="00D26E3E"/>
    <w:rsid w:val="00D27327"/>
    <w:rsid w:val="00D303DC"/>
    <w:rsid w:val="00D30693"/>
    <w:rsid w:val="00D30BE5"/>
    <w:rsid w:val="00D31D0A"/>
    <w:rsid w:val="00D325B7"/>
    <w:rsid w:val="00D32C8B"/>
    <w:rsid w:val="00D33298"/>
    <w:rsid w:val="00D33CA7"/>
    <w:rsid w:val="00D342E6"/>
    <w:rsid w:val="00D348E9"/>
    <w:rsid w:val="00D350AD"/>
    <w:rsid w:val="00D35C31"/>
    <w:rsid w:val="00D40378"/>
    <w:rsid w:val="00D40840"/>
    <w:rsid w:val="00D424AB"/>
    <w:rsid w:val="00D42E9A"/>
    <w:rsid w:val="00D4305D"/>
    <w:rsid w:val="00D43EDC"/>
    <w:rsid w:val="00D44D0D"/>
    <w:rsid w:val="00D4737A"/>
    <w:rsid w:val="00D47945"/>
    <w:rsid w:val="00D51358"/>
    <w:rsid w:val="00D518E4"/>
    <w:rsid w:val="00D51BC1"/>
    <w:rsid w:val="00D528A3"/>
    <w:rsid w:val="00D52E93"/>
    <w:rsid w:val="00D53D57"/>
    <w:rsid w:val="00D53F20"/>
    <w:rsid w:val="00D5520C"/>
    <w:rsid w:val="00D55A82"/>
    <w:rsid w:val="00D55E05"/>
    <w:rsid w:val="00D575AA"/>
    <w:rsid w:val="00D576CD"/>
    <w:rsid w:val="00D579A2"/>
    <w:rsid w:val="00D610AA"/>
    <w:rsid w:val="00D628C7"/>
    <w:rsid w:val="00D6314D"/>
    <w:rsid w:val="00D633A1"/>
    <w:rsid w:val="00D63AA3"/>
    <w:rsid w:val="00D64B16"/>
    <w:rsid w:val="00D65A1A"/>
    <w:rsid w:val="00D71A04"/>
    <w:rsid w:val="00D72298"/>
    <w:rsid w:val="00D72567"/>
    <w:rsid w:val="00D74918"/>
    <w:rsid w:val="00D74BA3"/>
    <w:rsid w:val="00D75E55"/>
    <w:rsid w:val="00D7689A"/>
    <w:rsid w:val="00D769C0"/>
    <w:rsid w:val="00D7749A"/>
    <w:rsid w:val="00D775FE"/>
    <w:rsid w:val="00D80222"/>
    <w:rsid w:val="00D806E7"/>
    <w:rsid w:val="00D80AF9"/>
    <w:rsid w:val="00D80B4C"/>
    <w:rsid w:val="00D80CC4"/>
    <w:rsid w:val="00D81778"/>
    <w:rsid w:val="00D83839"/>
    <w:rsid w:val="00D83B57"/>
    <w:rsid w:val="00D87032"/>
    <w:rsid w:val="00D87132"/>
    <w:rsid w:val="00D87B20"/>
    <w:rsid w:val="00D87DA2"/>
    <w:rsid w:val="00D87DC9"/>
    <w:rsid w:val="00D912BF"/>
    <w:rsid w:val="00D916CF"/>
    <w:rsid w:val="00D93590"/>
    <w:rsid w:val="00D93F49"/>
    <w:rsid w:val="00D94367"/>
    <w:rsid w:val="00D94CC5"/>
    <w:rsid w:val="00D951BD"/>
    <w:rsid w:val="00D970CB"/>
    <w:rsid w:val="00D972BB"/>
    <w:rsid w:val="00DA0460"/>
    <w:rsid w:val="00DA1E6B"/>
    <w:rsid w:val="00DA1F49"/>
    <w:rsid w:val="00DA22CA"/>
    <w:rsid w:val="00DA4BAB"/>
    <w:rsid w:val="00DA5917"/>
    <w:rsid w:val="00DA66CE"/>
    <w:rsid w:val="00DA7EE2"/>
    <w:rsid w:val="00DB073E"/>
    <w:rsid w:val="00DB0D2F"/>
    <w:rsid w:val="00DB0EFF"/>
    <w:rsid w:val="00DB5277"/>
    <w:rsid w:val="00DB5633"/>
    <w:rsid w:val="00DB5777"/>
    <w:rsid w:val="00DB5FEE"/>
    <w:rsid w:val="00DC08FB"/>
    <w:rsid w:val="00DC1293"/>
    <w:rsid w:val="00DC1610"/>
    <w:rsid w:val="00DC1B60"/>
    <w:rsid w:val="00DC3754"/>
    <w:rsid w:val="00DC468B"/>
    <w:rsid w:val="00DC4CCC"/>
    <w:rsid w:val="00DC5D87"/>
    <w:rsid w:val="00DC6640"/>
    <w:rsid w:val="00DD0096"/>
    <w:rsid w:val="00DD0A5D"/>
    <w:rsid w:val="00DD2903"/>
    <w:rsid w:val="00DD2927"/>
    <w:rsid w:val="00DD37AA"/>
    <w:rsid w:val="00DD43F0"/>
    <w:rsid w:val="00DD5F89"/>
    <w:rsid w:val="00DE03F1"/>
    <w:rsid w:val="00DE0570"/>
    <w:rsid w:val="00DE1A7B"/>
    <w:rsid w:val="00DE3338"/>
    <w:rsid w:val="00DE4031"/>
    <w:rsid w:val="00DE5006"/>
    <w:rsid w:val="00DE5D07"/>
    <w:rsid w:val="00DE5F29"/>
    <w:rsid w:val="00DF021A"/>
    <w:rsid w:val="00DF0CEB"/>
    <w:rsid w:val="00DF0D39"/>
    <w:rsid w:val="00DF0DFD"/>
    <w:rsid w:val="00DF1023"/>
    <w:rsid w:val="00DF1D7B"/>
    <w:rsid w:val="00DF6D64"/>
    <w:rsid w:val="00DF74EB"/>
    <w:rsid w:val="00DF7CFE"/>
    <w:rsid w:val="00E002E9"/>
    <w:rsid w:val="00E004A4"/>
    <w:rsid w:val="00E004FF"/>
    <w:rsid w:val="00E00E4A"/>
    <w:rsid w:val="00E01DC2"/>
    <w:rsid w:val="00E026CF"/>
    <w:rsid w:val="00E03989"/>
    <w:rsid w:val="00E03A00"/>
    <w:rsid w:val="00E0422E"/>
    <w:rsid w:val="00E05CBA"/>
    <w:rsid w:val="00E118FF"/>
    <w:rsid w:val="00E11D27"/>
    <w:rsid w:val="00E1384D"/>
    <w:rsid w:val="00E17697"/>
    <w:rsid w:val="00E208A3"/>
    <w:rsid w:val="00E238FB"/>
    <w:rsid w:val="00E2511A"/>
    <w:rsid w:val="00E2615F"/>
    <w:rsid w:val="00E2706F"/>
    <w:rsid w:val="00E27CEF"/>
    <w:rsid w:val="00E306C5"/>
    <w:rsid w:val="00E32664"/>
    <w:rsid w:val="00E336E8"/>
    <w:rsid w:val="00E33B09"/>
    <w:rsid w:val="00E341E7"/>
    <w:rsid w:val="00E3444A"/>
    <w:rsid w:val="00E355AF"/>
    <w:rsid w:val="00E35B47"/>
    <w:rsid w:val="00E377E4"/>
    <w:rsid w:val="00E40FDB"/>
    <w:rsid w:val="00E42704"/>
    <w:rsid w:val="00E42A55"/>
    <w:rsid w:val="00E43D80"/>
    <w:rsid w:val="00E43DC2"/>
    <w:rsid w:val="00E44636"/>
    <w:rsid w:val="00E447DA"/>
    <w:rsid w:val="00E44805"/>
    <w:rsid w:val="00E44D4E"/>
    <w:rsid w:val="00E50C94"/>
    <w:rsid w:val="00E50F43"/>
    <w:rsid w:val="00E538F5"/>
    <w:rsid w:val="00E55654"/>
    <w:rsid w:val="00E56258"/>
    <w:rsid w:val="00E57150"/>
    <w:rsid w:val="00E57ABF"/>
    <w:rsid w:val="00E602AC"/>
    <w:rsid w:val="00E6117D"/>
    <w:rsid w:val="00E6209C"/>
    <w:rsid w:val="00E62D06"/>
    <w:rsid w:val="00E62FAB"/>
    <w:rsid w:val="00E63C6A"/>
    <w:rsid w:val="00E63EB3"/>
    <w:rsid w:val="00E6525C"/>
    <w:rsid w:val="00E6581F"/>
    <w:rsid w:val="00E662FE"/>
    <w:rsid w:val="00E665EA"/>
    <w:rsid w:val="00E66D64"/>
    <w:rsid w:val="00E704E4"/>
    <w:rsid w:val="00E70C61"/>
    <w:rsid w:val="00E71396"/>
    <w:rsid w:val="00E71A5C"/>
    <w:rsid w:val="00E71D24"/>
    <w:rsid w:val="00E724C5"/>
    <w:rsid w:val="00E76FE7"/>
    <w:rsid w:val="00E803F3"/>
    <w:rsid w:val="00E80B09"/>
    <w:rsid w:val="00E81E6F"/>
    <w:rsid w:val="00E84E0F"/>
    <w:rsid w:val="00E855E4"/>
    <w:rsid w:val="00E85717"/>
    <w:rsid w:val="00E85DA7"/>
    <w:rsid w:val="00E86B72"/>
    <w:rsid w:val="00E87FF3"/>
    <w:rsid w:val="00E903C7"/>
    <w:rsid w:val="00E9322D"/>
    <w:rsid w:val="00E935AD"/>
    <w:rsid w:val="00E94299"/>
    <w:rsid w:val="00E94568"/>
    <w:rsid w:val="00E9562B"/>
    <w:rsid w:val="00E96381"/>
    <w:rsid w:val="00E96FAF"/>
    <w:rsid w:val="00E97285"/>
    <w:rsid w:val="00E972FD"/>
    <w:rsid w:val="00E97E2F"/>
    <w:rsid w:val="00EA0D1F"/>
    <w:rsid w:val="00EA1251"/>
    <w:rsid w:val="00EA3071"/>
    <w:rsid w:val="00EA309E"/>
    <w:rsid w:val="00EA4FE6"/>
    <w:rsid w:val="00EA59E8"/>
    <w:rsid w:val="00EA5B03"/>
    <w:rsid w:val="00EA5BA4"/>
    <w:rsid w:val="00EB3E9F"/>
    <w:rsid w:val="00EB508F"/>
    <w:rsid w:val="00EB5498"/>
    <w:rsid w:val="00EB68D7"/>
    <w:rsid w:val="00EB7BD4"/>
    <w:rsid w:val="00EC0140"/>
    <w:rsid w:val="00EC0D1E"/>
    <w:rsid w:val="00EC2809"/>
    <w:rsid w:val="00EC38A9"/>
    <w:rsid w:val="00EC3945"/>
    <w:rsid w:val="00EC79D2"/>
    <w:rsid w:val="00ED069E"/>
    <w:rsid w:val="00ED0984"/>
    <w:rsid w:val="00ED18BB"/>
    <w:rsid w:val="00ED248F"/>
    <w:rsid w:val="00ED2AF1"/>
    <w:rsid w:val="00ED2F9E"/>
    <w:rsid w:val="00ED3696"/>
    <w:rsid w:val="00ED6FF2"/>
    <w:rsid w:val="00ED7133"/>
    <w:rsid w:val="00EE04B7"/>
    <w:rsid w:val="00EE2243"/>
    <w:rsid w:val="00EE23C3"/>
    <w:rsid w:val="00EE2875"/>
    <w:rsid w:val="00EE2B05"/>
    <w:rsid w:val="00EE32AE"/>
    <w:rsid w:val="00EE3A1C"/>
    <w:rsid w:val="00EE42FE"/>
    <w:rsid w:val="00EE4DA8"/>
    <w:rsid w:val="00EE56F6"/>
    <w:rsid w:val="00EE5913"/>
    <w:rsid w:val="00EE5C17"/>
    <w:rsid w:val="00EE77B4"/>
    <w:rsid w:val="00EF12D9"/>
    <w:rsid w:val="00EF39D3"/>
    <w:rsid w:val="00EF3A48"/>
    <w:rsid w:val="00EF3E24"/>
    <w:rsid w:val="00EF43F2"/>
    <w:rsid w:val="00EF624B"/>
    <w:rsid w:val="00EF677D"/>
    <w:rsid w:val="00EF69D7"/>
    <w:rsid w:val="00F01D9D"/>
    <w:rsid w:val="00F022BA"/>
    <w:rsid w:val="00F03EE3"/>
    <w:rsid w:val="00F04C59"/>
    <w:rsid w:val="00F1072A"/>
    <w:rsid w:val="00F11B26"/>
    <w:rsid w:val="00F127E9"/>
    <w:rsid w:val="00F13E4B"/>
    <w:rsid w:val="00F13F65"/>
    <w:rsid w:val="00F146F1"/>
    <w:rsid w:val="00F165E8"/>
    <w:rsid w:val="00F20DD2"/>
    <w:rsid w:val="00F2152D"/>
    <w:rsid w:val="00F219CA"/>
    <w:rsid w:val="00F225A3"/>
    <w:rsid w:val="00F23DD1"/>
    <w:rsid w:val="00F24075"/>
    <w:rsid w:val="00F258FA"/>
    <w:rsid w:val="00F25FDF"/>
    <w:rsid w:val="00F2696C"/>
    <w:rsid w:val="00F27D49"/>
    <w:rsid w:val="00F31BE6"/>
    <w:rsid w:val="00F32DB3"/>
    <w:rsid w:val="00F33A17"/>
    <w:rsid w:val="00F33EE7"/>
    <w:rsid w:val="00F35736"/>
    <w:rsid w:val="00F3580B"/>
    <w:rsid w:val="00F35A7E"/>
    <w:rsid w:val="00F361C3"/>
    <w:rsid w:val="00F36DA8"/>
    <w:rsid w:val="00F400A4"/>
    <w:rsid w:val="00F4034F"/>
    <w:rsid w:val="00F409ED"/>
    <w:rsid w:val="00F41587"/>
    <w:rsid w:val="00F41D5E"/>
    <w:rsid w:val="00F4239E"/>
    <w:rsid w:val="00F423D8"/>
    <w:rsid w:val="00F427F3"/>
    <w:rsid w:val="00F43C67"/>
    <w:rsid w:val="00F43DDD"/>
    <w:rsid w:val="00F451DC"/>
    <w:rsid w:val="00F5128B"/>
    <w:rsid w:val="00F52268"/>
    <w:rsid w:val="00F54C92"/>
    <w:rsid w:val="00F54DED"/>
    <w:rsid w:val="00F54EE5"/>
    <w:rsid w:val="00F5687F"/>
    <w:rsid w:val="00F570E3"/>
    <w:rsid w:val="00F57118"/>
    <w:rsid w:val="00F57447"/>
    <w:rsid w:val="00F60982"/>
    <w:rsid w:val="00F61127"/>
    <w:rsid w:val="00F62631"/>
    <w:rsid w:val="00F62D63"/>
    <w:rsid w:val="00F644C7"/>
    <w:rsid w:val="00F660D4"/>
    <w:rsid w:val="00F66355"/>
    <w:rsid w:val="00F723B3"/>
    <w:rsid w:val="00F731CE"/>
    <w:rsid w:val="00F7400E"/>
    <w:rsid w:val="00F7497A"/>
    <w:rsid w:val="00F76B9E"/>
    <w:rsid w:val="00F76BAA"/>
    <w:rsid w:val="00F80BA1"/>
    <w:rsid w:val="00F81516"/>
    <w:rsid w:val="00F81BF0"/>
    <w:rsid w:val="00F82478"/>
    <w:rsid w:val="00F83D95"/>
    <w:rsid w:val="00F84586"/>
    <w:rsid w:val="00F84669"/>
    <w:rsid w:val="00F84825"/>
    <w:rsid w:val="00F84B3C"/>
    <w:rsid w:val="00F852F3"/>
    <w:rsid w:val="00F85666"/>
    <w:rsid w:val="00F86212"/>
    <w:rsid w:val="00F86788"/>
    <w:rsid w:val="00F90296"/>
    <w:rsid w:val="00F9046D"/>
    <w:rsid w:val="00F91D6E"/>
    <w:rsid w:val="00F9447E"/>
    <w:rsid w:val="00F945C6"/>
    <w:rsid w:val="00F958AF"/>
    <w:rsid w:val="00F958F2"/>
    <w:rsid w:val="00F962D6"/>
    <w:rsid w:val="00F97769"/>
    <w:rsid w:val="00FA000C"/>
    <w:rsid w:val="00FA0C98"/>
    <w:rsid w:val="00FA2457"/>
    <w:rsid w:val="00FA2CBA"/>
    <w:rsid w:val="00FA31CB"/>
    <w:rsid w:val="00FA32F8"/>
    <w:rsid w:val="00FA40B4"/>
    <w:rsid w:val="00FA527B"/>
    <w:rsid w:val="00FA56B4"/>
    <w:rsid w:val="00FA5D80"/>
    <w:rsid w:val="00FB073C"/>
    <w:rsid w:val="00FB0D57"/>
    <w:rsid w:val="00FB1112"/>
    <w:rsid w:val="00FB1F64"/>
    <w:rsid w:val="00FB30B9"/>
    <w:rsid w:val="00FB362E"/>
    <w:rsid w:val="00FB399C"/>
    <w:rsid w:val="00FB430F"/>
    <w:rsid w:val="00FB5DDC"/>
    <w:rsid w:val="00FB64DD"/>
    <w:rsid w:val="00FB6CEC"/>
    <w:rsid w:val="00FC1FAA"/>
    <w:rsid w:val="00FC2A16"/>
    <w:rsid w:val="00FC3C1D"/>
    <w:rsid w:val="00FC4396"/>
    <w:rsid w:val="00FC4E7D"/>
    <w:rsid w:val="00FC7D54"/>
    <w:rsid w:val="00FD0AB3"/>
    <w:rsid w:val="00FD14B2"/>
    <w:rsid w:val="00FD1C0B"/>
    <w:rsid w:val="00FD2AF6"/>
    <w:rsid w:val="00FD430E"/>
    <w:rsid w:val="00FD43FE"/>
    <w:rsid w:val="00FD4658"/>
    <w:rsid w:val="00FD4670"/>
    <w:rsid w:val="00FD49B6"/>
    <w:rsid w:val="00FD4C24"/>
    <w:rsid w:val="00FD4C39"/>
    <w:rsid w:val="00FD4FD9"/>
    <w:rsid w:val="00FD53F0"/>
    <w:rsid w:val="00FD5F37"/>
    <w:rsid w:val="00FD6B66"/>
    <w:rsid w:val="00FD74CB"/>
    <w:rsid w:val="00FD7776"/>
    <w:rsid w:val="00FD7A49"/>
    <w:rsid w:val="00FE01A5"/>
    <w:rsid w:val="00FE06E9"/>
    <w:rsid w:val="00FE094D"/>
    <w:rsid w:val="00FE0D95"/>
    <w:rsid w:val="00FE1444"/>
    <w:rsid w:val="00FE1642"/>
    <w:rsid w:val="00FE17BA"/>
    <w:rsid w:val="00FE2153"/>
    <w:rsid w:val="00FE21A5"/>
    <w:rsid w:val="00FE2ABF"/>
    <w:rsid w:val="00FE31AC"/>
    <w:rsid w:val="00FE3C04"/>
    <w:rsid w:val="00FE47BA"/>
    <w:rsid w:val="00FE4DA4"/>
    <w:rsid w:val="00FE5669"/>
    <w:rsid w:val="00FE5AE3"/>
    <w:rsid w:val="00FE62A2"/>
    <w:rsid w:val="00FF1334"/>
    <w:rsid w:val="00FF150E"/>
    <w:rsid w:val="00FF21B3"/>
    <w:rsid w:val="00FF242C"/>
    <w:rsid w:val="00FF274A"/>
    <w:rsid w:val="00FF31D1"/>
    <w:rsid w:val="00FF3592"/>
    <w:rsid w:val="00FF37B8"/>
    <w:rsid w:val="00FF5BB8"/>
    <w:rsid w:val="00FF6004"/>
    <w:rsid w:val="00FF7464"/>
    <w:rsid w:val="00FF755B"/>
    <w:rsid w:val="06213626"/>
    <w:rsid w:val="0BE435CE"/>
    <w:rsid w:val="0F926034"/>
    <w:rsid w:val="12D35B39"/>
    <w:rsid w:val="3C785018"/>
    <w:rsid w:val="405A16A3"/>
    <w:rsid w:val="431E4B8B"/>
    <w:rsid w:val="49C72F64"/>
    <w:rsid w:val="59B74575"/>
    <w:rsid w:val="7C2F18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自选图形 19">
          <o:proxy start="" idref="#矩形 5" connectloc="3"/>
        </o:r>
        <o:r id="V:Rule2" type="connector" idref="#_x0000_s1039"/>
        <o:r id="V:Rule3" type="connector" idref="#自选图形 17"/>
        <o:r id="V:Rule4" type="connector" idref="#自选图形 18"/>
        <o:r id="V:Rule5" type="connector" idref="#自选图形 16"/>
        <o:r id="V:Rule6" type="connector" idref="#自选图形 20">
          <o:proxy start="" idref="#矩形 5" connectloc="3"/>
        </o:r>
        <o:r id="V:Rule7" type="connector" idref="#自选图形 22">
          <o:proxy start="" idref="#矩形 5" connectloc="3"/>
        </o:r>
        <o:r id="V:Rule8" type="connector" idref="#自选图形 24">
          <o:proxy start="" idref="#矩形 5" connectloc="3"/>
        </o:r>
        <o:r id="V:Rule9" type="connector" idref="#自选图形 21">
          <o:proxy start="" idref="#矩形 5" connectloc="3"/>
        </o:r>
        <o:r id="V:Rule10" type="connector" idref="#自选图形 23">
          <o:proxy start="" idref="#矩形 5" connectloc="3"/>
        </o:r>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unhideWhenUsed="0" w:uiPriority="0" w:name="toc 5"/>
    <w:lsdException w:qFormat="1"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75"/>
    <w:qFormat/>
    <w:uiPriority w:val="0"/>
    <w:pPr>
      <w:keepNext/>
      <w:jc w:val="center"/>
      <w:outlineLvl w:val="0"/>
    </w:pPr>
    <w:rPr>
      <w:sz w:val="32"/>
    </w:rPr>
  </w:style>
  <w:style w:type="paragraph" w:styleId="3">
    <w:name w:val="heading 2"/>
    <w:basedOn w:val="1"/>
    <w:next w:val="1"/>
    <w:link w:val="76"/>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7"/>
    <w:autoRedefine/>
    <w:uiPriority w:val="0"/>
    <w:pPr>
      <w:keepNext/>
      <w:keepLines/>
      <w:spacing w:before="260" w:after="260" w:line="416" w:lineRule="auto"/>
      <w:outlineLvl w:val="2"/>
    </w:pPr>
    <w:rPr>
      <w:b/>
      <w:bCs/>
      <w:sz w:val="32"/>
      <w:szCs w:val="32"/>
    </w:rPr>
  </w:style>
  <w:style w:type="character" w:default="1" w:styleId="31">
    <w:name w:val="Default Paragraph Font"/>
    <w:autoRedefine/>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autoRedefine/>
    <w:qFormat/>
    <w:uiPriority w:val="0"/>
    <w:pPr>
      <w:ind w:left="2520" w:leftChars="1200"/>
    </w:pPr>
    <w:rPr>
      <w:rFonts w:ascii="Calibri" w:hAnsi="Calibri"/>
      <w:szCs w:val="24"/>
    </w:rPr>
  </w:style>
  <w:style w:type="paragraph" w:styleId="6">
    <w:name w:val="Normal Indent"/>
    <w:basedOn w:val="1"/>
    <w:link w:val="78"/>
    <w:autoRedefine/>
    <w:qFormat/>
    <w:uiPriority w:val="0"/>
    <w:pPr>
      <w:snapToGrid w:val="0"/>
      <w:spacing w:line="480" w:lineRule="atLeast"/>
      <w:ind w:firstLine="567"/>
    </w:pPr>
    <w:rPr>
      <w:kern w:val="0"/>
      <w:sz w:val="28"/>
    </w:rPr>
  </w:style>
  <w:style w:type="paragraph" w:styleId="7">
    <w:name w:val="Document Map"/>
    <w:basedOn w:val="1"/>
    <w:link w:val="79"/>
    <w:autoRedefine/>
    <w:qFormat/>
    <w:uiPriority w:val="0"/>
    <w:pPr>
      <w:widowControl/>
      <w:shd w:val="clear" w:color="auto" w:fill="000080"/>
      <w:jc w:val="left"/>
    </w:pPr>
    <w:rPr>
      <w:kern w:val="0"/>
      <w:sz w:val="20"/>
      <w:shd w:val="clear" w:color="auto" w:fill="000080"/>
    </w:rPr>
  </w:style>
  <w:style w:type="paragraph" w:styleId="8">
    <w:name w:val="Body Text"/>
    <w:basedOn w:val="1"/>
    <w:link w:val="80"/>
    <w:autoRedefine/>
    <w:qFormat/>
    <w:uiPriority w:val="0"/>
    <w:pPr>
      <w:spacing w:after="120"/>
    </w:pPr>
  </w:style>
  <w:style w:type="paragraph" w:styleId="9">
    <w:name w:val="Body Text Indent"/>
    <w:basedOn w:val="1"/>
    <w:link w:val="81"/>
    <w:autoRedefine/>
    <w:qFormat/>
    <w:uiPriority w:val="0"/>
    <w:pPr>
      <w:spacing w:line="500" w:lineRule="exact"/>
      <w:ind w:firstLine="600" w:firstLineChars="200"/>
    </w:pPr>
    <w:rPr>
      <w:sz w:val="30"/>
      <w:szCs w:val="24"/>
    </w:rPr>
  </w:style>
  <w:style w:type="paragraph" w:styleId="10">
    <w:name w:val="toc 5"/>
    <w:basedOn w:val="1"/>
    <w:next w:val="1"/>
    <w:autoRedefine/>
    <w:semiHidden/>
    <w:uiPriority w:val="0"/>
    <w:pPr>
      <w:ind w:left="1680" w:leftChars="800"/>
    </w:pPr>
  </w:style>
  <w:style w:type="paragraph" w:styleId="11">
    <w:name w:val="toc 3"/>
    <w:basedOn w:val="1"/>
    <w:next w:val="1"/>
    <w:autoRedefine/>
    <w:qFormat/>
    <w:uiPriority w:val="0"/>
    <w:pPr>
      <w:tabs>
        <w:tab w:val="right" w:leader="dot" w:pos="8720"/>
      </w:tabs>
      <w:spacing w:line="520" w:lineRule="exact"/>
      <w:ind w:left="840" w:leftChars="400"/>
    </w:pPr>
    <w:rPr>
      <w:szCs w:val="24"/>
    </w:rPr>
  </w:style>
  <w:style w:type="paragraph" w:styleId="12">
    <w:name w:val="Plain Text"/>
    <w:basedOn w:val="1"/>
    <w:link w:val="82"/>
    <w:autoRedefine/>
    <w:uiPriority w:val="0"/>
    <w:rPr>
      <w:rFonts w:ascii="宋体" w:hAnsi="Courier New" w:cs="Courier New"/>
      <w:szCs w:val="21"/>
    </w:rPr>
  </w:style>
  <w:style w:type="paragraph" w:styleId="13">
    <w:name w:val="toc 8"/>
    <w:basedOn w:val="1"/>
    <w:next w:val="1"/>
    <w:autoRedefine/>
    <w:qFormat/>
    <w:uiPriority w:val="0"/>
    <w:pPr>
      <w:ind w:left="2940" w:leftChars="1400"/>
    </w:pPr>
    <w:rPr>
      <w:rFonts w:ascii="Calibri" w:hAnsi="Calibri"/>
      <w:szCs w:val="24"/>
    </w:rPr>
  </w:style>
  <w:style w:type="paragraph" w:styleId="14">
    <w:name w:val="Date"/>
    <w:basedOn w:val="1"/>
    <w:next w:val="1"/>
    <w:link w:val="83"/>
    <w:autoRedefine/>
    <w:qFormat/>
    <w:uiPriority w:val="0"/>
    <w:pPr>
      <w:ind w:left="100" w:leftChars="2500"/>
    </w:pPr>
  </w:style>
  <w:style w:type="paragraph" w:styleId="15">
    <w:name w:val="Body Text Indent 2"/>
    <w:basedOn w:val="1"/>
    <w:link w:val="84"/>
    <w:autoRedefine/>
    <w:qFormat/>
    <w:uiPriority w:val="0"/>
    <w:pPr>
      <w:spacing w:before="100" w:line="500" w:lineRule="exact"/>
      <w:ind w:firstLine="480" w:firstLineChars="200"/>
      <w:textAlignment w:val="baseline"/>
    </w:pPr>
    <w:rPr>
      <w:rFonts w:ascii="宋体" w:hAnsi="宋体" w:eastAsia="黑体"/>
      <w:kern w:val="0"/>
      <w:sz w:val="30"/>
    </w:rPr>
  </w:style>
  <w:style w:type="paragraph" w:styleId="16">
    <w:name w:val="Balloon Text"/>
    <w:basedOn w:val="1"/>
    <w:link w:val="85"/>
    <w:qFormat/>
    <w:uiPriority w:val="0"/>
    <w:rPr>
      <w:kern w:val="0"/>
      <w:sz w:val="18"/>
    </w:rPr>
  </w:style>
  <w:style w:type="paragraph" w:styleId="17">
    <w:name w:val="footer"/>
    <w:basedOn w:val="1"/>
    <w:link w:val="86"/>
    <w:autoRedefine/>
    <w:qFormat/>
    <w:uiPriority w:val="0"/>
    <w:pPr>
      <w:tabs>
        <w:tab w:val="center" w:pos="4153"/>
        <w:tab w:val="right" w:pos="8306"/>
      </w:tabs>
      <w:snapToGrid w:val="0"/>
      <w:jc w:val="left"/>
    </w:pPr>
    <w:rPr>
      <w:sz w:val="18"/>
    </w:rPr>
  </w:style>
  <w:style w:type="paragraph" w:styleId="18">
    <w:name w:val="header"/>
    <w:basedOn w:val="1"/>
    <w:link w:val="87"/>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0"/>
    <w:pPr>
      <w:widowControl/>
      <w:jc w:val="left"/>
    </w:pPr>
    <w:rPr>
      <w:kern w:val="0"/>
      <w:sz w:val="20"/>
    </w:rPr>
  </w:style>
  <w:style w:type="paragraph" w:styleId="20">
    <w:name w:val="toc 4"/>
    <w:basedOn w:val="1"/>
    <w:next w:val="1"/>
    <w:qFormat/>
    <w:uiPriority w:val="0"/>
    <w:pPr>
      <w:ind w:left="1260" w:leftChars="600"/>
    </w:pPr>
    <w:rPr>
      <w:rFonts w:ascii="Calibri" w:hAnsi="Calibri"/>
      <w:szCs w:val="24"/>
    </w:rPr>
  </w:style>
  <w:style w:type="paragraph" w:styleId="21">
    <w:name w:val="footnote text"/>
    <w:basedOn w:val="1"/>
    <w:autoRedefine/>
    <w:qFormat/>
    <w:uiPriority w:val="0"/>
    <w:pPr>
      <w:snapToGrid w:val="0"/>
      <w:jc w:val="left"/>
    </w:pPr>
    <w:rPr>
      <w:rFonts w:ascii="Calibri" w:hAnsi="Calibri"/>
      <w:sz w:val="18"/>
      <w:szCs w:val="18"/>
    </w:rPr>
  </w:style>
  <w:style w:type="paragraph" w:styleId="22">
    <w:name w:val="toc 6"/>
    <w:basedOn w:val="1"/>
    <w:next w:val="1"/>
    <w:autoRedefine/>
    <w:qFormat/>
    <w:uiPriority w:val="0"/>
    <w:pPr>
      <w:ind w:left="2100" w:leftChars="1000"/>
    </w:pPr>
    <w:rPr>
      <w:rFonts w:ascii="Calibri" w:hAnsi="Calibri"/>
      <w:szCs w:val="24"/>
    </w:rPr>
  </w:style>
  <w:style w:type="paragraph" w:styleId="23">
    <w:name w:val="toc 2"/>
    <w:basedOn w:val="1"/>
    <w:next w:val="1"/>
    <w:autoRedefine/>
    <w:uiPriority w:val="0"/>
    <w:pPr>
      <w:widowControl/>
      <w:ind w:left="420" w:leftChars="200"/>
      <w:jc w:val="left"/>
    </w:pPr>
    <w:rPr>
      <w:kern w:val="0"/>
      <w:sz w:val="20"/>
    </w:rPr>
  </w:style>
  <w:style w:type="paragraph" w:styleId="24">
    <w:name w:val="toc 9"/>
    <w:basedOn w:val="1"/>
    <w:next w:val="1"/>
    <w:autoRedefine/>
    <w:uiPriority w:val="0"/>
    <w:pPr>
      <w:ind w:left="3360" w:leftChars="1600"/>
    </w:pPr>
    <w:rPr>
      <w:rFonts w:ascii="Calibri" w:hAnsi="Calibri"/>
      <w:szCs w:val="24"/>
    </w:rPr>
  </w:style>
  <w:style w:type="paragraph" w:styleId="25">
    <w:name w:val="Body Text 2"/>
    <w:basedOn w:val="1"/>
    <w:autoRedefine/>
    <w:qFormat/>
    <w:uiPriority w:val="0"/>
    <w:pPr>
      <w:spacing w:after="120" w:line="480" w:lineRule="auto"/>
    </w:pPr>
  </w:style>
  <w:style w:type="paragraph" w:styleId="26">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27">
    <w:name w:val="Title"/>
    <w:basedOn w:val="1"/>
    <w:link w:val="88"/>
    <w:qFormat/>
    <w:uiPriority w:val="0"/>
    <w:pPr>
      <w:spacing w:before="240" w:after="60"/>
      <w:jc w:val="center"/>
      <w:outlineLvl w:val="0"/>
    </w:pPr>
    <w:rPr>
      <w:rFonts w:ascii="Arial" w:hAnsi="Arial" w:cs="Arial"/>
      <w:b/>
      <w:bCs/>
      <w:sz w:val="32"/>
      <w:szCs w:val="32"/>
    </w:rPr>
  </w:style>
  <w:style w:type="paragraph" w:styleId="28">
    <w:name w:val="Body Text First Indent 2"/>
    <w:basedOn w:val="9"/>
    <w:autoRedefine/>
    <w:uiPriority w:val="0"/>
    <w:pPr>
      <w:spacing w:after="120" w:line="240" w:lineRule="auto"/>
      <w:ind w:left="420" w:leftChars="200" w:firstLine="420"/>
    </w:pPr>
    <w:rPr>
      <w:sz w:val="21"/>
      <w:szCs w:val="20"/>
    </w:rPr>
  </w:style>
  <w:style w:type="table" w:styleId="30">
    <w:name w:val="Table Grid"/>
    <w:basedOn w:val="29"/>
    <w:autoRedefine/>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autoRedefine/>
    <w:qFormat/>
    <w:uiPriority w:val="0"/>
    <w:rPr>
      <w:rFonts w:ascii="Times New Roman" w:hAnsi="Times New Roman" w:eastAsia="宋体" w:cs="Times New Roman"/>
      <w:b/>
    </w:rPr>
  </w:style>
  <w:style w:type="character" w:styleId="33">
    <w:name w:val="page number"/>
    <w:basedOn w:val="31"/>
    <w:autoRedefine/>
    <w:qFormat/>
    <w:uiPriority w:val="0"/>
    <w:rPr>
      <w:rFonts w:ascii="Times New Roman" w:hAnsi="Times New Roman" w:eastAsia="宋体" w:cs="Times New Roman"/>
    </w:rPr>
  </w:style>
  <w:style w:type="character" w:styleId="34">
    <w:name w:val="FollowedHyperlink"/>
    <w:basedOn w:val="31"/>
    <w:autoRedefine/>
    <w:uiPriority w:val="0"/>
    <w:rPr>
      <w:rFonts w:ascii="Times New Roman" w:hAnsi="Times New Roman" w:eastAsia="宋体" w:cs="Times New Roman"/>
      <w:color w:val="800080"/>
      <w:u w:val="single"/>
    </w:rPr>
  </w:style>
  <w:style w:type="character" w:styleId="35">
    <w:name w:val="Hyperlink"/>
    <w:basedOn w:val="31"/>
    <w:qFormat/>
    <w:uiPriority w:val="0"/>
    <w:rPr>
      <w:rFonts w:ascii="Times New Roman" w:hAnsi="Times New Roman" w:eastAsia="宋体" w:cs="Times New Roman"/>
      <w:color w:val="0000FF"/>
      <w:u w:val="single"/>
    </w:rPr>
  </w:style>
  <w:style w:type="character" w:styleId="36">
    <w:name w:val="footnote reference"/>
    <w:basedOn w:val="31"/>
    <w:autoRedefine/>
    <w:qFormat/>
    <w:uiPriority w:val="0"/>
    <w:rPr>
      <w:rFonts w:ascii="Times New Roman" w:hAnsi="Times New Roman" w:eastAsia="宋体" w:cs="Times New Roman"/>
      <w:vertAlign w:val="superscript"/>
    </w:rPr>
  </w:style>
  <w:style w:type="paragraph" w:customStyle="1" w:styleId="37">
    <w:name w:val="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38">
    <w:name w:val="Style 2"/>
    <w:basedOn w:val="1"/>
    <w:link w:val="90"/>
    <w:autoRedefine/>
    <w:uiPriority w:val="0"/>
    <w:pPr>
      <w:spacing w:after="440"/>
      <w:ind w:firstLine="660"/>
      <w:jc w:val="left"/>
    </w:pPr>
    <w:rPr>
      <w:rFonts w:ascii="宋体" w:hAnsi="宋体"/>
      <w:color w:val="DE4E78"/>
      <w:kern w:val="0"/>
      <w:sz w:val="44"/>
      <w:szCs w:val="44"/>
      <w:lang w:val="zh-CN"/>
    </w:rPr>
  </w:style>
  <w:style w:type="paragraph" w:customStyle="1" w:styleId="39">
    <w:name w:val="Style 5"/>
    <w:basedOn w:val="1"/>
    <w:link w:val="91"/>
    <w:autoRedefine/>
    <w:uiPriority w:val="0"/>
    <w:pPr>
      <w:spacing w:line="413" w:lineRule="auto"/>
      <w:ind w:firstLine="400"/>
      <w:jc w:val="left"/>
    </w:pPr>
    <w:rPr>
      <w:rFonts w:ascii="宋体" w:hAnsi="宋体"/>
      <w:kern w:val="0"/>
      <w:sz w:val="30"/>
      <w:szCs w:val="30"/>
      <w:lang w:val="zh-CN"/>
    </w:rPr>
  </w:style>
  <w:style w:type="paragraph" w:customStyle="1" w:styleId="40">
    <w:name w:val="Style 13"/>
    <w:basedOn w:val="1"/>
    <w:link w:val="93"/>
    <w:autoRedefine/>
    <w:qFormat/>
    <w:uiPriority w:val="0"/>
    <w:pPr>
      <w:spacing w:line="542" w:lineRule="exact"/>
      <w:ind w:firstLine="640"/>
      <w:jc w:val="left"/>
    </w:pPr>
    <w:rPr>
      <w:rFonts w:ascii="黑体" w:hAnsi="黑体" w:eastAsia="黑体"/>
      <w:kern w:val="0"/>
      <w:sz w:val="32"/>
      <w:szCs w:val="32"/>
      <w:lang w:val="zh-CN"/>
    </w:rPr>
  </w:style>
  <w:style w:type="paragraph" w:customStyle="1" w:styleId="41">
    <w:name w:val="UserStyle_0"/>
    <w:basedOn w:val="1"/>
    <w:link w:val="94"/>
    <w:autoRedefine/>
    <w:uiPriority w:val="0"/>
    <w:pPr>
      <w:widowControl/>
      <w:spacing w:line="240" w:lineRule="atLeast"/>
      <w:ind w:left="420" w:firstLine="420"/>
    </w:pPr>
    <w:rPr>
      <w:kern w:val="0"/>
      <w:sz w:val="20"/>
      <w:szCs w:val="21"/>
    </w:rPr>
  </w:style>
  <w:style w:type="paragraph" w:customStyle="1" w:styleId="42">
    <w:name w:val="Style 6"/>
    <w:basedOn w:val="1"/>
    <w:link w:val="109"/>
    <w:autoRedefine/>
    <w:qFormat/>
    <w:uiPriority w:val="0"/>
    <w:pPr>
      <w:spacing w:line="403" w:lineRule="auto"/>
      <w:ind w:firstLine="400"/>
      <w:jc w:val="left"/>
    </w:pPr>
    <w:rPr>
      <w:rFonts w:ascii="宋体" w:hAnsi="宋体"/>
      <w:kern w:val="0"/>
      <w:sz w:val="28"/>
      <w:szCs w:val="28"/>
      <w:lang w:val="zh-CN"/>
    </w:rPr>
  </w:style>
  <w:style w:type="paragraph" w:customStyle="1" w:styleId="43">
    <w:name w:val="UserStyle_14"/>
    <w:autoRedefine/>
    <w:qFormat/>
    <w:uiPriority w:val="0"/>
    <w:pPr>
      <w:ind w:firstLine="566" w:firstLineChars="202"/>
      <w:jc w:val="both"/>
      <w:textAlignment w:val="baseline"/>
    </w:pPr>
    <w:rPr>
      <w:rFonts w:ascii="Times New Roman" w:hAnsi="Times New Roman" w:eastAsia="宋体" w:cs="Times New Roman"/>
      <w:sz w:val="21"/>
      <w:szCs w:val="21"/>
      <w:lang w:val="en-US" w:eastAsia="zh-CN" w:bidi="ar-SA"/>
    </w:rPr>
  </w:style>
  <w:style w:type="paragraph" w:customStyle="1" w:styleId="44">
    <w:name w:val="Normal Indent1"/>
    <w:basedOn w:val="1"/>
    <w:qFormat/>
    <w:uiPriority w:val="0"/>
    <w:pPr>
      <w:ind w:firstLine="420" w:firstLineChars="200"/>
    </w:pPr>
    <w:rPr>
      <w:rFonts w:ascii="Calibri" w:hAnsi="Calibri"/>
      <w:szCs w:val="22"/>
    </w:rPr>
  </w:style>
  <w:style w:type="paragraph" w:customStyle="1" w:styleId="45">
    <w:name w:val="_Style 6"/>
    <w:basedOn w:val="1"/>
    <w:autoRedefine/>
    <w:qFormat/>
    <w:uiPriority w:val="0"/>
    <w:pPr>
      <w:tabs>
        <w:tab w:val="left" w:pos="840"/>
      </w:tabs>
      <w:ind w:left="840" w:hanging="420"/>
    </w:pPr>
  </w:style>
  <w:style w:type="paragraph" w:customStyle="1" w:styleId="46">
    <w:name w:val="Table Paragraph"/>
    <w:basedOn w:val="1"/>
    <w:qFormat/>
    <w:uiPriority w:val="0"/>
    <w:rPr>
      <w:rFonts w:ascii="宋体" w:hAnsi="宋体" w:cs="宋体"/>
      <w:szCs w:val="21"/>
      <w:lang w:val="zh-CN"/>
    </w:rPr>
  </w:style>
  <w:style w:type="paragraph" w:customStyle="1" w:styleId="47">
    <w:name w:val="Char"/>
    <w:basedOn w:val="1"/>
    <w:autoRedefine/>
    <w:qFormat/>
    <w:uiPriority w:val="0"/>
    <w:rPr>
      <w:szCs w:val="24"/>
    </w:rPr>
  </w:style>
  <w:style w:type="paragraph" w:customStyle="1" w:styleId="48">
    <w:name w:val="Char1"/>
    <w:basedOn w:val="1"/>
    <w:autoRedefine/>
    <w:qFormat/>
    <w:uiPriority w:val="0"/>
    <w:pPr>
      <w:spacing w:line="240" w:lineRule="atLeast"/>
      <w:ind w:left="420" w:firstLine="420"/>
    </w:pPr>
    <w:rPr>
      <w:kern w:val="0"/>
      <w:szCs w:val="21"/>
    </w:rPr>
  </w:style>
  <w:style w:type="paragraph" w:customStyle="1" w:styleId="49">
    <w:name w:val="列出段落1"/>
    <w:basedOn w:val="1"/>
    <w:autoRedefine/>
    <w:qFormat/>
    <w:uiPriority w:val="0"/>
    <w:pPr>
      <w:ind w:firstLine="420" w:firstLineChars="200"/>
    </w:pPr>
    <w:rPr>
      <w:rFonts w:ascii="Calibri" w:hAnsi="Calibri"/>
      <w:szCs w:val="22"/>
    </w:rPr>
  </w:style>
  <w:style w:type="paragraph" w:customStyle="1" w:styleId="50">
    <w:name w:val="样式 (西文) 宋体 小五 加粗 居中"/>
    <w:basedOn w:val="1"/>
    <w:autoRedefine/>
    <w:uiPriority w:val="0"/>
    <w:pPr>
      <w:jc w:val="center"/>
    </w:pPr>
    <w:rPr>
      <w:rFonts w:ascii="宋体" w:hAnsi="宋体" w:cs="宋体"/>
      <w:b/>
      <w:bCs/>
      <w:sz w:val="18"/>
    </w:rPr>
  </w:style>
  <w:style w:type="paragraph" w:customStyle="1" w:styleId="51">
    <w:name w:val="TOC 标题1"/>
    <w:basedOn w:val="2"/>
    <w:next w:val="1"/>
    <w:autoRedefine/>
    <w:qFormat/>
    <w:uiPriority w:val="0"/>
    <w:pPr>
      <w:keepLines/>
      <w:widowControl/>
      <w:spacing w:before="480" w:line="276" w:lineRule="auto"/>
      <w:jc w:val="left"/>
      <w:outlineLvl w:val="9"/>
    </w:pPr>
    <w:rPr>
      <w:rFonts w:ascii="Cambria" w:hAnsi="Cambria"/>
      <w:b/>
      <w:bCs/>
      <w:color w:val="365F91"/>
      <w:kern w:val="0"/>
      <w:sz w:val="28"/>
      <w:szCs w:val="28"/>
    </w:rPr>
  </w:style>
  <w:style w:type="paragraph" w:customStyle="1" w:styleId="52">
    <w:name w:val="列出段落2"/>
    <w:basedOn w:val="1"/>
    <w:uiPriority w:val="0"/>
    <w:pPr>
      <w:ind w:firstLine="420" w:firstLineChars="200"/>
    </w:pPr>
    <w:rPr>
      <w:sz w:val="32"/>
      <w:szCs w:val="32"/>
    </w:rPr>
  </w:style>
  <w:style w:type="paragraph" w:customStyle="1" w:styleId="53">
    <w:name w:val="正文_0"/>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4">
    <w:name w:val="样式2"/>
    <w:basedOn w:val="1"/>
    <w:uiPriority w:val="0"/>
    <w:pPr>
      <w:spacing w:line="640" w:lineRule="exact"/>
      <w:ind w:firstLine="640" w:firstLineChars="200"/>
      <w:outlineLvl w:val="1"/>
    </w:pPr>
    <w:rPr>
      <w:rFonts w:ascii="Calibri" w:hAnsi="Calibri" w:eastAsia="方正楷体_GBK"/>
      <w:sz w:val="32"/>
      <w:szCs w:val="32"/>
    </w:rPr>
  </w:style>
  <w:style w:type="paragraph" w:customStyle="1" w:styleId="55">
    <w:name w:val="Char Char Char Char"/>
    <w:basedOn w:val="1"/>
    <w:uiPriority w:val="0"/>
    <w:rPr>
      <w:szCs w:val="24"/>
    </w:rPr>
  </w:style>
  <w:style w:type="paragraph" w:customStyle="1" w:styleId="56">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7">
    <w:name w:val="Char Char1 Char"/>
    <w:basedOn w:val="1"/>
    <w:uiPriority w:val="0"/>
    <w:pPr>
      <w:widowControl/>
      <w:spacing w:after="160" w:line="240" w:lineRule="exact"/>
      <w:jc w:val="left"/>
    </w:pPr>
    <w:rPr>
      <w:rFonts w:ascii="Verdana" w:hAnsi="Verdana" w:eastAsia="仿宋_GB2312"/>
      <w:kern w:val="0"/>
      <w:sz w:val="24"/>
      <w:lang w:eastAsia="en-US"/>
    </w:rPr>
  </w:style>
  <w:style w:type="paragraph" w:customStyle="1" w:styleId="58">
    <w:name w:val="0"/>
    <w:basedOn w:val="1"/>
    <w:uiPriority w:val="0"/>
    <w:pPr>
      <w:widowControl/>
      <w:snapToGrid w:val="0"/>
    </w:pPr>
    <w:rPr>
      <w:kern w:val="0"/>
      <w:szCs w:val="21"/>
    </w:rPr>
  </w:style>
  <w:style w:type="paragraph" w:customStyle="1" w:styleId="59">
    <w:name w:val="无间隔1"/>
    <w:unhideWhenUsed/>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0">
    <w:name w:val="正文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Normal1"/>
    <w:uiPriority w:val="0"/>
    <w:pPr>
      <w:jc w:val="both"/>
    </w:pPr>
    <w:rPr>
      <w:rFonts w:ascii="Times New Roman" w:hAnsi="Times New Roman" w:eastAsia="宋体" w:cs="Times New Roman"/>
      <w:kern w:val="2"/>
      <w:sz w:val="21"/>
      <w:szCs w:val="21"/>
      <w:lang w:val="en-US" w:eastAsia="zh-CN" w:bidi="ar-SA"/>
    </w:rPr>
  </w:style>
  <w:style w:type="paragraph" w:customStyle="1" w:styleId="62">
    <w:name w:val="普通(网站)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63">
    <w:name w:val="实施方案正文"/>
    <w:basedOn w:val="1"/>
    <w:uiPriority w:val="0"/>
    <w:pPr>
      <w:ind w:firstLine="566" w:firstLineChars="202"/>
    </w:pPr>
    <w:rPr>
      <w:rFonts w:ascii="Calibri" w:hAnsi="Calibri"/>
      <w:szCs w:val="28"/>
    </w:rPr>
  </w:style>
  <w:style w:type="paragraph" w:customStyle="1" w:styleId="64">
    <w:name w:val="p0"/>
    <w:basedOn w:val="1"/>
    <w:uiPriority w:val="0"/>
    <w:pPr>
      <w:widowControl/>
    </w:pPr>
    <w:rPr>
      <w:kern w:val="0"/>
      <w:szCs w:val="21"/>
    </w:rPr>
  </w:style>
  <w:style w:type="paragraph" w:customStyle="1" w:styleId="65">
    <w:name w:val="Char Char4"/>
    <w:basedOn w:val="1"/>
    <w:uiPriority w:val="0"/>
    <w:rPr>
      <w:rFonts w:ascii="Arial" w:hAnsi="Arial" w:cs="Arial"/>
      <w:sz w:val="20"/>
    </w:rPr>
  </w:style>
  <w:style w:type="paragraph" w:customStyle="1" w:styleId="66">
    <w:name w:val="p16"/>
    <w:basedOn w:val="1"/>
    <w:uiPriority w:val="0"/>
    <w:pPr>
      <w:widowControl/>
      <w:spacing w:before="100" w:beforeAutospacing="1" w:after="100" w:afterAutospacing="1"/>
      <w:jc w:val="left"/>
    </w:pPr>
    <w:rPr>
      <w:rFonts w:hint="eastAsia" w:ascii="宋体" w:hAnsi="宋体"/>
      <w:sz w:val="24"/>
    </w:rPr>
  </w:style>
  <w:style w:type="paragraph" w:customStyle="1" w:styleId="67">
    <w:name w:val="BodyText"/>
    <w:basedOn w:val="1"/>
    <w:next w:val="1"/>
    <w:qFormat/>
    <w:uiPriority w:val="0"/>
    <w:pPr>
      <w:spacing w:after="120"/>
    </w:pPr>
  </w:style>
  <w:style w:type="paragraph" w:customStyle="1" w:styleId="68">
    <w:name w:val="正文_0_0"/>
    <w:uiPriority w:val="0"/>
    <w:pPr>
      <w:widowControl w:val="0"/>
      <w:jc w:val="both"/>
    </w:pPr>
    <w:rPr>
      <w:rFonts w:ascii="Calibri" w:hAnsi="Calibri" w:eastAsia="宋体" w:cs="Times New Roman"/>
      <w:kern w:val="2"/>
      <w:sz w:val="21"/>
      <w:szCs w:val="22"/>
      <w:lang w:val="en-US" w:eastAsia="zh-CN" w:bidi="ar-SA"/>
    </w:rPr>
  </w:style>
  <w:style w:type="paragraph" w:customStyle="1" w:styleId="69">
    <w:name w:val="正文文本2"/>
    <w:basedOn w:val="1"/>
    <w:link w:val="111"/>
    <w:qFormat/>
    <w:uiPriority w:val="0"/>
    <w:pPr>
      <w:shd w:val="clear" w:color="auto" w:fill="FFFFFF"/>
      <w:spacing w:before="420" w:line="600" w:lineRule="exact"/>
      <w:jc w:val="distribute"/>
    </w:pPr>
    <w:rPr>
      <w:rFonts w:ascii="MingLiU" w:hAnsi="MingLiU" w:eastAsia="MingLiU"/>
      <w:kern w:val="0"/>
      <w:sz w:val="27"/>
      <w:szCs w:val="27"/>
    </w:rPr>
  </w:style>
  <w:style w:type="paragraph" w:customStyle="1" w:styleId="70">
    <w:name w:val="Body text|1"/>
    <w:basedOn w:val="1"/>
    <w:qFormat/>
    <w:uiPriority w:val="0"/>
    <w:pPr>
      <w:spacing w:line="434" w:lineRule="auto"/>
      <w:ind w:firstLine="400"/>
    </w:pPr>
    <w:rPr>
      <w:rFonts w:ascii="宋体" w:hAnsi="宋体" w:cs="宋体"/>
      <w:sz w:val="28"/>
      <w:szCs w:val="28"/>
      <w:lang w:val="zh-TW" w:eastAsia="zh-TW" w:bidi="zh-TW"/>
    </w:rPr>
  </w:style>
  <w:style w:type="paragraph" w:customStyle="1" w:styleId="71">
    <w:name w:val="Body text2"/>
    <w:basedOn w:val="1"/>
    <w:qFormat/>
    <w:uiPriority w:val="0"/>
    <w:pPr>
      <w:shd w:val="clear" w:color="auto" w:fill="FFFFFF"/>
      <w:spacing w:before="480" w:line="0" w:lineRule="atLeast"/>
    </w:pPr>
    <w:rPr>
      <w:rFonts w:ascii="宋体" w:hAnsi="宋体" w:cs="宋体"/>
      <w:spacing w:val="20"/>
      <w:sz w:val="30"/>
      <w:szCs w:val="30"/>
    </w:rPr>
  </w:style>
  <w:style w:type="paragraph" w:customStyle="1" w:styleId="72">
    <w:name w:val="正文 New"/>
    <w:next w:val="63"/>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3">
    <w:name w:val="正文文本1"/>
    <w:basedOn w:val="1"/>
    <w:qFormat/>
    <w:uiPriority w:val="0"/>
    <w:pPr>
      <w:shd w:val="clear" w:color="auto" w:fill="FFFFFF"/>
      <w:spacing w:line="480" w:lineRule="auto"/>
      <w:ind w:firstLine="400"/>
    </w:pPr>
    <w:rPr>
      <w:rFonts w:ascii="MingLiU" w:hAnsi="MingLiU" w:eastAsia="MingLiU" w:cs="MingLiU"/>
      <w:sz w:val="40"/>
      <w:szCs w:val="40"/>
      <w:lang w:val="zh-CN" w:bidi="zh-CN"/>
    </w:rPr>
  </w:style>
  <w:style w:type="paragraph" w:customStyle="1" w:styleId="74">
    <w:name w:val="标题 #1"/>
    <w:basedOn w:val="1"/>
    <w:qFormat/>
    <w:uiPriority w:val="0"/>
    <w:pPr>
      <w:shd w:val="clear" w:color="auto" w:fill="FFFFFF"/>
      <w:spacing w:line="1004" w:lineRule="exact"/>
      <w:jc w:val="center"/>
      <w:outlineLvl w:val="0"/>
    </w:pPr>
    <w:rPr>
      <w:rFonts w:ascii="MingLiU" w:hAnsi="MingLiU" w:eastAsia="MingLiU" w:cs="MingLiU"/>
      <w:sz w:val="50"/>
      <w:szCs w:val="50"/>
      <w:lang w:val="zh-CN" w:bidi="zh-CN"/>
    </w:rPr>
  </w:style>
  <w:style w:type="character" w:customStyle="1" w:styleId="75">
    <w:name w:val="标题 1 Char"/>
    <w:basedOn w:val="31"/>
    <w:link w:val="2"/>
    <w:uiPriority w:val="0"/>
    <w:rPr>
      <w:rFonts w:ascii="Times New Roman" w:hAnsi="Times New Roman" w:eastAsia="宋体" w:cs="Times New Roman"/>
      <w:kern w:val="2"/>
      <w:sz w:val="32"/>
      <w:lang w:val="en-US" w:eastAsia="zh-CN" w:bidi="ar-SA"/>
    </w:rPr>
  </w:style>
  <w:style w:type="character" w:customStyle="1" w:styleId="76">
    <w:name w:val="标题 2 Char"/>
    <w:basedOn w:val="31"/>
    <w:link w:val="3"/>
    <w:uiPriority w:val="0"/>
    <w:rPr>
      <w:rFonts w:ascii="Arial" w:hAnsi="Arial" w:eastAsia="黑体" w:cs="Times New Roman"/>
      <w:b/>
      <w:bCs/>
      <w:kern w:val="2"/>
      <w:sz w:val="32"/>
      <w:szCs w:val="32"/>
      <w:lang w:val="en-US" w:eastAsia="zh-CN" w:bidi="ar-SA"/>
    </w:rPr>
  </w:style>
  <w:style w:type="character" w:customStyle="1" w:styleId="77">
    <w:name w:val="标题 3 Char"/>
    <w:basedOn w:val="31"/>
    <w:link w:val="4"/>
    <w:uiPriority w:val="0"/>
    <w:rPr>
      <w:rFonts w:ascii="Times New Roman" w:hAnsi="Times New Roman" w:eastAsia="宋体" w:cs="Times New Roman"/>
      <w:b/>
      <w:bCs/>
      <w:kern w:val="2"/>
      <w:sz w:val="32"/>
      <w:szCs w:val="32"/>
      <w:lang w:val="en-US" w:eastAsia="zh-CN" w:bidi="ar-SA"/>
    </w:rPr>
  </w:style>
  <w:style w:type="character" w:customStyle="1" w:styleId="78">
    <w:name w:val="正文缩进 Char"/>
    <w:link w:val="6"/>
    <w:uiPriority w:val="0"/>
    <w:rPr>
      <w:rFonts w:ascii="Times New Roman" w:hAnsi="Times New Roman" w:eastAsia="宋体" w:cs="Times New Roman"/>
      <w:sz w:val="28"/>
      <w:lang w:val="en-US" w:eastAsia="zh-CN" w:bidi="ar-SA"/>
    </w:rPr>
  </w:style>
  <w:style w:type="character" w:customStyle="1" w:styleId="79">
    <w:name w:val="文档结构图 Char"/>
    <w:link w:val="7"/>
    <w:uiPriority w:val="0"/>
    <w:rPr>
      <w:rFonts w:ascii="Times New Roman" w:hAnsi="Times New Roman" w:eastAsia="宋体" w:cs="Times New Roman"/>
      <w:shd w:val="clear" w:color="auto" w:fill="000080"/>
      <w:lang w:bidi="ar-SA"/>
    </w:rPr>
  </w:style>
  <w:style w:type="character" w:customStyle="1" w:styleId="80">
    <w:name w:val="正文文本 Char"/>
    <w:basedOn w:val="31"/>
    <w:link w:val="8"/>
    <w:uiPriority w:val="0"/>
    <w:rPr>
      <w:rFonts w:ascii="Times New Roman" w:hAnsi="Times New Roman" w:eastAsia="宋体" w:cs="Times New Roman"/>
      <w:kern w:val="2"/>
      <w:sz w:val="21"/>
      <w:lang w:val="en-US" w:eastAsia="zh-CN" w:bidi="ar-SA"/>
    </w:rPr>
  </w:style>
  <w:style w:type="character" w:customStyle="1" w:styleId="81">
    <w:name w:val="正文文本缩进 Char"/>
    <w:basedOn w:val="31"/>
    <w:link w:val="9"/>
    <w:semiHidden/>
    <w:uiPriority w:val="0"/>
    <w:rPr>
      <w:rFonts w:ascii="Times New Roman" w:hAnsi="Times New Roman" w:eastAsia="宋体" w:cs="Times New Roman"/>
      <w:kern w:val="2"/>
      <w:sz w:val="30"/>
      <w:szCs w:val="24"/>
      <w:lang w:val="en-US" w:eastAsia="zh-CN" w:bidi="ar-SA"/>
    </w:rPr>
  </w:style>
  <w:style w:type="character" w:customStyle="1" w:styleId="82">
    <w:name w:val="纯文本 Char"/>
    <w:basedOn w:val="31"/>
    <w:link w:val="12"/>
    <w:semiHidden/>
    <w:uiPriority w:val="0"/>
    <w:rPr>
      <w:rFonts w:ascii="宋体" w:hAnsi="Courier New" w:eastAsia="宋体" w:cs="Courier New"/>
      <w:kern w:val="2"/>
      <w:sz w:val="21"/>
      <w:szCs w:val="21"/>
      <w:lang w:val="en-US" w:eastAsia="zh-CN" w:bidi="ar-SA"/>
    </w:rPr>
  </w:style>
  <w:style w:type="character" w:customStyle="1" w:styleId="83">
    <w:name w:val="日期 Char"/>
    <w:basedOn w:val="31"/>
    <w:link w:val="14"/>
    <w:semiHidden/>
    <w:uiPriority w:val="0"/>
    <w:rPr>
      <w:rFonts w:ascii="Times New Roman" w:hAnsi="Times New Roman" w:eastAsia="宋体" w:cs="Times New Roman"/>
      <w:kern w:val="2"/>
      <w:sz w:val="21"/>
      <w:lang w:val="en-US" w:eastAsia="zh-CN" w:bidi="ar-SA"/>
    </w:rPr>
  </w:style>
  <w:style w:type="character" w:customStyle="1" w:styleId="84">
    <w:name w:val="正文文本缩进 2 Char"/>
    <w:link w:val="15"/>
    <w:uiPriority w:val="0"/>
    <w:rPr>
      <w:rFonts w:ascii="宋体" w:hAnsi="宋体" w:eastAsia="黑体" w:cs="Times New Roman"/>
      <w:sz w:val="30"/>
      <w:lang w:bidi="ar-SA"/>
    </w:rPr>
  </w:style>
  <w:style w:type="character" w:customStyle="1" w:styleId="85">
    <w:name w:val="批注框文本 Char"/>
    <w:link w:val="16"/>
    <w:uiPriority w:val="0"/>
    <w:rPr>
      <w:rFonts w:ascii="Times New Roman" w:hAnsi="Times New Roman" w:eastAsia="宋体" w:cs="Times New Roman"/>
      <w:sz w:val="18"/>
      <w:lang w:bidi="ar-SA"/>
    </w:rPr>
  </w:style>
  <w:style w:type="character" w:customStyle="1" w:styleId="86">
    <w:name w:val="页脚 Char"/>
    <w:basedOn w:val="31"/>
    <w:link w:val="17"/>
    <w:uiPriority w:val="0"/>
    <w:rPr>
      <w:rFonts w:ascii="Times New Roman" w:hAnsi="Times New Roman" w:eastAsia="宋体" w:cs="Times New Roman"/>
      <w:kern w:val="2"/>
      <w:sz w:val="18"/>
      <w:lang w:val="en-US" w:eastAsia="zh-CN" w:bidi="ar-SA"/>
    </w:rPr>
  </w:style>
  <w:style w:type="character" w:customStyle="1" w:styleId="87">
    <w:name w:val="页眉 Char"/>
    <w:basedOn w:val="31"/>
    <w:link w:val="18"/>
    <w:uiPriority w:val="0"/>
    <w:rPr>
      <w:rFonts w:ascii="Times New Roman" w:hAnsi="Times New Roman" w:eastAsia="宋体" w:cs="Times New Roman"/>
      <w:kern w:val="2"/>
      <w:sz w:val="18"/>
      <w:szCs w:val="18"/>
      <w:lang w:val="en-US" w:eastAsia="zh-CN" w:bidi="ar-SA"/>
    </w:rPr>
  </w:style>
  <w:style w:type="character" w:customStyle="1" w:styleId="88">
    <w:name w:val="标题 Char"/>
    <w:basedOn w:val="31"/>
    <w:link w:val="27"/>
    <w:uiPriority w:val="0"/>
    <w:rPr>
      <w:rFonts w:ascii="Arial" w:hAnsi="Arial" w:eastAsia="宋体" w:cs="Arial"/>
      <w:b/>
      <w:bCs/>
      <w:kern w:val="2"/>
      <w:sz w:val="32"/>
      <w:szCs w:val="32"/>
      <w:lang w:val="en-US" w:eastAsia="zh-CN" w:bidi="ar-SA"/>
    </w:rPr>
  </w:style>
  <w:style w:type="character" w:customStyle="1" w:styleId="89">
    <w:name w:val="fontstyle01"/>
    <w:basedOn w:val="31"/>
    <w:uiPriority w:val="0"/>
    <w:rPr>
      <w:rFonts w:ascii="仿宋" w:hAnsi="Times New Roman" w:eastAsia="仿宋" w:cs="Times New Roman"/>
      <w:color w:val="000000"/>
      <w:sz w:val="32"/>
      <w:szCs w:val="32"/>
    </w:rPr>
  </w:style>
  <w:style w:type="character" w:customStyle="1" w:styleId="90">
    <w:name w:val="Char Style 3"/>
    <w:basedOn w:val="31"/>
    <w:link w:val="38"/>
    <w:uiPriority w:val="0"/>
    <w:rPr>
      <w:rFonts w:ascii="宋体" w:hAnsi="宋体" w:eastAsia="宋体" w:cs="Times New Roman"/>
      <w:color w:val="DE4E78"/>
      <w:sz w:val="44"/>
      <w:szCs w:val="44"/>
      <w:lang w:val="zh-CN" w:eastAsia="zh-CN" w:bidi="ar-SA"/>
    </w:rPr>
  </w:style>
  <w:style w:type="character" w:customStyle="1" w:styleId="91">
    <w:name w:val="Char Style 6"/>
    <w:basedOn w:val="31"/>
    <w:link w:val="39"/>
    <w:uiPriority w:val="0"/>
    <w:rPr>
      <w:rFonts w:ascii="宋体" w:hAnsi="宋体" w:eastAsia="宋体" w:cs="Times New Roman"/>
      <w:sz w:val="30"/>
      <w:szCs w:val="30"/>
      <w:lang w:val="zh-CN" w:eastAsia="zh-CN" w:bidi="ar-SA"/>
    </w:rPr>
  </w:style>
  <w:style w:type="character" w:customStyle="1" w:styleId="92">
    <w:name w:val="公文签发日期"/>
    <w:basedOn w:val="31"/>
    <w:uiPriority w:val="0"/>
    <w:rPr>
      <w:rFonts w:ascii="Times New Roman" w:hAnsi="Times New Roman" w:eastAsia="仿宋_GB2312" w:cs="Times New Roman"/>
      <w:sz w:val="32"/>
    </w:rPr>
  </w:style>
  <w:style w:type="character" w:customStyle="1" w:styleId="93">
    <w:name w:val="Char Style 14"/>
    <w:basedOn w:val="31"/>
    <w:link w:val="40"/>
    <w:uiPriority w:val="0"/>
    <w:rPr>
      <w:rFonts w:ascii="黑体" w:hAnsi="黑体" w:eastAsia="黑体" w:cs="Times New Roman"/>
      <w:sz w:val="32"/>
      <w:szCs w:val="32"/>
      <w:lang w:val="zh-CN" w:eastAsia="zh-CN" w:bidi="ar-SA"/>
    </w:rPr>
  </w:style>
  <w:style w:type="character" w:customStyle="1" w:styleId="94">
    <w:name w:val="NormalCharacter"/>
    <w:link w:val="41"/>
    <w:semiHidden/>
    <w:uiPriority w:val="0"/>
    <w:rPr>
      <w:rFonts w:ascii="Times New Roman" w:hAnsi="Times New Roman" w:eastAsia="宋体" w:cs="Times New Roman"/>
    </w:rPr>
  </w:style>
  <w:style w:type="character" w:customStyle="1" w:styleId="95">
    <w:name w:val="公文主送"/>
    <w:basedOn w:val="31"/>
    <w:uiPriority w:val="0"/>
    <w:rPr>
      <w:rFonts w:ascii="Times New Roman" w:hAnsi="Times New Roman" w:eastAsia="仿宋_GB2312" w:cs="Times New Roman"/>
      <w:sz w:val="32"/>
    </w:rPr>
  </w:style>
  <w:style w:type="character" w:customStyle="1" w:styleId="96">
    <w:name w:val="15"/>
    <w:basedOn w:val="31"/>
    <w:uiPriority w:val="0"/>
    <w:rPr>
      <w:rFonts w:ascii="?????_GBK" w:hAnsi="华文中宋" w:eastAsia="宋体" w:cs="?????_GBK"/>
      <w:color w:val="000000"/>
      <w:sz w:val="44"/>
      <w:szCs w:val="44"/>
    </w:rPr>
  </w:style>
  <w:style w:type="character" w:customStyle="1" w:styleId="97">
    <w:name w:val="办文文件名称"/>
    <w:uiPriority w:val="0"/>
    <w:rPr>
      <w:rFonts w:ascii="宋体" w:hAnsi="宋体" w:eastAsia="仿宋_GB2312" w:cs="Times New Roman"/>
      <w:sz w:val="24"/>
    </w:rPr>
  </w:style>
  <w:style w:type="character" w:customStyle="1" w:styleId="98">
    <w:name w:val="Heading 1 Char"/>
    <w:basedOn w:val="31"/>
    <w:uiPriority w:val="0"/>
    <w:rPr>
      <w:rFonts w:ascii="黑体" w:hAnsi="宋体" w:eastAsia="黑体" w:cs="Times New Roman"/>
      <w:kern w:val="44"/>
      <w:sz w:val="21"/>
      <w:szCs w:val="21"/>
    </w:rPr>
  </w:style>
  <w:style w:type="character" w:customStyle="1" w:styleId="99">
    <w:name w:val="Char Char1"/>
    <w:basedOn w:val="31"/>
    <w:uiPriority w:val="0"/>
    <w:rPr>
      <w:rFonts w:ascii="Times New Roman" w:hAnsi="Times New Roman" w:eastAsia="宋体" w:cs="Times New Roman"/>
      <w:kern w:val="2"/>
      <w:sz w:val="18"/>
      <w:szCs w:val="18"/>
      <w:lang w:val="en-US" w:eastAsia="zh-CN" w:bidi="ar-SA"/>
    </w:rPr>
  </w:style>
  <w:style w:type="character" w:customStyle="1" w:styleId="100">
    <w:name w:val="公文发出日期"/>
    <w:basedOn w:val="31"/>
    <w:uiPriority w:val="0"/>
    <w:rPr>
      <w:rFonts w:ascii="仿宋_GB2312" w:hAnsi="Times New Roman" w:eastAsia="仿宋_GB2312" w:cs="Times New Roman"/>
      <w:sz w:val="32"/>
    </w:rPr>
  </w:style>
  <w:style w:type="character" w:customStyle="1" w:styleId="101">
    <w:name w:val="公文标题"/>
    <w:uiPriority w:val="0"/>
    <w:rPr>
      <w:rFonts w:ascii="方正小标宋_GBK" w:hAnsi="华文中宋" w:eastAsia="方正小标宋_GBK" w:cs="Times New Roman"/>
      <w:color w:val="000000"/>
      <w:sz w:val="84"/>
    </w:rPr>
  </w:style>
  <w:style w:type="character" w:customStyle="1" w:styleId="102">
    <w:name w:val="公文文号"/>
    <w:basedOn w:val="31"/>
    <w:uiPriority w:val="0"/>
    <w:rPr>
      <w:rFonts w:ascii="Times New Roman" w:hAnsi="Times New Roman" w:eastAsia="仿宋_GB2312" w:cs="Times New Roman"/>
      <w:sz w:val="32"/>
    </w:rPr>
  </w:style>
  <w:style w:type="character" w:customStyle="1" w:styleId="103">
    <w:name w:val="公文正文"/>
    <w:basedOn w:val="31"/>
    <w:uiPriority w:val="0"/>
    <w:rPr>
      <w:rFonts w:ascii="仿宋_GB2312" w:hAnsi="华文中宋" w:eastAsia="仿宋_GB2312" w:cs="Times New Roman"/>
      <w:color w:val="000000"/>
      <w:sz w:val="32"/>
      <w:szCs w:val="84"/>
    </w:rPr>
  </w:style>
  <w:style w:type="character" w:customStyle="1" w:styleId="104">
    <w:name w:val="style21"/>
    <w:uiPriority w:val="0"/>
    <w:rPr>
      <w:rFonts w:ascii="Times New Roman" w:hAnsi="Times New Roman" w:eastAsia="宋体" w:cs="Times New Roman"/>
      <w:b/>
      <w:color w:val="1C52B2"/>
      <w:sz w:val="21"/>
    </w:rPr>
  </w:style>
  <w:style w:type="character" w:customStyle="1" w:styleId="105">
    <w:name w:val="Char Char"/>
    <w:basedOn w:val="31"/>
    <w:uiPriority w:val="0"/>
    <w:rPr>
      <w:rFonts w:ascii="Times New Roman" w:hAnsi="Times New Roman" w:eastAsia="宋体" w:cs="Times New Roman"/>
      <w:kern w:val="2"/>
      <w:sz w:val="18"/>
      <w:szCs w:val="18"/>
      <w:lang w:val="en-US" w:eastAsia="zh-CN" w:bidi="ar-SA"/>
    </w:rPr>
  </w:style>
  <w:style w:type="character" w:customStyle="1" w:styleId="106">
    <w:name w:val="ca-1"/>
    <w:basedOn w:val="31"/>
    <w:uiPriority w:val="0"/>
    <w:rPr>
      <w:rFonts w:ascii="Times New Roman" w:hAnsi="Times New Roman" w:eastAsia="宋体" w:cs="Times New Roman"/>
    </w:rPr>
  </w:style>
  <w:style w:type="character" w:customStyle="1" w:styleId="107">
    <w:name w:val="办文来文摘要"/>
    <w:basedOn w:val="31"/>
    <w:uiPriority w:val="0"/>
    <w:rPr>
      <w:rFonts w:ascii="Times New Roman" w:hAnsi="Times New Roman" w:eastAsia="仿宋_GB2312" w:cs="Times New Roman"/>
      <w:sz w:val="24"/>
    </w:rPr>
  </w:style>
  <w:style w:type="character" w:customStyle="1" w:styleId="108">
    <w:name w:val="readmail_locationtip"/>
    <w:basedOn w:val="31"/>
    <w:uiPriority w:val="0"/>
    <w:rPr>
      <w:rFonts w:ascii="Times New Roman" w:hAnsi="Times New Roman" w:eastAsia="宋体" w:cs="Times New Roman"/>
    </w:rPr>
  </w:style>
  <w:style w:type="character" w:customStyle="1" w:styleId="109">
    <w:name w:val="Char Style 7"/>
    <w:basedOn w:val="31"/>
    <w:link w:val="42"/>
    <w:uiPriority w:val="0"/>
    <w:rPr>
      <w:rFonts w:ascii="宋体" w:hAnsi="宋体" w:eastAsia="宋体" w:cs="Times New Roman"/>
      <w:sz w:val="28"/>
      <w:szCs w:val="28"/>
      <w:lang w:val="zh-CN" w:eastAsia="zh-CN" w:bidi="ar-SA"/>
    </w:rPr>
  </w:style>
  <w:style w:type="character" w:customStyle="1" w:styleId="110">
    <w:name w:val="Body text + 15.5 pt1"/>
    <w:basedOn w:val="111"/>
    <w:qFormat/>
    <w:uiPriority w:val="0"/>
    <w:rPr>
      <w:color w:val="000000"/>
      <w:spacing w:val="0"/>
      <w:w w:val="100"/>
      <w:position w:val="0"/>
      <w:sz w:val="31"/>
      <w:szCs w:val="31"/>
      <w:lang w:val="zh-TW"/>
    </w:rPr>
  </w:style>
  <w:style w:type="character" w:customStyle="1" w:styleId="111">
    <w:name w:val="Body text_"/>
    <w:link w:val="69"/>
    <w:qFormat/>
    <w:uiPriority w:val="0"/>
    <w:rPr>
      <w:rFonts w:ascii="MingLiU" w:hAnsi="MingLiU" w:eastAsia="MingLiU" w:cs="Times New Roman"/>
      <w:sz w:val="27"/>
      <w:szCs w:val="27"/>
      <w:lang w:bidi="ar-SA"/>
    </w:rPr>
  </w:style>
  <w:style w:type="character" w:customStyle="1" w:styleId="112">
    <w:name w:val="Body text + Spacing -1 pt"/>
    <w:basedOn w:val="111"/>
    <w:qFormat/>
    <w:uiPriority w:val="0"/>
    <w:rPr>
      <w:color w:val="000000"/>
      <w:spacing w:val="-30"/>
      <w:w w:val="100"/>
      <w:position w:val="0"/>
      <w:lang w:val="zh-TW"/>
    </w:rPr>
  </w:style>
  <w:style w:type="character" w:customStyle="1" w:styleId="113">
    <w:name w:val="Body text + 15.5 pt"/>
    <w:basedOn w:val="111"/>
    <w:qFormat/>
    <w:uiPriority w:val="0"/>
    <w:rPr>
      <w:color w:val="000000"/>
      <w:spacing w:val="0"/>
      <w:w w:val="100"/>
      <w:position w:val="0"/>
      <w:sz w:val="31"/>
      <w:szCs w:val="31"/>
      <w:lang w:val="zh-TW"/>
    </w:rPr>
  </w:style>
  <w:style w:type="character" w:customStyle="1" w:styleId="114">
    <w:name w:val="Body text1"/>
    <w:basedOn w:val="111"/>
    <w:qFormat/>
    <w:uiPriority w:val="0"/>
    <w:rPr>
      <w:color w:val="000000"/>
      <w:w w:val="100"/>
      <w:position w:val="0"/>
      <w:lang w:val="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Info spid="_x0000_s1028"/>
    <customShpInfo spid="_x0000_s1029"/>
    <customShpInfo spid="_x0000_s1031"/>
    <customShpInfo spid="_x0000_s1032"/>
    <customShpInfo spid="_x0000_s1033"/>
    <customShpInfo spid="_x0000_s1034"/>
    <customShpInfo spid="_x0000_s1030"/>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昆明市东川区党政机关单位</Company>
  <Pages>121</Pages>
  <Words>9794</Words>
  <Characters>55829</Characters>
  <Lines>465</Lines>
  <Paragraphs>130</Paragraphs>
  <TotalTime>5</TotalTime>
  <ScaleCrop>false</ScaleCrop>
  <LinksUpToDate>false</LinksUpToDate>
  <CharactersWithSpaces>65493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2023-08-24T02:17:00Z</dcterms:created>
  <dc:creator>Administrator</dc:creator>
  <cp:lastModifiedBy>岂曰无衣</cp:lastModifiedBy>
  <dcterms:modified xsi:type="dcterms:W3CDTF">2024-01-25T05:59:36Z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D164D2D2184D40FBB6DD35F3B3A55B8E_12</vt:lpwstr>
  </property>
</Properties>
</file>