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sz w:val="44"/>
        </w:rPr>
      </w:pPr>
      <w:bookmarkStart w:id="15" w:name="_GoBack"/>
      <w:bookmarkEnd w:id="15"/>
      <w:bookmarkStart w:id="0" w:name="_Toc422302930"/>
      <w:bookmarkStart w:id="1" w:name="_Toc430182957"/>
    </w:p>
    <w:p>
      <w:pPr>
        <w:pStyle w:val="20"/>
        <w:rPr>
          <w:rFonts w:hint="eastAsia"/>
          <w:sz w:val="44"/>
        </w:rPr>
      </w:pPr>
    </w:p>
    <w:p>
      <w:pPr>
        <w:pStyle w:val="20"/>
        <w:spacing w:before="0" w:after="0" w:line="360" w:lineRule="auto"/>
        <w:rPr>
          <w:rFonts w:hint="eastAsia"/>
          <w:sz w:val="52"/>
        </w:rPr>
      </w:pPr>
      <w:r>
        <w:rPr>
          <w:rFonts w:hint="eastAsia"/>
          <w:sz w:val="52"/>
        </w:rPr>
        <w:t>建设项目环境影响报告表</w:t>
      </w:r>
    </w:p>
    <w:p>
      <w:pPr>
        <w:pStyle w:val="20"/>
        <w:spacing w:before="0" w:after="0" w:line="360" w:lineRule="auto"/>
        <w:rPr>
          <w:rFonts w:hint="eastAsia"/>
          <w:sz w:val="44"/>
        </w:rPr>
      </w:pPr>
      <w:r>
        <w:rPr>
          <w:rFonts w:hint="eastAsia"/>
          <w:sz w:val="44"/>
        </w:rPr>
        <w:t>（污染影响类）</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项目名称：</w:t>
      </w:r>
      <w:r>
        <w:rPr>
          <w:rFonts w:ascii="黑体" w:hAnsi="黑体" w:eastAsia="黑体"/>
          <w:color w:val="000000"/>
          <w:sz w:val="32"/>
          <w:u w:val="single"/>
        </w:rPr>
        <w:t>昆明合旺有色金属有限公司固体废物综合</w:t>
      </w:r>
      <w:r>
        <w:rPr>
          <w:rFonts w:hint="eastAsia" w:ascii="黑体" w:hAnsi="黑体" w:eastAsia="黑体"/>
          <w:color w:val="000000"/>
          <w:sz w:val="32"/>
          <w:u w:val="single"/>
        </w:rPr>
        <w:t xml:space="preserve"> </w:t>
      </w:r>
    </w:p>
    <w:p>
      <w:pPr>
        <w:spacing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w:t>
      </w:r>
      <w:r>
        <w:rPr>
          <w:rFonts w:ascii="黑体" w:hAnsi="黑体" w:eastAsia="黑体"/>
          <w:color w:val="000000"/>
          <w:sz w:val="32"/>
          <w:u w:val="single"/>
        </w:rPr>
        <w:t>利用项目</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u w:val="single"/>
        </w:rPr>
      </w:pPr>
      <w:r>
        <w:rPr>
          <w:rFonts w:hint="eastAsia" w:ascii="黑体" w:hAnsi="黑体" w:eastAsia="黑体"/>
          <w:color w:val="000000"/>
          <w:sz w:val="32"/>
        </w:rPr>
        <w:t xml:space="preserve">     建设单位：</w:t>
      </w:r>
      <w:r>
        <w:rPr>
          <w:rFonts w:ascii="黑体" w:hAnsi="黑体" w:eastAsia="黑体"/>
          <w:color w:val="000000"/>
          <w:sz w:val="32"/>
          <w:u w:val="single"/>
        </w:rPr>
        <w:t>昆明合旺有色金属有限公司</w:t>
      </w:r>
      <w:r>
        <w:rPr>
          <w:rFonts w:hint="eastAsia" w:ascii="黑体" w:hAnsi="黑体" w:eastAsia="黑体"/>
          <w:color w:val="000000"/>
          <w:sz w:val="32"/>
          <w:u w:val="single"/>
        </w:rPr>
        <w:t xml:space="preserve">             </w:t>
      </w:r>
    </w:p>
    <w:p>
      <w:pPr>
        <w:spacing w:before="156" w:beforeLines="50" w:line="480" w:lineRule="auto"/>
        <w:jc w:val="left"/>
        <w:rPr>
          <w:rFonts w:hint="eastAsia" w:ascii="黑体" w:hAnsi="黑体" w:eastAsia="黑体"/>
          <w:color w:val="000000"/>
          <w:sz w:val="32"/>
        </w:rPr>
      </w:pPr>
      <w:r>
        <w:rPr>
          <w:rFonts w:hint="eastAsia" w:ascii="黑体" w:hAnsi="黑体" w:eastAsia="黑体"/>
          <w:color w:val="000000"/>
          <w:sz w:val="32"/>
        </w:rPr>
        <w:t xml:space="preserve">     编制日期：</w:t>
      </w:r>
      <w:r>
        <w:rPr>
          <w:rFonts w:hint="eastAsia" w:ascii="黑体" w:hAnsi="黑体" w:eastAsia="黑体"/>
          <w:color w:val="000000"/>
          <w:sz w:val="32"/>
          <w:u w:val="single"/>
        </w:rPr>
        <w:t xml:space="preserve">2024年1月                          </w:t>
      </w: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spacing w:line="360" w:lineRule="auto"/>
        <w:jc w:val="center"/>
        <w:rPr>
          <w:rFonts w:hint="eastAsia"/>
          <w:color w:val="000000"/>
          <w:sz w:val="24"/>
        </w:rPr>
      </w:pPr>
    </w:p>
    <w:p>
      <w:pPr>
        <w:pStyle w:val="20"/>
        <w:spacing w:before="0" w:after="0" w:line="360" w:lineRule="auto"/>
        <w:rPr>
          <w:rFonts w:hint="eastAsia"/>
          <w:sz w:val="28"/>
        </w:rPr>
      </w:pPr>
      <w:r>
        <w:rPr>
          <w:rFonts w:hint="eastAsia"/>
          <w:sz w:val="28"/>
        </w:rPr>
        <w:t>中华人民共和国生态环境部制</w:t>
      </w:r>
    </w:p>
    <w:p>
      <w:pPr>
        <w:rPr>
          <w:rFonts w:ascii="Times New Roman" w:hAnsi="Times New Roman" w:cs="Times New Roman"/>
          <w:b/>
          <w:color w:val="000000" w:themeColor="text1"/>
          <w:sz w:val="24"/>
        </w:rPr>
      </w:pPr>
      <w:r>
        <w:rPr>
          <w:rFonts w:ascii="Times New Roman" w:hAnsi="Times New Roman" w:cs="Times New Roman"/>
          <w:b/>
          <w:color w:val="000000" w:themeColor="text1"/>
          <w:sz w:val="24"/>
        </w:rPr>
        <w:br w:type="page"/>
      </w:r>
    </w:p>
    <w:p>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目 录</w:t>
      </w:r>
    </w:p>
    <w:p>
      <w:pPr>
        <w:pStyle w:val="15"/>
        <w:tabs>
          <w:tab w:val="right" w:leader="dot" w:pos="8302"/>
        </w:tabs>
        <w:spacing w:line="360" w:lineRule="auto"/>
        <w:rPr>
          <w:rFonts w:ascii="Times New Roman" w:hAnsi="Times New Roman"/>
          <w:color w:val="000000" w:themeColor="text1"/>
          <w:kern w:val="2"/>
          <w:sz w:val="21"/>
          <w:szCs w:val="21"/>
        </w:rPr>
      </w:pPr>
      <w:r>
        <w:rPr>
          <w:rFonts w:ascii="Times New Roman" w:hAnsi="Times New Roman"/>
          <w:bCs/>
          <w:caps/>
          <w:color w:val="000000" w:themeColor="text1"/>
          <w:sz w:val="21"/>
          <w:szCs w:val="21"/>
        </w:rPr>
        <w:fldChar w:fldCharType="begin"/>
      </w:r>
      <w:r>
        <w:rPr>
          <w:rFonts w:ascii="Times New Roman" w:hAnsi="Times New Roman"/>
          <w:color w:val="000000" w:themeColor="text1"/>
          <w:sz w:val="21"/>
          <w:szCs w:val="21"/>
        </w:rPr>
        <w:instrText xml:space="preserve"> TOC \o "1-2" \h \z \u </w:instrText>
      </w:r>
      <w:r>
        <w:rPr>
          <w:rFonts w:ascii="Times New Roman" w:hAnsi="Times New Roman"/>
          <w:bCs/>
          <w:caps/>
          <w:color w:val="000000" w:themeColor="text1"/>
          <w:sz w:val="21"/>
          <w:szCs w:val="21"/>
        </w:rPr>
        <w:fldChar w:fldCharType="separate"/>
      </w:r>
      <w:r>
        <w:fldChar w:fldCharType="begin"/>
      </w:r>
      <w:r>
        <w:instrText xml:space="preserve"> HYPERLINK \l "_Toc151133518" </w:instrText>
      </w:r>
      <w:r>
        <w:fldChar w:fldCharType="separate"/>
      </w:r>
      <w:r>
        <w:rPr>
          <w:rStyle w:val="27"/>
          <w:rFonts w:ascii="Times New Roman" w:hAnsiTheme="minorEastAsia"/>
          <w:color w:val="000000" w:themeColor="text1"/>
          <w:sz w:val="21"/>
          <w:szCs w:val="21"/>
        </w:rPr>
        <w:t>一、建设项目基本情况</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_Toc151133518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3</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"_Toc151133519" </w:instrText>
      </w:r>
      <w:r>
        <w:fldChar w:fldCharType="separate"/>
      </w:r>
      <w:r>
        <w:rPr>
          <w:rStyle w:val="27"/>
          <w:rFonts w:ascii="Times New Roman" w:hAnsiTheme="minorEastAsia"/>
          <w:color w:val="000000" w:themeColor="text1"/>
          <w:sz w:val="21"/>
          <w:szCs w:val="21"/>
        </w:rPr>
        <w:t>二、建设项目工程分析</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_Toc151133519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30</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"_Toc151133520" </w:instrText>
      </w:r>
      <w:r>
        <w:fldChar w:fldCharType="separate"/>
      </w:r>
      <w:r>
        <w:rPr>
          <w:rStyle w:val="27"/>
          <w:rFonts w:ascii="Times New Roman" w:hAnsiTheme="minorEastAsia"/>
          <w:color w:val="000000" w:themeColor="text1"/>
          <w:sz w:val="21"/>
          <w:szCs w:val="21"/>
        </w:rPr>
        <w:t>三、区域环境质量现状、环境保护目标及评价标准</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_Toc151133520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71</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"_Toc151133521" </w:instrText>
      </w:r>
      <w:r>
        <w:fldChar w:fldCharType="separate"/>
      </w:r>
      <w:r>
        <w:rPr>
          <w:rStyle w:val="27"/>
          <w:rFonts w:ascii="Times New Roman" w:hAnsiTheme="minorEastAsia"/>
          <w:color w:val="000000" w:themeColor="text1"/>
          <w:sz w:val="21"/>
          <w:szCs w:val="21"/>
        </w:rPr>
        <w:t>四、主要环境影响和保护措施</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_Toc151133521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85</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"_Toc151133522" </w:instrText>
      </w:r>
      <w:r>
        <w:fldChar w:fldCharType="separate"/>
      </w:r>
      <w:r>
        <w:rPr>
          <w:rStyle w:val="27"/>
          <w:rFonts w:ascii="Times New Roman" w:hAnsiTheme="minorEastAsia"/>
          <w:color w:val="000000" w:themeColor="text1"/>
          <w:sz w:val="21"/>
          <w:szCs w:val="21"/>
        </w:rPr>
        <w:t>五、环境保护措施监督检查清单</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_Toc151133522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120</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"_Toc151133523" </w:instrText>
      </w:r>
      <w:r>
        <w:fldChar w:fldCharType="separate"/>
      </w:r>
      <w:r>
        <w:rPr>
          <w:rStyle w:val="27"/>
          <w:rFonts w:ascii="Times New Roman" w:hAnsiTheme="minorEastAsia"/>
          <w:color w:val="000000" w:themeColor="text1"/>
          <w:sz w:val="21"/>
          <w:szCs w:val="21"/>
        </w:rPr>
        <w:t>六、结论</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_Toc151133523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124</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Fonts w:ascii="Times New Roman" w:hAnsi="Times New Roman"/>
          <w:color w:val="000000" w:themeColor="text1"/>
          <w:kern w:val="2"/>
          <w:sz w:val="21"/>
          <w:szCs w:val="21"/>
        </w:rPr>
      </w:pPr>
      <w:r>
        <w:fldChar w:fldCharType="begin"/>
      </w:r>
      <w:r>
        <w:instrText xml:space="preserve"> HYPERLINK \l "_Toc151133524" </w:instrText>
      </w:r>
      <w:r>
        <w:fldChar w:fldCharType="separate"/>
      </w:r>
      <w:r>
        <w:rPr>
          <w:rStyle w:val="27"/>
          <w:rFonts w:ascii="Times New Roman" w:hAnsiTheme="minorEastAsia"/>
          <w:color w:val="000000" w:themeColor="text1"/>
          <w:sz w:val="21"/>
          <w:szCs w:val="21"/>
        </w:rPr>
        <w:t>附表</w:t>
      </w:r>
      <w:r>
        <w:rPr>
          <w:rFonts w:ascii="Times New Roman" w:hAnsi="Times New Roman"/>
          <w:color w:val="000000" w:themeColor="text1"/>
          <w:sz w:val="21"/>
          <w:szCs w:val="21"/>
        </w:rPr>
        <w:tab/>
      </w:r>
      <w:r>
        <w:rPr>
          <w:rFonts w:ascii="Times New Roman" w:hAnsi="Times New Roman"/>
          <w:color w:val="000000" w:themeColor="text1"/>
          <w:sz w:val="21"/>
          <w:szCs w:val="21"/>
        </w:rPr>
        <w:fldChar w:fldCharType="begin"/>
      </w:r>
      <w:r>
        <w:rPr>
          <w:rFonts w:ascii="Times New Roman" w:hAnsi="Times New Roman"/>
          <w:color w:val="000000" w:themeColor="text1"/>
          <w:sz w:val="21"/>
          <w:szCs w:val="21"/>
        </w:rPr>
        <w:instrText xml:space="preserve"> PAGEREF _Toc151133524 \h </w:instrText>
      </w:r>
      <w:r>
        <w:rPr>
          <w:rFonts w:ascii="Times New Roman" w:hAnsi="Times New Roman"/>
          <w:color w:val="000000" w:themeColor="text1"/>
          <w:sz w:val="21"/>
          <w:szCs w:val="21"/>
        </w:rPr>
        <w:fldChar w:fldCharType="separate"/>
      </w:r>
      <w:r>
        <w:rPr>
          <w:rFonts w:ascii="Times New Roman" w:hAnsi="Times New Roman"/>
          <w:color w:val="000000" w:themeColor="text1"/>
          <w:sz w:val="21"/>
          <w:szCs w:val="21"/>
        </w:rPr>
        <w:t>125</w:t>
      </w:r>
      <w:r>
        <w:rPr>
          <w:rFonts w:ascii="Times New Roman" w:hAnsi="Times New Roman"/>
          <w:color w:val="000000" w:themeColor="text1"/>
          <w:sz w:val="21"/>
          <w:szCs w:val="21"/>
        </w:rPr>
        <w:fldChar w:fldCharType="end"/>
      </w:r>
      <w:r>
        <w:rPr>
          <w:rFonts w:ascii="Times New Roman" w:hAnsi="Times New Roman"/>
          <w:color w:val="000000" w:themeColor="text1"/>
          <w:sz w:val="21"/>
          <w:szCs w:val="21"/>
        </w:rPr>
        <w:fldChar w:fldCharType="end"/>
      </w:r>
    </w:p>
    <w:p>
      <w:pPr>
        <w:pStyle w:val="15"/>
        <w:tabs>
          <w:tab w:val="right" w:leader="dot" w:pos="8302"/>
        </w:tabs>
        <w:spacing w:line="360" w:lineRule="auto"/>
        <w:rPr>
          <w:rStyle w:val="27"/>
          <w:rFonts w:hAnsi="宋体" w:eastAsia="宋体"/>
          <w:color w:val="000000" w:themeColor="text1"/>
          <w:sz w:val="21"/>
          <w:szCs w:val="21"/>
        </w:rPr>
      </w:pPr>
      <w:r>
        <w:rPr>
          <w:rFonts w:ascii="Times New Roman" w:hAnsi="Times New Roman"/>
          <w:color w:val="000000" w:themeColor="text1"/>
          <w:sz w:val="21"/>
          <w:szCs w:val="21"/>
        </w:rPr>
        <w:fldChar w:fldCharType="end"/>
      </w:r>
      <w:bookmarkEnd w:id="0"/>
      <w:bookmarkEnd w:id="1"/>
    </w:p>
    <w:p>
      <w:pPr>
        <w:pStyle w:val="15"/>
        <w:tabs>
          <w:tab w:val="right" w:leader="dot" w:pos="8302"/>
        </w:tabs>
        <w:spacing w:after="0" w:line="360" w:lineRule="auto"/>
        <w:rPr>
          <w:rStyle w:val="27"/>
          <w:rFonts w:ascii="Times New Roman" w:hAnsi="Times New Roman" w:eastAsia="宋体"/>
          <w:b/>
          <w:color w:val="000000" w:themeColor="text1"/>
          <w:sz w:val="21"/>
          <w:szCs w:val="21"/>
          <w:u w:val="none"/>
        </w:rPr>
      </w:pPr>
      <w:r>
        <w:rPr>
          <w:rStyle w:val="27"/>
          <w:rFonts w:ascii="Times New Roman" w:hAnsi="Times New Roman" w:eastAsia="宋体"/>
          <w:b/>
          <w:color w:val="000000" w:themeColor="text1"/>
          <w:sz w:val="21"/>
          <w:szCs w:val="21"/>
          <w:u w:val="none"/>
        </w:rPr>
        <w:t>附图：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ascii="Times New Roman"/>
          <w:color w:val="000000" w:themeColor="text1"/>
          <w:kern w:val="2"/>
          <w:sz w:val="21"/>
        </w:rPr>
        <w:t xml:space="preserve">附图1 </w:t>
      </w:r>
      <w:r>
        <w:rPr>
          <w:rFonts w:hint="eastAsia" w:ascii="Times New Roman"/>
          <w:color w:val="000000" w:themeColor="text1"/>
          <w:kern w:val="2"/>
          <w:sz w:val="21"/>
        </w:rPr>
        <w:t xml:space="preserve"> </w:t>
      </w:r>
      <w:r>
        <w:rPr>
          <w:rFonts w:ascii="Times New Roman"/>
          <w:color w:val="000000" w:themeColor="text1"/>
          <w:kern w:val="2"/>
          <w:sz w:val="21"/>
        </w:rPr>
        <w:t>项目区地理位置图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附图2  项目区总平面布置示意图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附图3  生产线区域平面布置示意图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附图4  项目环境保护目标分布图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附图5  项目区水文地质图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附图6  项目区域水系图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附图7  项目区监测点位示意图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附图8  项目与园区规划位置关系示意图</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附图9  项目土地利用规划图</w:t>
      </w:r>
    </w:p>
    <w:p>
      <w:pPr>
        <w:pStyle w:val="15"/>
        <w:tabs>
          <w:tab w:val="right" w:leader="dot" w:pos="8302"/>
        </w:tabs>
        <w:spacing w:after="0" w:line="360" w:lineRule="auto"/>
        <w:rPr>
          <w:rStyle w:val="27"/>
          <w:rFonts w:eastAsia="宋体"/>
          <w:b/>
          <w:color w:val="000000" w:themeColor="text1"/>
          <w:sz w:val="21"/>
          <w:szCs w:val="21"/>
          <w:u w:val="none"/>
        </w:rPr>
      </w:pPr>
      <w:r>
        <w:rPr>
          <w:rStyle w:val="27"/>
          <w:rFonts w:hint="eastAsia" w:eastAsia="宋体"/>
          <w:b/>
          <w:color w:val="000000" w:themeColor="text1"/>
          <w:sz w:val="21"/>
          <w:szCs w:val="21"/>
          <w:u w:val="none"/>
        </w:rPr>
        <w:t>附件：</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  委托书</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附件2 原环评批复</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附件3 投资备案证</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附件4 入园批复</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附件5 原料成分分析报告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附件6 生产物料成分分析报告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附件7 次氧化锌生产线原料采购合同</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附件8 现有水淬渣处置协议</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附件9 生物质燃料监测报告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附件10 现有次氧化锌生产线2023年自行检测报告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附件11 补充监测报告</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附件12 营业执照</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附件13 规划审查意见</w:t>
      </w:r>
    </w:p>
    <w:p>
      <w:pPr>
        <w:pStyle w:val="15"/>
        <w:tabs>
          <w:tab w:val="right" w:leader="dot" w:pos="8302"/>
        </w:tabs>
        <w:spacing w:after="0" w:line="360" w:lineRule="auto"/>
        <w:ind w:firstLine="210" w:firstLineChars="100"/>
        <w:jc w:val="both"/>
        <w:rPr>
          <w:rFonts w:ascii="Times New Roman"/>
          <w:color w:val="000000" w:themeColor="text1"/>
          <w:kern w:val="2"/>
          <w:sz w:val="21"/>
        </w:rPr>
      </w:pPr>
      <w:r>
        <w:rPr>
          <w:rFonts w:hint="eastAsia" w:ascii="Times New Roman"/>
          <w:color w:val="000000" w:themeColor="text1"/>
          <w:kern w:val="2"/>
          <w:sz w:val="21"/>
        </w:rPr>
        <w:t>附件14 全本信息公开表</w:t>
      </w: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ind w:firstLine="240" w:firstLineChars="100"/>
        <w:rPr>
          <w:rFonts w:ascii="Times New Roman" w:hAnsi="Times New Roman" w:cs="Times New Roman"/>
          <w:color w:val="000000" w:themeColor="text1"/>
          <w:sz w:val="24"/>
          <w:szCs w:val="24"/>
        </w:rPr>
      </w:pPr>
    </w:p>
    <w:p>
      <w:pPr>
        <w:spacing w:line="360" w:lineRule="auto"/>
        <w:jc w:val="left"/>
        <w:outlineLvl w:val="0"/>
        <w:rPr>
          <w:rFonts w:ascii="Times New Roman" w:hAnsi="Times New Roman" w:cs="Times New Roman"/>
          <w:b/>
          <w:color w:val="000000" w:themeColor="text1"/>
          <w:sz w:val="28"/>
          <w:szCs w:val="20"/>
        </w:rPr>
      </w:pPr>
      <w:bookmarkStart w:id="2" w:name="_Toc151133518"/>
      <w:r>
        <w:rPr>
          <w:rFonts w:ascii="Times New Roman" w:hAnsi="Times New Roman" w:cs="Times New Roman"/>
          <w:b/>
          <w:color w:val="000000" w:themeColor="text1"/>
          <w:sz w:val="28"/>
          <w:szCs w:val="20"/>
        </w:rPr>
        <w:t>一、建设项目基本情况</w:t>
      </w:r>
      <w:bookmarkEnd w:id="2"/>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2410"/>
        <w:gridCol w:w="2693"/>
        <w:gridCol w:w="2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昆明合旺有色金属有限公司固体废物综合利用项目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-89-01-</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410"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刘</w:t>
            </w:r>
            <w:r>
              <w:rPr>
                <w:rFonts w:hint="eastAsia" w:ascii="Times New Roman" w:hAnsi="Times New Roman" w:cs="Times New Roman"/>
                <w:color w:val="000000" w:themeColor="text1"/>
                <w:sz w:val="24"/>
                <w:szCs w:val="24"/>
                <w:lang w:eastAsia="zh-CN"/>
              </w:rPr>
              <w:t>**</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2880" w:type="dxa"/>
            <w:tcBorders>
              <w:lef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136</w:t>
            </w:r>
            <w:r>
              <w:rPr>
                <w:rFonts w:hint="eastAsia" w:ascii="Times New Roman" w:hAnsi="Times New Roman" w:cs="Times New Roman"/>
                <w:color w:val="000000" w:themeColor="text1"/>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云南东川产业园区四方地片区昆明合旺有色金属有限公司厂区内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东经103°07'26.922"，北纬26°10'45.724"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7723 固体废物治理</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2880"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“四十七、生态保护和环境治理业”下“一般工业固体废物（含污水处理污泥）、建筑施工废弃物处置及综合利用”中“其他”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410"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2880"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w:t>
            </w: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-89-01-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688.23</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410"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20.024%</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410"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w:t>
            </w:r>
            <w:r>
              <w:rPr>
                <w:rFonts w:hint="eastAsia" w:ascii="Times New Roman" w:hAnsi="Times New Roman" w:cs="Times New Roman"/>
                <w:color w:val="000000" w:themeColor="text1"/>
                <w:sz w:val="24"/>
                <w:szCs w:val="24"/>
              </w:rPr>
              <w:t>本项目属于重新环评项目，在本次评价前已</w:t>
            </w:r>
            <w:r>
              <w:rPr>
                <w:rFonts w:ascii="Times New Roman" w:hAnsi="Times New Roman" w:cs="Times New Roman"/>
                <w:color w:val="000000" w:themeColor="text1"/>
                <w:sz w:val="24"/>
                <w:szCs w:val="24"/>
              </w:rPr>
              <w:t>根据原环评及批复的内容建设了部分生产设施。</w:t>
            </w:r>
          </w:p>
        </w:tc>
        <w:tc>
          <w:tcPr>
            <w:tcW w:w="269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288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15"/>
              <w:gridCol w:w="3743"/>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33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743"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本项目排放的大气污染物主要包括</w:t>
                  </w:r>
                  <w:r>
                    <w:rPr>
                      <w:rFonts w:hint="eastAsia"/>
                      <w:color w:val="000000" w:themeColor="text1"/>
                      <w:szCs w:val="21"/>
                    </w:rPr>
                    <w:t>烘干</w:t>
                  </w:r>
                  <w:r>
                    <w:rPr>
                      <w:color w:val="000000" w:themeColor="text1"/>
                      <w:szCs w:val="21"/>
                    </w:rPr>
                    <w:t>粉尘、</w:t>
                  </w:r>
                  <w:r>
                    <w:rPr>
                      <w:rFonts w:hint="eastAsia"/>
                      <w:color w:val="000000" w:themeColor="text1"/>
                      <w:szCs w:val="21"/>
                    </w:rPr>
                    <w:t>燃烧烟气（颗粒物、SO</w:t>
                  </w:r>
                  <w:r>
                    <w:rPr>
                      <w:rFonts w:hint="eastAsia"/>
                      <w:color w:val="000000" w:themeColor="text1"/>
                      <w:szCs w:val="21"/>
                      <w:vertAlign w:val="subscript"/>
                    </w:rPr>
                    <w:t>2</w:t>
                  </w:r>
                  <w:r>
                    <w:rPr>
                      <w:rFonts w:hint="eastAsia"/>
                      <w:color w:val="000000" w:themeColor="text1"/>
                      <w:szCs w:val="21"/>
                    </w:rPr>
                    <w:t>、NOx）</w:t>
                  </w:r>
                  <w:r>
                    <w:rPr>
                      <w:color w:val="000000" w:themeColor="text1"/>
                      <w:szCs w:val="21"/>
                    </w:rPr>
                    <w:t>；不含上述需设置大气专项评价的排放因子，因此不设置大气专项评价。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本项目产生的废水类型包括</w:t>
                  </w:r>
                  <w:r>
                    <w:rPr>
                      <w:rFonts w:hint="eastAsia"/>
                      <w:color w:val="000000" w:themeColor="text1"/>
                      <w:szCs w:val="21"/>
                    </w:rPr>
                    <w:t>生产废水、生活污水和初期雨水，生产废水处理后回用于生产，不外排，初期雨水收集后回用于洒水抑尘，不外排，生活污水经处理后</w:t>
                  </w:r>
                  <w:r>
                    <w:rPr>
                      <w:color w:val="000000" w:themeColor="text1"/>
                      <w:szCs w:val="21"/>
                    </w:rPr>
                    <w:t>通过提升泵泵至厂区东侧小邓段公路污水管网进入四方地与碧谷园区污水处理厂处理。因此不设置地表水专项评价。</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本项目涉及的危险物质包括暂存的废机油，废机油最大储存量为0.08t（临界量为2500t）</w:t>
                  </w:r>
                  <w:r>
                    <w:rPr>
                      <w:rFonts w:hint="eastAsia"/>
                      <w:color w:val="000000" w:themeColor="text1"/>
                      <w:szCs w:val="21"/>
                    </w:rPr>
                    <w:t>，</w:t>
                  </w:r>
                  <w:r>
                    <w:rPr>
                      <w:color w:val="000000" w:themeColor="text1"/>
                      <w:szCs w:val="21"/>
                    </w:rPr>
                    <w:t>则未超过临界量，因此不需设置环境风险评价等级。</w:t>
                  </w:r>
                </w:p>
              </w:tc>
              <w:tc>
                <w:tcPr>
                  <w:tcW w:w="72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3315"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743" w:type="dxa"/>
                  <w:vAlign w:val="center"/>
                </w:tcPr>
                <w:p>
                  <w:pPr>
                    <w:pStyle w:val="33"/>
                    <w:spacing w:line="360" w:lineRule="exact"/>
                    <w:ind w:firstLine="210" w:firstLineChars="100"/>
                    <w:jc w:val="both"/>
                    <w:rPr>
                      <w:color w:val="000000" w:themeColor="text1"/>
                      <w:sz w:val="24"/>
                      <w:szCs w:val="24"/>
                      <w:lang w:val="en-US"/>
                    </w:rPr>
                  </w:pPr>
                  <w:r>
                    <w:rPr>
                      <w:color w:val="000000" w:themeColor="text1"/>
                      <w:szCs w:val="21"/>
                    </w:rPr>
                    <w:t>本项目用水使用自来水，不涉及河道取水，因此不设置生态专项评价。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5"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3315" w:type="dxa"/>
                  <w:vAlign w:val="center"/>
                </w:tcPr>
                <w:p>
                  <w:pPr>
                    <w:pStyle w:val="33"/>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743" w:type="dxa"/>
                  <w:vAlign w:val="center"/>
                </w:tcPr>
                <w:p>
                  <w:pPr>
                    <w:pStyle w:val="33"/>
                    <w:spacing w:line="360" w:lineRule="exact"/>
                    <w:ind w:firstLine="210" w:firstLineChars="100"/>
                    <w:jc w:val="both"/>
                    <w:rPr>
                      <w:color w:val="000000" w:themeColor="text1"/>
                      <w:szCs w:val="21"/>
                    </w:rPr>
                  </w:pPr>
                  <w:r>
                    <w:rPr>
                      <w:color w:val="000000" w:themeColor="text1"/>
                      <w:szCs w:val="21"/>
                    </w:rPr>
                    <w:t>本项目不涉及海洋，因此不设置海洋专项评价。</w:t>
                  </w:r>
                </w:p>
              </w:tc>
              <w:tc>
                <w:tcPr>
                  <w:tcW w:w="725" w:type="dxa"/>
                  <w:vAlign w:val="center"/>
                </w:tcPr>
                <w:p>
                  <w:pPr>
                    <w:pStyle w:val="33"/>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w:t>
            </w:r>
            <w:r>
              <w:rPr>
                <w:rFonts w:hint="eastAsia" w:ascii="Times New Roman" w:hAnsi="Times New Roman" w:cs="Times New Roman"/>
                <w:color w:val="000000" w:themeColor="text1"/>
                <w:sz w:val="24"/>
                <w:szCs w:val="24"/>
              </w:rPr>
              <w:t>，2023年7月21日，昆明市人民政府下发了《关于云南东川产业园区总体规划修编（2021-2035年）的批复》（昆政复【2023】37号）</w:t>
            </w:r>
            <w:r>
              <w:rPr>
                <w:rFonts w:ascii="Times New Roman" w:hAnsi="Times New Roman" w:cs="Times New Roman"/>
                <w:color w:val="000000" w:themeColor="text1"/>
                <w:sz w:val="24"/>
                <w:szCs w:val="24"/>
              </w:rPr>
              <w:t>。根据《云南东川产业园区总体规划修编（2021-2035）》，园区空间布局为“一园三片区”， 规划总面积为1408.01hm²，其中项目所在的四方地片区面积为5.4699km²，四方地片区主导产业为：有色金属材料及稀贵金属材料、化工新材料、新型建材产业、新能源材料产业。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区管理委员会组织编制完成了《云南东川产业园区总体规划修编（2021-2035）环境影响报告书》；2022年10月19日，由昆明市生态环境局召集专家及有关部门代表对该规划环评进行审查，2023年5月4日，昆明市生态环境局下发了《关于云南东川产业园区总体规划修编（2021-2035）环境影响报告书的审查意见》（昆环审【2023】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hint="eastAsia" w:ascii="Times New Roman" w:hAnsi="宋体" w:eastAsia="宋体" w:cs="Times New Roman"/>
                <w:b/>
                <w:color w:val="000000" w:themeColor="text1"/>
                <w:sz w:val="24"/>
                <w:szCs w:val="24"/>
              </w:rPr>
              <w:t>园区</w:t>
            </w:r>
            <w:r>
              <w:rPr>
                <w:rFonts w:ascii="Times New Roman" w:hAnsi="Times New Roman" w:eastAsia="宋体" w:cs="Times New Roman"/>
                <w:b/>
                <w:color w:val="000000" w:themeColor="text1"/>
                <w:sz w:val="24"/>
                <w:szCs w:val="24"/>
              </w:rPr>
              <w:t>规划产业定位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项目拟选址区域属于云南东川产业园区四方地片区，根据《云南东川产业园区总体规划修编（2021-2035）》，四方地片区</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重点布局先进有色金属材料及稀贵金属材料、化工新材料产业。先进金属材料以铜基新材料为主，重点延伸有色金属冶炼及压延一体化产业链，发展电解铜等产品，拓展发展电线电缆、铜箔、铜带、专用铜材及铜基合金等加工</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稀贵金属材料以稀贵金属二次资源综合回收利用为重点，拓展发展电接触材料、键合材料、电子浆料、靶材等稀贵金属材料加工；化工新材料领域发展无机酸、无机盐制造为重点的磷化工、化工新材料产业；新能源材料。</w:t>
            </w:r>
            <w:r>
              <w:rPr>
                <w:rFonts w:hint="eastAsia" w:ascii="Times New Roman" w:hAnsi="Times New Roman" w:cs="Times New Roman"/>
                <w:color w:val="000000" w:themeColor="text1"/>
                <w:sz w:val="24"/>
                <w:szCs w:val="24"/>
              </w:rPr>
              <w:t>其</w:t>
            </w:r>
            <w:r>
              <w:rPr>
                <w:rFonts w:ascii="Times New Roman" w:hAnsi="Times New Roman" w:cs="Times New Roman"/>
                <w:color w:val="000000" w:themeColor="text1"/>
                <w:sz w:val="24"/>
                <w:szCs w:val="24"/>
              </w:rPr>
              <w:t>配套产业</w:t>
            </w:r>
            <w:r>
              <w:rPr>
                <w:rFonts w:hint="eastAsia" w:ascii="Times New Roman" w:hAnsi="Times New Roman" w:cs="Times New Roman"/>
                <w:color w:val="000000" w:themeColor="text1"/>
                <w:sz w:val="24"/>
                <w:szCs w:val="24"/>
              </w:rPr>
              <w:t>为</w:t>
            </w:r>
            <w:r>
              <w:rPr>
                <w:rFonts w:ascii="Times New Roman" w:hAnsi="Times New Roman" w:cs="Times New Roman"/>
                <w:color w:val="000000" w:themeColor="text1"/>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spacing w:line="360" w:lineRule="auto"/>
              <w:ind w:firstLine="482" w:firstLineChars="200"/>
              <w:rPr>
                <w:rFonts w:ascii="Times New Roman" w:hAnsi="宋体" w:eastAsia="宋体" w:cs="Times New Roman"/>
                <w:b/>
                <w:color w:val="000000" w:themeColor="text1"/>
                <w:sz w:val="24"/>
                <w:szCs w:val="24"/>
              </w:rPr>
            </w:pPr>
            <w:r>
              <w:rPr>
                <w:rFonts w:hint="eastAsia" w:ascii="Times New Roman" w:hAnsi="宋体" w:eastAsia="宋体" w:cs="Times New Roman"/>
                <w:b/>
                <w:color w:val="000000" w:themeColor="text1"/>
                <w:sz w:val="24"/>
                <w:szCs w:val="24"/>
              </w:rPr>
              <w:t>②规划环评审查意见的产业定位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规划环评审查意见的</w:t>
            </w:r>
            <w:r>
              <w:rPr>
                <w:rFonts w:ascii="Times New Roman" w:hAnsi="Times New Roman" w:cs="Times New Roman"/>
                <w:color w:val="000000" w:themeColor="text1"/>
                <w:sz w:val="24"/>
                <w:szCs w:val="24"/>
              </w:rPr>
              <w:t>园区产业定位</w:t>
            </w:r>
            <w:r>
              <w:rPr>
                <w:rFonts w:hint="eastAsia" w:ascii="Times New Roman" w:hAnsi="Times New Roman" w:cs="Times New Roman"/>
                <w:color w:val="000000" w:themeColor="text1"/>
                <w:sz w:val="24"/>
                <w:szCs w:val="24"/>
              </w:rPr>
              <w:t>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根据《云南东川产业园区总体规划修编（2021-2035）》</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4.8.</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现有企业与规划相符性</w:t>
            </w:r>
            <w:r>
              <w:rPr>
                <w:rFonts w:hint="eastAsia" w:ascii="Times New Roman" w:hAnsi="Times New Roman" w:cs="Times New Roman"/>
                <w:color w:val="000000" w:themeColor="text1"/>
                <w:sz w:val="24"/>
                <w:szCs w:val="24"/>
              </w:rPr>
              <w:t>分析”：建设单位所在的四方地片区</w:t>
            </w:r>
            <w:r>
              <w:rPr>
                <w:rFonts w:ascii="Times New Roman" w:hAnsi="Times New Roman" w:cs="Times New Roman"/>
                <w:color w:val="000000" w:themeColor="text1"/>
                <w:sz w:val="24"/>
                <w:szCs w:val="24"/>
              </w:rPr>
              <w:t>现状企业主要</w:t>
            </w:r>
            <w:r>
              <w:rPr>
                <w:rFonts w:hint="eastAsia" w:ascii="Times New Roman" w:hAnsi="Times New Roman" w:cs="Times New Roman"/>
                <w:color w:val="000000" w:themeColor="text1"/>
                <w:sz w:val="24"/>
                <w:szCs w:val="24"/>
              </w:rPr>
              <w:t>涉及行业</w:t>
            </w:r>
            <w:r>
              <w:rPr>
                <w:rFonts w:ascii="Times New Roman" w:hAnsi="Times New Roman" w:cs="Times New Roman"/>
                <w:color w:val="000000" w:themeColor="text1"/>
                <w:sz w:val="24"/>
                <w:szCs w:val="24"/>
              </w:rPr>
              <w:t>为</w:t>
            </w:r>
            <w:r>
              <w:rPr>
                <w:rFonts w:hint="eastAsia" w:ascii="Times New Roman" w:hAnsi="Times New Roman" w:cs="Times New Roman"/>
                <w:color w:val="000000" w:themeColor="text1"/>
                <w:sz w:val="24"/>
                <w:szCs w:val="24"/>
              </w:rPr>
              <w:t>有色金属冶炼和压延加工业、化学原料和化学制品制造业、非金属矿物制品业、食品制造业、废弃资源综合利用业、生态保护和环境治理业等6大行业，现有产业除一家食品制造企业以外，其他行业均与</w:t>
            </w:r>
            <w:r>
              <w:rPr>
                <w:rFonts w:ascii="Times New Roman" w:hAnsi="Times New Roman" w:cs="Times New Roman"/>
                <w:color w:val="000000" w:themeColor="text1"/>
                <w:sz w:val="24"/>
                <w:szCs w:val="24"/>
              </w:rPr>
              <w:t>本</w:t>
            </w:r>
            <w:r>
              <w:rPr>
                <w:rFonts w:hint="eastAsia" w:ascii="Times New Roman" w:hAnsi="Times New Roman" w:cs="Times New Roman"/>
                <w:color w:val="000000" w:themeColor="text1"/>
                <w:sz w:val="24"/>
                <w:szCs w:val="24"/>
              </w:rPr>
              <w:t>次总规的</w:t>
            </w:r>
            <w:r>
              <w:rPr>
                <w:rFonts w:ascii="Times New Roman" w:hAnsi="Times New Roman" w:cs="Times New Roman"/>
                <w:color w:val="000000" w:themeColor="text1"/>
                <w:sz w:val="24"/>
                <w:szCs w:val="24"/>
              </w:rPr>
              <w:t>规划产业布局</w:t>
            </w:r>
            <w:r>
              <w:rPr>
                <w:rFonts w:hint="eastAsia" w:ascii="Times New Roman" w:hAnsi="Times New Roman" w:cs="Times New Roman"/>
                <w:color w:val="000000" w:themeColor="text1"/>
                <w:sz w:val="24"/>
                <w:szCs w:val="24"/>
              </w:rPr>
              <w:t>中四方地片区</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。因此</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现有项目（</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次氧化锌生产线）符合园区规划</w:t>
            </w:r>
            <w:r>
              <w:rPr>
                <w:rFonts w:ascii="Times New Roman" w:hAnsi="Times New Roman" w:cs="Times New Roman"/>
                <w:color w:val="000000" w:themeColor="text1"/>
                <w:sz w:val="24"/>
                <w:szCs w:val="24"/>
              </w:rPr>
              <w:t>主导产业</w:t>
            </w:r>
            <w:r>
              <w:rPr>
                <w:rFonts w:hint="eastAsia" w:ascii="Times New Roman" w:hAnsi="Times New Roman" w:cs="Times New Roman"/>
                <w:color w:val="000000" w:themeColor="text1"/>
                <w:sz w:val="24"/>
                <w:szCs w:val="24"/>
              </w:rPr>
              <w:t>，同时，该企业不在现有不合规企业退出园区名单内。</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根据项目建设由来可知，本项目主要对厂区次氧化锌生产线产生的水淬渣进行资源综合利用，是属于规划配套产业中的“</w:t>
            </w:r>
            <w:r>
              <w:rPr>
                <w:rFonts w:ascii="Times New Roman" w:hAnsi="Times New Roman" w:cs="Times New Roman"/>
                <w:color w:val="000000" w:themeColor="text1"/>
                <w:sz w:val="24"/>
                <w:szCs w:val="24"/>
              </w:rPr>
              <w:t>新型建材领域加大尾矿、冶炼渣、磷石膏等大宗固体废弃物资源综合利用（含再生纸回收利用）</w:t>
            </w:r>
            <w:r>
              <w:rPr>
                <w:rFonts w:hint="eastAsia" w:ascii="Times New Roman" w:hAnsi="Times New Roman" w:cs="Times New Roman"/>
                <w:color w:val="000000" w:themeColor="text1"/>
                <w:sz w:val="24"/>
                <w:szCs w:val="24"/>
              </w:rPr>
              <w:t>”范畴。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综上，本项目符合云南东川产业园区四方地片区的产业定位。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①与园区规划环境影响评价结论的符合性分析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，本项目与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 xml:space="preserve">1-2 </w:t>
            </w:r>
            <w:r>
              <w:rPr>
                <w:rFonts w:ascii="Times New Roman" w:cs="Times New Roman"/>
                <w:b/>
                <w:color w:val="000000" w:themeColor="text1"/>
              </w:rPr>
              <w:t>与园区规划环评结论符合性分析一览表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9"/>
              <w:gridCol w:w="4168"/>
              <w:gridCol w:w="3278"/>
              <w:gridCol w:w="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要求</w:t>
                  </w:r>
                </w:p>
              </w:tc>
              <w:tc>
                <w:tcPr>
                  <w:tcW w:w="416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规划环评</w:t>
                  </w:r>
                  <w:r>
                    <w:rPr>
                      <w:rFonts w:hint="eastAsia" w:eastAsiaTheme="minorEastAsia"/>
                      <w:color w:val="000000" w:themeColor="text1"/>
                      <w:szCs w:val="21"/>
                    </w:rPr>
                    <w:t>结论</w:t>
                  </w:r>
                  <w:r>
                    <w:rPr>
                      <w:rFonts w:eastAsiaTheme="minorEastAsia"/>
                      <w:color w:val="000000" w:themeColor="text1"/>
                      <w:szCs w:val="21"/>
                    </w:rPr>
                    <w:t>要求</w:t>
                  </w:r>
                </w:p>
              </w:tc>
              <w:tc>
                <w:tcPr>
                  <w:tcW w:w="3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2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化工、有色金属冶炼、建材属于国家严格控制发展的两高行业，因此，建议根据区域大气环境容量，严格控制园区有色金属冶炼、化工行业发展规模，加快能源结构升级改造和使用清洁能源，促进区域环境质量改善。有色金属冶炼、化工、建材等“两高”行业应实行废气主要污染物区域“等量削减”</w:t>
                  </w:r>
                  <w:r>
                    <w:rPr>
                      <w:rFonts w:hint="eastAsia"/>
                      <w:color w:val="000000" w:themeColor="text1"/>
                      <w:szCs w:val="21"/>
                    </w:rPr>
                    <w:t>；</w:t>
                  </w:r>
                  <w:r>
                    <w:rPr>
                      <w:color w:val="000000" w:themeColor="text1"/>
                      <w:szCs w:val="21"/>
                    </w:rPr>
                    <w:t>涉重金属重点行业实行重金属污染物“减量削减”，削减比例不得低于1.2</w:t>
                  </w:r>
                  <w:r>
                    <w:rPr>
                      <w:rFonts w:hint="eastAsia"/>
                      <w:color w:val="000000" w:themeColor="text1"/>
                      <w:szCs w:val="21"/>
                    </w:rPr>
                    <w:t>：</w:t>
                  </w:r>
                  <w:r>
                    <w:rPr>
                      <w:color w:val="000000" w:themeColor="text1"/>
                      <w:szCs w:val="21"/>
                    </w:rPr>
                    <w:t>1，铅锌冶炼和铜冶炼企业须执行颗粒物和重点重金属污染物特别排放限值。</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本项目主要对厂区次氧化锌生产线产生的水淬渣进行资源综合利用，属于一般工业固体废物综合利用项目，不属于</w:t>
                  </w:r>
                  <w:r>
                    <w:rPr>
                      <w:color w:val="000000" w:themeColor="text1"/>
                      <w:szCs w:val="21"/>
                    </w:rPr>
                    <w:t>有色金属冶炼、化工、建材等“两高”行业</w:t>
                  </w:r>
                  <w:r>
                    <w:rPr>
                      <w:rFonts w:hint="eastAsia"/>
                      <w:color w:val="000000" w:themeColor="text1"/>
                      <w:szCs w:val="21"/>
                    </w:rPr>
                    <w:t>，因此不需要</w:t>
                  </w:r>
                  <w:r>
                    <w:rPr>
                      <w:color w:val="000000" w:themeColor="text1"/>
                      <w:szCs w:val="21"/>
                    </w:rPr>
                    <w:t>废气主要污染物区域“等量削减”；</w:t>
                  </w:r>
                  <w:r>
                    <w:rPr>
                      <w:rFonts w:hint="eastAsia"/>
                      <w:color w:val="000000" w:themeColor="text1"/>
                      <w:szCs w:val="21"/>
                    </w:rPr>
                    <w:t>也不属于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；本项目主要污染物为颗粒物、SO</w:t>
                  </w:r>
                  <w:r>
                    <w:rPr>
                      <w:rFonts w:hint="eastAsia"/>
                      <w:color w:val="000000" w:themeColor="text1"/>
                      <w:szCs w:val="21"/>
                      <w:vertAlign w:val="subscript"/>
                    </w:rPr>
                    <w:t>2</w:t>
                  </w:r>
                  <w:r>
                    <w:rPr>
                      <w:rFonts w:hint="eastAsia"/>
                      <w:color w:val="000000" w:themeColor="text1"/>
                      <w:szCs w:val="21"/>
                    </w:rPr>
                    <w:t>、NOx，项目已取得总量控制指标。</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建议优化调整碧谷片区的产业结构，主导发展废气污染物排放量较小的相关产业；并根据“三线一单”的管控要求，碧谷片区内不得新建排放国家《有毒有害大气污染物名录》废气污染物的项目；废气污染物排放量较大及不符合规划产业的现有企业近期保持现状，不得技改扩建，远期根据产业定位逐步关停或搬迁至园区其他片区</w:t>
                  </w:r>
                  <w:r>
                    <w:rPr>
                      <w:rFonts w:hint="eastAsia"/>
                      <w:color w:val="000000" w:themeColor="text1"/>
                      <w:szCs w:val="21"/>
                    </w:rPr>
                    <w:t>。</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Cs w:val="21"/>
                    </w:rPr>
                    <w:t>云南东川产业园区四方地片区昆明合旺有色金属有限公司厂区内</w:t>
                  </w:r>
                  <w:r>
                    <w:rPr>
                      <w:rFonts w:hint="eastAsia"/>
                      <w:color w:val="000000" w:themeColor="text1"/>
                      <w:szCs w:val="21"/>
                    </w:rPr>
                    <w:t>，不涉及</w:t>
                  </w:r>
                  <w:r>
                    <w:rPr>
                      <w:color w:val="000000" w:themeColor="text1"/>
                      <w:szCs w:val="21"/>
                    </w:rPr>
                    <w:t>碧谷片区</w:t>
                  </w:r>
                  <w:r>
                    <w:rPr>
                      <w:rFonts w:hint="eastAsia"/>
                      <w:color w:val="000000" w:themeColor="text1"/>
                      <w:szCs w:val="21"/>
                    </w:rPr>
                    <w:t>。</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4168" w:type="dxa"/>
                  <w:vAlign w:val="center"/>
                </w:tcPr>
                <w:p>
                  <w:pPr>
                    <w:pStyle w:val="33"/>
                    <w:spacing w:line="360" w:lineRule="exact"/>
                    <w:ind w:firstLine="210" w:firstLineChars="100"/>
                    <w:jc w:val="both"/>
                    <w:rPr>
                      <w:color w:val="000000" w:themeColor="text1"/>
                      <w:szCs w:val="21"/>
                    </w:rPr>
                  </w:pPr>
                  <w:r>
                    <w:rPr>
                      <w:color w:val="000000" w:themeColor="text1"/>
                      <w:szCs w:val="21"/>
                    </w:rPr>
                    <w:t>在昆明市东川区人民政府、东川再就业特色产业园区管理委员会落实《东川区主要污染物区域削减方案（2021~2025年）》，削减区域部分大气污染物排放量的前提下，规划近期、远期大气污染物的排放能满足区域环境目标的要求，规划可行。</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本项目主要污染物为颗粒物、SO</w:t>
                  </w:r>
                  <w:r>
                    <w:rPr>
                      <w:rFonts w:hint="eastAsia"/>
                      <w:color w:val="000000" w:themeColor="text1"/>
                      <w:szCs w:val="21"/>
                      <w:vertAlign w:val="subscript"/>
                    </w:rPr>
                    <w:t>2</w:t>
                  </w:r>
                  <w:r>
                    <w:rPr>
                      <w:rFonts w:hint="eastAsia"/>
                      <w:color w:val="000000" w:themeColor="text1"/>
                      <w:szCs w:val="21"/>
                    </w:rPr>
                    <w:t>、NOx，项目已取得总量控制指标，符合</w:t>
                  </w:r>
                  <w:r>
                    <w:rPr>
                      <w:color w:val="000000" w:themeColor="text1"/>
                      <w:szCs w:val="21"/>
                    </w:rPr>
                    <w:t>《东川区主要污染物区域削减方案（2021~2025年）》</w:t>
                  </w:r>
                  <w:r>
                    <w:rPr>
                      <w:rFonts w:hint="eastAsia"/>
                      <w:color w:val="000000" w:themeColor="text1"/>
                      <w:szCs w:val="21"/>
                    </w:rPr>
                    <w:t>的要求。</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4168" w:type="dxa"/>
                  <w:vAlign w:val="center"/>
                </w:tcPr>
                <w:p>
                  <w:pPr>
                    <w:pStyle w:val="33"/>
                    <w:spacing w:line="360" w:lineRule="exact"/>
                    <w:ind w:firstLine="200" w:firstLineChars="100"/>
                    <w:jc w:val="both"/>
                    <w:rPr>
                      <w:color w:val="000000" w:themeColor="text1"/>
                      <w:sz w:val="20"/>
                      <w:szCs w:val="21"/>
                    </w:rPr>
                  </w:pPr>
                  <w:r>
                    <w:rPr>
                      <w:color w:val="000000" w:themeColor="text1"/>
                      <w:sz w:val="20"/>
                      <w:szCs w:val="21"/>
                    </w:rPr>
                    <w:t>将产业园区划分为重点保护区、重点控制区、其他区域三类，对其实施分级管控；</w:t>
                  </w:r>
                  <w:r>
                    <w:rPr>
                      <w:rFonts w:hint="eastAsia"/>
                      <w:color w:val="000000" w:themeColor="text1"/>
                      <w:sz w:val="20"/>
                      <w:szCs w:val="21"/>
                    </w:rPr>
                    <w:t>具体如下：</w:t>
                  </w:r>
                </w:p>
                <w:p>
                  <w:pPr>
                    <w:pStyle w:val="33"/>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在重点保护区内应严格管控项目的入驻，加强对洗马塘2#泉点、小新街1#泉点、小新街2#泉点、小龙潭村泉点、大龙潭村泉点等的保护。</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在重点控制区内应严格管控入驻项目的污染防控措施，建议不规划建设生活垃圾填埋场、危险废物填埋场、一般工业固体废物填埋场等易造成地下水污染，及防渗措施不易修复和处理的项目和设施；在入驻项目施工前应开展相应的地下水环境现状调查，调查项目区地下水补给、径流、排泄情况，以及岩溶发育情况，并严格执行《地下水管理条例》（2021年）中的相关规定要求；入驻企业须做好厂区的污染防渗措施。</w:t>
                  </w:r>
                </w:p>
                <w:p>
                  <w:pPr>
                    <w:pStyle w:val="33"/>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在其他区域内可引导项目入驻，但入驻企业仍须做好厂区的污染防渗措施。</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根据对照规划环评分析，本项目位于</w:t>
                  </w:r>
                  <w:r>
                    <w:rPr>
                      <w:color w:val="000000" w:themeColor="text1"/>
                      <w:sz w:val="20"/>
                      <w:szCs w:val="21"/>
                    </w:rPr>
                    <w:t>云南东川产业园区四方地片区昆明合旺有色金属有限公司厂区内</w:t>
                  </w:r>
                  <w:r>
                    <w:rPr>
                      <w:rFonts w:hint="eastAsia"/>
                      <w:color w:val="000000" w:themeColor="text1"/>
                      <w:sz w:val="20"/>
                      <w:szCs w:val="21"/>
                    </w:rPr>
                    <w:t>，该区域属于重点控制区域，</w:t>
                  </w:r>
                  <w:r>
                    <w:rPr>
                      <w:rFonts w:hint="eastAsia"/>
                      <w:color w:val="000000" w:themeColor="text1"/>
                      <w:szCs w:val="21"/>
                    </w:rPr>
                    <w:t>项目不使用地下水，不涉及</w:t>
                  </w:r>
                  <w:r>
                    <w:rPr>
                      <w:color w:val="000000" w:themeColor="text1"/>
                      <w:szCs w:val="21"/>
                    </w:rPr>
                    <w:t>《地下水管理条例》（2021年）的相关规定要求</w:t>
                  </w:r>
                  <w:r>
                    <w:rPr>
                      <w:rFonts w:hint="eastAsia"/>
                      <w:color w:val="000000" w:themeColor="text1"/>
                      <w:szCs w:val="21"/>
                    </w:rPr>
                    <w:t>；</w:t>
                  </w:r>
                  <w:r>
                    <w:rPr>
                      <w:rFonts w:hint="eastAsia"/>
                      <w:color w:val="000000" w:themeColor="text1"/>
                      <w:sz w:val="20"/>
                      <w:szCs w:val="21"/>
                    </w:rPr>
                    <w:t>项目将严格</w:t>
                  </w:r>
                  <w:r>
                    <w:rPr>
                      <w:rFonts w:hint="eastAsia"/>
                      <w:color w:val="000000" w:themeColor="text1"/>
                      <w:szCs w:val="21"/>
                    </w:rPr>
                    <w:t>执行</w:t>
                  </w:r>
                  <w:r>
                    <w:rPr>
                      <w:color w:val="000000" w:themeColor="text1"/>
                      <w:sz w:val="20"/>
                      <w:szCs w:val="21"/>
                    </w:rPr>
                    <w:t>《危险废物贮存污染控制标准》（GB</w:t>
                  </w:r>
                  <w:r>
                    <w:rPr>
                      <w:rFonts w:hint="eastAsia"/>
                      <w:color w:val="000000" w:themeColor="text1"/>
                      <w:sz w:val="20"/>
                      <w:szCs w:val="21"/>
                      <w:lang w:eastAsia="zh-CN"/>
                    </w:rPr>
                    <w:t>*****</w:t>
                  </w:r>
                  <w:r>
                    <w:rPr>
                      <w:color w:val="000000" w:themeColor="text1"/>
                      <w:sz w:val="20"/>
                      <w:szCs w:val="21"/>
                    </w:rPr>
                    <w:t>-2023）</w:t>
                  </w:r>
                  <w:r>
                    <w:rPr>
                      <w:rFonts w:hint="eastAsia"/>
                      <w:color w:val="000000" w:themeColor="text1"/>
                      <w:sz w:val="20"/>
                      <w:szCs w:val="21"/>
                    </w:rPr>
                    <w:t>的要求，采取分区防渗措施。</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w:t>
                  </w:r>
                </w:p>
              </w:tc>
              <w:tc>
                <w:tcPr>
                  <w:tcW w:w="4168" w:type="dxa"/>
                  <w:vAlign w:val="center"/>
                </w:tcPr>
                <w:p>
                  <w:pPr>
                    <w:pStyle w:val="33"/>
                    <w:spacing w:line="360" w:lineRule="exact"/>
                    <w:ind w:firstLine="200" w:firstLineChars="100"/>
                    <w:jc w:val="both"/>
                    <w:rPr>
                      <w:color w:val="000000" w:themeColor="text1"/>
                      <w:szCs w:val="21"/>
                    </w:rPr>
                  </w:pPr>
                  <w:r>
                    <w:rPr>
                      <w:color w:val="000000" w:themeColor="text1"/>
                      <w:sz w:val="20"/>
                      <w:szCs w:val="21"/>
                    </w:rPr>
                    <w:t>建议园区入园项目避开河道管理范围，并根据河道管理的相关要求，开展涉河项目洪水影响评价，并征求水务部门的意见，满足《昆明市河道管理条例》的要求。</w:t>
                  </w:r>
                </w:p>
              </w:tc>
              <w:tc>
                <w:tcPr>
                  <w:tcW w:w="3278"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 w:val="20"/>
                      <w:szCs w:val="21"/>
                    </w:rPr>
                    <w:t>云南东川产业园区四方地片区昆明合旺有色金属有限公司厂区内</w:t>
                  </w:r>
                  <w:r>
                    <w:rPr>
                      <w:rFonts w:hint="eastAsia"/>
                      <w:color w:val="000000" w:themeColor="text1"/>
                      <w:sz w:val="20"/>
                      <w:szCs w:val="21"/>
                    </w:rPr>
                    <w:t>，</w:t>
                  </w:r>
                  <w:r>
                    <w:rPr>
                      <w:rFonts w:hint="eastAsia"/>
                      <w:color w:val="000000" w:themeColor="text1"/>
                      <w:szCs w:val="21"/>
                    </w:rPr>
                    <w:t>不涉及</w:t>
                  </w:r>
                  <w:r>
                    <w:rPr>
                      <w:color w:val="000000" w:themeColor="text1"/>
                      <w:sz w:val="20"/>
                      <w:szCs w:val="21"/>
                    </w:rPr>
                    <w:t>河道管理范围</w:t>
                  </w:r>
                  <w:r>
                    <w:rPr>
                      <w:rFonts w:hint="eastAsia"/>
                      <w:color w:val="000000" w:themeColor="text1"/>
                      <w:sz w:val="20"/>
                      <w:szCs w:val="21"/>
                    </w:rPr>
                    <w:t>。</w:t>
                  </w:r>
                </w:p>
              </w:tc>
              <w:tc>
                <w:tcPr>
                  <w:tcW w:w="62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由上表可知，本项目建设符合</w:t>
            </w:r>
            <w:r>
              <w:rPr>
                <w:color w:val="000000" w:themeColor="text1"/>
                <w:sz w:val="24"/>
              </w:rPr>
              <w:t>规划环评结论</w:t>
            </w:r>
            <w:r>
              <w:rPr>
                <w:rFonts w:hint="eastAsia"/>
                <w:color w:val="000000" w:themeColor="text1"/>
                <w:sz w:val="24"/>
              </w:rPr>
              <w:t>的相关要求。</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②</w:t>
            </w:r>
            <w:r>
              <w:rPr>
                <w:b/>
                <w:color w:val="000000" w:themeColor="text1"/>
                <w:sz w:val="24"/>
              </w:rPr>
              <w:t>入驻项目</w:t>
            </w:r>
            <w:r>
              <w:rPr>
                <w:rFonts w:ascii="Times New Roman" w:hAnsi="Times New Roman" w:cs="Times New Roman"/>
                <w:b/>
                <w:color w:val="000000" w:themeColor="text1"/>
                <w:sz w:val="24"/>
              </w:rPr>
              <w:t>与</w:t>
            </w:r>
            <w:r>
              <w:rPr>
                <w:rFonts w:hint="eastAsia"/>
                <w:b/>
                <w:color w:val="000000" w:themeColor="text1"/>
                <w:sz w:val="24"/>
              </w:rPr>
              <w:t>园区规划</w:t>
            </w:r>
            <w:r>
              <w:rPr>
                <w:b/>
                <w:color w:val="000000" w:themeColor="text1"/>
                <w:sz w:val="24"/>
              </w:rPr>
              <w:t>环境准入负面清单</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查阅《云南东川产业园区总体规划修编（2021-2035）环境影响报告书》</w:t>
            </w:r>
            <w:r>
              <w:rPr>
                <w:rFonts w:hint="eastAsia" w:ascii="Times New Roman" w:hAnsi="Times New Roman" w:cs="Times New Roman"/>
                <w:color w:val="000000" w:themeColor="text1"/>
                <w:sz w:val="24"/>
                <w:szCs w:val="24"/>
              </w:rPr>
              <w:t>，本项目与</w:t>
            </w:r>
            <w:r>
              <w:rPr>
                <w:rFonts w:hint="eastAsia"/>
                <w:color w:val="000000" w:themeColor="text1"/>
                <w:sz w:val="24"/>
              </w:rPr>
              <w:t>园区规划</w:t>
            </w:r>
            <w:r>
              <w:rPr>
                <w:color w:val="000000" w:themeColor="text1"/>
                <w:sz w:val="24"/>
              </w:rPr>
              <w:t>环境准入负面清单</w:t>
            </w:r>
            <w:r>
              <w:rPr>
                <w:rFonts w:ascii="Times New Roman" w:hAnsi="Times New Roman" w:cs="Times New Roman"/>
                <w:color w:val="000000" w:themeColor="text1"/>
                <w:sz w:val="24"/>
              </w:rPr>
              <w:t>的符合性分析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w:t>
            </w:r>
            <w:r>
              <w:rPr>
                <w:rFonts w:hint="eastAsia"/>
                <w:b/>
                <w:color w:val="000000" w:themeColor="text1"/>
              </w:rPr>
              <w:t>园区规划</w:t>
            </w:r>
            <w:r>
              <w:rPr>
                <w:b/>
                <w:color w:val="000000" w:themeColor="text1"/>
              </w:rPr>
              <w:t>环境准入负面清单</w:t>
            </w:r>
            <w:r>
              <w:rPr>
                <w:rFonts w:ascii="Times New Roman" w:hAnsi="Times New Roman" w:cs="Times New Roman"/>
                <w:b/>
                <w:color w:val="000000" w:themeColor="text1"/>
              </w:rPr>
              <w:t>的符合性</w:t>
            </w:r>
            <w:r>
              <w:rPr>
                <w:rFonts w:ascii="Times New Roman" w:cs="Times New Roman"/>
                <w:b/>
                <w:color w:val="000000" w:themeColor="text1"/>
              </w:rPr>
              <w:t>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1"/>
              <w:gridCol w:w="3577"/>
              <w:gridCol w:w="3865"/>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要求</w:t>
                  </w:r>
                </w:p>
              </w:tc>
              <w:tc>
                <w:tcPr>
                  <w:tcW w:w="35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 w:val="20"/>
                      <w:szCs w:val="21"/>
                    </w:rPr>
                    <w:t>规划</w:t>
                  </w:r>
                  <w:r>
                    <w:rPr>
                      <w:rFonts w:eastAsiaTheme="minorEastAsia"/>
                      <w:color w:val="000000" w:themeColor="text1"/>
                      <w:sz w:val="20"/>
                      <w:szCs w:val="21"/>
                    </w:rPr>
                    <w:t>环境准入负面清单</w:t>
                  </w:r>
                </w:p>
              </w:tc>
              <w:tc>
                <w:tcPr>
                  <w:tcW w:w="38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61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不符合园区规划产业的项目</w:t>
                  </w:r>
                </w:p>
              </w:tc>
              <w:tc>
                <w:tcPr>
                  <w:tcW w:w="3826" w:type="dxa"/>
                  <w:vAlign w:val="center"/>
                </w:tcPr>
                <w:p>
                  <w:pPr>
                    <w:pStyle w:val="33"/>
                    <w:spacing w:line="360" w:lineRule="exact"/>
                    <w:ind w:firstLine="200" w:firstLineChars="100"/>
                    <w:jc w:val="both"/>
                    <w:rPr>
                      <w:color w:val="000000" w:themeColor="text1"/>
                      <w:szCs w:val="21"/>
                    </w:rPr>
                  </w:pPr>
                  <w:r>
                    <w:rPr>
                      <w:rFonts w:hint="eastAsia"/>
                      <w:color w:val="000000" w:themeColor="text1"/>
                      <w:sz w:val="20"/>
                      <w:szCs w:val="21"/>
                    </w:rPr>
                    <w:t>本项目主要对厂区次氧化锌生产线产生的水淬渣进行资源综合利用，是属于规划配套产业中的“</w:t>
                  </w:r>
                  <w:r>
                    <w:rPr>
                      <w:color w:val="000000" w:themeColor="text1"/>
                      <w:sz w:val="20"/>
                      <w:szCs w:val="21"/>
                    </w:rPr>
                    <w:t>新型建材领域加大尾矿、冶炼渣、磷石膏等大宗固体废弃物资源综合利用（含再生纸回收利用）</w:t>
                  </w:r>
                  <w:r>
                    <w:rPr>
                      <w:rFonts w:hint="eastAsia"/>
                      <w:color w:val="000000" w:themeColor="text1"/>
                      <w:sz w:val="20"/>
                      <w:szCs w:val="21"/>
                    </w:rPr>
                    <w:t>”范畴。</w:t>
                  </w:r>
                  <w:r>
                    <w:rPr>
                      <w:color w:val="000000" w:themeColor="text1"/>
                      <w:sz w:val="20"/>
                      <w:szCs w:val="21"/>
                    </w:rPr>
                    <w:t>符合云南东川产业园区四方地片区的产业定位。</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属于《产业结构调整指导目录（2019 年本）》、《云南省工业产业结构调整指导目录（2006 年本）》、《外商投资产业指导目录（2015 修订）》、《产业转移指导目录（2012 年本）》等文件中淘汰类的项目，《环境保护综合名录（2021 年版）》中高风险高污染行业、以及属于《工商投资领域制止重复建设目录》、《禁止外商投资产业目录》、《严重污染环境的淘汰工艺与设备名录》等文件内的建设项目，一律禁止引入园区</w:t>
                  </w:r>
                </w:p>
              </w:tc>
              <w:tc>
                <w:tcPr>
                  <w:tcW w:w="3826"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本项目属于</w:t>
                  </w:r>
                  <w:r>
                    <w:rPr>
                      <w:color w:val="000000" w:themeColor="text1"/>
                      <w:szCs w:val="21"/>
                    </w:rPr>
                    <w:t>《产业结构调整指导目录（2019 年本）》</w:t>
                  </w:r>
                  <w:r>
                    <w:rPr>
                      <w:rFonts w:hint="eastAsia"/>
                      <w:color w:val="000000" w:themeColor="text1"/>
                      <w:szCs w:val="21"/>
                    </w:rPr>
                    <w:t>鼓励类项目，不属于</w:t>
                  </w:r>
                  <w:r>
                    <w:rPr>
                      <w:color w:val="000000" w:themeColor="text1"/>
                      <w:szCs w:val="21"/>
                    </w:rPr>
                    <w:t>《产业结构调整指导目录（2019 年本）》、《云南省工业产业结构调整指导目录（2006 年本）》、《外商投资产业指导目录（2015 修订）》、《产业转移指导目录（2012 年本）》等文件中淘汰类的项目</w:t>
                  </w:r>
                  <w:r>
                    <w:rPr>
                      <w:rFonts w:hint="eastAsia"/>
                      <w:color w:val="000000" w:themeColor="text1"/>
                      <w:szCs w:val="21"/>
                    </w:rPr>
                    <w:t>；不属于</w:t>
                  </w:r>
                  <w:r>
                    <w:rPr>
                      <w:color w:val="000000" w:themeColor="text1"/>
                      <w:szCs w:val="21"/>
                    </w:rPr>
                    <w:t>《环境保护综合名录（2021 年版）》中高风险高污染行业</w:t>
                  </w:r>
                  <w:r>
                    <w:rPr>
                      <w:rFonts w:hint="eastAsia"/>
                      <w:color w:val="000000" w:themeColor="text1"/>
                      <w:szCs w:val="21"/>
                    </w:rPr>
                    <w:t>；不属于</w:t>
                  </w:r>
                  <w:r>
                    <w:rPr>
                      <w:color w:val="000000" w:themeColor="text1"/>
                      <w:szCs w:val="21"/>
                    </w:rPr>
                    <w:t>《工商投资领域制止重复建设目录》、《禁止外商投资产业目录》、《严重污染环境的淘汰工艺与设备名录》</w:t>
                  </w:r>
                  <w:r>
                    <w:rPr>
                      <w:rFonts w:hint="eastAsia"/>
                      <w:color w:val="000000" w:themeColor="text1"/>
                      <w:szCs w:val="21"/>
                    </w:rPr>
                    <w:t>。</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3541" w:type="dxa"/>
                  <w:vAlign w:val="center"/>
                </w:tcPr>
                <w:p>
                  <w:pPr>
                    <w:pStyle w:val="33"/>
                    <w:spacing w:line="360" w:lineRule="exact"/>
                    <w:ind w:firstLine="210" w:firstLineChars="100"/>
                    <w:jc w:val="both"/>
                    <w:rPr>
                      <w:color w:val="000000" w:themeColor="text1"/>
                      <w:szCs w:val="21"/>
                    </w:rPr>
                  </w:pPr>
                  <w:r>
                    <w:rPr>
                      <w:color w:val="000000" w:themeColor="text1"/>
                      <w:szCs w:val="21"/>
                    </w:rPr>
                    <w:t>单位产值水耗、能耗、污染物产生和排放量等清洁生产指标低于国内平均水平的产业（项目）</w:t>
                  </w:r>
                </w:p>
              </w:tc>
              <w:tc>
                <w:tcPr>
                  <w:tcW w:w="3826"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本项目使用生物质燃料，生产用水循环使用，其</w:t>
                  </w:r>
                  <w:r>
                    <w:rPr>
                      <w:color w:val="000000" w:themeColor="text1"/>
                      <w:szCs w:val="21"/>
                    </w:rPr>
                    <w:t>单位产值水耗、能耗、污染物产生和排放量等</w:t>
                  </w:r>
                  <w:r>
                    <w:rPr>
                      <w:rFonts w:hint="eastAsia"/>
                      <w:color w:val="000000" w:themeColor="text1"/>
                      <w:szCs w:val="21"/>
                    </w:rPr>
                    <w:t>均可达到国内先进水平。</w:t>
                  </w:r>
                </w:p>
              </w:tc>
              <w:tc>
                <w:tcPr>
                  <w:tcW w:w="61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由上表可知，本项目不属于园区规划</w:t>
            </w:r>
            <w:r>
              <w:rPr>
                <w:color w:val="000000" w:themeColor="text1"/>
                <w:sz w:val="24"/>
              </w:rPr>
              <w:t>环境准入负面清单</w:t>
            </w:r>
            <w:r>
              <w:rPr>
                <w:rFonts w:hint="eastAsia"/>
                <w:color w:val="000000" w:themeColor="text1"/>
                <w:sz w:val="24"/>
              </w:rPr>
              <w:t>内项目。</w:t>
            </w:r>
          </w:p>
          <w:p>
            <w:pPr>
              <w:spacing w:line="360" w:lineRule="auto"/>
              <w:ind w:firstLine="482" w:firstLineChars="200"/>
              <w:rPr>
                <w:rFonts w:ascii="Times New Roman" w:hAnsi="Times New Roman" w:cs="Times New Roman"/>
                <w:b/>
                <w:color w:val="000000" w:themeColor="text1"/>
                <w:sz w:val="24"/>
              </w:rPr>
            </w:pPr>
            <w:r>
              <w:rPr>
                <w:rFonts w:hint="eastAsia" w:ascii="宋体" w:hAnsi="宋体" w:cs="宋体"/>
                <w:b/>
                <w:color w:val="000000" w:themeColor="text1"/>
                <w:sz w:val="24"/>
              </w:rPr>
              <w:t>③</w:t>
            </w:r>
            <w:r>
              <w:rPr>
                <w:rFonts w:ascii="Times New Roman" w:hAnsi="Times New Roman" w:cs="Times New Roman"/>
                <w:b/>
                <w:color w:val="000000" w:themeColor="text1"/>
                <w:sz w:val="24"/>
              </w:rPr>
              <w:t>与</w:t>
            </w:r>
            <w:r>
              <w:rPr>
                <w:b/>
                <w:color w:val="000000" w:themeColor="text1"/>
                <w:sz w:val="24"/>
              </w:rPr>
              <w:t>园区规划环评审查意见</w:t>
            </w:r>
            <w:r>
              <w:rPr>
                <w:rFonts w:ascii="Times New Roman" w:hAnsi="Times New Roman" w:cs="Times New Roman"/>
                <w:b/>
                <w:color w:val="000000" w:themeColor="text1"/>
                <w:sz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查阅《</w:t>
            </w:r>
            <w:r>
              <w:rPr>
                <w:rFonts w:hint="eastAsia"/>
                <w:color w:val="000000" w:themeColor="text1"/>
                <w:sz w:val="24"/>
              </w:rPr>
              <w:t>昆明市生态环境局关于</w:t>
            </w:r>
            <w:r>
              <w:rPr>
                <w:rFonts w:ascii="Times New Roman" w:hAnsi="Times New Roman" w:cs="Times New Roman"/>
                <w:color w:val="000000" w:themeColor="text1"/>
                <w:sz w:val="24"/>
                <w:szCs w:val="24"/>
              </w:rPr>
              <w:t>云南东川产业园区总体规划修编（2021-2035）环境影响报告书</w:t>
            </w:r>
            <w:r>
              <w:rPr>
                <w:rFonts w:hint="eastAsia"/>
                <w:color w:val="000000" w:themeColor="text1"/>
                <w:sz w:val="24"/>
              </w:rPr>
              <w:t>的审查意见</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，本项目与</w:t>
            </w:r>
            <w:r>
              <w:rPr>
                <w:rFonts w:ascii="Times New Roman" w:hAnsi="Times New Roman" w:cs="Times New Roman"/>
                <w:color w:val="000000" w:themeColor="text1"/>
                <w:sz w:val="24"/>
                <w:szCs w:val="24"/>
              </w:rPr>
              <w:t>规划环评结论符合性分析</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1-</w:t>
            </w:r>
            <w:r>
              <w:rPr>
                <w:rFonts w:hint="eastAsia" w:ascii="Times New Roman" w:hAnsi="Times New Roman" w:cs="Times New Roman"/>
                <w:b/>
                <w:color w:val="000000" w:themeColor="text1"/>
              </w:rPr>
              <w:t xml:space="preserve">4 </w:t>
            </w:r>
            <w:r>
              <w:rPr>
                <w:rFonts w:ascii="Times New Roman" w:cs="Times New Roman"/>
                <w:b/>
                <w:color w:val="000000" w:themeColor="text1"/>
              </w:rPr>
              <w:t>与园区规划环评结论符合性分析一览表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2"/>
              <w:gridCol w:w="4023"/>
              <w:gridCol w:w="3418"/>
              <w:gridCol w:w="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rFonts w:hAnsi="宋体"/>
                      <w:color w:val="000000" w:themeColor="text1"/>
                      <w:szCs w:val="21"/>
                    </w:rPr>
                    <w:t>要求</w:t>
                  </w:r>
                </w:p>
              </w:tc>
              <w:tc>
                <w:tcPr>
                  <w:tcW w:w="3983" w:type="dxa"/>
                  <w:vAlign w:val="center"/>
                </w:tcPr>
                <w:p>
                  <w:pPr>
                    <w:pStyle w:val="33"/>
                    <w:spacing w:line="360" w:lineRule="exact"/>
                    <w:rPr>
                      <w:color w:val="000000" w:themeColor="text1"/>
                      <w:szCs w:val="21"/>
                    </w:rPr>
                  </w:pPr>
                  <w:r>
                    <w:rPr>
                      <w:rFonts w:hAnsi="宋体"/>
                      <w:color w:val="000000" w:themeColor="text1"/>
                      <w:szCs w:val="21"/>
                    </w:rPr>
                    <w:t>审查意见要求</w:t>
                  </w:r>
                </w:p>
              </w:tc>
              <w:tc>
                <w:tcPr>
                  <w:tcW w:w="3384" w:type="dxa"/>
                  <w:vAlign w:val="center"/>
                </w:tcPr>
                <w:p>
                  <w:pPr>
                    <w:pStyle w:val="33"/>
                    <w:spacing w:line="360" w:lineRule="exact"/>
                    <w:rPr>
                      <w:color w:val="000000" w:themeColor="text1"/>
                      <w:szCs w:val="21"/>
                    </w:rPr>
                  </w:pPr>
                  <w:r>
                    <w:rPr>
                      <w:rFonts w:hAnsi="宋体"/>
                      <w:color w:val="000000" w:themeColor="text1"/>
                      <w:szCs w:val="21"/>
                    </w:rPr>
                    <w:t>项目实际情况</w:t>
                  </w:r>
                </w:p>
              </w:tc>
              <w:tc>
                <w:tcPr>
                  <w:tcW w:w="619" w:type="dxa"/>
                  <w:vAlign w:val="center"/>
                </w:tcPr>
                <w:p>
                  <w:pPr>
                    <w:pStyle w:val="33"/>
                    <w:spacing w:line="360" w:lineRule="exact"/>
                    <w:rPr>
                      <w:color w:val="000000" w:themeColor="text1"/>
                      <w:szCs w:val="21"/>
                    </w:rPr>
                  </w:pPr>
                  <w:r>
                    <w:rPr>
                      <w:rFonts w:hAnsi="宋体"/>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1</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区域大气环境容量，严格控制有色金属治炼、化工发展规模，加快能源结构升级改造和使用清洁能源，促进区域环境质量改善。园区内现有治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w:t>
                  </w:r>
                  <w:r>
                    <w:rPr>
                      <w:color w:val="000000" w:themeColor="text1"/>
                      <w:szCs w:val="21"/>
                    </w:rPr>
                    <w:t>2018</w:t>
                  </w:r>
                  <w:r>
                    <w:rPr>
                      <w:rFonts w:hAnsi="宋体"/>
                      <w:color w:val="000000" w:themeColor="text1"/>
                      <w:szCs w:val="21"/>
                    </w:rPr>
                    <w:t>年）》中污染物的企业。</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本项目主要对厂区次氧化锌生产线产生的水淬渣进行资源综合利用，属于一般工业固体废物综合利用项目，不属于有色金属冶炼、化工、建材等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行业，因此不需要废气主要污染物区域</w:t>
                  </w:r>
                  <w:r>
                    <w:rPr>
                      <w:color w:val="000000" w:themeColor="text1"/>
                      <w:szCs w:val="21"/>
                    </w:rPr>
                    <w:t>“</w:t>
                  </w:r>
                  <w:r>
                    <w:rPr>
                      <w:rFonts w:hAnsi="宋体"/>
                      <w:color w:val="000000" w:themeColor="text1"/>
                      <w:szCs w:val="21"/>
                    </w:rPr>
                    <w:t>等量削减</w:t>
                  </w:r>
                  <w:r>
                    <w:rPr>
                      <w:color w:val="000000" w:themeColor="text1"/>
                      <w:szCs w:val="21"/>
                    </w:rPr>
                    <w:t>”</w:t>
                  </w:r>
                  <w:r>
                    <w:rPr>
                      <w:rFonts w:hAnsi="宋体"/>
                      <w:color w:val="000000" w:themeColor="text1"/>
                      <w:szCs w:val="21"/>
                    </w:rPr>
                    <w:t>；也不属于重金属重点行业，因此不需要进行重金属污染物</w:t>
                  </w:r>
                  <w:r>
                    <w:rPr>
                      <w:color w:val="000000" w:themeColor="text1"/>
                      <w:szCs w:val="21"/>
                    </w:rPr>
                    <w:t>“</w:t>
                  </w:r>
                  <w:r>
                    <w:rPr>
                      <w:rFonts w:hAnsi="宋体"/>
                      <w:color w:val="000000" w:themeColor="text1"/>
                      <w:szCs w:val="21"/>
                    </w:rPr>
                    <w:t>减量削减</w:t>
                  </w:r>
                  <w:r>
                    <w:rPr>
                      <w:color w:val="000000" w:themeColor="text1"/>
                      <w:szCs w:val="21"/>
                    </w:rPr>
                    <w:t>”</w:t>
                  </w:r>
                  <w:r>
                    <w:rPr>
                      <w:rFonts w:hAnsi="宋体"/>
                      <w:color w:val="000000" w:themeColor="text1"/>
                      <w:szCs w:val="21"/>
                    </w:rPr>
                    <w:t>；本项目主要污染物为颗粒物、</w:t>
                  </w:r>
                  <w:r>
                    <w:rPr>
                      <w:color w:val="000000" w:themeColor="text1"/>
                      <w:szCs w:val="21"/>
                    </w:rPr>
                    <w:t>SO</w:t>
                  </w:r>
                  <w:r>
                    <w:rPr>
                      <w:color w:val="000000" w:themeColor="text1"/>
                      <w:szCs w:val="21"/>
                      <w:vertAlign w:val="subscript"/>
                    </w:rPr>
                    <w:t>2</w:t>
                  </w:r>
                  <w:r>
                    <w:rPr>
                      <w:rFonts w:hAnsi="宋体"/>
                      <w:color w:val="000000" w:themeColor="text1"/>
                      <w:szCs w:val="21"/>
                    </w:rPr>
                    <w:t>、</w:t>
                  </w:r>
                  <w:r>
                    <w:rPr>
                      <w:color w:val="000000" w:themeColor="text1"/>
                      <w:szCs w:val="21"/>
                    </w:rPr>
                    <w:t>NOx</w:t>
                  </w:r>
                  <w:r>
                    <w:rPr>
                      <w:rFonts w:hAnsi="宋体"/>
                      <w:color w:val="000000" w:themeColor="text1"/>
                      <w:szCs w:val="21"/>
                    </w:rPr>
                    <w:t>，项目已取得总量控制指标。</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2</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《规划》产业布局、发展规模应严格执行《中华人民共和国长江保护法》、《长江经济带发展负面清单指南（试行，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化工园区申报及建设应严格执行《化工园区开发建设导则》、《化工园区综合评价导则》、《化工园区建设标准和认定管理办法（试行）》、《云南省化工园区确认办法（试行）》等相关规定。</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根据分析，本项目不属于化工项目，项目建设符合《中华人民共和国长江保护法》、《长江经济带发展负面清单指南（试行，</w:t>
                  </w:r>
                  <w:r>
                    <w:rPr>
                      <w:color w:val="000000" w:themeColor="text1"/>
                      <w:szCs w:val="21"/>
                    </w:rPr>
                    <w:t>2022</w:t>
                  </w:r>
                  <w:r>
                    <w:rPr>
                      <w:rFonts w:hAnsi="宋体"/>
                      <w:color w:val="000000" w:themeColor="text1"/>
                      <w:szCs w:val="21"/>
                    </w:rPr>
                    <w:t>年版）》、《云南省长江经济带发展负面清单指南实施细则（试行，</w:t>
                  </w:r>
                  <w:r>
                    <w:rPr>
                      <w:color w:val="000000" w:themeColor="text1"/>
                      <w:szCs w:val="21"/>
                    </w:rPr>
                    <w:t>2022</w:t>
                  </w:r>
                  <w:r>
                    <w:rPr>
                      <w:rFonts w:hAnsi="宋体"/>
                      <w:color w:val="000000" w:themeColor="text1"/>
                      <w:szCs w:val="21"/>
                    </w:rPr>
                    <w:t>年版）》等相关规定。</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36" w:type="dxa"/>
                  <w:vAlign w:val="center"/>
                </w:tcPr>
                <w:p>
                  <w:pPr>
                    <w:pStyle w:val="33"/>
                    <w:spacing w:line="360" w:lineRule="exact"/>
                    <w:rPr>
                      <w:color w:val="000000" w:themeColor="text1"/>
                      <w:szCs w:val="21"/>
                    </w:rPr>
                  </w:pPr>
                  <w:r>
                    <w:rPr>
                      <w:color w:val="000000" w:themeColor="text1"/>
                      <w:szCs w:val="21"/>
                    </w:rPr>
                    <w:t>3</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根据国家、云南省和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有关大气污染防洽的相关要求，落实主要污染物区域削减方案，严格执行园区大气污染物管控要求，合理确定产业规模、布局、建设时序。有色金属冶炼、化工、建材等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行业应实行主要污染物区域等量削滅，重点行业重点重金属排放减量替代比例不得低于</w:t>
                  </w:r>
                  <w:r>
                    <w:rPr>
                      <w:color w:val="000000" w:themeColor="text1"/>
                      <w:szCs w:val="21"/>
                    </w:rPr>
                    <w:t>1.2</w:t>
                  </w:r>
                  <w:r>
                    <w:rPr>
                      <w:rFonts w:hAnsi="宋体"/>
                      <w:color w:val="000000" w:themeColor="text1"/>
                      <w:szCs w:val="21"/>
                    </w:rPr>
                    <w:t>：</w:t>
                  </w:r>
                  <w:r>
                    <w:rPr>
                      <w:color w:val="000000" w:themeColor="text1"/>
                      <w:szCs w:val="21"/>
                    </w:rPr>
                    <w:t>1</w:t>
                  </w:r>
                  <w:r>
                    <w:rPr>
                      <w:rFonts w:hAnsi="宋体"/>
                      <w:color w:val="000000" w:themeColor="text1"/>
                      <w:szCs w:val="21"/>
                    </w:rPr>
                    <w:t>，铅锌冶炼和铜治炼企业须执行颗粒物和重点重金属污染物特别排放限值。</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项目建设符合云南省和</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有关大气污染防洽的相关要求，项目对厂区次氧化锌生产线产生的水淬渣进行资源综合利用，不属于有色金属冶炼、化工、建材等</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行业，因此不需要废气主要污染物区域</w:t>
                  </w:r>
                  <w:r>
                    <w:rPr>
                      <w:color w:val="000000" w:themeColor="text1"/>
                      <w:szCs w:val="21"/>
                    </w:rPr>
                    <w:t>“</w:t>
                  </w:r>
                  <w:r>
                    <w:rPr>
                      <w:rFonts w:hAnsi="宋体"/>
                      <w:color w:val="000000" w:themeColor="text1"/>
                      <w:szCs w:val="21"/>
                    </w:rPr>
                    <w:t>等量削减</w:t>
                  </w:r>
                  <w:r>
                    <w:rPr>
                      <w:color w:val="000000" w:themeColor="text1"/>
                      <w:szCs w:val="21"/>
                    </w:rPr>
                    <w:t>”</w:t>
                  </w:r>
                  <w:r>
                    <w:rPr>
                      <w:rFonts w:hAnsi="宋体"/>
                      <w:color w:val="000000" w:themeColor="text1"/>
                      <w:szCs w:val="21"/>
                    </w:rPr>
                    <w:t>；也不属于重金属重点行业，因此不需要进行重金属污染物</w:t>
                  </w:r>
                  <w:r>
                    <w:rPr>
                      <w:color w:val="000000" w:themeColor="text1"/>
                      <w:szCs w:val="21"/>
                    </w:rPr>
                    <w:t>“</w:t>
                  </w:r>
                  <w:r>
                    <w:rPr>
                      <w:rFonts w:hAnsi="宋体"/>
                      <w:color w:val="000000" w:themeColor="text1"/>
                      <w:szCs w:val="21"/>
                    </w:rPr>
                    <w:t>减量削减</w:t>
                  </w:r>
                  <w:r>
                    <w:rPr>
                      <w:color w:val="000000" w:themeColor="text1"/>
                      <w:szCs w:val="21"/>
                    </w:rPr>
                    <w:t>”</w:t>
                  </w:r>
                  <w:r>
                    <w:rPr>
                      <w:rFonts w:hAnsi="宋体"/>
                      <w:color w:val="000000" w:themeColor="text1"/>
                      <w:szCs w:val="21"/>
                    </w:rPr>
                    <w:t>。</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4</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入驻企业应采用先进的生产工艺、装备、清洁能源与原料，从源头上控制污染物的产生；采用先进高效的污染防治措施，做好大气污染物的减排工作。</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项目已采用先进的生产工艺、装备、清洁能源与原料，从源头控制了污染物的产生，针对烘干工序产生的烘干粉尘（颗粒物），通过旋风除尘</w:t>
                  </w:r>
                  <w:r>
                    <w:rPr>
                      <w:color w:val="000000" w:themeColor="text1"/>
                      <w:szCs w:val="21"/>
                    </w:rPr>
                    <w:t>+</w:t>
                  </w:r>
                  <w:r>
                    <w:rPr>
                      <w:rFonts w:hAnsi="宋体"/>
                      <w:color w:val="000000" w:themeColor="text1"/>
                      <w:szCs w:val="21"/>
                    </w:rPr>
                    <w:t>袋式除尘器处理，其中旋风除尘效率为</w:t>
                  </w:r>
                  <w:r>
                    <w:rPr>
                      <w:color w:val="000000" w:themeColor="text1"/>
                      <w:szCs w:val="21"/>
                    </w:rPr>
                    <w:t>70%</w:t>
                  </w:r>
                  <w:r>
                    <w:rPr>
                      <w:rFonts w:hAnsi="宋体"/>
                      <w:color w:val="000000" w:themeColor="text1"/>
                      <w:szCs w:val="21"/>
                    </w:rPr>
                    <w:t>，</w:t>
                  </w:r>
                  <w:r>
                    <w:rPr>
                      <w:rFonts w:hint="eastAsia" w:hAnsi="宋体"/>
                      <w:color w:val="000000" w:themeColor="text1"/>
                      <w:szCs w:val="21"/>
                    </w:rPr>
                    <w:t>2#</w:t>
                  </w:r>
                  <w:r>
                    <w:rPr>
                      <w:rFonts w:hAnsi="宋体"/>
                      <w:color w:val="000000" w:themeColor="text1"/>
                      <w:szCs w:val="21"/>
                    </w:rPr>
                    <w:t>布袋除尘除尘效率为</w:t>
                  </w:r>
                  <w:r>
                    <w:rPr>
                      <w:color w:val="000000" w:themeColor="text1"/>
                      <w:szCs w:val="21"/>
                    </w:rPr>
                    <w:t>98.4%</w:t>
                  </w:r>
                  <w:r>
                    <w:rPr>
                      <w:rFonts w:hAnsi="宋体"/>
                      <w:color w:val="000000" w:themeColor="text1"/>
                      <w:szCs w:val="21"/>
                    </w:rPr>
                    <w:t>，则综合除尘效率约为</w:t>
                  </w:r>
                  <w:r>
                    <w:rPr>
                      <w:color w:val="000000" w:themeColor="text1"/>
                      <w:szCs w:val="21"/>
                    </w:rPr>
                    <w:t>99.5%</w:t>
                  </w:r>
                  <w:r>
                    <w:rPr>
                      <w:rFonts w:hAnsi="宋体"/>
                      <w:color w:val="000000" w:themeColor="text1"/>
                      <w:szCs w:val="21"/>
                    </w:rPr>
                    <w:t>，烘干粉尘经处理后通过</w:t>
                  </w:r>
                  <w:r>
                    <w:rPr>
                      <w:color w:val="000000" w:themeColor="text1"/>
                      <w:szCs w:val="21"/>
                    </w:rPr>
                    <w:t>1</w:t>
                  </w:r>
                  <w:r>
                    <w:rPr>
                      <w:rFonts w:hAnsi="宋体"/>
                      <w:color w:val="000000" w:themeColor="text1"/>
                      <w:szCs w:val="21"/>
                    </w:rPr>
                    <w:t>根</w:t>
                  </w:r>
                  <w:r>
                    <w:rPr>
                      <w:color w:val="000000" w:themeColor="text1"/>
                      <w:szCs w:val="21"/>
                    </w:rPr>
                    <w:t>Φ0.5m</w:t>
                  </w:r>
                  <w:r>
                    <w:rPr>
                      <w:rFonts w:hAnsi="宋体"/>
                      <w:color w:val="000000" w:themeColor="text1"/>
                      <w:szCs w:val="21"/>
                    </w:rPr>
                    <w:t>、高</w:t>
                  </w:r>
                  <w:r>
                    <w:rPr>
                      <w:color w:val="000000" w:themeColor="text1"/>
                      <w:szCs w:val="21"/>
                    </w:rPr>
                    <w:t>15m</w:t>
                  </w:r>
                  <w:r>
                    <w:rPr>
                      <w:rFonts w:hAnsi="宋体"/>
                      <w:color w:val="000000" w:themeColor="text1"/>
                      <w:szCs w:val="21"/>
                    </w:rPr>
                    <w:t>的排气筒（</w:t>
                  </w:r>
                  <w:r>
                    <w:rPr>
                      <w:color w:val="000000" w:themeColor="text1"/>
                      <w:szCs w:val="21"/>
                    </w:rPr>
                    <w:t>DA004</w:t>
                  </w:r>
                  <w:r>
                    <w:rPr>
                      <w:rFonts w:hAnsi="宋体"/>
                      <w:color w:val="000000" w:themeColor="text1"/>
                      <w:szCs w:val="21"/>
                    </w:rPr>
                    <w:t>）外排；针对燃烧烟气，项目拟通过低氮燃烧</w:t>
                  </w:r>
                  <w:r>
                    <w:rPr>
                      <w:color w:val="000000" w:themeColor="text1"/>
                      <w:szCs w:val="21"/>
                    </w:rPr>
                    <w:t>+</w:t>
                  </w:r>
                  <w:r>
                    <w:rPr>
                      <w:rFonts w:hAnsi="宋体"/>
                      <w:color w:val="000000" w:themeColor="text1"/>
                      <w:szCs w:val="21"/>
                    </w:rPr>
                    <w:t>非催化还原（</w:t>
                  </w:r>
                  <w:r>
                    <w:rPr>
                      <w:color w:val="000000" w:themeColor="text1"/>
                      <w:szCs w:val="21"/>
                    </w:rPr>
                    <w:t>SNCR</w:t>
                  </w:r>
                  <w:r>
                    <w:rPr>
                      <w:rFonts w:hAnsi="宋体"/>
                      <w:color w:val="000000" w:themeColor="text1"/>
                      <w:szCs w:val="21"/>
                    </w:rPr>
                    <w:t>）脱硝技术</w:t>
                  </w:r>
                  <w:r>
                    <w:rPr>
                      <w:color w:val="000000" w:themeColor="text1"/>
                      <w:szCs w:val="21"/>
                    </w:rPr>
                    <w:t>+</w:t>
                  </w:r>
                  <w:r>
                    <w:rPr>
                      <w:rFonts w:hAnsi="宋体"/>
                      <w:color w:val="000000" w:themeColor="text1"/>
                      <w:szCs w:val="21"/>
                    </w:rPr>
                    <w:t>袋式除尘器处理，其中低氮燃烧</w:t>
                  </w:r>
                  <w:r>
                    <w:rPr>
                      <w:color w:val="000000" w:themeColor="text1"/>
                      <w:szCs w:val="21"/>
                    </w:rPr>
                    <w:t>+</w:t>
                  </w:r>
                  <w:r>
                    <w:rPr>
                      <w:rFonts w:hAnsi="宋体"/>
                      <w:color w:val="000000" w:themeColor="text1"/>
                      <w:szCs w:val="21"/>
                    </w:rPr>
                    <w:t>非催化还原（</w:t>
                  </w:r>
                  <w:r>
                    <w:rPr>
                      <w:color w:val="000000" w:themeColor="text1"/>
                      <w:szCs w:val="21"/>
                    </w:rPr>
                    <w:t>SNCR</w:t>
                  </w:r>
                  <w:r>
                    <w:rPr>
                      <w:rFonts w:hAnsi="宋体"/>
                      <w:color w:val="000000" w:themeColor="text1"/>
                      <w:szCs w:val="21"/>
                    </w:rPr>
                    <w:t>）脱硝的NOx去除效率为45.4%，1#布袋除尘除尘效率为99.7%，燃烧烟气经处理后通过</w:t>
                  </w:r>
                  <w:r>
                    <w:rPr>
                      <w:color w:val="000000" w:themeColor="text1"/>
                      <w:szCs w:val="21"/>
                    </w:rPr>
                    <w:t>1</w:t>
                  </w:r>
                  <w:r>
                    <w:rPr>
                      <w:rFonts w:hAnsi="宋体"/>
                      <w:color w:val="000000" w:themeColor="text1"/>
                      <w:szCs w:val="21"/>
                    </w:rPr>
                    <w:t>根</w:t>
                  </w:r>
                  <w:r>
                    <w:rPr>
                      <w:color w:val="000000" w:themeColor="text1"/>
                      <w:szCs w:val="21"/>
                    </w:rPr>
                    <w:t>Φ0.4m</w:t>
                  </w:r>
                  <w:r>
                    <w:rPr>
                      <w:rFonts w:hAnsi="宋体"/>
                      <w:color w:val="000000" w:themeColor="text1"/>
                      <w:szCs w:val="21"/>
                    </w:rPr>
                    <w:t>、高</w:t>
                  </w:r>
                  <w:r>
                    <w:rPr>
                      <w:rFonts w:hint="eastAsia"/>
                      <w:color w:val="000000" w:themeColor="text1"/>
                      <w:szCs w:val="21"/>
                    </w:rPr>
                    <w:t>20</w:t>
                  </w:r>
                  <w:r>
                    <w:rPr>
                      <w:color w:val="000000" w:themeColor="text1"/>
                      <w:szCs w:val="21"/>
                    </w:rPr>
                    <w:t>m</w:t>
                  </w:r>
                  <w:r>
                    <w:rPr>
                      <w:rFonts w:hAnsi="宋体"/>
                      <w:color w:val="000000" w:themeColor="text1"/>
                      <w:szCs w:val="21"/>
                    </w:rPr>
                    <w:t>的排气筒（</w:t>
                  </w:r>
                  <w:r>
                    <w:rPr>
                      <w:color w:val="000000" w:themeColor="text1"/>
                      <w:szCs w:val="21"/>
                    </w:rPr>
                    <w:t>DA003</w:t>
                  </w:r>
                  <w:r>
                    <w:rPr>
                      <w:rFonts w:hAnsi="宋体"/>
                      <w:color w:val="000000" w:themeColor="text1"/>
                      <w:szCs w:val="21"/>
                    </w:rPr>
                    <w:t>）外排。属于高效污染防治措施。</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5</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重视园区废水收集、处理、回用、排放的环境管理。全面实施</w:t>
                  </w:r>
                  <w:r>
                    <w:rPr>
                      <w:color w:val="000000" w:themeColor="text1"/>
                      <w:szCs w:val="21"/>
                    </w:rPr>
                    <w:t>“</w:t>
                  </w:r>
                  <w:r>
                    <w:rPr>
                      <w:rFonts w:hAnsi="宋体"/>
                      <w:color w:val="000000" w:themeColor="text1"/>
                      <w:szCs w:val="21"/>
                    </w:rPr>
                    <w:t>雨污分流</w:t>
                  </w:r>
                  <w:r>
                    <w:rPr>
                      <w:color w:val="000000" w:themeColor="text1"/>
                      <w:szCs w:val="21"/>
                    </w:rPr>
                    <w:t>”“</w:t>
                  </w:r>
                  <w:r>
                    <w:rPr>
                      <w:rFonts w:hAnsi="宋体"/>
                      <w:color w:val="000000" w:themeColor="text1"/>
                      <w:szCs w:val="21"/>
                    </w:rPr>
                    <w:t>清污分流</w:t>
                  </w:r>
                  <w:r>
                    <w:rPr>
                      <w:color w:val="000000" w:themeColor="text1"/>
                      <w:szCs w:val="21"/>
                    </w:rPr>
                    <w:t>”</w:t>
                  </w:r>
                  <w:r>
                    <w:rPr>
                      <w:rFonts w:hAnsi="宋体"/>
                      <w:color w:val="000000" w:themeColor="text1"/>
                      <w:szCs w:val="21"/>
                    </w:rPr>
                    <w:t>制度，提高入驻企业工业用水重复利用率和中水回用率。</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项目生产废水全部循环使用，不外排。</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6</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入驻企业按相关规范要求采取针对性防渗措施，确保区域地下水安全。</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项目将严格执行《危险废物贮存污染控制标准》（</w:t>
                  </w:r>
                  <w:r>
                    <w:rPr>
                      <w:color w:val="000000" w:themeColor="text1"/>
                      <w:szCs w:val="21"/>
                    </w:rPr>
                    <w:t>GB</w:t>
                  </w:r>
                  <w:r>
                    <w:rPr>
                      <w:rFonts w:hint="eastAsia"/>
                      <w:color w:val="000000" w:themeColor="text1"/>
                      <w:szCs w:val="21"/>
                      <w:lang w:eastAsia="zh-CN"/>
                    </w:rPr>
                    <w:t>*****</w:t>
                  </w:r>
                  <w:r>
                    <w:rPr>
                      <w:color w:val="000000" w:themeColor="text1"/>
                      <w:szCs w:val="21"/>
                    </w:rPr>
                    <w:t>-2023</w:t>
                  </w:r>
                  <w:r>
                    <w:rPr>
                      <w:rFonts w:hAnsi="宋体"/>
                      <w:color w:val="000000" w:themeColor="text1"/>
                      <w:szCs w:val="21"/>
                    </w:rPr>
                    <w:t>）的要求，采取分区防渗措施。</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6" w:type="dxa"/>
                  <w:vAlign w:val="center"/>
                </w:tcPr>
                <w:p>
                  <w:pPr>
                    <w:pStyle w:val="33"/>
                    <w:spacing w:line="360" w:lineRule="exact"/>
                    <w:rPr>
                      <w:color w:val="000000" w:themeColor="text1"/>
                      <w:szCs w:val="21"/>
                    </w:rPr>
                  </w:pPr>
                  <w:r>
                    <w:rPr>
                      <w:color w:val="000000" w:themeColor="text1"/>
                      <w:szCs w:val="21"/>
                    </w:rPr>
                    <w:t>7</w:t>
                  </w:r>
                </w:p>
              </w:tc>
              <w:tc>
                <w:tcPr>
                  <w:tcW w:w="3983"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〔四）制定准入清单，严格入园项目生态环境准入管理。加强</w:t>
                  </w:r>
                  <w:r>
                    <w:rPr>
                      <w:color w:val="000000" w:themeColor="text1"/>
                      <w:szCs w:val="21"/>
                    </w:rPr>
                    <w:t>“</w:t>
                  </w:r>
                  <w:r>
                    <w:rPr>
                      <w:rFonts w:hAnsi="宋体"/>
                      <w:color w:val="000000" w:themeColor="text1"/>
                      <w:szCs w:val="21"/>
                    </w:rPr>
                    <w:t>两高</w:t>
                  </w:r>
                  <w:r>
                    <w:rPr>
                      <w:color w:val="000000" w:themeColor="text1"/>
                      <w:szCs w:val="21"/>
                    </w:rPr>
                    <w:t>”</w:t>
                  </w:r>
                  <w:r>
                    <w:rPr>
                      <w:rFonts w:hAnsi="宋体"/>
                      <w:color w:val="000000" w:themeColor="text1"/>
                      <w:szCs w:val="21"/>
                    </w:rPr>
                    <w:t>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大气、水、土壤等重点管控单元要求。</w:t>
                  </w:r>
                </w:p>
              </w:tc>
              <w:tc>
                <w:tcPr>
                  <w:tcW w:w="3384" w:type="dxa"/>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本项目使用生物质燃料，生产用水循环使用，其单位产值水耗、能耗、污染物产生和排放量等均可达到国内先进水平。项目符合国家产业政策、产业布局规划要求，符合</w:t>
                  </w:r>
                  <w:r>
                    <w:rPr>
                      <w:color w:val="000000" w:themeColor="text1"/>
                      <w:szCs w:val="21"/>
                    </w:rPr>
                    <w:t>“</w:t>
                  </w:r>
                  <w:r>
                    <w:rPr>
                      <w:rFonts w:hAnsi="宋体"/>
                      <w:color w:val="000000" w:themeColor="text1"/>
                      <w:szCs w:val="21"/>
                    </w:rPr>
                    <w:t>三线一单</w:t>
                  </w:r>
                  <w:r>
                    <w:rPr>
                      <w:color w:val="000000" w:themeColor="text1"/>
                      <w:szCs w:val="21"/>
                    </w:rPr>
                    <w:t>”</w:t>
                  </w:r>
                  <w:r>
                    <w:rPr>
                      <w:rFonts w:hAnsi="宋体"/>
                      <w:color w:val="000000" w:themeColor="text1"/>
                      <w:szCs w:val="21"/>
                    </w:rPr>
                    <w:t>大气、水、土壤等重点管控单元要求。</w:t>
                  </w:r>
                </w:p>
              </w:tc>
              <w:tc>
                <w:tcPr>
                  <w:tcW w:w="619" w:type="dxa"/>
                  <w:vAlign w:val="center"/>
                </w:tcPr>
                <w:p>
                  <w:pPr>
                    <w:pStyle w:val="33"/>
                    <w:spacing w:line="360" w:lineRule="exact"/>
                    <w:rPr>
                      <w:color w:val="000000" w:themeColor="text1"/>
                      <w:szCs w:val="21"/>
                    </w:rPr>
                  </w:pPr>
                  <w:r>
                    <w:rPr>
                      <w:rFonts w:hAnsi="宋体"/>
                      <w:color w:val="000000" w:themeColor="text1"/>
                      <w:szCs w:val="21"/>
                    </w:rPr>
                    <w:t>符合</w:t>
                  </w:r>
                </w:p>
              </w:tc>
            </w:tr>
          </w:tbl>
          <w:p>
            <w:pPr>
              <w:spacing w:beforeLines="50" w:line="360" w:lineRule="auto"/>
              <w:ind w:firstLine="480" w:firstLineChars="200"/>
              <w:rPr>
                <w:color w:val="000000" w:themeColor="text1"/>
                <w:sz w:val="24"/>
              </w:rPr>
            </w:pPr>
            <w:r>
              <w:rPr>
                <w:rFonts w:hint="eastAsia"/>
                <w:color w:val="000000" w:themeColor="text1"/>
                <w:sz w:val="24"/>
              </w:rPr>
              <w:t>由上表可知，本项目建设符合</w:t>
            </w:r>
            <w:r>
              <w:rPr>
                <w:color w:val="000000" w:themeColor="text1"/>
                <w:sz w:val="24"/>
              </w:rPr>
              <w:t>规划环评</w:t>
            </w:r>
            <w:r>
              <w:rPr>
                <w:rFonts w:hint="eastAsia"/>
                <w:color w:val="000000" w:themeColor="text1"/>
                <w:sz w:val="24"/>
              </w:rPr>
              <w:t>审查意见的相关要求。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东川产业园区总体规划修编（2021-2035）环境影响报告书》及《昆明市生态环境局关于云南东川产业园区总体规划修编（2021-2035）环境影响报告书的审查意见》（昆环审【2023】1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w:t>
            </w:r>
            <w:r>
              <w:rPr>
                <w:rFonts w:hint="eastAsia" w:ascii="Times New Roman" w:hAnsi="Times New Roman" w:eastAsia="宋体" w:cs="Times New Roman"/>
                <w:color w:val="000000" w:themeColor="text1"/>
                <w:sz w:val="24"/>
                <w:szCs w:val="24"/>
              </w:rPr>
              <w:t>产业政策符合性、</w:t>
            </w:r>
            <w:r>
              <w:rPr>
                <w:rFonts w:ascii="Times New Roman" w:hAnsi="Times New Roman" w:eastAsia="宋体" w:cs="Times New Roman"/>
                <w:color w:val="000000" w:themeColor="text1"/>
                <w:sz w:val="24"/>
                <w:szCs w:val="24"/>
              </w:rPr>
              <w:t>“三线一单”符合性、生态环境保护法律法规政策符合性和生态环境保护规划的符合性，具体如下：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bookmarkStart w:id="3" w:name="_Toc433545018"/>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产业政策符合性分析</w:t>
            </w:r>
            <w:bookmarkEnd w:id="3"/>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本项目对厂区次氧化锌生产线产生的水淬渣进行资源综合利用，</w:t>
            </w:r>
            <w:r>
              <w:rPr>
                <w:rFonts w:ascii="Times New Roman" w:hAnsi="Times New Roman" w:cs="Times New Roman"/>
                <w:color w:val="000000" w:themeColor="text1"/>
                <w:sz w:val="24"/>
              </w:rPr>
              <w:t>查阅中华人民共和国国家发展和改革委员会第21号令《产业结构调整指导目录（2019年本）》，</w:t>
            </w:r>
            <w:r>
              <w:rPr>
                <w:rFonts w:hint="eastAsia" w:ascii="Times New Roman" w:hAnsi="Times New Roman" w:cs="Times New Roman"/>
                <w:color w:val="000000" w:themeColor="text1"/>
                <w:sz w:val="24"/>
              </w:rPr>
              <w:t>本项目属于鼓励类“四十三、环境保护与资源节约综合利用”中“20、城镇垃圾、农村生活垃圾、农村生活污水、污泥及其他固体废弃物减量化、资源化、无害化处理和综合利用工程”，本项目</w:t>
            </w:r>
            <w:r>
              <w:rPr>
                <w:rFonts w:ascii="Times New Roman" w:hAnsi="Times New Roman" w:cs="Times New Roman"/>
                <w:color w:val="000000" w:themeColor="text1"/>
                <w:sz w:val="24"/>
              </w:rPr>
              <w:t>于202</w:t>
            </w:r>
            <w:r>
              <w:rPr>
                <w:rFonts w:hint="eastAsia" w:ascii="Times New Roman" w:hAnsi="Times New Roman" w:cs="Times New Roman"/>
                <w:color w:val="000000" w:themeColor="text1"/>
                <w:sz w:val="24"/>
              </w:rPr>
              <w:t>1</w:t>
            </w:r>
            <w:r>
              <w:rPr>
                <w:rFonts w:ascii="Times New Roman" w:hAnsi="Times New Roman" w:cs="Times New Roman"/>
                <w:color w:val="000000" w:themeColor="text1"/>
                <w:sz w:val="24"/>
              </w:rPr>
              <w:t>年</w:t>
            </w:r>
            <w:r>
              <w:rPr>
                <w:rFonts w:hint="eastAsia" w:ascii="Times New Roman" w:hAnsi="Times New Roman" w:cs="Times New Roman"/>
                <w:color w:val="000000" w:themeColor="text1"/>
                <w:sz w:val="24"/>
              </w:rPr>
              <w:t>7</w:t>
            </w:r>
            <w:r>
              <w:rPr>
                <w:rFonts w:ascii="Times New Roman" w:hAnsi="Times New Roman" w:cs="Times New Roman"/>
                <w:color w:val="000000" w:themeColor="text1"/>
                <w:sz w:val="24"/>
              </w:rPr>
              <w:t>月1</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日</w:t>
            </w:r>
            <w:r>
              <w:rPr>
                <w:rFonts w:hint="eastAsia" w:ascii="Times New Roman" w:hAnsi="Times New Roman" w:cs="Times New Roman"/>
                <w:color w:val="000000" w:themeColor="text1"/>
                <w:sz w:val="24"/>
              </w:rPr>
              <w:t>取得《云南省固定资产投资项目备案证》</w:t>
            </w:r>
            <w:r>
              <w:rPr>
                <w:rFonts w:ascii="Times New Roman" w:hAnsi="Times New Roman" w:cs="Times New Roman"/>
                <w:color w:val="000000" w:themeColor="text1"/>
                <w:sz w:val="24"/>
              </w:rPr>
              <w:t>（项目代码为：</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-89-01-</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）；因此项目建设符合国家的产业政策。</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）“三线一单”符合性分析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昆明市人民政府已发布《昆明市人民政府关于昆明市“三线一单”生态环境分区管控的实施意见》，本项目符合性分析具体如下：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w:t>
            </w:r>
            <w:r>
              <w:rPr>
                <w:rFonts w:hint="eastAsia" w:ascii="Times New Roman" w:hAnsi="Times New Roman" w:cs="Times New Roman"/>
                <w:color w:val="000000" w:themeColor="text1"/>
                <w:sz w:val="24"/>
              </w:rPr>
              <w:t>不涉及生态红线。又《昆明市人民政府关于昆明市“三线一单”生态环境分区管控的实施意见》明确将“</w:t>
            </w:r>
            <w:r>
              <w:rPr>
                <w:rFonts w:ascii="Times New Roman" w:hAnsi="Times New Roman" w:cs="Times New Roman"/>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hAnsi="Times New Roman" w:cs="Times New Roman"/>
                <w:color w:val="000000" w:themeColor="text1"/>
                <w:sz w:val="24"/>
              </w:rPr>
              <w:t>”，本项目位于云南东川产业园区四方地片区，项目所在地属于</w:t>
            </w:r>
            <w:r>
              <w:rPr>
                <w:rFonts w:ascii="Times New Roman" w:hAnsi="Times New Roman" w:cs="Times New Roman"/>
                <w:color w:val="000000" w:themeColor="text1"/>
                <w:sz w:val="24"/>
              </w:rPr>
              <w:t>云南东川再就业特色产业园区重点管控单元</w:t>
            </w:r>
            <w:r>
              <w:rPr>
                <w:rFonts w:hint="eastAsia" w:ascii="Times New Roman" w:hAnsi="Times New Roman" w:cs="Times New Roman"/>
                <w:color w:val="000000" w:themeColor="text1"/>
                <w:sz w:val="24"/>
              </w:rPr>
              <w:t>，因此项目不属于优先保护单元。</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生态环境分区管控的实施意见》对环境质量底线设定了2025年和2035年两个目标，本项目位于云南东川产业园区四方地片区昆明合旺有色金属有限公司厂区内，环境质量底线和本项目相关的要求及符合性分析如下：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w:t>
            </w:r>
            <w:r>
              <w:rPr>
                <w:rFonts w:ascii="Times New Roman" w:cs="Times New Roman" w:hAnsiTheme="minorEastAsia"/>
                <w:color w:val="000000" w:themeColor="text1"/>
                <w:sz w:val="24"/>
              </w:rPr>
              <w:t>地表水体小江板河口断面水质可达到《地表水环境质量标准》（GB</w:t>
            </w:r>
            <w:r>
              <w:rPr>
                <w:rFonts w:hint="eastAsia" w:ascii="Times New Roman" w:cs="Times New Roman" w:hAnsiTheme="minorEastAsia"/>
                <w:color w:val="000000" w:themeColor="text1"/>
                <w:sz w:val="24"/>
                <w:lang w:eastAsia="zh-CN"/>
              </w:rPr>
              <w:t>****</w:t>
            </w:r>
            <w:r>
              <w:rPr>
                <w:rFonts w:ascii="Times New Roman" w:cs="Times New Roman" w:hAnsiTheme="minorEastAsia"/>
                <w:color w:val="000000" w:themeColor="text1"/>
                <w:sz w:val="24"/>
              </w:rPr>
              <w:t>-2002）I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根据调查，项目主要用水环节为生产用水、生活用水，用水量较全市工业用水量占比极小；项目选址位于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，不涉及耕地、基本农田等土地资源，项目能耗较低；因此</w:t>
            </w:r>
            <w:r>
              <w:rPr>
                <w:rFonts w:ascii="Times New Roman" w:hAnsi="Times New Roman" w:cs="Times New Roman"/>
                <w:color w:val="000000" w:themeColor="text1"/>
                <w:sz w:val="24"/>
                <w:szCs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w:t>
            </w:r>
            <w:r>
              <w:rPr>
                <w:rFonts w:ascii="Times New Roman" w:cs="Times New Roman" w:hAnsiTheme="minorEastAsia"/>
                <w:color w:val="000000" w:themeColor="text1"/>
                <w:sz w:val="24"/>
              </w:rPr>
              <w:t>（昆政发</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2021</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21号）</w:t>
            </w:r>
            <w:r>
              <w:rPr>
                <w:rFonts w:hint="eastAsia" w:ascii="Times New Roman" w:cs="Times New Roman" w:hAnsiTheme="minorEastAsia"/>
                <w:color w:val="000000" w:themeColor="text1"/>
                <w:sz w:val="24"/>
              </w:rPr>
              <w:t>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根据调查，本项目位于本项目位于云南东川产业园区四方地片区昆明合旺有色金属有限公司厂区内，项目所在地属于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云南东川再就业特色产业园区重点管控单元生态环境准入清单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jc w:val="center"/>
              <w:rPr>
                <w:rFonts w:ascii="Times New Roman" w:cs="Times New Roman" w:hAnsiTheme="minorEastAsia"/>
                <w:b/>
                <w:color w:val="000000" w:themeColor="text1"/>
              </w:rPr>
            </w:pP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表1-5</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9"/>
              <w:gridCol w:w="733"/>
              <w:gridCol w:w="3399"/>
              <w:gridCol w:w="3042"/>
              <w:gridCol w:w="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132" w:type="dxa"/>
                  <w:gridSpan w:val="2"/>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042"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restart"/>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99"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重点发展重化工、有色冶金、铸造、有色金属和稀贵金属加工、机械制造、机电设备、黄金精加工、建筑建材以及食品加工、生物医药行业。</w:t>
                  </w:r>
                </w:p>
              </w:tc>
              <w:tc>
                <w:tcPr>
                  <w:tcW w:w="3042"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本项目主要对厂区次氧化锌生产线产生的水淬渣进行资源综合利用，属于一般工业固体废物综合利用项目，</w:t>
                  </w:r>
                  <w:r>
                    <w:rPr>
                      <w:rFonts w:hint="eastAsia" w:hAnsi="宋体"/>
                      <w:color w:val="000000" w:themeColor="text1"/>
                      <w:szCs w:val="21"/>
                    </w:rPr>
                    <w:t>符合《</w:t>
                  </w:r>
                  <w:r>
                    <w:rPr>
                      <w:rFonts w:hAnsi="宋体"/>
                      <w:color w:val="000000" w:themeColor="text1"/>
                      <w:sz w:val="20"/>
                      <w:szCs w:val="21"/>
                    </w:rPr>
                    <w:t>云南东川产业园区总体规划修编（2021-2035）</w:t>
                  </w:r>
                  <w:r>
                    <w:rPr>
                      <w:rFonts w:hint="eastAsia" w:hAnsi="宋体"/>
                      <w:color w:val="000000" w:themeColor="text1"/>
                      <w:szCs w:val="21"/>
                    </w:rPr>
                    <w:t>》</w:t>
                  </w:r>
                  <w:r>
                    <w:rPr>
                      <w:rFonts w:hint="eastAsia" w:hAnsi="宋体"/>
                      <w:color w:val="000000" w:themeColor="text1"/>
                      <w:sz w:val="20"/>
                      <w:szCs w:val="2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99"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1.四方地组团禁止再安排重污染企业，防止加重该区域的环境污染。</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2.碧谷片区靠近城区一侧安排居住及轻污染的工业项目，该地区地势较低，不得布置空气污染较重的项目。</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3.对门山片区不宜作为工业片区，作为城市服务功能区，靠近城区一侧应营造绿化带和布置低噪声影响项目。</w:t>
                  </w:r>
                </w:p>
                <w:p>
                  <w:pPr>
                    <w:pStyle w:val="33"/>
                    <w:spacing w:line="360" w:lineRule="exact"/>
                    <w:ind w:firstLine="210" w:firstLineChars="100"/>
                    <w:jc w:val="both"/>
                    <w:rPr>
                      <w:rFonts w:hAnsi="宋体"/>
                      <w:color w:val="000000" w:themeColor="text1"/>
                      <w:szCs w:val="21"/>
                    </w:rPr>
                  </w:pPr>
                  <w:r>
                    <w:rPr>
                      <w:rFonts w:hAnsi="宋体"/>
                      <w:color w:val="000000" w:themeColor="text1"/>
                      <w:szCs w:val="21"/>
                    </w:rPr>
                    <w:t>4.阿旺片区不宜布局空气污染大的项目</w:t>
                  </w:r>
                  <w:r>
                    <w:rPr>
                      <w:rFonts w:hAnsi="宋体"/>
                      <w:color w:val="000000" w:themeColor="text1"/>
                      <w:sz w:val="20"/>
                      <w:szCs w:val="21"/>
                    </w:rPr>
                    <w:t>。</w:t>
                  </w:r>
                </w:p>
              </w:tc>
              <w:tc>
                <w:tcPr>
                  <w:tcW w:w="3042" w:type="dxa"/>
                  <w:vAlign w:val="center"/>
                </w:tcPr>
                <w:p>
                  <w:pPr>
                    <w:pStyle w:val="33"/>
                    <w:spacing w:line="360" w:lineRule="exact"/>
                    <w:ind w:firstLine="210" w:firstLineChars="100"/>
                    <w:jc w:val="both"/>
                    <w:rPr>
                      <w:rFonts w:hAnsi="宋体"/>
                      <w:color w:val="000000" w:themeColor="text1"/>
                      <w:szCs w:val="21"/>
                    </w:rPr>
                  </w:pPr>
                  <w:r>
                    <w:rPr>
                      <w:rFonts w:hAnsi="宋体"/>
                      <w:color w:val="000000" w:themeColor="text1"/>
                      <w:szCs w:val="21"/>
                    </w:rPr>
                    <w:t>本项目位于云南东川产业园区四方地片区昆明合旺有色金属有限公司厂区内，对厂区次氧化锌生产线产生的水淬渣进行资源综合利用，</w:t>
                  </w:r>
                  <w:r>
                    <w:rPr>
                      <w:rFonts w:hint="eastAsia" w:hAnsi="宋体"/>
                      <w:color w:val="000000" w:themeColor="text1"/>
                      <w:szCs w:val="21"/>
                    </w:rPr>
                    <w:t>不属于</w:t>
                  </w:r>
                  <w:r>
                    <w:rPr>
                      <w:rFonts w:hAnsi="宋体"/>
                      <w:color w:val="000000" w:themeColor="text1"/>
                      <w:szCs w:val="21"/>
                    </w:rPr>
                    <w:t>重污染企业</w:t>
                  </w:r>
                  <w:r>
                    <w:rPr>
                      <w:rFonts w:hint="eastAsia" w:hAnsi="宋体"/>
                      <w:color w:val="000000" w:themeColor="text1"/>
                      <w:szCs w:val="2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99" w:type="dxa"/>
                  <w:vAlign w:val="center"/>
                </w:tcPr>
                <w:p>
                  <w:pPr>
                    <w:pStyle w:val="33"/>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042" w:type="dxa"/>
                  <w:vAlign w:val="center"/>
                </w:tcPr>
                <w:p>
                  <w:pPr>
                    <w:pStyle w:val="33"/>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本项目位于云南东川产业园区四方地片区昆明合旺有色金属有限公司厂区内，不在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9" w:type="dxa"/>
                  <w:vMerge w:val="continue"/>
                  <w:vAlign w:val="center"/>
                </w:tcPr>
                <w:p>
                  <w:pPr>
                    <w:pStyle w:val="33"/>
                    <w:spacing w:line="360" w:lineRule="exact"/>
                    <w:rPr>
                      <w:rFonts w:hAnsiTheme="minorEastAsia" w:eastAsiaTheme="minorEastAsia"/>
                      <w:color w:val="000000" w:themeColor="text1"/>
                      <w:szCs w:val="21"/>
                    </w:rPr>
                  </w:pPr>
                </w:p>
              </w:tc>
              <w:tc>
                <w:tcPr>
                  <w:tcW w:w="733" w:type="dxa"/>
                  <w:vAlign w:val="center"/>
                </w:tcPr>
                <w:p>
                  <w:pPr>
                    <w:pStyle w:val="33"/>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99" w:type="dxa"/>
                  <w:vAlign w:val="center"/>
                </w:tcPr>
                <w:p>
                  <w:pPr>
                    <w:pStyle w:val="33"/>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042" w:type="dxa"/>
                  <w:vAlign w:val="center"/>
                </w:tcPr>
                <w:p>
                  <w:pPr>
                    <w:pStyle w:val="33"/>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1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w:t>
            </w: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6</w:t>
            </w:r>
            <w:r>
              <w:rPr>
                <w:rFonts w:ascii="Times New Roman" w:hAnsi="Times New Roman" w:cs="Times New Roman"/>
                <w:b/>
                <w:color w:val="000000" w:themeColor="text1"/>
              </w:rPr>
              <w:t xml:space="preserve"> 与《中华人民共和国长江保护法》符合性分析一览表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9"/>
              <w:gridCol w:w="2456"/>
              <w:gridCol w:w="4925"/>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color w:val="000000" w:themeColor="text1"/>
                      <w:kern w:val="0"/>
                      <w:szCs w:val="21"/>
                    </w:rPr>
                    <w:t>序号</w:t>
                  </w:r>
                </w:p>
              </w:tc>
              <w:tc>
                <w:tcPr>
                  <w:tcW w:w="2456" w:type="dxa"/>
                  <w:vAlign w:val="center"/>
                </w:tcPr>
                <w:p>
                  <w:pPr>
                    <w:pStyle w:val="33"/>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925"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925" w:type="dxa"/>
                  <w:vAlign w:val="center"/>
                </w:tcPr>
                <w:p>
                  <w:pPr>
                    <w:pStyle w:val="33"/>
                    <w:spacing w:line="360" w:lineRule="exact"/>
                    <w:ind w:firstLine="210" w:firstLineChars="100"/>
                    <w:jc w:val="both"/>
                    <w:rPr>
                      <w:rFonts w:hAnsi="宋体"/>
                      <w:color w:val="000000" w:themeColor="text1"/>
                      <w:szCs w:val="21"/>
                    </w:rPr>
                  </w:pPr>
                  <w:r>
                    <w:rPr>
                      <w:color w:val="000000" w:themeColor="text1"/>
                      <w:kern w:val="0"/>
                      <w:szCs w:val="21"/>
                    </w:rPr>
                    <w:t>本项目位于云南东川产业园区四方地片区昆明合旺有色金属有限公司厂区内，</w:t>
                  </w:r>
                  <w:r>
                    <w:rPr>
                      <w:rFonts w:hAnsi="宋体"/>
                      <w:color w:val="000000" w:themeColor="text1"/>
                      <w:szCs w:val="21"/>
                    </w:rPr>
                    <w:t>主要对厂区次氧化锌生产线产生的水淬渣进行资源综合利用，属于一般工业固体废物综合利用项目，</w:t>
                  </w:r>
                  <w:r>
                    <w:rPr>
                      <w:rFonts w:hint="eastAsia" w:hAnsi="宋体"/>
                      <w:color w:val="000000" w:themeColor="text1"/>
                      <w:szCs w:val="21"/>
                    </w:rPr>
                    <w:t>不属于化工项目；且</w:t>
                  </w:r>
                  <w:r>
                    <w:rPr>
                      <w:color w:val="000000" w:themeColor="text1"/>
                      <w:kern w:val="0"/>
                      <w:szCs w:val="21"/>
                    </w:rPr>
                    <w:t>根据周边关系可知，距离小江为1085m，项目所在区域不属于禁建范围。</w:t>
                  </w:r>
                  <w:r>
                    <w:rPr>
                      <w:rFonts w:hint="eastAsia"/>
                      <w:color w:val="000000" w:themeColor="text1"/>
                      <w:kern w:val="0"/>
                      <w:szCs w:val="21"/>
                    </w:rPr>
                    <w:t>因此项目建设符合“禁止在长江干支流岸线一公里范围内新建、扩建化工园区和化工项目”的要求。</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925" w:type="dxa"/>
                  <w:vAlign w:val="center"/>
                </w:tcPr>
                <w:p>
                  <w:pPr>
                    <w:pStyle w:val="33"/>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3"/>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本项目对昆明合旺有色金属有限公司生产线产生的氧化锌尾渣（水淬渣）进行综合利用，其主要工艺为通过物理磁选、重选的方式，回收有利用价值的铁和煤，项目所有生产废水全部循环使用，其总体耗水量不高；其原则上不属于高耗水项目；项目应严格按照水利部门的要求进行取水和生产。</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79"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2456"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925"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云南东川产业园区四方地片区昆明合旺有色金属有限公司厂区内，</w:t>
                  </w:r>
                  <w:r>
                    <w:rPr>
                      <w:rFonts w:hint="eastAsia"/>
                      <w:color w:val="000000" w:themeColor="text1"/>
                      <w:kern w:val="0"/>
                      <w:szCs w:val="21"/>
                    </w:rPr>
                    <w:t>该区域不属于长江流域河湖管理范围。</w:t>
                  </w:r>
                </w:p>
              </w:tc>
              <w:tc>
                <w:tcPr>
                  <w:tcW w:w="748"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由上表可知，项目的建设符合</w:t>
            </w:r>
            <w:r>
              <w:rPr>
                <w:rFonts w:ascii="Times New Roman" w:hAnsi="Times New Roman" w:cs="Times New Roman"/>
                <w:color w:val="000000" w:themeColor="text1"/>
                <w:sz w:val="24"/>
              </w:rPr>
              <w:t>《中华人民共和国长江保护法》</w:t>
            </w:r>
            <w:r>
              <w:rPr>
                <w:rFonts w:hint="eastAsia" w:ascii="Times New Roman" w:hAnsi="Times New Roman" w:cs="Times New Roman"/>
                <w:color w:val="000000" w:themeColor="text1"/>
                <w:sz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本项目位于云南东川产业园区四方地片区昆明合旺有色金属有限公司厂区内，项目所在区域属于小江汇水范围，小江属于长江的上游主要支流。因此，本环评须分析本项目与《长江经济带发展负面清单指南（试行，2022年版）》的符合性。具体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 xml:space="preserve">1-7 </w:t>
            </w:r>
            <w:r>
              <w:rPr>
                <w:rFonts w:ascii="Times New Roman" w:hAnsi="Times New Roman" w:cs="Times New Roman"/>
                <w:b/>
                <w:color w:val="000000" w:themeColor="text1"/>
              </w:rPr>
              <w:t>与《长江经济带发展负面清单指南（试行，2022年版）》符合性分析一览表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3987"/>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序号</w:t>
                  </w:r>
                </w:p>
              </w:tc>
              <w:tc>
                <w:tcPr>
                  <w:tcW w:w="3855" w:type="dxa"/>
                  <w:vAlign w:val="center"/>
                </w:tcPr>
                <w:p>
                  <w:pPr>
                    <w:pStyle w:val="33"/>
                    <w:spacing w:line="360" w:lineRule="exact"/>
                    <w:rPr>
                      <w:color w:val="000000" w:themeColor="text1"/>
                      <w:kern w:val="0"/>
                      <w:szCs w:val="21"/>
                    </w:rPr>
                  </w:pPr>
                  <w:r>
                    <w:rPr>
                      <w:color w:val="000000" w:themeColor="text1"/>
                      <w:kern w:val="0"/>
                      <w:szCs w:val="21"/>
                    </w:rPr>
                    <w:t>《长江经济带发展负面清单指南（试行，2022年版）》要求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本项目为“一般工业固体废物综合利用”类项目，位于云南东川产业园区四方地片区昆明合旺有色金属有限公司厂区内，不涉及码头及过江通道。</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本项目位于云南东川产业园区四方地片区昆明合旺有色金属有限公司厂区内，不涉及自然保护区核心区、风景名胜区等特殊敏感区。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3</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4</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5</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6</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禁止未经许可在长江千支流及湖泊新设、改设或扩大排污口。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项目不在</w:t>
                  </w:r>
                  <w:r>
                    <w:rPr>
                      <w:color w:val="000000" w:themeColor="text1"/>
                      <w:kern w:val="0"/>
                      <w:szCs w:val="21"/>
                    </w:rPr>
                    <w:t>长江千支流及湖泊新设、改设或扩大排污口。</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7</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本项目不涉及生产性捕捞。</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8</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改建除外。</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本项目为“一般工业固体废物综合利用”类项目，不属于钢铁、石化、化工、焦化、建材、有色等高污染项目。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9</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本项目为“一般工业固体废物综合利用”类项目，不属于钢铁、石化、化工、焦化、建材、有色、制浆造纸等高污染项目。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10</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本项目为“一般工业固体废物综合利用”类项目，不属于不符合国家石化、现代煤化工等产业布局规划的项目。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禁止新建、扩建法律法规和相关政策明令禁止的落后产能项目。禁止新建、扩建不符合国家产能置换要求的严重过剩产能行业的项目。禁上新建、扩建不符合要求的高耗能高排放项目。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本项目为“一般工业固体废物综合利用”类项目，根据《产业结构调整指导目录》（2019年本），本项目属于鼓励类项目。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由上表可知，本项目符合《长江经济带发展负面清单指南（试行，2022年版）》的要求。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（5）与《云南省长江经济带发展负面清单指南实施细则（试行，</w:t>
            </w:r>
            <w:r>
              <w:rPr>
                <w:rFonts w:ascii="Times New Roman" w:hAnsi="Times New Roman" w:cs="Times New Roman"/>
                <w:b/>
                <w:color w:val="000000" w:themeColor="text1"/>
                <w:sz w:val="24"/>
                <w:szCs w:val="24"/>
              </w:rPr>
              <w:t>2022</w:t>
            </w:r>
            <w:r>
              <w:rPr>
                <w:rFonts w:hint="eastAsia" w:ascii="Times New Roman" w:hAnsi="Times New Roman" w:cs="Times New Roman"/>
                <w:b/>
                <w:color w:val="000000" w:themeColor="text1"/>
                <w:sz w:val="24"/>
                <w:szCs w:val="24"/>
              </w:rPr>
              <w:t>年版）》符合性分析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云南省推动长江经济带发展领导小组办公室于</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19</w:t>
            </w:r>
            <w:r>
              <w:rPr>
                <w:rFonts w:hint="eastAsia" w:ascii="Times New Roman" w:hAnsi="Times New Roman" w:cs="Times New Roman"/>
                <w:color w:val="000000" w:themeColor="text1"/>
                <w:sz w:val="24"/>
                <w:szCs w:val="24"/>
              </w:rPr>
              <w:t>日印发了《云南省长江经济带发展负面清单指南实施细则（试行，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年版）》，本项目与其符合性见下表。</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表1-8与《云南省长江经济带发展负面清单指南实施细则（试行，</w:t>
            </w:r>
            <w:r>
              <w:rPr>
                <w:rFonts w:ascii="Times New Roman" w:hAnsi="Times New Roman" w:cs="Times New Roman"/>
                <w:b/>
                <w:color w:val="000000" w:themeColor="text1"/>
              </w:rPr>
              <w:t>2022</w:t>
            </w:r>
            <w:r>
              <w:rPr>
                <w:rFonts w:hint="eastAsia" w:ascii="Times New Roman" w:hAnsi="Times New Roman" w:cs="Times New Roman"/>
                <w:b/>
                <w:color w:val="000000" w:themeColor="text1"/>
              </w:rPr>
              <w:t>年版）》符合性</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
              <w:gridCol w:w="4178"/>
              <w:gridCol w:w="3445"/>
              <w:gridCol w:w="5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040" w:type="dxa"/>
                  <w:vAlign w:val="center"/>
                </w:tcPr>
                <w:p>
                  <w:pPr>
                    <w:pStyle w:val="33"/>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云南省长江经济带发展负面清单指南实施细则（试行，</w:t>
                  </w:r>
                  <w:r>
                    <w:rPr>
                      <w:color w:val="000000" w:themeColor="text1"/>
                      <w:kern w:val="0"/>
                      <w:szCs w:val="21"/>
                    </w:rPr>
                    <w:t>2022</w:t>
                  </w:r>
                  <w:r>
                    <w:rPr>
                      <w:rFonts w:hint="eastAsia"/>
                      <w:color w:val="000000" w:themeColor="text1"/>
                      <w:kern w:val="0"/>
                      <w:szCs w:val="21"/>
                    </w:rPr>
                    <w:t>年版）</w:t>
                  </w:r>
                  <w:r>
                    <w:rPr>
                      <w:color w:val="000000" w:themeColor="text1"/>
                      <w:kern w:val="0"/>
                      <w:szCs w:val="21"/>
                    </w:rPr>
                    <w:t>》要求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（一）禁止新建、改建和扩建不符合《全国内河航道与港口布局规划》等全国港口规划和《昭通市港口码头岸线规划（金沙江段</w:t>
                  </w:r>
                  <w:r>
                    <w:rPr>
                      <w:color w:val="000000" w:themeColor="text1"/>
                      <w:kern w:val="0"/>
                      <w:szCs w:val="21"/>
                    </w:rPr>
                    <w:t>2019</w:t>
                  </w:r>
                  <w:r>
                    <w:rPr>
                      <w:rFonts w:hint="eastAsia"/>
                      <w:color w:val="000000" w:themeColor="text1"/>
                      <w:kern w:val="0"/>
                      <w:szCs w:val="21"/>
                    </w:rPr>
                    <w:t>年</w:t>
                  </w:r>
                  <w:r>
                    <w:rPr>
                      <w:color w:val="000000" w:themeColor="text1"/>
                      <w:kern w:val="0"/>
                      <w:szCs w:val="21"/>
                    </w:rPr>
                    <w:t>-2035</w:t>
                  </w:r>
                  <w:r>
                    <w:rPr>
                      <w:rFonts w:hint="eastAsia"/>
                      <w:color w:val="000000" w:themeColor="text1"/>
                      <w:kern w:val="0"/>
                      <w:szCs w:val="21"/>
                    </w:rPr>
                    <w:t>年）》、《景洪港总体规划（</w:t>
                  </w:r>
                  <w:r>
                    <w:rPr>
                      <w:color w:val="000000" w:themeColor="text1"/>
                      <w:kern w:val="0"/>
                      <w:szCs w:val="21"/>
                    </w:rPr>
                    <w:t>2019-2035</w:t>
                  </w:r>
                  <w:r>
                    <w:rPr>
                      <w:rFonts w:hint="eastAsia"/>
                      <w:color w:val="000000" w:themeColor="text1"/>
                      <w:kern w:val="0"/>
                      <w:szCs w:val="21"/>
                    </w:rPr>
                    <w:t>年）》等州（市）级以上港口布局规划以及港口总体规划的码头项目。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本项目为“一般工业固体废物综合利用”类项目，位于云南东川产业园区四方地片区昆明合旺有色金属有限公司厂区内，不涉及码头及过江通道。</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本项目为“一般工业固体废物综合利用”类项目，位于云南东川产业园区四方地片区昆明合旺有色金属有限公司厂区内，不涉及自然保护区核心区、风景名胜区等特殊敏感区。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w:t>
                  </w:r>
                  <w:r>
                    <w:rPr>
                      <w:rFonts w:hint="eastAsia"/>
                      <w:color w:val="000000" w:themeColor="text1"/>
                      <w:kern w:val="0"/>
                      <w:szCs w:val="21"/>
                    </w:rPr>
                    <w:t>风景名胜区。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本项目为“一般工业固体废物综合利用”类项目，位于云南东川产业园区四方地片区昆明合旺有色金属有限公司厂区内，不涉及到饮用水水源地的一级保护区或二级保护区。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本项目为“一般工业固体废物综合利用”类项目，项目建设符合主体功能定位，项目所在地的纳污水体为小江（清水海-入金沙江口段），不属于水产种植资源保护区的岸线和河段范围。</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位于云南东川产业园区四方地片区昆明合旺有色金属有限公司厂区内，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本项目为“一般工业固体废物综合利用”类项目，位于云南东川产业园区四方地片区昆明合旺有色金属有限公司厂区内，不涉及</w:t>
                  </w:r>
                  <w:r>
                    <w:rPr>
                      <w:rFonts w:hint="eastAsia"/>
                      <w:color w:val="000000" w:themeColor="text1"/>
                      <w:kern w:val="0"/>
                      <w:szCs w:val="21"/>
                    </w:rPr>
                    <w:t>过江基础设施项目；同时，项目不在</w:t>
                  </w:r>
                  <w:r>
                    <w:rPr>
                      <w:color w:val="000000" w:themeColor="text1"/>
                      <w:kern w:val="0"/>
                      <w:szCs w:val="21"/>
                    </w:rPr>
                    <w:t>长江千支流及湖泊新设、改设或扩大排污口。</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8</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本项目不涉及生产性捕捞。</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9</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改建除外。</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本项目为“一般工业固体废物综合利用”类项目，不属于钢铁、石化、化工、焦化、建材、有色等高污染项目。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10</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（十）禁止在合规园区外新建、扩建钢铁、石化、化工、焦化、建材、有色、制浆造纸行业中的高污染项目。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本项目为“一般工业固体废物综合利用”类项目，不属于钢铁、石化、化工、焦化、建材、有色、制浆造纸等高污染项目。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本项目为“一般工业固体废物综合利用”类项目，不属于不符合国家石化、现代煤化工等产业布局规划的项目。</w:t>
                  </w:r>
                  <w:r>
                    <w:rPr>
                      <w:rFonts w:hint="eastAsia"/>
                      <w:color w:val="000000" w:themeColor="text1"/>
                      <w:kern w:val="0"/>
                      <w:szCs w:val="21"/>
                    </w:rPr>
                    <w:t>项目不涉及危险化学品，不属于《云南省城镇人口密集区危险化学品生产企业搬迁改造名单》的搬迁改造企业。</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本项目为“一般工业固体废物综合利用”类项目，根据《产业结构调整指导目录》（2019年本），本项目属于鼓励类项目。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bl>
          <w:p>
            <w:pPr>
              <w:spacing w:beforeLines="50" w:line="360" w:lineRule="auto"/>
              <w:ind w:firstLine="480" w:firstLineChars="200"/>
              <w:rPr>
                <w:rFonts w:hAnsiTheme="minorEastAsia"/>
                <w:color w:val="000000" w:themeColor="text1"/>
                <w:sz w:val="24"/>
              </w:rPr>
            </w:pPr>
            <w:r>
              <w:rPr>
                <w:rFonts w:ascii="Times New Roman" w:hAnsi="Times New Roman" w:cs="Times New Roman"/>
                <w:color w:val="000000" w:themeColor="text1"/>
                <w:sz w:val="24"/>
                <w:szCs w:val="24"/>
              </w:rPr>
              <w:t>由上表可知，本项目符合</w:t>
            </w:r>
            <w:r>
              <w:rPr>
                <w:rFonts w:hint="eastAsia" w:ascii="Times New Roman" w:hAnsi="Times New Roman" w:cs="Times New Roman"/>
                <w:color w:val="000000" w:themeColor="text1"/>
                <w:sz w:val="24"/>
                <w:szCs w:val="24"/>
              </w:rPr>
              <w:t>《云南省长江经济带发展负面清单指南实施细则（试行，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w:t>
            </w:r>
            <w:r>
              <w:rPr>
                <w:rFonts w:ascii="Times New Roman" w:hAnsi="Times New Roman" w:cs="Times New Roman"/>
                <w:color w:val="000000" w:themeColor="text1"/>
                <w:sz w:val="24"/>
                <w:szCs w:val="24"/>
              </w:rPr>
              <w:t>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本项目为一般工业固体废物综合利用项目，本项目的建设与《长江经济带生态环境保护规划》的相关要求不相冲突。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（7）与《关于“十四五”大宗固体废弃物综合利用的指导意见》（发改环资【</w:t>
            </w:r>
            <w:r>
              <w:rPr>
                <w:rFonts w:ascii="Times New Roman" w:hAnsi="Times New Roman" w:cs="Times New Roman"/>
                <w:b/>
                <w:color w:val="000000" w:themeColor="text1"/>
                <w:sz w:val="24"/>
                <w:szCs w:val="24"/>
              </w:rPr>
              <w:t>2021</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381 </w:t>
            </w:r>
            <w:r>
              <w:rPr>
                <w:rFonts w:hint="eastAsia" w:ascii="Times New Roman" w:hAnsi="Times New Roman" w:cs="Times New Roman"/>
                <w:b/>
                <w:color w:val="000000" w:themeColor="text1"/>
                <w:sz w:val="24"/>
                <w:szCs w:val="24"/>
              </w:rPr>
              <w:t>号）的符合性分析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项目与《关于“十四五”大宗固体废弃物综合利用的指导意见》（发改环资【</w:t>
            </w:r>
            <w:r>
              <w:rPr>
                <w:rFonts w:ascii="Times New Roman" w:hAnsi="Times New Roman" w:cs="Times New Roman"/>
                <w:color w:val="000000" w:themeColor="text1"/>
                <w:sz w:val="24"/>
                <w:szCs w:val="24"/>
              </w:rPr>
              <w:t>2021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381 </w:t>
            </w:r>
            <w:r>
              <w:rPr>
                <w:rFonts w:hint="eastAsia" w:ascii="Times New Roman" w:hAnsi="Times New Roman" w:cs="Times New Roman"/>
                <w:color w:val="000000" w:themeColor="text1"/>
                <w:sz w:val="24"/>
                <w:szCs w:val="24"/>
              </w:rPr>
              <w:t>号）的符合性分析如下表所示。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表1-9 与《关于“十四五”大宗固体废弃物综合利用的指导意见》符合性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709"/>
              <w:gridCol w:w="3827"/>
              <w:gridCol w:w="3119"/>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536" w:type="dxa"/>
                  <w:gridSpan w:val="2"/>
                  <w:vAlign w:val="center"/>
                </w:tcPr>
                <w:p>
                  <w:pPr>
                    <w:pStyle w:val="33"/>
                    <w:spacing w:line="360" w:lineRule="exact"/>
                    <w:rPr>
                      <w:color w:val="000000" w:themeColor="text1"/>
                      <w:kern w:val="0"/>
                      <w:szCs w:val="21"/>
                    </w:rPr>
                  </w:pPr>
                  <w:r>
                    <w:rPr>
                      <w:rFonts w:hint="eastAsia"/>
                      <w:color w:val="000000" w:themeColor="text1"/>
                      <w:kern w:val="0"/>
                      <w:szCs w:val="21"/>
                    </w:rPr>
                    <w:t>《关于“十四五”大宗固体废弃物综合利用的指导意见》要求</w:t>
                  </w:r>
                </w:p>
              </w:tc>
              <w:tc>
                <w:tcPr>
                  <w:tcW w:w="3119"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总体要求</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主要目标。到</w:t>
                  </w:r>
                  <w:r>
                    <w:rPr>
                      <w:color w:val="000000" w:themeColor="text1"/>
                      <w:szCs w:val="24"/>
                    </w:rPr>
                    <w:t xml:space="preserve">2025 </w:t>
                  </w:r>
                  <w:r>
                    <w:rPr>
                      <w:rFonts w:hint="eastAsia"/>
                      <w:color w:val="000000" w:themeColor="text1"/>
                      <w:szCs w:val="24"/>
                    </w:rPr>
                    <w:t>年，煤矸石、粉煤灰、尾矿（共伴生矿）、冶炼渣、工业副产石膏、建筑垃圾、农作物秸秆等大宗固废的综合利用能力显著提升，利用规模不断扩大，新增大宗固废综合利用率达到</w:t>
                  </w:r>
                  <w:r>
                    <w:rPr>
                      <w:color w:val="000000" w:themeColor="text1"/>
                      <w:szCs w:val="24"/>
                    </w:rPr>
                    <w:t>60%</w:t>
                  </w:r>
                  <w:r>
                    <w:rPr>
                      <w:rFonts w:hint="eastAsia"/>
                      <w:color w:val="000000" w:themeColor="text1"/>
                      <w:szCs w:val="24"/>
                    </w:rPr>
                    <w:t>，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本项目主要对昆明合旺有色金属有限公司生产线产生的氧化锌尾渣（水淬渣）进行综合利用，其主要工艺为通过物理磁选、重选的方式，回收有利用价值的铁，符合《关于“十四五”大宗固体废弃物综合利用的指导意见》（发改环资【</w:t>
                  </w:r>
                  <w:r>
                    <w:rPr>
                      <w:color w:val="000000" w:themeColor="text1"/>
                      <w:szCs w:val="24"/>
                    </w:rPr>
                    <w:t>2021</w:t>
                  </w:r>
                  <w:r>
                    <w:rPr>
                      <w:rFonts w:hint="eastAsia"/>
                      <w:color w:val="000000" w:themeColor="text1"/>
                      <w:szCs w:val="24"/>
                    </w:rPr>
                    <w:t>】</w:t>
                  </w:r>
                  <w:r>
                    <w:rPr>
                      <w:color w:val="000000" w:themeColor="text1"/>
                      <w:szCs w:val="24"/>
                    </w:rPr>
                    <w:t xml:space="preserve">381 </w:t>
                  </w:r>
                  <w:r>
                    <w:rPr>
                      <w:rFonts w:hint="eastAsia"/>
                      <w:color w:val="000000" w:themeColor="text1"/>
                      <w:szCs w:val="24"/>
                    </w:rPr>
                    <w:t>号）的主要目标要求。</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提高大宗固废资源利用效率</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冶炼渣。加强产业协同利用，扩大赤泥和钢渣利用规模，提高赤泥在道路材料中的掺用比例，扩大钢渣微粉作混凝土掺合料在建设工程等领域的利用。不断探索赤泥和钢渣的其他规模化利用渠道。鼓励从赤泥中回收铁、碱、氧化铝，从冶炼渣中回收稀有稀散金属和稀贵金属等有价组分，提高矿产资源利用效率，保障国家资源安全，逐步提高冶炼渣综合利用率。</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本项目主要对昆明合旺有色金属有限公司生产线产生的氧化锌尾渣（水淬渣）进行综合利用，其主要工艺为通过物理磁选、重选的方式，回收有利用价值的铁，属于“从冶炼渣中回收稀有稀散金属和稀贵金属等有价组分”。</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709" w:type="dxa"/>
                  <w:tcBorders>
                    <w:right w:val="single" w:color="auto" w:sz="4" w:space="0"/>
                  </w:tcBorders>
                  <w:vAlign w:val="center"/>
                </w:tcPr>
                <w:p>
                  <w:pPr>
                    <w:pStyle w:val="33"/>
                    <w:spacing w:line="360" w:lineRule="exact"/>
                    <w:rPr>
                      <w:color w:val="000000" w:themeColor="text1"/>
                      <w:szCs w:val="24"/>
                    </w:rPr>
                  </w:pPr>
                  <w:r>
                    <w:rPr>
                      <w:rFonts w:hint="eastAsia"/>
                      <w:color w:val="000000" w:themeColor="text1"/>
                      <w:kern w:val="0"/>
                      <w:szCs w:val="21"/>
                    </w:rPr>
                    <w:t>推进大宗固废综合利用绿色发展</w:t>
                  </w:r>
                </w:p>
              </w:tc>
              <w:tc>
                <w:tcPr>
                  <w:tcW w:w="3827" w:type="dxa"/>
                  <w:tcBorders>
                    <w:left w:val="single" w:color="auto" w:sz="4" w:space="0"/>
                  </w:tcBorders>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强化大宗固废规范处置，守住环境底线。加强大宗固废贮存及处置管理，强化主体责任，推动建设符合有关国家标准的贮存设施，实现安全分类存放，杜绝混排混堆。统筹兼顾大宗固废增量消纳和存量治理，加大重点流域和重点区域大宗固废的综合整治力度，健全环保长效监督管理制度。</w:t>
                  </w:r>
                </w:p>
              </w:tc>
              <w:tc>
                <w:tcPr>
                  <w:tcW w:w="3119" w:type="dxa"/>
                  <w:tcBorders>
                    <w:right w:val="single" w:color="auto" w:sz="4" w:space="0"/>
                  </w:tcBorders>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本项目主要对</w:t>
                  </w:r>
                  <w:r>
                    <w:rPr>
                      <w:rFonts w:hint="eastAsia"/>
                      <w:color w:val="000000" w:themeColor="text1"/>
                      <w:kern w:val="0"/>
                      <w:szCs w:val="21"/>
                    </w:rPr>
                    <w:t>本建设单位</w:t>
                  </w:r>
                  <w:r>
                    <w:rPr>
                      <w:color w:val="000000" w:themeColor="text1"/>
                      <w:kern w:val="0"/>
                      <w:szCs w:val="21"/>
                    </w:rPr>
                    <w:t>厂区次氧化锌生产线产生的水淬渣进行资源综合利用，</w:t>
                  </w:r>
                  <w:r>
                    <w:rPr>
                      <w:rFonts w:hint="eastAsia"/>
                      <w:color w:val="000000" w:themeColor="text1"/>
                      <w:kern w:val="0"/>
                      <w:szCs w:val="21"/>
                    </w:rPr>
                    <w:t>其中利用前的水淬渣暂存于水淬渣暂存库内，处理后的废渣暂存于废渣暂存库，且两暂存库的建设可满足</w:t>
                  </w:r>
                  <w:r>
                    <w:rPr>
                      <w:color w:val="000000" w:themeColor="text1"/>
                      <w:kern w:val="0"/>
                      <w:szCs w:val="21"/>
                    </w:rPr>
                    <w:t>《一般工业固体废物贮存和填埋污染控制标准》（GB</w:t>
                  </w:r>
                  <w:r>
                    <w:rPr>
                      <w:rFonts w:hint="eastAsia"/>
                      <w:color w:val="000000" w:themeColor="text1"/>
                      <w:kern w:val="0"/>
                      <w:szCs w:val="21"/>
                      <w:lang w:eastAsia="zh-CN"/>
                    </w:rPr>
                    <w:t>*****</w:t>
                  </w:r>
                  <w:r>
                    <w:rPr>
                      <w:color w:val="000000" w:themeColor="text1"/>
                      <w:kern w:val="0"/>
                      <w:szCs w:val="21"/>
                    </w:rPr>
                    <w:t>-2020）</w:t>
                  </w:r>
                  <w:r>
                    <w:rPr>
                      <w:rFonts w:hint="eastAsia"/>
                      <w:color w:val="000000" w:themeColor="text1"/>
                      <w:kern w:val="0"/>
                      <w:szCs w:val="21"/>
                    </w:rPr>
                    <w:t>的要求，因此项目涉及的水淬渣及废渣均可实现安全分类存放。又本项目的建设属于</w:t>
                  </w:r>
                  <w:r>
                    <w:rPr>
                      <w:color w:val="000000" w:themeColor="text1"/>
                      <w:kern w:val="0"/>
                      <w:szCs w:val="21"/>
                    </w:rPr>
                    <w:t>一般工业固体废物综合利用项目</w:t>
                  </w:r>
                  <w:r>
                    <w:rPr>
                      <w:rFonts w:hint="eastAsia"/>
                      <w:color w:val="000000" w:themeColor="text1"/>
                      <w:kern w:val="0"/>
                      <w:szCs w:val="21"/>
                    </w:rPr>
                    <w:t>，可降低建设单位固体废物的产生量，符合固体废物的综合整治。因此该项目的建设符合“强化大宗固废规范处置，守住环境底线”的要求。</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是</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项目的建设符合《关于“十四五”大宗固体废弃物综合利用的指导意见》（发改环资【</w:t>
            </w:r>
            <w:r>
              <w:rPr>
                <w:rFonts w:ascii="Times New Roman" w:hAnsi="Times New Roman" w:cs="Times New Roman"/>
                <w:color w:val="000000" w:themeColor="text1"/>
                <w:sz w:val="24"/>
                <w:szCs w:val="24"/>
              </w:rPr>
              <w:t>2021</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381 </w:t>
            </w:r>
            <w:r>
              <w:rPr>
                <w:rFonts w:hint="eastAsia" w:ascii="Times New Roman" w:hAnsi="Times New Roman" w:cs="Times New Roman"/>
                <w:color w:val="000000" w:themeColor="text1"/>
                <w:sz w:val="24"/>
                <w:szCs w:val="24"/>
              </w:rPr>
              <w:t>号）的相关要求。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（7）与</w:t>
            </w:r>
            <w:r>
              <w:rPr>
                <w:rFonts w:ascii="Times New Roman" w:hAnsi="Times New Roman" w:cs="Times New Roman"/>
                <w:b/>
                <w:color w:val="000000" w:themeColor="text1"/>
                <w:sz w:val="24"/>
                <w:szCs w:val="24"/>
              </w:rPr>
              <w:t>《云南省工业固体废物和重金属污染防治</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十四五</w:t>
            </w:r>
            <w:r>
              <w:rPr>
                <w:rFonts w:hint="eastAsia"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规划》</w:t>
            </w:r>
            <w:r>
              <w:rPr>
                <w:rFonts w:hint="eastAsia" w:ascii="Times New Roman" w:hAnsi="Times New Roman" w:cs="Times New Roman"/>
                <w:b/>
                <w:color w:val="000000" w:themeColor="text1"/>
                <w:sz w:val="24"/>
                <w:szCs w:val="24"/>
              </w:rPr>
              <w:t>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w:t>
            </w:r>
            <w:r>
              <w:rPr>
                <w:rFonts w:ascii="Times New Roman" w:hAnsi="Times New Roman" w:cs="Times New Roman"/>
                <w:color w:val="000000" w:themeColor="text1"/>
                <w:sz w:val="24"/>
                <w:szCs w:val="24"/>
              </w:rPr>
              <w:t>《云南省工业固体废物和重金属污染防治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十四五</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规划》</w:t>
            </w:r>
            <w:r>
              <w:rPr>
                <w:rFonts w:hint="eastAsia" w:ascii="Times New Roman" w:hAnsi="Times New Roman" w:cs="Times New Roman"/>
                <w:color w:val="000000" w:themeColor="text1"/>
                <w:sz w:val="24"/>
                <w:szCs w:val="24"/>
              </w:rPr>
              <w:t>的符合性分析如下表所示。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表1-10 与</w:t>
            </w:r>
            <w:r>
              <w:rPr>
                <w:rFonts w:ascii="Times New Roman" w:hAnsi="Times New Roman" w:cs="Times New Roman"/>
                <w:b/>
                <w:color w:val="000000" w:themeColor="text1"/>
              </w:rPr>
              <w:t>《云南省工业固体废物和重金属污染防治</w:t>
            </w:r>
            <w:r>
              <w:rPr>
                <w:rFonts w:hint="eastAsia" w:ascii="Times New Roman" w:hAnsi="Times New Roman" w:cs="Times New Roman"/>
                <w:b/>
                <w:color w:val="000000" w:themeColor="text1"/>
              </w:rPr>
              <w:t>“</w:t>
            </w:r>
            <w:r>
              <w:rPr>
                <w:rFonts w:ascii="Times New Roman" w:hAnsi="Times New Roman" w:cs="Times New Roman"/>
                <w:b/>
                <w:color w:val="000000" w:themeColor="text1"/>
              </w:rPr>
              <w:t>十四五</w:t>
            </w:r>
            <w:r>
              <w:rPr>
                <w:rFonts w:hint="eastAsia" w:ascii="Times New Roman" w:hAnsi="Times New Roman" w:cs="Times New Roman"/>
                <w:b/>
                <w:color w:val="000000" w:themeColor="text1"/>
              </w:rPr>
              <w:t>”</w:t>
            </w:r>
            <w:r>
              <w:rPr>
                <w:rFonts w:ascii="Times New Roman" w:hAnsi="Times New Roman" w:cs="Times New Roman"/>
                <w:b/>
                <w:color w:val="000000" w:themeColor="text1"/>
              </w:rPr>
              <w:t>规划》</w:t>
            </w:r>
            <w:r>
              <w:rPr>
                <w:rFonts w:hint="eastAsia" w:ascii="Times New Roman" w:hAnsi="Times New Roman" w:cs="Times New Roman"/>
                <w:b/>
                <w:color w:val="000000" w:themeColor="text1"/>
              </w:rPr>
              <w:t>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4"/>
              <w:gridCol w:w="4381"/>
              <w:gridCol w:w="3274"/>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381" w:type="dxa"/>
                  <w:vAlign w:val="center"/>
                </w:tcPr>
                <w:p>
                  <w:pPr>
                    <w:pStyle w:val="33"/>
                    <w:spacing w:line="360" w:lineRule="exact"/>
                    <w:rPr>
                      <w:color w:val="000000" w:themeColor="text1"/>
                      <w:kern w:val="0"/>
                      <w:szCs w:val="21"/>
                    </w:rPr>
                  </w:pPr>
                  <w:r>
                    <w:rPr>
                      <w:color w:val="000000" w:themeColor="text1"/>
                      <w:kern w:val="0"/>
                      <w:szCs w:val="21"/>
                    </w:rPr>
                    <w:t>《云南省工业固体废物和重金属污染防治</w:t>
                  </w:r>
                  <w:r>
                    <w:rPr>
                      <w:rFonts w:hint="eastAsia"/>
                      <w:color w:val="000000" w:themeColor="text1"/>
                      <w:kern w:val="0"/>
                      <w:szCs w:val="21"/>
                    </w:rPr>
                    <w:t>“</w:t>
                  </w:r>
                  <w:r>
                    <w:rPr>
                      <w:color w:val="000000" w:themeColor="text1"/>
                      <w:kern w:val="0"/>
                      <w:szCs w:val="21"/>
                    </w:rPr>
                    <w:t>十四五</w:t>
                  </w:r>
                  <w:r>
                    <w:rPr>
                      <w:rFonts w:hint="eastAsia"/>
                      <w:color w:val="000000" w:themeColor="text1"/>
                      <w:kern w:val="0"/>
                      <w:szCs w:val="21"/>
                    </w:rPr>
                    <w:t>”</w:t>
                  </w:r>
                  <w:r>
                    <w:rPr>
                      <w:color w:val="000000" w:themeColor="text1"/>
                      <w:kern w:val="0"/>
                      <w:szCs w:val="21"/>
                    </w:rPr>
                    <w:t>规划》</w:t>
                  </w:r>
                  <w:r>
                    <w:rPr>
                      <w:rFonts w:hint="eastAsia"/>
                      <w:color w:val="000000" w:themeColor="text1"/>
                      <w:kern w:val="0"/>
                      <w:szCs w:val="21"/>
                    </w:rPr>
                    <w:t>要求</w:t>
                  </w:r>
                </w:p>
              </w:tc>
              <w:tc>
                <w:tcPr>
                  <w:tcW w:w="3274"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严格控制新建、扩建工业固体废物及危险废物产生量大、区域内难以有效综合利用、无害化处置能力不足、无配套利用处置设施的建设项目。新建项目严格执行《建设项目危险废物环境影响评价指南》《危险废物处置工程技术导则》等技术规范，开展危险废物环境影响评价。将固体废物污染环境防治内容纳入环境影响评价文件，落实固体废物污染环境和破坏生态防治措施，将固体废物环境污染防治设施建设资金纳入投资概算。</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项目对昆明合旺有色金属有限公司生产线产生的氧化锌尾渣（水淬渣）进行综合利用，可有效减少现有一般工业固体废物的量。</w:t>
                  </w:r>
                </w:p>
                <w:p>
                  <w:pPr>
                    <w:pStyle w:val="33"/>
                    <w:spacing w:line="360" w:lineRule="exact"/>
                    <w:ind w:firstLine="210" w:firstLineChars="100"/>
                    <w:jc w:val="both"/>
                    <w:rPr>
                      <w:color w:val="000000" w:themeColor="text1"/>
                      <w:szCs w:val="21"/>
                    </w:rPr>
                  </w:pPr>
                  <w:r>
                    <w:rPr>
                      <w:rFonts w:hint="eastAsia"/>
                      <w:color w:val="000000" w:themeColor="text1"/>
                      <w:szCs w:val="21"/>
                    </w:rPr>
                    <w:t>项目已落实了</w:t>
                  </w:r>
                  <w:r>
                    <w:rPr>
                      <w:color w:val="000000" w:themeColor="text1"/>
                      <w:szCs w:val="21"/>
                    </w:rPr>
                    <w:t>落实固体废物污染环境和破坏生态防治措施，</w:t>
                  </w:r>
                  <w:r>
                    <w:rPr>
                      <w:rFonts w:hint="eastAsia"/>
                      <w:color w:val="000000" w:themeColor="text1"/>
                      <w:szCs w:val="21"/>
                    </w:rPr>
                    <w:t>并将</w:t>
                  </w:r>
                  <w:r>
                    <w:rPr>
                      <w:color w:val="000000" w:themeColor="text1"/>
                      <w:szCs w:val="21"/>
                    </w:rPr>
                    <w:t>资金纳入</w:t>
                  </w:r>
                  <w:r>
                    <w:rPr>
                      <w:rFonts w:hint="eastAsia"/>
                      <w:color w:val="000000" w:themeColor="text1"/>
                      <w:szCs w:val="21"/>
                    </w:rPr>
                    <w:t>了</w:t>
                  </w:r>
                  <w:r>
                    <w:rPr>
                      <w:color w:val="000000" w:themeColor="text1"/>
                      <w:szCs w:val="21"/>
                    </w:rPr>
                    <w:t>投资概算。</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督促企业合理选择清洁的原料、能源和工艺、设备，减少有毒、有害原料的使用，提高资源利用效率。以有色金属矿采选业、有色金属冶炼和压延加工业、黑色金属冶炼和压延加工业、化学原料和化学制品制造业、环境治理业等工业固体废物产生量大的行业为重点，实施强制性清洁生产审核，督促企业实施清洁生产技术改造，从源头减少工业固体废物及危险废物产生。</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运营期建设单位将严格按照上级生态环境主管部门要求定期进行强制性清洁生产审核。</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加强危险废物鉴别管理。严格落实危险废物鉴别程序和鉴别单位管理要求。强化固体废物产生单位鉴别主体责任，对不明属性固体废物主动鉴别，及时公开鉴别资料。</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针对本项目利用的氧化锌尾渣（水淬渣），建设单位已严格按照《危险废物鉴别技术规范》（HJ298-2019）的要求委托</w:t>
                  </w:r>
                  <w:r>
                    <w:rPr>
                      <w:color w:val="000000" w:themeColor="text1"/>
                      <w:szCs w:val="21"/>
                    </w:rPr>
                    <w:t>云南环普检测科技有限公司</w:t>
                  </w:r>
                  <w:r>
                    <w:rPr>
                      <w:rFonts w:hint="eastAsia"/>
                      <w:color w:val="000000" w:themeColor="text1"/>
                      <w:szCs w:val="21"/>
                    </w:rPr>
                    <w:t>进行了属性鉴别；项目利用后产生的废渣再处置过程中也将严格按照《危险废物鉴别技术规范》（HJ298-2019）的要求委托有资质的单位进行属性鉴别。</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在有色金属冶炼和压延加工业、化学原料和化学制品制造业、机械和设备修理业等重点行业，开展危险废物规范贮存专项行动，推进危险废物贮存设施规范化改造，严厉打击危险废物混合堆存、露天存放等违法违规行为，督促企业逐年降低危险废物贮存量，促进危险废物得到合理的利用和处置，降低危险废物贮存环境风险。</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针对项目产生的废机油，厂区已建设了1个15m²的危险废物贮存间对项目区废机油进行暂存。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推动涉镉涉铊涉锰企业排查治理。持续推进耕地周边涉镉等重金属重点行业企业排查整治。以铅、锌、锡等有色采选与冶炼、钢铁、硫酸、磷肥、无机化工及含铊灰渣利用等工业企业为重点，全面排查涉铊企业，形成涉铊企业清单，建立铊污染风险问题台账并制定相应整改方案。开展涉铊企业废水治理设施除铊升级改造，铅锌、锡锑汞、钢铁、硫酸、磷肥等行业实现企业车间或生产设施废水总铊达标排放。开展涉锰污染源现状风险隐患排查，逐步推进完成锰污染治理和生态修复。推进全省镉、铊、锰环境质量现状调查，结合现状情况，制定针对性整治方案，有序推进全省涉镉涉铊涉锰污染整治。</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本项目主要对厂区次氧化锌生产线产生的水淬渣进行资源综合利用，属于一般工业固体废物综合利用项目，不涉及</w:t>
                  </w:r>
                  <w:r>
                    <w:rPr>
                      <w:color w:val="000000" w:themeColor="text1"/>
                      <w:szCs w:val="21"/>
                    </w:rPr>
                    <w:t>涉镉涉铊涉锰污染整治</w:t>
                  </w:r>
                  <w:r>
                    <w:rPr>
                      <w:rFonts w:hint="eastAsia"/>
                      <w:color w:val="000000" w:themeColor="text1"/>
                      <w:szCs w:val="21"/>
                    </w:rPr>
                    <w:t>内容。</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深入推进重金属污染防治：优化涉重金属产业结构和布局，严格重点行业企业准入管理。严格落实分级分类审批规定，不得以改革试点为名降低审批要求。个旧市、蒙自市、建水县、马关县、东川区、会泽县、兰坪县新改扩建涉重金属重点行业建设项目遵循“减量替代”的原则，替代比例不低于1.2:1，其他区域遵循“等量替代”。新、改、扩建重点行业建设项目重金属污染物排放总量的来源，原则上应是全口径涉重金属重点行业企业清单（以下简称全口径清单）内的同一重点行业企业削减的重点重金属污染物排放量，当同一重点行业企业削减量无法满足时可从其他重点行业调剂。建设单位在提交环境影响评价及相关配套文件时应明确重点重金属污染物排放总量及来源。建设项目所在地州（市）生态环境部门应当结合辖区重金属污染物排放量总量控制目标要求，对项目环境影响评价提出的重金属污染物排放总量及来源进行核准，出具项目重金属污染排放总量控制指标核准意见。对全省重大战略发展项目，州（市）确实无法解决总量来源的，经报省委、省政府同意后，从全省富余削减量中统筹协调。无明确具体总量来源的，各级生态环境部门不得批准相关环境影响评价文件。</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本项目主要对厂区次氧化锌生产线产生的水淬渣进行资源综合利用，属于一般工业固体废物综合利用项目，不属于</w:t>
                  </w:r>
                  <w:r>
                    <w:rPr>
                      <w:color w:val="000000" w:themeColor="text1"/>
                      <w:szCs w:val="21"/>
                    </w:rPr>
                    <w:t>重金属重点行业</w:t>
                  </w:r>
                  <w:r>
                    <w:rPr>
                      <w:rFonts w:hint="eastAsia"/>
                      <w:color w:val="000000" w:themeColor="text1"/>
                      <w:szCs w:val="21"/>
                    </w:rPr>
                    <w:t>，因此不需要进行</w:t>
                  </w:r>
                  <w:r>
                    <w:rPr>
                      <w:color w:val="000000" w:themeColor="text1"/>
                      <w:szCs w:val="21"/>
                    </w:rPr>
                    <w:t>重金属污染物“减量削减”</w:t>
                  </w:r>
                  <w:r>
                    <w:rPr>
                      <w:rFonts w:hint="eastAsia"/>
                      <w:color w:val="000000" w:themeColor="text1"/>
                      <w:szCs w:val="21"/>
                    </w:rPr>
                    <w:t>。</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381" w:type="dxa"/>
                  <w:vAlign w:val="center"/>
                </w:tcPr>
                <w:p>
                  <w:pPr>
                    <w:pStyle w:val="33"/>
                    <w:spacing w:line="360" w:lineRule="exact"/>
                    <w:ind w:firstLine="210" w:firstLineChars="100"/>
                    <w:jc w:val="both"/>
                    <w:rPr>
                      <w:color w:val="000000" w:themeColor="text1"/>
                      <w:szCs w:val="21"/>
                    </w:rPr>
                  </w:pPr>
                  <w:r>
                    <w:rPr>
                      <w:color w:val="000000" w:themeColor="text1"/>
                      <w:szCs w:val="21"/>
                    </w:rPr>
                    <w:t>加大产业结构调整力度。根据《产业结构调整指导目录》《限期淘汰产生严重污染环境的工业固体废物的落后生产工艺设备名录》等要求，推动依法淘汰涉重金属落后产能和化解过剩产能。严格执行相关法规政策标准，推动经整改仍达不到要求的产能依法依规关闭退出。鼓励有色金属冶炼产业延链补链强链，鼓励省内大型企业带动小型企业延伸产业链，开发高端和高附加值产品，推动铜铅锌锡等金属精深加工，着力延伸下游产业链。鼓励历史遗留等涉重金属大宗工业固体废物综合利用，探索总量替代豁免管理。鼓励企业通过兼并重组等方式做大做强，推动有色金属矿产资源整合，提高产业集中度及规模化水平。优化重点行业企业布局。推动涉重金属产业集中优化发展，合理布局新建有色冶炼项目，新建、扩建重有色金属冶炼、电镀、制革企业优先选择布设在依法合规的开发区。</w:t>
                  </w:r>
                </w:p>
              </w:tc>
              <w:tc>
                <w:tcPr>
                  <w:tcW w:w="3274"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本项目主要对厂区次氧化锌生产线产生的水淬渣进行资源综合利用，属于一般工业固体废物综合利用项目，且本项目位于</w:t>
                  </w:r>
                  <w:r>
                    <w:rPr>
                      <w:color w:val="000000" w:themeColor="text1"/>
                      <w:szCs w:val="21"/>
                    </w:rPr>
                    <w:t>云南东川产业园区四方地片区昆明合旺有色金属有限公司厂区内</w:t>
                  </w:r>
                  <w:r>
                    <w:rPr>
                      <w:rFonts w:hint="eastAsia"/>
                      <w:color w:val="000000" w:themeColor="text1"/>
                      <w:szCs w:val="21"/>
                    </w:rPr>
                    <w:t>，属于合规工业园区。</w:t>
                  </w:r>
                </w:p>
              </w:tc>
              <w:tc>
                <w:tcPr>
                  <w:tcW w:w="499"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由上表可知，本项目的建设符合</w:t>
            </w:r>
            <w:r>
              <w:rPr>
                <w:rFonts w:ascii="Times New Roman" w:hAnsi="Times New Roman" w:cs="Times New Roman"/>
                <w:color w:val="000000" w:themeColor="text1"/>
                <w:sz w:val="24"/>
                <w:szCs w:val="24"/>
              </w:rPr>
              <w:t>《云南省工业固体废物和重金属污染防治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十四五</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规划》</w:t>
            </w:r>
            <w:r>
              <w:rPr>
                <w:rFonts w:hint="eastAsia" w:ascii="Times New Roman" w:hAnsi="Times New Roman" w:cs="Times New Roman"/>
                <w:color w:val="000000" w:themeColor="text1"/>
                <w:sz w:val="24"/>
                <w:szCs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（8）与</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云南省固体废物污染环境防治条例</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（2023年3月1日起施行）的符合性分析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项目与</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云南省固体废物污染环境防治条例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的符合性分析如下表所示。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表1-11 与</w:t>
            </w:r>
            <w:r>
              <w:rPr>
                <w:rFonts w:ascii="Times New Roman" w:hAnsi="Times New Roman" w:cs="Times New Roman"/>
                <w:b/>
                <w:color w:val="000000" w:themeColor="text1"/>
              </w:rPr>
              <w:t>《</w:t>
            </w:r>
            <w:r>
              <w:rPr>
                <w:rFonts w:hint="eastAsia" w:ascii="Times New Roman" w:hAnsi="Times New Roman" w:cs="Times New Roman"/>
                <w:b/>
                <w:color w:val="000000" w:themeColor="text1"/>
              </w:rPr>
              <w:t>云南省固体废物污染环境防治条例</w:t>
            </w:r>
            <w:r>
              <w:rPr>
                <w:rFonts w:ascii="Times New Roman" w:hAnsi="Times New Roman" w:cs="Times New Roman"/>
                <w:b/>
                <w:color w:val="000000" w:themeColor="text1"/>
              </w:rPr>
              <w:t>》</w:t>
            </w:r>
            <w:r>
              <w:rPr>
                <w:rFonts w:hint="eastAsia" w:ascii="Times New Roman" w:hAnsi="Times New Roman" w:cs="Times New Roman"/>
                <w:b/>
                <w:color w:val="000000" w:themeColor="text1"/>
              </w:rPr>
              <w:t>符合性</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7"/>
              <w:gridCol w:w="4234"/>
              <w:gridCol w:w="3416"/>
              <w:gridCol w:w="5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color w:val="000000" w:themeColor="text1"/>
                      <w:kern w:val="0"/>
                      <w:szCs w:val="21"/>
                    </w:rPr>
                    <w:t>序号</w:t>
                  </w:r>
                </w:p>
              </w:tc>
              <w:tc>
                <w:tcPr>
                  <w:tcW w:w="4192" w:type="dxa"/>
                  <w:vAlign w:val="center"/>
                </w:tcPr>
                <w:p>
                  <w:pPr>
                    <w:pStyle w:val="33"/>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云南省固体废物污染环境防治条例</w:t>
                  </w:r>
                  <w:r>
                    <w:rPr>
                      <w:color w:val="000000" w:themeColor="text1"/>
                      <w:kern w:val="0"/>
                      <w:szCs w:val="21"/>
                    </w:rPr>
                    <w:t>》</w:t>
                  </w:r>
                  <w:r>
                    <w:rPr>
                      <w:rFonts w:hint="eastAsia"/>
                      <w:color w:val="000000" w:themeColor="text1"/>
                      <w:kern w:val="0"/>
                      <w:szCs w:val="21"/>
                    </w:rPr>
                    <w:t>要求</w:t>
                  </w:r>
                </w:p>
              </w:tc>
              <w:tc>
                <w:tcPr>
                  <w:tcW w:w="3382" w:type="dxa"/>
                  <w:tcBorders>
                    <w:right w:val="single" w:color="auto" w:sz="4" w:space="0"/>
                  </w:tcBorders>
                  <w:vAlign w:val="center"/>
                </w:tcPr>
                <w:p>
                  <w:pPr>
                    <w:pStyle w:val="33"/>
                    <w:spacing w:line="360" w:lineRule="exact"/>
                    <w:rPr>
                      <w:color w:val="000000" w:themeColor="text1"/>
                      <w:kern w:val="0"/>
                      <w:szCs w:val="21"/>
                    </w:rPr>
                  </w:pPr>
                  <w:r>
                    <w:rPr>
                      <w:color w:val="000000" w:themeColor="text1"/>
                      <w:kern w:val="0"/>
                      <w:szCs w:val="21"/>
                    </w:rPr>
                    <w:t>本项目实际情况</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第三条 固体废物污染环境防治坚持减量化、资源化、无害化和污染担责、分级分类管理的原则。任何单位和个人都应当采取措施，减少固体废物的产生量，促进固体废物的综合利用，降低固体废物的危害性。</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本项目主要对昆明合旺有色金属有限公司生产线产生的氧化锌尾渣（水淬渣）进行综合利用，可降低固体废物的危害性。</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2" w:hRule="atLeast"/>
              </w:trPr>
              <w:tc>
                <w:tcPr>
                  <w:tcW w:w="452" w:type="dxa"/>
                  <w:tcBorders>
                    <w:bottom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192" w:type="dxa"/>
                  <w:tcBorders>
                    <w:bottom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第十二条 ....。产生、收集、贮存、运输、利用、处置固体废物的单位和其他生产经营者，应当加强对相关设施、设备和场所的管理和维护，保证其正常运行和使用；依法及时向社会公开固体废物的种类、产生量、流向、贮存、利用、处置等固体废物污染环境防治信息，主动接受社会监督。</w:t>
                  </w:r>
                </w:p>
                <w:p>
                  <w:pPr>
                    <w:pStyle w:val="33"/>
                    <w:spacing w:line="360" w:lineRule="exact"/>
                    <w:ind w:firstLine="210" w:firstLineChars="100"/>
                    <w:jc w:val="both"/>
                    <w:rPr>
                      <w:color w:val="000000" w:themeColor="text1"/>
                      <w:szCs w:val="21"/>
                    </w:rPr>
                  </w:pPr>
                  <w:r>
                    <w:rPr>
                      <w:rFonts w:hint="eastAsia"/>
                      <w:color w:val="000000" w:themeColor="text1"/>
                      <w:szCs w:val="21"/>
                    </w:rPr>
                    <w:t>利用、处置固体废物的单位，应当依法向社会公众开放设施、场所，提高公众环境保护意识和参与程度。</w:t>
                  </w:r>
                </w:p>
              </w:tc>
              <w:tc>
                <w:tcPr>
                  <w:tcW w:w="3382" w:type="dxa"/>
                  <w:tcBorders>
                    <w:bottom w:val="single" w:color="auto" w:sz="4" w:space="0"/>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对相关设施、设备和场所的管理和维护，保证其正常运行和使用；并建立固体废物管理台账，依法及时向社会公开固体废物的种类、产生量、流向、贮存、利用、处置等固体废物污染环境防治信息，接受社会监督。</w:t>
                  </w:r>
                </w:p>
                <w:p>
                  <w:pPr>
                    <w:pStyle w:val="33"/>
                    <w:spacing w:line="360" w:lineRule="exact"/>
                    <w:ind w:firstLine="210" w:firstLineChars="100"/>
                    <w:jc w:val="both"/>
                    <w:rPr>
                      <w:color w:val="000000" w:themeColor="text1"/>
                      <w:szCs w:val="21"/>
                    </w:rPr>
                  </w:pPr>
                  <w:r>
                    <w:rPr>
                      <w:rFonts w:hint="eastAsia"/>
                      <w:color w:val="000000" w:themeColor="text1"/>
                      <w:szCs w:val="21"/>
                    </w:rPr>
                    <w:t>本项目将依法向社会公众开放设施、场所。</w:t>
                  </w:r>
                </w:p>
              </w:tc>
              <w:tc>
                <w:tcPr>
                  <w:tcW w:w="496" w:type="dxa"/>
                  <w:tcBorders>
                    <w:left w:val="single" w:color="auto" w:sz="4" w:space="0"/>
                    <w:bottom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452" w:type="dxa"/>
                  <w:tcBorders>
                    <w:top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192" w:type="dxa"/>
                  <w:tcBorders>
                    <w:top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第十三条 建设产生、贮存、利用、处置固体废物的项目，应当依法进行环境影响评价，并遵守国家有关建设项目环境保护管理的规定。</w:t>
                  </w:r>
                </w:p>
              </w:tc>
              <w:tc>
                <w:tcPr>
                  <w:tcW w:w="3382" w:type="dxa"/>
                  <w:tcBorders>
                    <w:top w:val="single" w:color="auto" w:sz="4" w:space="0"/>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本项目正开展环境影响评价工作。</w:t>
                  </w:r>
                </w:p>
              </w:tc>
              <w:tc>
                <w:tcPr>
                  <w:tcW w:w="496" w:type="dxa"/>
                  <w:tcBorders>
                    <w:top w:val="single" w:color="auto" w:sz="4" w:space="0"/>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第十四条 产生、收集、贮存、运输、利用、处置固体废物的单位和其他生产经营者，应当采取防扬散、防流失、防渗漏或者其他防止污染环境的措施，不得擅自倾倒、堆放、丢弃、遗撒固体废物。</w:t>
                  </w:r>
                </w:p>
                <w:p>
                  <w:pPr>
                    <w:pStyle w:val="33"/>
                    <w:spacing w:line="360" w:lineRule="exact"/>
                    <w:ind w:firstLine="210" w:firstLineChars="100"/>
                    <w:jc w:val="both"/>
                    <w:rPr>
                      <w:color w:val="000000" w:themeColor="text1"/>
                      <w:szCs w:val="21"/>
                    </w:rPr>
                  </w:pPr>
                  <w:r>
                    <w:rPr>
                      <w:rFonts w:hint="eastAsia"/>
                      <w:color w:val="000000" w:themeColor="text1"/>
                      <w:szCs w:val="21"/>
                    </w:rPr>
                    <w:t>禁止任何单位或者个人向江河、湖泊、运河、渠道、水库及其最高水位线以下的滩地和岸坡以及法律法规规定的其他地点倾倒、堆放、贮存固体废物。</w:t>
                  </w:r>
                </w:p>
                <w:p>
                  <w:pPr>
                    <w:pStyle w:val="33"/>
                    <w:spacing w:line="360" w:lineRule="exact"/>
                    <w:ind w:firstLine="210" w:firstLineChars="100"/>
                    <w:jc w:val="both"/>
                    <w:rPr>
                      <w:color w:val="000000" w:themeColor="text1"/>
                      <w:szCs w:val="21"/>
                    </w:rPr>
                  </w:pPr>
                  <w:r>
                    <w:rPr>
                      <w:rFonts w:hint="eastAsia"/>
                      <w:color w:val="000000" w:themeColor="text1"/>
                      <w:szCs w:val="21"/>
                    </w:rPr>
                    <w:t>在生态保护红线区域、永久基本农田集中区域和其他需要特别保护的区域内，禁止建设工业固体废物、危险废物集中贮存、利用、处置的设施、场所和生活垃圾填埋场。</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调查，本项目设置了水淬渣暂存库和废渣暂存库分别对拟利用的氧化锌尾渣（水淬渣）和利用后产生的废渣进行贮存，其中该水淬渣暂存库设有三面围挡和顶棚设施，可满足“防扬散、防流失、防渗漏”措施要求；而</w:t>
                  </w:r>
                  <w:r>
                    <w:rPr>
                      <w:color w:val="000000" w:themeColor="text1"/>
                      <w:szCs w:val="21"/>
                    </w:rPr>
                    <w:t>该渣库设有顶棚和三面围挡，但围挡与顶棚之间存在空隙，未完全封闭，应加高围挡进行封闭，应对其进行修善，</w:t>
                  </w:r>
                  <w:r>
                    <w:rPr>
                      <w:rFonts w:hint="eastAsia"/>
                      <w:color w:val="000000" w:themeColor="text1"/>
                      <w:szCs w:val="21"/>
                    </w:rPr>
                    <w:t>修缮后可满足“防扬散、防流失、防渗漏”措施要求。</w:t>
                  </w:r>
                </w:p>
                <w:p>
                  <w:pPr>
                    <w:pStyle w:val="33"/>
                    <w:spacing w:line="360" w:lineRule="exact"/>
                    <w:ind w:firstLine="210" w:firstLineChars="100"/>
                    <w:jc w:val="both"/>
                    <w:rPr>
                      <w:color w:val="000000" w:themeColor="text1"/>
                      <w:szCs w:val="21"/>
                    </w:rPr>
                  </w:pPr>
                  <w:r>
                    <w:rPr>
                      <w:rFonts w:hint="eastAsia"/>
                      <w:color w:val="000000" w:themeColor="text1"/>
                      <w:szCs w:val="21"/>
                    </w:rPr>
                    <w:t>本项目利用后的废渣</w:t>
                  </w:r>
                  <w:r>
                    <w:rPr>
                      <w:color w:val="000000" w:themeColor="text1"/>
                      <w:szCs w:val="21"/>
                    </w:rPr>
                    <w:t>委托四方地工业园区弃渣场处置</w:t>
                  </w:r>
                  <w:r>
                    <w:rPr>
                      <w:rFonts w:hint="eastAsia"/>
                      <w:color w:val="000000" w:themeColor="text1"/>
                      <w:szCs w:val="21"/>
                    </w:rPr>
                    <w:t>，严禁向江河、湖泊、运河、渠道、水库及其最高水位线以下的滩地和岸坡以及法律法规规定的其他地点倾倒、堆放、贮存固体废物。</w:t>
                  </w:r>
                </w:p>
                <w:p>
                  <w:pPr>
                    <w:pStyle w:val="33"/>
                    <w:spacing w:line="360" w:lineRule="exact"/>
                    <w:ind w:firstLine="210" w:firstLineChars="100"/>
                    <w:jc w:val="both"/>
                    <w:rPr>
                      <w:color w:val="000000" w:themeColor="text1"/>
                      <w:szCs w:val="21"/>
                    </w:rPr>
                  </w:pPr>
                  <w:r>
                    <w:rPr>
                      <w:rFonts w:hint="eastAsia"/>
                      <w:color w:val="000000" w:themeColor="text1"/>
                      <w:szCs w:val="21"/>
                    </w:rPr>
                    <w:t>本项目位于</w:t>
                  </w:r>
                  <w:r>
                    <w:rPr>
                      <w:color w:val="000000" w:themeColor="text1"/>
                      <w:szCs w:val="21"/>
                    </w:rPr>
                    <w:t>云南东川产业园区四方地片区昆明合旺有色金属有限公司厂区内</w:t>
                  </w:r>
                  <w:r>
                    <w:rPr>
                      <w:rFonts w:hint="eastAsia"/>
                      <w:color w:val="000000" w:themeColor="text1"/>
                      <w:szCs w:val="21"/>
                    </w:rPr>
                    <w:t>，不涉及生态保护红线区域、永久基本农田集中区域和其他需要特别保护的区域内。</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五条转移固体废物出省贮存、处置的，应当向省人民政府生态环境主管部门提出申请。省人民政府生态环境主管部门应当及时商经接受地的省（自治区、直辖市）人民政府生态环境主管部门同意后，在规定期限内批准转移。未经批准的，不得转移。</w:t>
                  </w:r>
                </w:p>
                <w:p>
                  <w:pPr>
                    <w:pStyle w:val="33"/>
                    <w:spacing w:line="360" w:lineRule="exact"/>
                    <w:ind w:firstLine="210" w:firstLineChars="100"/>
                    <w:jc w:val="both"/>
                    <w:rPr>
                      <w:color w:val="000000" w:themeColor="text1"/>
                      <w:szCs w:val="21"/>
                    </w:rPr>
                  </w:pPr>
                  <w:r>
                    <w:rPr>
                      <w:rFonts w:hint="eastAsia"/>
                      <w:color w:val="000000" w:themeColor="text1"/>
                      <w:szCs w:val="21"/>
                    </w:rPr>
                    <w:t>转移固体废物出省利用的，应当报省人民政府生态环境主管部门备案。省人民政府生态环境主管部门应当将备案信息通报接受地的省（自治区、直辖市）人民政府生态环境主管部门。</w:t>
                  </w:r>
                </w:p>
                <w:p>
                  <w:pPr>
                    <w:pStyle w:val="33"/>
                    <w:spacing w:line="360" w:lineRule="exact"/>
                    <w:ind w:firstLine="210" w:firstLineChars="100"/>
                    <w:jc w:val="both"/>
                    <w:rPr>
                      <w:color w:val="000000" w:themeColor="text1"/>
                      <w:szCs w:val="21"/>
                    </w:rPr>
                  </w:pPr>
                  <w:r>
                    <w:rPr>
                      <w:rFonts w:hint="eastAsia"/>
                      <w:color w:val="000000" w:themeColor="text1"/>
                      <w:szCs w:val="21"/>
                    </w:rPr>
                    <w:t>转移固体废物进入本省贮存、处置的，省人民政府生态环境主管部门应当在接到移出地的省（自治区、直辖市）人民政府生态环境主管部门商函后，及时研究，未经省人民政府生态环境主管部门同意的，不得转移进入本省贮存、处置。</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本项目主要对昆明合旺有色金属有限公司生产线产生的氧化锌尾渣（水淬渣）进行综合利用，利用后的废渣</w:t>
                  </w:r>
                  <w:r>
                    <w:rPr>
                      <w:color w:val="000000" w:themeColor="text1"/>
                      <w:szCs w:val="21"/>
                    </w:rPr>
                    <w:t>委托四方地工业园区弃渣场处置</w:t>
                  </w:r>
                  <w:r>
                    <w:rPr>
                      <w:rFonts w:hint="eastAsia"/>
                      <w:color w:val="000000" w:themeColor="text1"/>
                      <w:szCs w:val="21"/>
                    </w:rPr>
                    <w:t>，均在园区范围内转运，不涉及到跨省转移。</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第十六条 禁止中华人民共和国境外的固体废物进入本省倾倒、堆放、处置。</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本项目不对境外固体废物进行利用。</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第二十一条 县级以上人民政府工业和信息化主管部门应当会同有关部门研究开发、推广减少工业固体废物产生量和降低工业固体废物危害性的生产工艺和设备，推动落实国家公布的限期淘汰产生严重污染环境的工业固体废物的落后生产工艺、设备名录。</w:t>
                  </w:r>
                </w:p>
                <w:p>
                  <w:pPr>
                    <w:pStyle w:val="33"/>
                    <w:spacing w:line="360" w:lineRule="exact"/>
                    <w:ind w:firstLine="210" w:firstLineChars="100"/>
                    <w:jc w:val="both"/>
                    <w:rPr>
                      <w:color w:val="000000" w:themeColor="text1"/>
                      <w:szCs w:val="21"/>
                    </w:rPr>
                  </w:pPr>
                  <w:r>
                    <w:rPr>
                      <w:rFonts w:hint="eastAsia"/>
                      <w:color w:val="000000" w:themeColor="text1"/>
                      <w:szCs w:val="21"/>
                    </w:rPr>
                    <w:t>生产者、销售者、进口者、使用者应当在国家规定的期限内，分别停止生产、销售、进口或者使用列入前款规定名录中的设备。生产工艺的采用者应当在国家规定的期限内，停止采用列入前款规定名录中的工艺。</w:t>
                  </w:r>
                </w:p>
                <w:p>
                  <w:pPr>
                    <w:pStyle w:val="33"/>
                    <w:spacing w:line="360" w:lineRule="exact"/>
                    <w:ind w:firstLine="210" w:firstLineChars="100"/>
                    <w:jc w:val="both"/>
                    <w:rPr>
                      <w:color w:val="000000" w:themeColor="text1"/>
                      <w:szCs w:val="21"/>
                    </w:rPr>
                  </w:pPr>
                  <w:r>
                    <w:rPr>
                      <w:rFonts w:hint="eastAsia"/>
                      <w:color w:val="000000" w:themeColor="text1"/>
                      <w:szCs w:val="21"/>
                    </w:rPr>
                    <w:t>列入限期淘汰名录被淘汰的设备，不得转让给他人使用。</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项目生产设备均不含国家公布的限期淘汰产生严重污染环境的工业固体废物的落后生产工艺、设备名录。</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第二十四条 产生工业固体废物的单位应当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rPr>
                      <w:color w:val="000000" w:themeColor="text1"/>
                      <w:szCs w:val="21"/>
                    </w:rPr>
                    <w:t xml:space="preserve">5 </w:t>
                  </w:r>
                  <w:r>
                    <w:rPr>
                      <w:rFonts w:hint="eastAsia"/>
                      <w:color w:val="000000" w:themeColor="text1"/>
                      <w:szCs w:val="21"/>
                    </w:rPr>
                    <w:t>年以上。</w:t>
                  </w:r>
                </w:p>
                <w:p>
                  <w:pPr>
                    <w:pStyle w:val="33"/>
                    <w:spacing w:line="360" w:lineRule="exact"/>
                    <w:ind w:firstLine="210" w:firstLineChars="100"/>
                    <w:jc w:val="both"/>
                    <w:rPr>
                      <w:color w:val="000000" w:themeColor="text1"/>
                      <w:szCs w:val="21"/>
                    </w:rPr>
                  </w:pPr>
                  <w:r>
                    <w:rPr>
                      <w:rFonts w:hint="eastAsia"/>
                      <w:color w:val="000000" w:themeColor="text1"/>
                      <w:szCs w:val="21"/>
                    </w:rPr>
                    <w:t>鼓励产生工业固体废物的单位在固体废物产生场所、贮存场所及计量设备等关键点位设置视频监控，提高台账记录信息的准确性。</w:t>
                  </w:r>
                </w:p>
                <w:p>
                  <w:pPr>
                    <w:pStyle w:val="33"/>
                    <w:spacing w:line="360" w:lineRule="exact"/>
                    <w:ind w:firstLine="210" w:firstLineChars="100"/>
                    <w:jc w:val="both"/>
                    <w:rPr>
                      <w:color w:val="000000" w:themeColor="text1"/>
                      <w:szCs w:val="21"/>
                    </w:rPr>
                  </w:pPr>
                  <w:r>
                    <w:rPr>
                      <w:rFonts w:hint="eastAsia"/>
                      <w:color w:val="000000" w:themeColor="text1"/>
                      <w:szCs w:val="21"/>
                    </w:rPr>
                    <w:t>禁止向生活垃圾收集设施中投放工业固体废物。</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按照要求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rPr>
                      <w:color w:val="000000" w:themeColor="text1"/>
                      <w:szCs w:val="21"/>
                    </w:rPr>
                    <w:t xml:space="preserve">5 </w:t>
                  </w:r>
                  <w:r>
                    <w:rPr>
                      <w:rFonts w:hint="eastAsia"/>
                      <w:color w:val="000000" w:themeColor="text1"/>
                      <w:szCs w:val="21"/>
                    </w:rPr>
                    <w:t>年以上。</w:t>
                  </w:r>
                </w:p>
                <w:p>
                  <w:pPr>
                    <w:pStyle w:val="33"/>
                    <w:spacing w:line="360" w:lineRule="exact"/>
                    <w:ind w:firstLine="210" w:firstLineChars="100"/>
                    <w:jc w:val="both"/>
                    <w:rPr>
                      <w:color w:val="000000" w:themeColor="text1"/>
                      <w:szCs w:val="21"/>
                    </w:rPr>
                  </w:pPr>
                  <w:r>
                    <w:rPr>
                      <w:rFonts w:hint="eastAsia"/>
                      <w:color w:val="000000" w:themeColor="text1"/>
                      <w:szCs w:val="21"/>
                    </w:rPr>
                    <w:t>本项目利用后的废渣</w:t>
                  </w:r>
                  <w:r>
                    <w:rPr>
                      <w:color w:val="000000" w:themeColor="text1"/>
                      <w:szCs w:val="21"/>
                    </w:rPr>
                    <w:t>委托四方地工业园区弃渣场处置</w:t>
                  </w:r>
                  <w:r>
                    <w:rPr>
                      <w:rFonts w:hint="eastAsia"/>
                      <w:color w:val="000000" w:themeColor="text1"/>
                      <w:szCs w:val="21"/>
                    </w:rPr>
                    <w:t>，不会投放至生活垃圾收集设施。</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8</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第二十五条 产生工业固体废物的单位委托他人运输、利用、处置工业固体废物的，应当对受托方的主体资格和技术能力进行核实，依法签订书面合同，在合同中约定污染防治要求。</w:t>
                  </w:r>
                </w:p>
                <w:p>
                  <w:pPr>
                    <w:pStyle w:val="33"/>
                    <w:spacing w:line="360" w:lineRule="exact"/>
                    <w:ind w:firstLine="210" w:firstLineChars="100"/>
                    <w:jc w:val="both"/>
                    <w:rPr>
                      <w:color w:val="000000" w:themeColor="text1"/>
                      <w:szCs w:val="21"/>
                    </w:rPr>
                  </w:pPr>
                  <w:r>
                    <w:rPr>
                      <w:rFonts w:hint="eastAsia"/>
                      <w:color w:val="000000" w:themeColor="text1"/>
                      <w:szCs w:val="21"/>
                    </w:rPr>
                    <w:t>受托方运输、利用、处置工业固体废物，应当依照有关法律法规的规定和合同约定履行污染防治要求，并将运输、利用、处置情况告知产生工业固体废物的单位。</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本项目运营期将严格该要求进行受托方的主体资格和技术能力进行核实，依法签订书面合同，在合同中约定污染防治要求。</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9</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第二十六条 产生工业固体废物的单位应当依法实施清洁生产审核，合理选择和利用原材料、能源和其他资源，采用先进的生产工艺和设备，减少工业固体废物的产生量，降低工业固体废物的危害性。</w:t>
                  </w:r>
                </w:p>
                <w:p>
                  <w:pPr>
                    <w:pStyle w:val="33"/>
                    <w:spacing w:line="360" w:lineRule="exact"/>
                    <w:ind w:firstLine="210" w:firstLineChars="100"/>
                    <w:jc w:val="both"/>
                    <w:rPr>
                      <w:color w:val="000000" w:themeColor="text1"/>
                      <w:szCs w:val="21"/>
                    </w:rPr>
                  </w:pPr>
                  <w:r>
                    <w:rPr>
                      <w:rFonts w:hint="eastAsia"/>
                      <w:color w:val="000000" w:themeColor="text1"/>
                      <w:szCs w:val="21"/>
                    </w:rPr>
                    <w:t>产生工业固体废物的单位应当根据经济、技术条件对工业固体废物加以利用；对暂时不利用或者不能利用的，应当按照国家规定建设贮存设施、场所，安全分类存放，或者采取无害化处置措施。</w:t>
                  </w:r>
                </w:p>
                <w:p>
                  <w:pPr>
                    <w:pStyle w:val="33"/>
                    <w:spacing w:line="360" w:lineRule="exact"/>
                    <w:ind w:firstLine="210" w:firstLineChars="100"/>
                    <w:jc w:val="both"/>
                    <w:rPr>
                      <w:color w:val="000000" w:themeColor="text1"/>
                      <w:szCs w:val="21"/>
                    </w:rPr>
                  </w:pPr>
                  <w:r>
                    <w:rPr>
                      <w:rFonts w:hint="eastAsia"/>
                      <w:color w:val="000000" w:themeColor="text1"/>
                      <w:szCs w:val="21"/>
                    </w:rPr>
                    <w:t>贮存工业固体废物应当采取符合国家环境保护标准的防护措施。建设工业固体废物贮存、处置的设施、场所，应当符合国家环境保护标准。</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本项目运营期间将严格按照要求依法实施清洁生产审核。</w:t>
                  </w:r>
                </w:p>
                <w:p>
                  <w:pPr>
                    <w:pStyle w:val="33"/>
                    <w:spacing w:line="360" w:lineRule="exact"/>
                    <w:ind w:firstLine="210" w:firstLineChars="100"/>
                    <w:jc w:val="both"/>
                    <w:rPr>
                      <w:color w:val="000000" w:themeColor="text1"/>
                      <w:szCs w:val="21"/>
                    </w:rPr>
                  </w:pPr>
                  <w:r>
                    <w:rPr>
                      <w:rFonts w:hint="eastAsia"/>
                      <w:color w:val="000000" w:themeColor="text1"/>
                      <w:szCs w:val="21"/>
                    </w:rPr>
                    <w:t>本项目的建设即为对昆明合旺有色金属有限公司生产线产生的氧化锌尾渣（水淬渣）进行综合利用，利用后的废渣</w:t>
                  </w:r>
                  <w:r>
                    <w:rPr>
                      <w:color w:val="000000" w:themeColor="text1"/>
                      <w:szCs w:val="21"/>
                    </w:rPr>
                    <w:t>委托四方地工业园区弃渣场处置</w:t>
                  </w:r>
                  <w:r>
                    <w:rPr>
                      <w:rFonts w:hint="eastAsia"/>
                      <w:color w:val="000000" w:themeColor="text1"/>
                      <w:szCs w:val="21"/>
                    </w:rPr>
                    <w:t>。</w:t>
                  </w:r>
                </w:p>
                <w:p>
                  <w:pPr>
                    <w:pStyle w:val="33"/>
                    <w:spacing w:line="360" w:lineRule="exact"/>
                    <w:ind w:firstLine="210" w:firstLineChars="100"/>
                    <w:jc w:val="both"/>
                    <w:rPr>
                      <w:color w:val="000000" w:themeColor="text1"/>
                      <w:szCs w:val="21"/>
                    </w:rPr>
                  </w:pPr>
                  <w:r>
                    <w:rPr>
                      <w:rFonts w:hint="eastAsia"/>
                      <w:color w:val="000000" w:themeColor="text1"/>
                      <w:szCs w:val="21"/>
                    </w:rPr>
                    <w:t>根据调查，本项目设置了水淬渣暂存库和废渣暂存库分别对拟利用的氧化锌尾渣（水淬渣）和利用后产生的废渣进行贮存，其中该水淬渣暂存库设有三面围挡和顶棚设施，可满足“防扬散、防流失、防渗漏”措施要求；而</w:t>
                  </w:r>
                  <w:r>
                    <w:rPr>
                      <w:color w:val="000000" w:themeColor="text1"/>
                      <w:szCs w:val="21"/>
                    </w:rPr>
                    <w:t>该渣库设有顶棚和三面围挡，但围挡与顶棚之间存在空隙，未完全封闭，应加高围挡进行封闭，应对其进行修善，</w:t>
                  </w:r>
                  <w:r>
                    <w:rPr>
                      <w:rFonts w:hint="eastAsia"/>
                      <w:color w:val="000000" w:themeColor="text1"/>
                      <w:szCs w:val="21"/>
                    </w:rPr>
                    <w:t>修缮后可满足“防扬散、防流失、防渗漏”措施要求。</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10</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第二十七条 产生工业固体废物的单位应当依法取得排污许可证，向所在地生态环境主管部门提供工业固体废物的种类、数量、流向、贮存、利用、处置等有关资料，以及减少工业固体废物产生、促进综合利用的具体措施，并执行排污许可管理制度的相关规定。</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昆明合旺有色金属有限公司已于</w:t>
                  </w:r>
                  <w:r>
                    <w:rPr>
                      <w:color w:val="000000" w:themeColor="text1"/>
                      <w:szCs w:val="21"/>
                    </w:rPr>
                    <w:t>2021</w:t>
                  </w:r>
                  <w:r>
                    <w:rPr>
                      <w:rFonts w:hint="eastAsia"/>
                      <w:color w:val="000000" w:themeColor="text1"/>
                      <w:szCs w:val="21"/>
                    </w:rPr>
                    <w:t>年</w:t>
                  </w:r>
                  <w:r>
                    <w:rPr>
                      <w:color w:val="000000" w:themeColor="text1"/>
                      <w:szCs w:val="21"/>
                    </w:rPr>
                    <w:t>05</w:t>
                  </w:r>
                  <w:r>
                    <w:rPr>
                      <w:rFonts w:hint="eastAsia"/>
                      <w:color w:val="000000" w:themeColor="text1"/>
                      <w:szCs w:val="21"/>
                    </w:rPr>
                    <w:t>月</w:t>
                  </w:r>
                  <w:r>
                    <w:rPr>
                      <w:color w:val="000000" w:themeColor="text1"/>
                      <w:szCs w:val="21"/>
                    </w:rPr>
                    <w:t>28</w:t>
                  </w:r>
                  <w:r>
                    <w:rPr>
                      <w:rFonts w:hint="eastAsia"/>
                      <w:color w:val="000000" w:themeColor="text1"/>
                      <w:szCs w:val="21"/>
                    </w:rPr>
                    <w:t>日取得《</w:t>
                  </w:r>
                  <w:r>
                    <w:rPr>
                      <w:color w:val="000000" w:themeColor="text1"/>
                      <w:szCs w:val="21"/>
                    </w:rPr>
                    <w:t>排污许可证</w:t>
                  </w:r>
                  <w:r>
                    <w:rPr>
                      <w:rFonts w:hint="eastAsia"/>
                      <w:color w:val="000000" w:themeColor="text1"/>
                      <w:szCs w:val="21"/>
                    </w:rPr>
                    <w:t>》（</w:t>
                  </w:r>
                  <w:r>
                    <w:rPr>
                      <w:color w:val="000000" w:themeColor="text1"/>
                      <w:szCs w:val="21"/>
                    </w:rPr>
                    <w:t>证书编号：</w:t>
                  </w:r>
                  <w:r>
                    <w:rPr>
                      <w:rFonts w:hint="eastAsia"/>
                      <w:color w:val="000000" w:themeColor="text1"/>
                      <w:szCs w:val="21"/>
                    </w:rPr>
                    <w:t>91</w:t>
                  </w:r>
                  <w:r>
                    <w:rPr>
                      <w:rFonts w:hint="eastAsia"/>
                      <w:color w:val="000000" w:themeColor="text1"/>
                      <w:szCs w:val="21"/>
                      <w:lang w:eastAsia="zh-CN"/>
                    </w:rPr>
                    <w:t>******</w:t>
                  </w:r>
                  <w:r>
                    <w:rPr>
                      <w:rFonts w:hint="eastAsia"/>
                      <w:color w:val="000000" w:themeColor="text1"/>
                      <w:szCs w:val="21"/>
                    </w:rPr>
                    <w:t>6655174504001V），本次项目建成后将对排污许可证进行变更，并在运营管理过程中严格执行排污许可管理制度的相关规定。</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2" w:type="dxa"/>
                  <w:vAlign w:val="center"/>
                </w:tcPr>
                <w:p>
                  <w:pPr>
                    <w:pStyle w:val="33"/>
                    <w:spacing w:line="360" w:lineRule="exact"/>
                    <w:rPr>
                      <w:color w:val="000000" w:themeColor="text1"/>
                      <w:kern w:val="0"/>
                      <w:szCs w:val="21"/>
                    </w:rPr>
                  </w:pPr>
                  <w:r>
                    <w:rPr>
                      <w:rFonts w:hint="eastAsia"/>
                      <w:color w:val="000000" w:themeColor="text1"/>
                      <w:kern w:val="0"/>
                      <w:szCs w:val="21"/>
                    </w:rPr>
                    <w:t>11</w:t>
                  </w:r>
                </w:p>
              </w:tc>
              <w:tc>
                <w:tcPr>
                  <w:tcW w:w="419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第二十九条产生大宗工业固体废物的单位应当采取有效措施，减少大宗工业固体废物的产生量，加强大宗工业固体废物综合利用和无害化处置，制定相关计划逐步消纳大宗工业固体废物历史堆存量。</w:t>
                  </w:r>
                </w:p>
              </w:tc>
              <w:tc>
                <w:tcPr>
                  <w:tcW w:w="3382" w:type="dxa"/>
                  <w:tcBorders>
                    <w:right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本项目主要对厂区次氧化锌生产线产生的水淬渣进行资源综合利用，属于一般工业固体废物综合利用项目。</w:t>
                  </w:r>
                </w:p>
              </w:tc>
              <w:tc>
                <w:tcPr>
                  <w:tcW w:w="496" w:type="dxa"/>
                  <w:tcBorders>
                    <w:left w:val="single" w:color="auto" w:sz="4" w:space="0"/>
                  </w:tcBorders>
                  <w:vAlign w:val="center"/>
                </w:tcPr>
                <w:p>
                  <w:pPr>
                    <w:pStyle w:val="33"/>
                    <w:spacing w:line="360" w:lineRule="exact"/>
                    <w:rPr>
                      <w:color w:val="000000" w:themeColor="text1"/>
                      <w:kern w:val="0"/>
                      <w:szCs w:val="21"/>
                    </w:rPr>
                  </w:pPr>
                  <w:r>
                    <w:rPr>
                      <w:rFonts w:hint="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由上表可知，本项目的建设符合</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云南省固体废物污染环境防治条例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的相关要求。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（9）与昆明市东川区人民政府办公室关于印发《高污染燃料禁燃区划定及实施方案的通知》（东政办发【2019】106号）的符合性分析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燃料类型为生物质，根据高污染燃料的定义，除生物气化利用外其他加工成型的生物质燃料属于高污染燃料，禁燃区范围内禁止生产、使用和销售高污染燃料，东川禁燃区的范围为：东川城市建成区范围内东至学府路，南至功东高速（东川南收费站）连接线，西至金沙路，北至宝福大道（新桥河以上）、深沟（新桥河以下）。本项目位于</w:t>
            </w:r>
            <w:r>
              <w:rPr>
                <w:rFonts w:ascii="Times New Roman" w:hAnsi="Times New Roman" w:cs="Times New Roman"/>
                <w:color w:val="000000" w:themeColor="text1"/>
                <w:sz w:val="24"/>
                <w:szCs w:val="24"/>
              </w:rPr>
              <w:t>云南东川产业园区四方地片区昆明合旺有色金属有限公司厂区内</w:t>
            </w:r>
            <w:r>
              <w:rPr>
                <w:rFonts w:hint="eastAsia" w:ascii="Times New Roman" w:hAnsi="Times New Roman" w:cs="Times New Roman"/>
                <w:color w:val="000000" w:themeColor="text1"/>
                <w:sz w:val="24"/>
                <w:szCs w:val="24"/>
              </w:rPr>
              <w:t>，不在禁燃区范围内。因此项目的燃料使用符合《高污染燃料禁燃区划定及实施方案的通知》（东政办发【2019】106号）的要求。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（10）项目使用燃料与区域能源结构的相符性分析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《云南东川产业园区总体规划修编（2021-2035）环境影响报告书》</w:t>
            </w:r>
            <w:r>
              <w:rPr>
                <w:rFonts w:hint="eastAsia" w:ascii="Times New Roman" w:hAnsi="Times New Roman" w:cs="Times New Roman"/>
                <w:color w:val="000000" w:themeColor="text1"/>
                <w:sz w:val="24"/>
                <w:szCs w:val="24"/>
              </w:rPr>
              <w:t>中对园区“规划能源结构合理性分析”可知：目前，园区能源消耗结构主要由电耗、煤耗、气耗、油耗、其他等组成。规划实施过程中，持续优化能源结构。鼓励利用天然气、电力等优质能源替代燃煤使用，生物质能源替代化石能源使用，优化用能向清洁化方向转变。增加清洁低碳电力供应，加快清洁电力消纳。</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本项目热风供应系统使用生物质燃料供能，属于园区允许使用的能源，因此项目使用生物质燃料符合</w:t>
            </w:r>
            <w:r>
              <w:rPr>
                <w:rFonts w:ascii="Times New Roman" w:hAnsi="Times New Roman" w:cs="Times New Roman"/>
                <w:color w:val="000000" w:themeColor="text1"/>
                <w:sz w:val="24"/>
                <w:szCs w:val="24"/>
              </w:rPr>
              <w:t>云南东川产业园区四方地片区</w:t>
            </w:r>
            <w:r>
              <w:rPr>
                <w:rFonts w:hint="eastAsia" w:ascii="Times New Roman" w:hAnsi="Times New Roman" w:cs="Times New Roman"/>
                <w:color w:val="000000" w:themeColor="text1"/>
                <w:sz w:val="24"/>
                <w:szCs w:val="24"/>
              </w:rPr>
              <w:t>能源结构。</w:t>
            </w:r>
          </w:p>
          <w:p>
            <w:pPr>
              <w:spacing w:line="360" w:lineRule="auto"/>
              <w:ind w:firstLine="361" w:firstLineChars="150"/>
              <w:rPr>
                <w:rFonts w:ascii="Times New Roman" w:hAnsi="Times New Roman" w:cs="Times New Roman"/>
                <w:b/>
                <w:color w:val="000000" w:themeColor="text1"/>
                <w:sz w:val="24"/>
                <w:szCs w:val="24"/>
              </w:rPr>
            </w:pPr>
            <w:bookmarkStart w:id="4" w:name="_Toc146789071"/>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）选址合理性分析</w:t>
            </w:r>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w:t>
            </w:r>
            <w:r>
              <w:rPr>
                <w:rFonts w:hint="eastAsia" w:ascii="Times New Roman" w:hAnsi="Times New Roman" w:cs="Times New Roman"/>
                <w:color w:val="000000" w:themeColor="text1"/>
                <w:sz w:val="24"/>
                <w:szCs w:val="24"/>
              </w:rPr>
              <w:t>对昆明合旺有色金属有限公司生产线产生的氧化锌尾渣（水淬渣）进行综合利用，可有限降低固体废物长距离运输等产生的环境影响，项目位于合规</w:t>
            </w:r>
            <w:r>
              <w:rPr>
                <w:rFonts w:ascii="Times New Roman" w:hAnsi="Times New Roman" w:cs="Times New Roman"/>
                <w:color w:val="000000" w:themeColor="text1"/>
                <w:sz w:val="24"/>
                <w:szCs w:val="24"/>
              </w:rPr>
              <w:t>工业园区内，选址不涉及饮用水源地、自然保护区、风景名胜区、地质公园、基本农田保护区、生态保护红线等需要特殊保护的区域。</w:t>
            </w:r>
            <w:r>
              <w:rPr>
                <w:rFonts w:hint="eastAsia" w:ascii="Times New Roman" w:hAnsi="Times New Roman" w:cs="Times New Roman"/>
                <w:color w:val="000000" w:themeColor="text1"/>
                <w:sz w:val="24"/>
                <w:szCs w:val="24"/>
              </w:rPr>
              <w:t>且项目500m范围内无大气环境保护目标，</w:t>
            </w:r>
            <w:r>
              <w:rPr>
                <w:rFonts w:ascii="Times New Roman" w:hAnsi="Times New Roman" w:cs="Times New Roman"/>
                <w:color w:val="000000" w:themeColor="text1"/>
                <w:sz w:val="24"/>
                <w:szCs w:val="24"/>
              </w:rPr>
              <w:t>敏感点距离较远，各项污染物达标排放，项目建成投产对周围环境造成的影响不大，不会改变环境空气、地表水、声环境的质量现状。本项目选址合理。</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bookmarkStart w:id="5" w:name="_Toc151133519"/>
      <w:r>
        <w:rPr>
          <w:rFonts w:ascii="Times New Roman" w:hAnsi="Times New Roman" w:cs="Times New Roman"/>
          <w:b/>
          <w:color w:val="000000" w:themeColor="text1"/>
          <w:sz w:val="28"/>
          <w:szCs w:val="20"/>
        </w:rPr>
        <w:t>二、建设项目工程分析</w:t>
      </w:r>
      <w:bookmarkEnd w:id="5"/>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昆明合旺有色金属有限公司固体废物综合利用项目</w:t>
            </w:r>
            <w:r>
              <w:rPr>
                <w:rFonts w:hint="eastAsia" w:ascii="Times New Roman" w:hAnsi="Times New Roman" w:cs="Times New Roman"/>
                <w:color w:val="000000" w:themeColor="text1"/>
                <w:sz w:val="24"/>
                <w:szCs w:val="24"/>
              </w:rPr>
              <w:t>，位于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，原规划建设一条处理规模为16.5万t/a的氧化锌尾渣（水淬渣）综合利用生产线，采用球磨分级、磁选、重选及烘干工艺回收第I类一般工业固体废物类的氧化锌尾渣（水淬渣）中的铁和碳；</w:t>
            </w:r>
            <w:r>
              <w:rPr>
                <w:rFonts w:ascii="Times New Roman" w:hAnsi="Times New Roman" w:cs="Times New Roman"/>
                <w:color w:val="000000" w:themeColor="text1"/>
                <w:sz w:val="24"/>
                <w:szCs w:val="24"/>
              </w:rPr>
              <w:t>本项目于2021年编制完成《昆明合旺有色金属有限公司固体废物综合利用项目环境影响报告表》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于2021年11月24日取得昆明市生态环境局东川分局关于对《昆明合旺有色金属有限公司固体废物综合利用项目环境影响报告表的批复》（昆生环（东）复【2021】32号）。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本项目已于2022年3月按原有设计及环评的要求建设完成，且已取得《排污许可证》（证书编号：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），目前还未开展竣工验收。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本项目原设计热风供应系统采用天然气作为燃料，但在建设过程中发现项目所在区域未配套设置天然气供应管道；另外在</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过程中发现回收碳工艺不成熟，通过重选方式回收氧化锌尾渣（水淬渣）中的碳的效果低于预期；针对上述两个问题，建设单位拟对原有项目的内容进行局部调整，具体调整包括：拟调整生产工艺，取消回收碳的生产工艺，同时拟将原环评燃料由天然气变更为生物质燃料。</w:t>
            </w:r>
            <w:r>
              <w:rPr>
                <w:rFonts w:ascii="Times New Roman" w:hAnsi="Times New Roman" w:cs="Times New Roman"/>
                <w:color w:val="000000" w:themeColor="text1"/>
                <w:sz w:val="24"/>
                <w:szCs w:val="24"/>
              </w:rPr>
              <w:t>调整</w:t>
            </w:r>
            <w:r>
              <w:rPr>
                <w:rFonts w:hint="eastAsia" w:ascii="Times New Roman" w:hAnsi="Times New Roman" w:cs="Times New Roman"/>
                <w:color w:val="000000" w:themeColor="text1"/>
                <w:sz w:val="24"/>
                <w:szCs w:val="24"/>
              </w:rPr>
              <w:t>后</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排放量由原来的0.3</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变为</w:t>
            </w:r>
            <w:r>
              <w:rPr>
                <w:rFonts w:ascii="Times New Roman" w:hAnsi="Times New Roman" w:cs="Times New Roman"/>
                <w:color w:val="000000" w:themeColor="text1"/>
                <w:sz w:val="24"/>
                <w:szCs w:val="24"/>
              </w:rPr>
              <w:t>1.36t/a</w:t>
            </w:r>
            <w:r>
              <w:rPr>
                <w:rFonts w:hint="eastAsia" w:ascii="Times New Roman" w:hAnsi="Times New Roman" w:cs="Times New Roman"/>
                <w:color w:val="000000" w:themeColor="text1"/>
                <w:sz w:val="24"/>
                <w:szCs w:val="24"/>
              </w:rPr>
              <w:t>，增加4.5倍；</w:t>
            </w:r>
            <w:r>
              <w:rPr>
                <w:rFonts w:ascii="Times New Roman" w:hAnsi="Times New Roman" w:cs="Times New Roman"/>
                <w:color w:val="000000" w:themeColor="text1"/>
                <w:sz w:val="24"/>
                <w:szCs w:val="24"/>
              </w:rPr>
              <w:t>根据《污染影响类建设项目重大变动清单（试行）》</w:t>
            </w:r>
            <w:r>
              <w:rPr>
                <w:rFonts w:hint="eastAsia" w:ascii="Times New Roman" w:hAnsi="Times New Roman" w:cs="Times New Roman"/>
                <w:color w:val="000000" w:themeColor="text1"/>
                <w:sz w:val="24"/>
                <w:szCs w:val="24"/>
              </w:rPr>
              <w:t>中“生产工艺”“第6条 新增产品品种或生产工艺、主要原辅料、燃料变化，导致其他污染物排放量增加10%及以上的”</w:t>
            </w:r>
            <w:r>
              <w:rPr>
                <w:rFonts w:ascii="Times New Roman" w:hAnsi="Times New Roman" w:cs="Times New Roman"/>
                <w:color w:val="000000" w:themeColor="text1"/>
                <w:sz w:val="24"/>
                <w:szCs w:val="24"/>
              </w:rPr>
              <w:t>的判断依据，本项目属于重大变动</w:t>
            </w:r>
            <w:r>
              <w:rPr>
                <w:rFonts w:hint="eastAsia" w:ascii="Times New Roman" w:hAnsi="Times New Roman" w:cs="Times New Roman"/>
                <w:color w:val="000000" w:themeColor="text1"/>
                <w:sz w:val="24"/>
                <w:szCs w:val="24"/>
              </w:rPr>
              <w:t>。根据《中华人民共和国环境影响评价法》第二十四条的规定：“建设项目的环境影响评价文件经批准后，建设项目的性质、规模、地点、采用的生产工艺或者防治污染、防止生态破坏的措施发生重大变动的，建设单位应当重新报批建设项目的环境影响评价文件”，以及环境保护部《关于建设项目重大变动环境影响评价文件审批权限的复函》（环办函【2015】1242号）的要求，</w:t>
            </w: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应</w:t>
            </w:r>
            <w:r>
              <w:rPr>
                <w:rFonts w:ascii="Times New Roman" w:hAnsi="Times New Roman" w:cs="Times New Roman"/>
                <w:color w:val="000000" w:themeColor="text1"/>
                <w:sz w:val="24"/>
                <w:szCs w:val="24"/>
              </w:rPr>
              <w:t>重新编制环评。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根据调查，本项目已于2022年3月按原有设计及环评的要求建设完成后，仅开展了</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系统的设备调试，目前已停止调试，待环评审批后方开工建设拟调整工程。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（1）项目占地情况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本项目占地3.32亩，</w:t>
            </w:r>
            <w:r>
              <w:rPr>
                <w:rFonts w:hint="eastAsia" w:ascii="Times New Roman" w:hAnsi="Times New Roman" w:cs="Times New Roman"/>
                <w:color w:val="000000" w:themeColor="text1"/>
                <w:sz w:val="24"/>
                <w:szCs w:val="24"/>
              </w:rPr>
              <w:t>所有占地全部位于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，不新增占地。其中分为水淬渣暂存库、生产区域、废水收集循环池、废渣暂存库四个区域，其中水淬渣暂存库位于厂区空地区域；生产区域占地为原</w:t>
            </w:r>
            <w:r>
              <w:rPr>
                <w:rFonts w:ascii="Times New Roman" w:hAnsi="Times New Roman" w:cs="Times New Roman"/>
                <w:color w:val="000000" w:themeColor="text1"/>
                <w:sz w:val="24"/>
                <w:szCs w:val="24"/>
              </w:rPr>
              <w:t>次氧化锌生产线</w:t>
            </w:r>
            <w:r>
              <w:rPr>
                <w:rFonts w:hint="eastAsia" w:ascii="Times New Roman" w:hAnsi="Times New Roman" w:cs="Times New Roman"/>
                <w:color w:val="000000" w:themeColor="text1"/>
                <w:sz w:val="24"/>
                <w:szCs w:val="24"/>
              </w:rPr>
              <w:t>规划建设</w:t>
            </w:r>
            <w:r>
              <w:rPr>
                <w:rFonts w:ascii="Times New Roman" w:hAnsi="Times New Roman" w:cs="Times New Roman"/>
                <w:color w:val="000000" w:themeColor="text1"/>
                <w:sz w:val="24"/>
                <w:szCs w:val="24"/>
              </w:rPr>
              <w:t>磁选工序</w:t>
            </w:r>
            <w:r>
              <w:rPr>
                <w:rFonts w:hint="eastAsia" w:ascii="Times New Roman" w:hAnsi="Times New Roman" w:cs="Times New Roman"/>
                <w:color w:val="000000" w:themeColor="text1"/>
                <w:sz w:val="24"/>
                <w:szCs w:val="24"/>
              </w:rPr>
              <w:t>而未建设的区域；废水收集循环池区域主要依托使用原</w:t>
            </w:r>
            <w:r>
              <w:rPr>
                <w:rFonts w:ascii="Times New Roman" w:hAnsi="Times New Roman" w:cs="Times New Roman"/>
                <w:color w:val="000000" w:themeColor="text1"/>
                <w:sz w:val="24"/>
                <w:szCs w:val="24"/>
              </w:rPr>
              <w:t>次氧化锌生产线磁选工序</w:t>
            </w:r>
            <w:r>
              <w:rPr>
                <w:rFonts w:hint="eastAsia" w:ascii="Times New Roman" w:hAnsi="Times New Roman" w:cs="Times New Roman"/>
                <w:color w:val="000000" w:themeColor="text1"/>
                <w:sz w:val="24"/>
                <w:szCs w:val="24"/>
              </w:rPr>
              <w:t>配套建设的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分别在现有</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旁和生产区域旁空地新增；废渣暂存库为已建成设施。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本项目调整后，</w:t>
            </w:r>
            <w:r>
              <w:rPr>
                <w:rFonts w:hint="eastAsia" w:ascii="Times New Roman" w:hAnsi="Times New Roman" w:cs="Times New Roman"/>
                <w:color w:val="000000" w:themeColor="text1"/>
                <w:sz w:val="24"/>
                <w:szCs w:val="24"/>
              </w:rPr>
              <w:t>建设一条处理规模为16.5万t/a的氧化锌尾渣（水淬渣）综合利用生产线，采用球磨分级、磁选、重选及烘干工艺回收氧化锌尾渣（水淬渣）中的铁。</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本项目占地3.32亩，新建生产车间1950m²，包括</w:t>
            </w:r>
            <w:r>
              <w:rPr>
                <w:rFonts w:hint="eastAsia" w:ascii="Times New Roman" w:hAnsi="Times New Roman" w:cs="Times New Roman"/>
                <w:color w:val="000000" w:themeColor="text1"/>
                <w:sz w:val="24"/>
                <w:szCs w:val="24"/>
              </w:rPr>
              <w:t>水淬渣暂存库、球磨选别车间、烘干车间、包装车间</w:t>
            </w:r>
            <w:r>
              <w:rPr>
                <w:rFonts w:ascii="Times New Roman" w:hAnsi="Times New Roman" w:cs="Times New Roman"/>
                <w:color w:val="000000" w:themeColor="text1"/>
                <w:sz w:val="24"/>
                <w:szCs w:val="24"/>
              </w:rPr>
              <w:t>等；配套建设环保等附属设施。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18"/>
              <w:gridCol w:w="55"/>
              <w:gridCol w:w="663"/>
              <w:gridCol w:w="3149"/>
              <w:gridCol w:w="257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pStyle w:val="33"/>
                    <w:spacing w:line="360" w:lineRule="exact"/>
                    <w:rPr>
                      <w:color w:val="000000" w:themeColor="text1"/>
                      <w:szCs w:val="21"/>
                    </w:rPr>
                  </w:pPr>
                  <w:r>
                    <w:rPr>
                      <w:color w:val="000000" w:themeColor="text1"/>
                      <w:szCs w:val="21"/>
                    </w:rPr>
                    <w:t>类别</w:t>
                  </w:r>
                </w:p>
              </w:tc>
              <w:tc>
                <w:tcPr>
                  <w:tcW w:w="834" w:type="pct"/>
                  <w:gridSpan w:val="3"/>
                  <w:vAlign w:val="center"/>
                </w:tcPr>
                <w:p>
                  <w:pPr>
                    <w:pStyle w:val="33"/>
                    <w:spacing w:line="360" w:lineRule="exact"/>
                    <w:rPr>
                      <w:color w:val="000000" w:themeColor="text1"/>
                      <w:szCs w:val="21"/>
                    </w:rPr>
                  </w:pPr>
                  <w:r>
                    <w:rPr>
                      <w:color w:val="000000" w:themeColor="text1"/>
                      <w:szCs w:val="21"/>
                    </w:rPr>
                    <w:t>工程内容</w:t>
                  </w:r>
                </w:p>
              </w:tc>
              <w:tc>
                <w:tcPr>
                  <w:tcW w:w="1829" w:type="pct"/>
                  <w:vAlign w:val="center"/>
                </w:tcPr>
                <w:p>
                  <w:pPr>
                    <w:pStyle w:val="33"/>
                    <w:spacing w:line="360" w:lineRule="exact"/>
                    <w:rPr>
                      <w:color w:val="000000" w:themeColor="text1"/>
                      <w:szCs w:val="21"/>
                    </w:rPr>
                  </w:pPr>
                  <w:r>
                    <w:rPr>
                      <w:rFonts w:hint="eastAsia"/>
                      <w:color w:val="000000" w:themeColor="text1"/>
                      <w:szCs w:val="21"/>
                    </w:rPr>
                    <w:t>原环评设计</w:t>
                  </w:r>
                  <w:r>
                    <w:rPr>
                      <w:color w:val="000000" w:themeColor="text1"/>
                      <w:szCs w:val="21"/>
                    </w:rPr>
                    <w:t>建筑内容及规模</w:t>
                  </w:r>
                </w:p>
              </w:tc>
              <w:tc>
                <w:tcPr>
                  <w:tcW w:w="1498" w:type="pct"/>
                  <w:vAlign w:val="center"/>
                </w:tcPr>
                <w:p>
                  <w:pPr>
                    <w:pStyle w:val="33"/>
                    <w:spacing w:line="360" w:lineRule="exact"/>
                    <w:rPr>
                      <w:color w:val="000000" w:themeColor="text1"/>
                      <w:szCs w:val="21"/>
                    </w:rPr>
                  </w:pPr>
                  <w:r>
                    <w:rPr>
                      <w:rFonts w:hint="eastAsia"/>
                      <w:color w:val="000000" w:themeColor="text1"/>
                      <w:szCs w:val="21"/>
                    </w:rPr>
                    <w:t>变更后</w:t>
                  </w:r>
                  <w:r>
                    <w:rPr>
                      <w:color w:val="000000" w:themeColor="text1"/>
                      <w:szCs w:val="21"/>
                    </w:rPr>
                    <w:t>建筑内容及规模</w:t>
                  </w:r>
                </w:p>
              </w:tc>
              <w:tc>
                <w:tcPr>
                  <w:tcW w:w="445" w:type="pct"/>
                  <w:vAlign w:val="center"/>
                </w:tcPr>
                <w:p>
                  <w:pPr>
                    <w:pStyle w:val="33"/>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pStyle w:val="33"/>
                    <w:spacing w:line="360" w:lineRule="exact"/>
                    <w:rPr>
                      <w:color w:val="000000" w:themeColor="text1"/>
                    </w:rPr>
                  </w:pPr>
                  <w:r>
                    <w:rPr>
                      <w:color w:val="000000" w:themeColor="text1"/>
                    </w:rPr>
                    <w:t>主体工程</w:t>
                  </w:r>
                </w:p>
              </w:tc>
              <w:tc>
                <w:tcPr>
                  <w:tcW w:w="417" w:type="pct"/>
                  <w:vMerge w:val="restart"/>
                  <w:vAlign w:val="center"/>
                </w:tcPr>
                <w:p>
                  <w:pPr>
                    <w:pStyle w:val="33"/>
                    <w:spacing w:line="360" w:lineRule="exact"/>
                    <w:rPr>
                      <w:color w:val="000000" w:themeColor="text1"/>
                    </w:rPr>
                  </w:pPr>
                  <w:r>
                    <w:rPr>
                      <w:rFonts w:hint="eastAsia"/>
                      <w:color w:val="000000" w:themeColor="text1"/>
                    </w:rPr>
                    <w:t>球磨选别车间</w:t>
                  </w:r>
                </w:p>
              </w:tc>
              <w:tc>
                <w:tcPr>
                  <w:tcW w:w="417" w:type="pct"/>
                  <w:gridSpan w:val="2"/>
                  <w:vAlign w:val="center"/>
                </w:tcPr>
                <w:p>
                  <w:pPr>
                    <w:pStyle w:val="33"/>
                    <w:spacing w:line="360" w:lineRule="exact"/>
                    <w:rPr>
                      <w:color w:val="000000" w:themeColor="text1"/>
                    </w:rPr>
                  </w:pPr>
                  <w:r>
                    <w:rPr>
                      <w:color w:val="000000" w:themeColor="text1"/>
                    </w:rPr>
                    <w:t>球磨分级系统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，本项目拟设置1个球磨选别车间，该车间建筑面积约为800m²，该车间内分别配套设置球磨分级系统和选别系统，其中球磨分级系统区域建筑面积约为300m²，球磨分级系统</w:t>
                  </w:r>
                  <w:r>
                    <w:rPr>
                      <w:rFonts w:hint="eastAsia"/>
                      <w:color w:val="000000" w:themeColor="text1"/>
                      <w:szCs w:val="24"/>
                    </w:rPr>
                    <w:t>包括</w:t>
                  </w:r>
                  <w:r>
                    <w:rPr>
                      <w:color w:val="000000" w:themeColor="text1"/>
                      <w:szCs w:val="24"/>
                    </w:rPr>
                    <w:t>I段球磨</w:t>
                  </w:r>
                  <w:r>
                    <w:rPr>
                      <w:rFonts w:hint="eastAsia"/>
                      <w:color w:val="000000" w:themeColor="text1"/>
                      <w:szCs w:val="24"/>
                    </w:rPr>
                    <w:t>、高频细筛和</w:t>
                  </w:r>
                  <w:r>
                    <w:rPr>
                      <w:color w:val="000000" w:themeColor="text1"/>
                      <w:szCs w:val="24"/>
                    </w:rPr>
                    <w:t>II段球磨</w:t>
                  </w:r>
                  <w:r>
                    <w:rPr>
                      <w:rFonts w:hint="eastAsia"/>
                      <w:color w:val="000000" w:themeColor="text1"/>
                      <w:szCs w:val="24"/>
                    </w:rPr>
                    <w:t>。其中</w:t>
                  </w:r>
                  <w:r>
                    <w:rPr>
                      <w:color w:val="000000" w:themeColor="text1"/>
                      <w:szCs w:val="24"/>
                    </w:rPr>
                    <w:t>I段球磨配套设置了2台MQG1836型球磨机，对拟综合利用的氧化锌尾渣（水淬渣）进行球磨</w:t>
                  </w:r>
                  <w:r>
                    <w:rPr>
                      <w:rFonts w:hint="eastAsia"/>
                      <w:color w:val="000000" w:themeColor="text1"/>
                      <w:szCs w:val="24"/>
                    </w:rPr>
                    <w:t>；高频细筛设置1台1021型高频细筛对磁选后的含铁物质进行分级，将其分级为粒度＞100目和粒度≤100目的含铁物质；</w:t>
                  </w:r>
                  <w:r>
                    <w:rPr>
                      <w:color w:val="000000" w:themeColor="text1"/>
                      <w:szCs w:val="24"/>
                    </w:rPr>
                    <w:t>II段球磨设置一台MQY1245溢流型球磨机对高频细筛</w:t>
                  </w:r>
                  <w:r>
                    <w:rPr>
                      <w:rFonts w:hint="eastAsia"/>
                      <w:color w:val="000000" w:themeColor="text1"/>
                      <w:szCs w:val="24"/>
                    </w:rPr>
                    <w:t>分级的</w:t>
                  </w:r>
                  <w:r>
                    <w:rPr>
                      <w:color w:val="000000" w:themeColor="text1"/>
                      <w:szCs w:val="24"/>
                    </w:rPr>
                    <w:t>粒度＞100目</w:t>
                  </w:r>
                  <w:r>
                    <w:rPr>
                      <w:rFonts w:hint="eastAsia"/>
                      <w:color w:val="000000" w:themeColor="text1"/>
                      <w:szCs w:val="24"/>
                    </w:rPr>
                    <w:t>含铁物质</w:t>
                  </w:r>
                  <w:r>
                    <w:rPr>
                      <w:color w:val="000000" w:themeColor="text1"/>
                      <w:szCs w:val="24"/>
                    </w:rPr>
                    <w:t>进行</w:t>
                  </w:r>
                  <w:r>
                    <w:rPr>
                      <w:rFonts w:hint="eastAsia"/>
                      <w:color w:val="000000" w:themeColor="text1"/>
                      <w:szCs w:val="24"/>
                    </w:rPr>
                    <w:t>再次</w:t>
                  </w:r>
                  <w:r>
                    <w:rPr>
                      <w:color w:val="000000" w:themeColor="text1"/>
                      <w:szCs w:val="24"/>
                    </w:rPr>
                    <w:t>球磨。</w:t>
                  </w:r>
                </w:p>
              </w:tc>
              <w:tc>
                <w:tcPr>
                  <w:tcW w:w="1498" w:type="pct"/>
                  <w:vAlign w:val="center"/>
                </w:tcPr>
                <w:p>
                  <w:pPr>
                    <w:pStyle w:val="33"/>
                    <w:spacing w:line="360" w:lineRule="exact"/>
                    <w:ind w:firstLine="210" w:firstLineChars="100"/>
                    <w:jc w:val="both"/>
                    <w:rPr>
                      <w:color w:val="000000" w:themeColor="text1"/>
                    </w:rPr>
                  </w:pPr>
                  <w:r>
                    <w:rPr>
                      <w:rFonts w:hint="eastAsia"/>
                      <w:color w:val="000000" w:themeColor="text1"/>
                    </w:rPr>
                    <w:t>根据调查，本项目已建成的球磨选别车间厂房约800</w:t>
                  </w:r>
                  <w:r>
                    <w:rPr>
                      <w:color w:val="000000" w:themeColor="text1"/>
                    </w:rPr>
                    <w:t>m²</w:t>
                  </w:r>
                  <w:r>
                    <w:rPr>
                      <w:rFonts w:hint="eastAsia"/>
                      <w:color w:val="000000" w:themeColor="text1"/>
                    </w:rPr>
                    <w:t>，该车间厂房为钢结构和彩钢瓦顶棚，未全密闭。</w:t>
                  </w:r>
                </w:p>
                <w:p>
                  <w:pPr>
                    <w:pStyle w:val="33"/>
                    <w:spacing w:line="360" w:lineRule="exact"/>
                    <w:ind w:firstLine="210" w:firstLineChars="100"/>
                    <w:jc w:val="both"/>
                    <w:rPr>
                      <w:color w:val="000000" w:themeColor="text1"/>
                      <w:szCs w:val="24"/>
                    </w:rPr>
                  </w:pPr>
                  <w:r>
                    <w:rPr>
                      <w:rFonts w:hint="eastAsia"/>
                      <w:color w:val="000000" w:themeColor="text1"/>
                      <w:szCs w:val="24"/>
                    </w:rPr>
                    <w:t>本项目实际建成的</w:t>
                  </w:r>
                  <w:r>
                    <w:rPr>
                      <w:color w:val="000000" w:themeColor="text1"/>
                      <w:szCs w:val="24"/>
                    </w:rPr>
                    <w:t>球磨分级系统</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rPr>
                  </w:pPr>
                  <w:r>
                    <w:rPr>
                      <w:rFonts w:hint="eastAsia"/>
                      <w:color w:val="000000" w:themeColor="text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417" w:type="pct"/>
                  <w:vMerge w:val="continue"/>
                  <w:vAlign w:val="center"/>
                </w:tcPr>
                <w:p>
                  <w:pPr>
                    <w:pStyle w:val="33"/>
                    <w:spacing w:line="360" w:lineRule="exact"/>
                    <w:rPr>
                      <w:color w:val="000000" w:themeColor="text1"/>
                    </w:rPr>
                  </w:pPr>
                </w:p>
              </w:tc>
              <w:tc>
                <w:tcPr>
                  <w:tcW w:w="417" w:type="pct"/>
                  <w:gridSpan w:val="2"/>
                  <w:vAlign w:val="center"/>
                </w:tcPr>
                <w:p>
                  <w:pPr>
                    <w:pStyle w:val="33"/>
                    <w:spacing w:line="360" w:lineRule="exact"/>
                    <w:rPr>
                      <w:color w:val="000000" w:themeColor="text1"/>
                    </w:rPr>
                  </w:pPr>
                  <w:r>
                    <w:rPr>
                      <w:color w:val="000000" w:themeColor="text1"/>
                    </w:rPr>
                    <w:t>选别</w:t>
                  </w:r>
                  <w:r>
                    <w:rPr>
                      <w:rFonts w:hint="eastAsia"/>
                      <w:color w:val="000000" w:themeColor="text1"/>
                    </w:rPr>
                    <w:t>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w:t>
                  </w:r>
                  <w:r>
                    <w:rPr>
                      <w:rFonts w:hint="eastAsia"/>
                      <w:color w:val="000000" w:themeColor="text1"/>
                      <w:szCs w:val="24"/>
                    </w:rPr>
                    <w:t>球磨选别车间拟配套设置选别系统，选别系统区域建筑面积约为500</w:t>
                  </w:r>
                  <w:r>
                    <w:rPr>
                      <w:color w:val="000000" w:themeColor="text1"/>
                      <w:szCs w:val="24"/>
                    </w:rPr>
                    <w:t>m²</w:t>
                  </w:r>
                  <w:r>
                    <w:rPr>
                      <w:rFonts w:hint="eastAsia"/>
                      <w:color w:val="000000" w:themeColor="text1"/>
                      <w:szCs w:val="24"/>
                    </w:rPr>
                    <w:t>，选别系统包括磁选、重选（磁性物重选和非磁性物重选）和弱磁选，具体如下：</w:t>
                  </w:r>
                </w:p>
                <w:p>
                  <w:pPr>
                    <w:pStyle w:val="33"/>
                    <w:spacing w:line="360" w:lineRule="exact"/>
                    <w:ind w:firstLine="210" w:firstLineChars="100"/>
                    <w:jc w:val="both"/>
                    <w:rPr>
                      <w:color w:val="000000" w:themeColor="text1"/>
                      <w:szCs w:val="24"/>
                    </w:rPr>
                  </w:pPr>
                  <w:r>
                    <w:rPr>
                      <w:rFonts w:hint="eastAsia"/>
                      <w:color w:val="000000" w:themeColor="text1"/>
                      <w:szCs w:val="24"/>
                    </w:rPr>
                    <w:t>①磁选工序设置2台CTB1021型磁选机，对I段球磨后的物料进行磁选；</w:t>
                  </w:r>
                </w:p>
                <w:p>
                  <w:pPr>
                    <w:pStyle w:val="33"/>
                    <w:spacing w:line="360" w:lineRule="exact"/>
                    <w:ind w:firstLine="210" w:firstLineChars="100"/>
                    <w:jc w:val="both"/>
                    <w:rPr>
                      <w:color w:val="000000" w:themeColor="text1"/>
                      <w:szCs w:val="24"/>
                    </w:rPr>
                  </w:pPr>
                  <w:r>
                    <w:rPr>
                      <w:rFonts w:hint="eastAsia"/>
                      <w:color w:val="000000" w:themeColor="text1"/>
                      <w:szCs w:val="24"/>
                    </w:rPr>
                    <w:t>②磁性物重选工序设置</w:t>
                  </w:r>
                  <w:r>
                    <w:rPr>
                      <w:color w:val="000000" w:themeColor="text1"/>
                      <w:szCs w:val="24"/>
                    </w:rPr>
                    <w:t>8</w:t>
                  </w:r>
                  <w:r>
                    <w:rPr>
                      <w:rFonts w:hint="eastAsia"/>
                      <w:color w:val="000000" w:themeColor="text1"/>
                      <w:szCs w:val="24"/>
                    </w:rPr>
                    <w:t>台</w:t>
                  </w:r>
                  <w:r>
                    <w:rPr>
                      <w:color w:val="000000" w:themeColor="text1"/>
                      <w:szCs w:val="24"/>
                    </w:rPr>
                    <w:t>摇床</w:t>
                  </w:r>
                  <w:r>
                    <w:rPr>
                      <w:rFonts w:hint="eastAsia"/>
                      <w:color w:val="000000" w:themeColor="text1"/>
                      <w:szCs w:val="24"/>
                    </w:rPr>
                    <w:t>对高频细筛分级的粒度≤100目进行重选；</w:t>
                  </w:r>
                </w:p>
                <w:p>
                  <w:pPr>
                    <w:pStyle w:val="33"/>
                    <w:spacing w:line="360" w:lineRule="exact"/>
                    <w:ind w:firstLine="210" w:firstLineChars="100"/>
                    <w:jc w:val="both"/>
                    <w:rPr>
                      <w:color w:val="000000" w:themeColor="text1"/>
                      <w:szCs w:val="24"/>
                    </w:rPr>
                  </w:pPr>
                  <w:r>
                    <w:rPr>
                      <w:rFonts w:hint="eastAsia"/>
                      <w:color w:val="000000" w:themeColor="text1"/>
                      <w:szCs w:val="24"/>
                    </w:rPr>
                    <w:t>③非磁性物重选设置3套选煤螺旋流槽对磁选后的非磁性物（废渣）进行重选。</w:t>
                  </w:r>
                </w:p>
                <w:p>
                  <w:pPr>
                    <w:pStyle w:val="33"/>
                    <w:spacing w:line="360" w:lineRule="exact"/>
                    <w:ind w:firstLine="210" w:firstLineChars="100"/>
                    <w:jc w:val="both"/>
                    <w:rPr>
                      <w:color w:val="000000" w:themeColor="text1"/>
                      <w:szCs w:val="24"/>
                    </w:rPr>
                  </w:pPr>
                  <w:r>
                    <w:rPr>
                      <w:rFonts w:hint="eastAsia"/>
                      <w:color w:val="000000" w:themeColor="text1"/>
                      <w:szCs w:val="24"/>
                    </w:rPr>
                    <w:t>④弱磁选工序设置1台</w:t>
                  </w:r>
                  <w:r>
                    <w:rPr>
                      <w:color w:val="000000" w:themeColor="text1"/>
                      <w:szCs w:val="24"/>
                    </w:rPr>
                    <w:t>CTB091</w:t>
                  </w:r>
                  <w:r>
                    <w:rPr>
                      <w:rFonts w:hint="eastAsia"/>
                      <w:color w:val="000000" w:themeColor="text1"/>
                      <w:szCs w:val="24"/>
                    </w:rPr>
                    <w:t>8弱磁机对重选得到的次铁粉进行弱磁选。</w:t>
                  </w:r>
                </w:p>
              </w:tc>
              <w:tc>
                <w:tcPr>
                  <w:tcW w:w="1498" w:type="pct"/>
                  <w:vAlign w:val="center"/>
                </w:tcPr>
                <w:p>
                  <w:pPr>
                    <w:pStyle w:val="33"/>
                    <w:spacing w:line="360" w:lineRule="exact"/>
                    <w:ind w:firstLine="210" w:firstLineChars="100"/>
                    <w:jc w:val="both"/>
                    <w:rPr>
                      <w:color w:val="000000" w:themeColor="text1"/>
                      <w:szCs w:val="24"/>
                    </w:rPr>
                  </w:pPr>
                  <w:r>
                    <w:rPr>
                      <w:color w:val="000000" w:themeColor="text1"/>
                      <w:szCs w:val="24"/>
                    </w:rPr>
                    <w:t>根据设计，</w:t>
                  </w:r>
                  <w:r>
                    <w:rPr>
                      <w:rFonts w:hint="eastAsia"/>
                      <w:color w:val="000000" w:themeColor="text1"/>
                      <w:szCs w:val="24"/>
                    </w:rPr>
                    <w:t>变更后</w:t>
                  </w:r>
                  <w:r>
                    <w:rPr>
                      <w:color w:val="000000" w:themeColor="text1"/>
                      <w:szCs w:val="24"/>
                    </w:rPr>
                    <w:t>本项目</w:t>
                  </w:r>
                  <w:r>
                    <w:rPr>
                      <w:rFonts w:hint="eastAsia"/>
                      <w:color w:val="000000" w:themeColor="text1"/>
                      <w:szCs w:val="24"/>
                    </w:rPr>
                    <w:t>球磨选别车间建筑面积不变，选别系统减少了非磁性物重选工序，变更后选别工序包括磁选、重选磁性物重选）和弱磁选，其中磁选工序设置2台CTB1021型磁选机，对I段球磨后的物料进行磁选；重选工序设置</w:t>
                  </w:r>
                  <w:r>
                    <w:rPr>
                      <w:color w:val="000000" w:themeColor="text1"/>
                      <w:szCs w:val="24"/>
                    </w:rPr>
                    <w:t>8</w:t>
                  </w:r>
                  <w:r>
                    <w:rPr>
                      <w:rFonts w:hint="eastAsia"/>
                      <w:color w:val="000000" w:themeColor="text1"/>
                      <w:szCs w:val="24"/>
                    </w:rPr>
                    <w:t>台</w:t>
                  </w:r>
                  <w:r>
                    <w:rPr>
                      <w:color w:val="000000" w:themeColor="text1"/>
                      <w:szCs w:val="24"/>
                    </w:rPr>
                    <w:t>摇床</w:t>
                  </w:r>
                  <w:r>
                    <w:rPr>
                      <w:rFonts w:hint="eastAsia"/>
                      <w:color w:val="000000" w:themeColor="text1"/>
                      <w:szCs w:val="24"/>
                    </w:rPr>
                    <w:t>对高频细筛分级的粒度≤100目进行重选；弱磁选工序设置1台</w:t>
                  </w:r>
                  <w:r>
                    <w:rPr>
                      <w:color w:val="000000" w:themeColor="text1"/>
                      <w:szCs w:val="24"/>
                    </w:rPr>
                    <w:t>CTB091</w:t>
                  </w:r>
                  <w:r>
                    <w:rPr>
                      <w:rFonts w:hint="eastAsia"/>
                      <w:color w:val="000000" w:themeColor="text1"/>
                      <w:szCs w:val="24"/>
                    </w:rPr>
                    <w:t>8弱磁机对重选得到的次铁粉进行弱磁选。</w:t>
                  </w:r>
                </w:p>
                <w:p>
                  <w:pPr>
                    <w:pStyle w:val="33"/>
                    <w:spacing w:line="360" w:lineRule="exact"/>
                    <w:ind w:firstLine="210" w:firstLineChars="100"/>
                    <w:jc w:val="both"/>
                    <w:rPr>
                      <w:color w:val="000000" w:themeColor="text1"/>
                      <w:szCs w:val="24"/>
                    </w:rPr>
                  </w:pPr>
                  <w:r>
                    <w:rPr>
                      <w:rFonts w:hint="eastAsia"/>
                      <w:color w:val="000000" w:themeColor="text1"/>
                      <w:szCs w:val="24"/>
                    </w:rPr>
                    <w:t>重选后得到的还原铁粉（单质铁）进入烘干车间，经过脱水、烘干和包装后得到还原铁粉产品；弱磁选后得到的次铁粉经1台FNX-10斜管浓密箱对其进行浓密，2台50</w:t>
                  </w:r>
                  <w:r>
                    <w:rPr>
                      <w:color w:val="000000" w:themeColor="text1"/>
                      <w:szCs w:val="24"/>
                    </w:rPr>
                    <w:t>m²</w:t>
                  </w:r>
                  <w:r>
                    <w:rPr>
                      <w:rFonts w:hint="eastAsia"/>
                      <w:color w:val="000000" w:themeColor="text1"/>
                      <w:szCs w:val="24"/>
                    </w:rPr>
                    <w:t>的板框压滤机压滤后得到次铁粉产品。</w:t>
                  </w:r>
                </w:p>
              </w:tc>
              <w:tc>
                <w:tcPr>
                  <w:tcW w:w="445" w:type="pct"/>
                  <w:vAlign w:val="center"/>
                </w:tcPr>
                <w:p>
                  <w:pPr>
                    <w:pStyle w:val="33"/>
                    <w:spacing w:line="360" w:lineRule="exact"/>
                    <w:jc w:val="both"/>
                    <w:rPr>
                      <w:color w:val="000000" w:themeColor="text1"/>
                    </w:rPr>
                  </w:pPr>
                  <w:r>
                    <w:rPr>
                      <w:color w:val="000000" w:themeColor="text1"/>
                    </w:rPr>
                    <w:t>新建</w:t>
                  </w:r>
                  <w:r>
                    <w:rPr>
                      <w:rFonts w:hint="eastAsia"/>
                      <w:color w:val="000000" w:themeColor="text1"/>
                    </w:rPr>
                    <w:t>（已按原环评及批复建成，待环评审批后进行拆除</w:t>
                  </w:r>
                </w:p>
                <w:p>
                  <w:pPr>
                    <w:pStyle w:val="33"/>
                    <w:spacing w:line="360" w:lineRule="exact"/>
                    <w:jc w:val="both"/>
                    <w:rPr>
                      <w:color w:val="000000" w:themeColor="text1"/>
                    </w:rPr>
                  </w:pPr>
                  <w:r>
                    <w:rPr>
                      <w:rFonts w:hint="eastAsia"/>
                      <w:color w:val="000000" w:themeColor="text1"/>
                    </w:rPr>
                    <w:t>回收碳的相关设备</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417" w:type="pct"/>
                  <w:vMerge w:val="restart"/>
                  <w:vAlign w:val="center"/>
                </w:tcPr>
                <w:p>
                  <w:pPr>
                    <w:pStyle w:val="33"/>
                    <w:spacing w:line="360" w:lineRule="exact"/>
                    <w:rPr>
                      <w:color w:val="000000" w:themeColor="text1"/>
                    </w:rPr>
                  </w:pPr>
                  <w:r>
                    <w:rPr>
                      <w:rFonts w:hint="eastAsia"/>
                      <w:color w:val="000000" w:themeColor="text1"/>
                    </w:rPr>
                    <w:t>烘干车间</w:t>
                  </w:r>
                </w:p>
              </w:tc>
              <w:tc>
                <w:tcPr>
                  <w:tcW w:w="417" w:type="pct"/>
                  <w:gridSpan w:val="2"/>
                  <w:vAlign w:val="center"/>
                </w:tcPr>
                <w:p>
                  <w:pPr>
                    <w:pStyle w:val="33"/>
                    <w:spacing w:line="360" w:lineRule="exact"/>
                    <w:rPr>
                      <w:color w:val="000000" w:themeColor="text1"/>
                    </w:rPr>
                  </w:pPr>
                  <w:r>
                    <w:rPr>
                      <w:color w:val="000000" w:themeColor="text1"/>
                    </w:rPr>
                    <w:t>烘干</w:t>
                  </w:r>
                  <w:r>
                    <w:rPr>
                      <w:rFonts w:hint="eastAsia"/>
                      <w:color w:val="000000" w:themeColor="text1"/>
                    </w:rPr>
                    <w:t>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，本项目拟</w:t>
                  </w:r>
                  <w:r>
                    <w:rPr>
                      <w:rFonts w:hint="eastAsia"/>
                      <w:color w:val="000000" w:themeColor="text1"/>
                      <w:szCs w:val="24"/>
                    </w:rPr>
                    <w:t>设置1个烘干车间，该车间建筑面积约为400</w:t>
                  </w:r>
                  <w:r>
                    <w:rPr>
                      <w:color w:val="000000" w:themeColor="text1"/>
                      <w:szCs w:val="24"/>
                    </w:rPr>
                    <w:t>m²</w:t>
                  </w:r>
                  <w:r>
                    <w:rPr>
                      <w:rFonts w:hint="eastAsia"/>
                      <w:color w:val="000000" w:themeColor="text1"/>
                      <w:szCs w:val="24"/>
                    </w:rPr>
                    <w:t>，该车间内分别由烘干系统和热风供应系统组成，其中</w:t>
                  </w:r>
                  <w:r>
                    <w:rPr>
                      <w:color w:val="000000" w:themeColor="text1"/>
                      <w:szCs w:val="24"/>
                    </w:rPr>
                    <w:t>烘干</w:t>
                  </w:r>
                  <w:r>
                    <w:rPr>
                      <w:rFonts w:hint="eastAsia"/>
                      <w:color w:val="000000" w:themeColor="text1"/>
                      <w:szCs w:val="24"/>
                    </w:rPr>
                    <w:t>系统区域建筑面积约为260</w:t>
                  </w:r>
                  <w:r>
                    <w:rPr>
                      <w:color w:val="000000" w:themeColor="text1"/>
                      <w:szCs w:val="24"/>
                    </w:rPr>
                    <w:t>m²</w:t>
                  </w:r>
                  <w:r>
                    <w:rPr>
                      <w:rFonts w:hint="eastAsia"/>
                      <w:color w:val="000000" w:themeColor="text1"/>
                      <w:szCs w:val="24"/>
                    </w:rPr>
                    <w:t>，</w:t>
                  </w:r>
                  <w:r>
                    <w:rPr>
                      <w:color w:val="000000" w:themeColor="text1"/>
                      <w:szCs w:val="24"/>
                    </w:rPr>
                    <w:t>烘干</w:t>
                  </w:r>
                  <w:r>
                    <w:rPr>
                      <w:rFonts w:hint="eastAsia"/>
                      <w:color w:val="000000" w:themeColor="text1"/>
                      <w:szCs w:val="24"/>
                    </w:rPr>
                    <w:t>系统配套设置1</w:t>
                  </w:r>
                  <w:r>
                    <w:rPr>
                      <w:color w:val="000000" w:themeColor="text1"/>
                      <w:szCs w:val="24"/>
                    </w:rPr>
                    <w:t>台GW-3</w:t>
                  </w:r>
                  <w:r>
                    <w:rPr>
                      <w:rFonts w:hint="eastAsia"/>
                      <w:color w:val="000000" w:themeColor="text1"/>
                      <w:szCs w:val="24"/>
                    </w:rPr>
                    <w:t>型过滤机、1</w:t>
                  </w:r>
                  <w:r>
                    <w:rPr>
                      <w:color w:val="000000" w:themeColor="text1"/>
                      <w:szCs w:val="24"/>
                    </w:rPr>
                    <w:t>台</w:t>
                  </w:r>
                  <w:r>
                    <w:rPr>
                      <w:rFonts w:hint="eastAsia"/>
                      <w:color w:val="000000" w:themeColor="text1"/>
                      <w:szCs w:val="24"/>
                    </w:rPr>
                    <w:t>螺旋进料机和1套</w:t>
                  </w:r>
                  <w:r>
                    <w:rPr>
                      <w:color w:val="000000" w:themeColor="text1"/>
                      <w:szCs w:val="24"/>
                    </w:rPr>
                    <w:t>Φ1200*21000</w:t>
                  </w:r>
                  <w:r>
                    <w:rPr>
                      <w:rFonts w:hint="eastAsia"/>
                      <w:color w:val="000000" w:themeColor="text1"/>
                      <w:szCs w:val="24"/>
                    </w:rPr>
                    <w:t>的烘干机对选别后的单质铁进行烘干。</w:t>
                  </w:r>
                </w:p>
              </w:tc>
              <w:tc>
                <w:tcPr>
                  <w:tcW w:w="1498" w:type="pct"/>
                  <w:vAlign w:val="center"/>
                </w:tcPr>
                <w:p>
                  <w:pPr>
                    <w:pStyle w:val="33"/>
                    <w:spacing w:line="360" w:lineRule="exact"/>
                    <w:ind w:firstLine="210" w:firstLineChars="100"/>
                    <w:jc w:val="both"/>
                    <w:rPr>
                      <w:color w:val="000000" w:themeColor="text1"/>
                    </w:rPr>
                  </w:pPr>
                  <w:r>
                    <w:rPr>
                      <w:rFonts w:hint="eastAsia"/>
                      <w:color w:val="000000" w:themeColor="text1"/>
                    </w:rPr>
                    <w:t>根据调查，本项目已建成的烘干车间厂房约400</w:t>
                  </w:r>
                  <w:r>
                    <w:rPr>
                      <w:color w:val="000000" w:themeColor="text1"/>
                    </w:rPr>
                    <w:t>m²</w:t>
                  </w:r>
                  <w:r>
                    <w:rPr>
                      <w:rFonts w:hint="eastAsia"/>
                      <w:color w:val="000000" w:themeColor="text1"/>
                    </w:rPr>
                    <w:t>，该车间厂房为钢结构和彩钢瓦顶棚，未全密闭。</w:t>
                  </w:r>
                </w:p>
                <w:p>
                  <w:pPr>
                    <w:pStyle w:val="33"/>
                    <w:spacing w:line="360" w:lineRule="exact"/>
                    <w:ind w:firstLine="210" w:firstLineChars="100"/>
                    <w:jc w:val="both"/>
                    <w:rPr>
                      <w:color w:val="000000" w:themeColor="text1"/>
                      <w:szCs w:val="24"/>
                    </w:rPr>
                  </w:pPr>
                  <w:r>
                    <w:rPr>
                      <w:rFonts w:hint="eastAsia"/>
                      <w:color w:val="000000" w:themeColor="text1"/>
                      <w:szCs w:val="24"/>
                    </w:rPr>
                    <w:t>本项目实际建成的</w:t>
                  </w:r>
                  <w:r>
                    <w:rPr>
                      <w:color w:val="000000" w:themeColor="text1"/>
                      <w:szCs w:val="24"/>
                    </w:rPr>
                    <w:t>烘干</w:t>
                  </w:r>
                  <w:r>
                    <w:rPr>
                      <w:rFonts w:hint="eastAsia"/>
                      <w:color w:val="000000" w:themeColor="text1"/>
                      <w:szCs w:val="24"/>
                    </w:rPr>
                    <w:t>系统和原环评设计未发生变化。</w:t>
                  </w:r>
                </w:p>
              </w:tc>
              <w:tc>
                <w:tcPr>
                  <w:tcW w:w="445" w:type="pct"/>
                  <w:vAlign w:val="center"/>
                </w:tcPr>
                <w:p>
                  <w:pPr>
                    <w:pStyle w:val="33"/>
                    <w:spacing w:line="360" w:lineRule="exact"/>
                    <w:rPr>
                      <w:color w:val="000000" w:themeColor="text1"/>
                    </w:rPr>
                  </w:pPr>
                  <w:r>
                    <w:rPr>
                      <w:rFonts w:hint="eastAsia"/>
                      <w:color w:val="000000" w:themeColor="text1"/>
                    </w:rPr>
                    <w:t>已</w:t>
                  </w:r>
                  <w:r>
                    <w:rPr>
                      <w:color w:val="000000" w:themeColor="text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417" w:type="pct"/>
                  <w:vMerge w:val="continue"/>
                  <w:vAlign w:val="center"/>
                </w:tcPr>
                <w:p>
                  <w:pPr>
                    <w:pStyle w:val="33"/>
                    <w:spacing w:line="360" w:lineRule="exact"/>
                    <w:rPr>
                      <w:color w:val="000000" w:themeColor="text1"/>
                    </w:rPr>
                  </w:pPr>
                </w:p>
              </w:tc>
              <w:tc>
                <w:tcPr>
                  <w:tcW w:w="417" w:type="pct"/>
                  <w:gridSpan w:val="2"/>
                  <w:vAlign w:val="center"/>
                </w:tcPr>
                <w:p>
                  <w:pPr>
                    <w:pStyle w:val="33"/>
                    <w:spacing w:line="360" w:lineRule="exact"/>
                    <w:rPr>
                      <w:color w:val="000000" w:themeColor="text1"/>
                    </w:rPr>
                  </w:pPr>
                  <w:r>
                    <w:rPr>
                      <w:rFonts w:hint="eastAsia"/>
                      <w:color w:val="000000" w:themeColor="text1"/>
                    </w:rPr>
                    <w:t>热风供应系统</w:t>
                  </w:r>
                </w:p>
              </w:tc>
              <w:tc>
                <w:tcPr>
                  <w:tcW w:w="1829" w:type="pct"/>
                  <w:vAlign w:val="center"/>
                </w:tcPr>
                <w:p>
                  <w:pPr>
                    <w:pStyle w:val="33"/>
                    <w:spacing w:line="360" w:lineRule="exact"/>
                    <w:ind w:firstLine="210" w:firstLineChars="100"/>
                    <w:jc w:val="both"/>
                    <w:rPr>
                      <w:color w:val="000000" w:themeColor="text1"/>
                      <w:szCs w:val="24"/>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烘干车间内配套设置的热风供应系统区域建筑面积约为140</w:t>
                  </w:r>
                  <w:r>
                    <w:rPr>
                      <w:color w:val="000000" w:themeColor="text1"/>
                      <w:szCs w:val="24"/>
                    </w:rPr>
                    <w:t>m²</w:t>
                  </w:r>
                  <w:r>
                    <w:rPr>
                      <w:rFonts w:hint="eastAsia"/>
                      <w:color w:val="000000" w:themeColor="text1"/>
                      <w:szCs w:val="24"/>
                    </w:rPr>
                    <w:t>，热风供应系统配套设置1套天然气燃烧机、1</w:t>
                  </w:r>
                  <w:r>
                    <w:rPr>
                      <w:color w:val="000000" w:themeColor="text1"/>
                      <w:szCs w:val="24"/>
                    </w:rPr>
                    <w:t>台</w:t>
                  </w:r>
                  <w:r>
                    <w:rPr>
                      <w:rFonts w:hint="eastAsia"/>
                      <w:color w:val="000000" w:themeColor="text1"/>
                      <w:szCs w:val="24"/>
                    </w:rPr>
                    <w:t>Y5-47-4C风机、1</w:t>
                  </w:r>
                  <w:r>
                    <w:rPr>
                      <w:color w:val="000000" w:themeColor="text1"/>
                      <w:szCs w:val="24"/>
                    </w:rPr>
                    <w:t>台</w:t>
                  </w:r>
                  <w:r>
                    <w:rPr>
                      <w:rFonts w:hint="eastAsia"/>
                      <w:color w:val="000000" w:themeColor="text1"/>
                      <w:szCs w:val="24"/>
                    </w:rPr>
                    <w:t>Y5-47-6C风机和1</w:t>
                  </w:r>
                  <w:r>
                    <w:rPr>
                      <w:color w:val="000000" w:themeColor="text1"/>
                      <w:szCs w:val="24"/>
                    </w:rPr>
                    <w:t>台</w:t>
                  </w:r>
                  <w:r>
                    <w:rPr>
                      <w:rFonts w:hint="eastAsia"/>
                      <w:color w:val="000000" w:themeColor="text1"/>
                      <w:szCs w:val="24"/>
                    </w:rPr>
                    <w:t>4-7Z-4.5A风机为烘干系统提供热风。</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根据调查，变更后</w:t>
                  </w:r>
                  <w:r>
                    <w:rPr>
                      <w:color w:val="000000" w:themeColor="text1"/>
                      <w:szCs w:val="24"/>
                    </w:rPr>
                    <w:t>本项目</w:t>
                  </w:r>
                  <w:r>
                    <w:rPr>
                      <w:rFonts w:hint="eastAsia"/>
                      <w:color w:val="000000" w:themeColor="text1"/>
                      <w:szCs w:val="24"/>
                    </w:rPr>
                    <w:t>热风供应系统区域建筑面积不变，热风供应系统变更为配套设置1套RFL型热风炉、1</w:t>
                  </w:r>
                  <w:r>
                    <w:rPr>
                      <w:color w:val="000000" w:themeColor="text1"/>
                      <w:szCs w:val="24"/>
                    </w:rPr>
                    <w:t>台</w:t>
                  </w:r>
                  <w:r>
                    <w:rPr>
                      <w:rFonts w:hint="eastAsia"/>
                      <w:color w:val="000000" w:themeColor="text1"/>
                      <w:szCs w:val="24"/>
                    </w:rPr>
                    <w:t>Y5-47-4C风机、1</w:t>
                  </w:r>
                  <w:r>
                    <w:rPr>
                      <w:color w:val="000000" w:themeColor="text1"/>
                      <w:szCs w:val="24"/>
                    </w:rPr>
                    <w:t>台</w:t>
                  </w:r>
                  <w:r>
                    <w:rPr>
                      <w:rFonts w:hint="eastAsia"/>
                      <w:color w:val="000000" w:themeColor="text1"/>
                      <w:szCs w:val="24"/>
                    </w:rPr>
                    <w:t>Y5-47-6C风机和1</w:t>
                  </w:r>
                  <w:r>
                    <w:rPr>
                      <w:color w:val="000000" w:themeColor="text1"/>
                      <w:szCs w:val="24"/>
                    </w:rPr>
                    <w:t>台</w:t>
                  </w:r>
                  <w:r>
                    <w:rPr>
                      <w:rFonts w:hint="eastAsia"/>
                      <w:color w:val="000000" w:themeColor="text1"/>
                      <w:szCs w:val="24"/>
                    </w:rPr>
                    <w:t>4-7Z-4.5A风机为烘干系统提供热风。</w:t>
                  </w:r>
                </w:p>
              </w:tc>
              <w:tc>
                <w:tcPr>
                  <w:tcW w:w="445" w:type="pct"/>
                  <w:vAlign w:val="center"/>
                </w:tcPr>
                <w:p>
                  <w:pPr>
                    <w:pStyle w:val="33"/>
                    <w:spacing w:line="360" w:lineRule="exact"/>
                    <w:rPr>
                      <w:color w:val="000000" w:themeColor="text1"/>
                      <w:szCs w:val="21"/>
                    </w:rPr>
                  </w:pPr>
                  <w:r>
                    <w:rPr>
                      <w:color w:val="000000" w:themeColor="text1"/>
                    </w:rPr>
                    <w:t>新建（</w:t>
                  </w:r>
                  <w:r>
                    <w:rPr>
                      <w:rFonts w:hint="eastAsia"/>
                      <w:color w:val="000000" w:themeColor="text1"/>
                    </w:rPr>
                    <w:t>将天然气热风炉换为生物质热风炉</w:t>
                  </w:r>
                  <w:r>
                    <w:rPr>
                      <w:color w:val="000000" w:themeColor="text1"/>
                    </w:rPr>
                    <w:t>）</w:t>
                  </w:r>
                  <w:r>
                    <w:rPr>
                      <w:rFonts w:hint="eastAsia"/>
                      <w:color w:val="000000" w:themeColor="text1"/>
                    </w:rPr>
                    <w:t>，并更换其配套设施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rPr>
                  </w:pPr>
                </w:p>
              </w:tc>
              <w:tc>
                <w:tcPr>
                  <w:tcW w:w="834" w:type="pct"/>
                  <w:gridSpan w:val="3"/>
                  <w:vAlign w:val="center"/>
                </w:tcPr>
                <w:p>
                  <w:pPr>
                    <w:pStyle w:val="33"/>
                    <w:spacing w:line="360" w:lineRule="exact"/>
                    <w:rPr>
                      <w:color w:val="000000" w:themeColor="text1"/>
                    </w:rPr>
                  </w:pPr>
                  <w:r>
                    <w:rPr>
                      <w:rFonts w:hint="eastAsia"/>
                      <w:color w:val="000000" w:themeColor="text1"/>
                    </w:rPr>
                    <w:t>包装车间</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，本项目拟</w:t>
                  </w:r>
                  <w:r>
                    <w:rPr>
                      <w:rFonts w:hint="eastAsia"/>
                      <w:color w:val="000000" w:themeColor="text1"/>
                      <w:szCs w:val="24"/>
                    </w:rPr>
                    <w:t>设置1个</w:t>
                  </w:r>
                  <w:r>
                    <w:rPr>
                      <w:rFonts w:hint="eastAsia"/>
                      <w:color w:val="000000" w:themeColor="text1"/>
                    </w:rPr>
                    <w:t>包装车间，包装车间内配套设置2台</w:t>
                  </w:r>
                  <w:r>
                    <w:rPr>
                      <w:color w:val="000000" w:themeColor="text1"/>
                    </w:rPr>
                    <w:t>Φ200*</w:t>
                  </w:r>
                  <w:r>
                    <w:rPr>
                      <w:rFonts w:hint="eastAsia"/>
                      <w:color w:val="000000" w:themeColor="text1"/>
                    </w:rPr>
                    <w:t>2</w:t>
                  </w:r>
                  <w:r>
                    <w:rPr>
                      <w:color w:val="000000" w:themeColor="text1"/>
                    </w:rPr>
                    <w:t>00</w:t>
                  </w:r>
                  <w:r>
                    <w:rPr>
                      <w:rFonts w:hint="eastAsia"/>
                      <w:color w:val="000000" w:themeColor="text1"/>
                    </w:rPr>
                    <w:t>型成品料斗将烘干后的还原铁粉包装入库。</w:t>
                  </w:r>
                </w:p>
              </w:tc>
              <w:tc>
                <w:tcPr>
                  <w:tcW w:w="1498" w:type="pct"/>
                  <w:vAlign w:val="center"/>
                </w:tcPr>
                <w:p>
                  <w:pPr>
                    <w:pStyle w:val="33"/>
                    <w:spacing w:line="360" w:lineRule="exact"/>
                    <w:ind w:firstLine="210" w:firstLineChars="100"/>
                    <w:jc w:val="both"/>
                    <w:rPr>
                      <w:color w:val="000000" w:themeColor="text1"/>
                    </w:rPr>
                  </w:pPr>
                  <w:r>
                    <w:rPr>
                      <w:color w:val="000000" w:themeColor="text1"/>
                    </w:rPr>
                    <w:t>根据调查， 本项目已建成的包装车间厂房面积约100m²，该车间厂房为钢结构和彩钢瓦顶棚，未全密闭。</w:t>
                  </w:r>
                </w:p>
                <w:p>
                  <w:pPr>
                    <w:pStyle w:val="33"/>
                    <w:spacing w:line="360" w:lineRule="exact"/>
                    <w:ind w:firstLine="210" w:firstLineChars="100"/>
                    <w:jc w:val="both"/>
                    <w:rPr>
                      <w:color w:val="000000" w:themeColor="text1"/>
                      <w:szCs w:val="24"/>
                    </w:rPr>
                  </w:pPr>
                  <w:r>
                    <w:rPr>
                      <w:rFonts w:hint="eastAsia"/>
                      <w:color w:val="000000" w:themeColor="text1"/>
                      <w:szCs w:val="24"/>
                    </w:rPr>
                    <w:t>本项目实际建成的包装车间和原环评设计未发生变化。</w:t>
                  </w:r>
                </w:p>
              </w:tc>
              <w:tc>
                <w:tcPr>
                  <w:tcW w:w="445" w:type="pct"/>
                  <w:vAlign w:val="center"/>
                </w:tcPr>
                <w:p>
                  <w:pPr>
                    <w:pStyle w:val="33"/>
                    <w:spacing w:line="360" w:lineRule="exact"/>
                    <w:rPr>
                      <w:color w:val="000000" w:themeColor="text1"/>
                      <w:szCs w:val="21"/>
                    </w:rPr>
                  </w:pPr>
                  <w:r>
                    <w:rPr>
                      <w:color w:val="000000" w:themeColor="text1"/>
                    </w:rPr>
                    <w:t>新建（</w:t>
                  </w:r>
                  <w:r>
                    <w:rPr>
                      <w:rFonts w:hint="eastAsia"/>
                      <w:color w:val="000000" w:themeColor="text1"/>
                    </w:rPr>
                    <w:t>已</w:t>
                  </w:r>
                  <w:r>
                    <w:rPr>
                      <w:color w:val="000000" w:themeColor="text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shd w:val="clear" w:color="auto" w:fill="auto"/>
                  <w:vAlign w:val="center"/>
                </w:tcPr>
                <w:p>
                  <w:pPr>
                    <w:pStyle w:val="33"/>
                    <w:spacing w:line="360" w:lineRule="exact"/>
                    <w:rPr>
                      <w:color w:val="000000" w:themeColor="text1"/>
                    </w:rPr>
                  </w:pPr>
                  <w:r>
                    <w:rPr>
                      <w:color w:val="000000" w:themeColor="text1"/>
                    </w:rPr>
                    <w:t>储运工程</w:t>
                  </w:r>
                </w:p>
              </w:tc>
              <w:tc>
                <w:tcPr>
                  <w:tcW w:w="834" w:type="pct"/>
                  <w:gridSpan w:val="3"/>
                  <w:vAlign w:val="center"/>
                </w:tcPr>
                <w:p>
                  <w:pPr>
                    <w:pStyle w:val="33"/>
                    <w:spacing w:line="360" w:lineRule="exact"/>
                    <w:rPr>
                      <w:color w:val="000000" w:themeColor="text1"/>
                    </w:rPr>
                  </w:pPr>
                  <w:r>
                    <w:rPr>
                      <w:rFonts w:hint="eastAsia"/>
                      <w:color w:val="000000" w:themeColor="text1"/>
                    </w:rPr>
                    <w:t>水淬渣暂存库</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项目已设置1个建筑面积约为315m²的水淬渣暂存库对拟综合利用的氧化锌尾渣（水淬渣）进行暂存。根据调查，该水淬渣暂存库设有三面围挡和顶棚设施。</w:t>
                  </w:r>
                </w:p>
              </w:tc>
              <w:tc>
                <w:tcPr>
                  <w:tcW w:w="1498" w:type="pct"/>
                  <w:shd w:val="clear" w:color="auto" w:fill="auto"/>
                  <w:vAlign w:val="center"/>
                </w:tcPr>
                <w:p>
                  <w:pPr>
                    <w:pStyle w:val="33"/>
                    <w:spacing w:line="360" w:lineRule="exact"/>
                    <w:ind w:firstLine="210" w:firstLineChars="100"/>
                    <w:jc w:val="both"/>
                    <w:rPr>
                      <w:color w:val="000000" w:themeColor="text1"/>
                    </w:rPr>
                  </w:pPr>
                  <w:r>
                    <w:rPr>
                      <w:color w:val="000000" w:themeColor="text1"/>
                    </w:rPr>
                    <w:t>根据调查，本项目已建成的水淬渣暂存库面积约315m²、高约8m，有效库容约为1890m³。</w:t>
                  </w:r>
                </w:p>
                <w:p>
                  <w:pPr>
                    <w:pStyle w:val="33"/>
                    <w:spacing w:line="360" w:lineRule="exact"/>
                    <w:ind w:firstLine="210" w:firstLineChars="100"/>
                    <w:jc w:val="both"/>
                    <w:rPr>
                      <w:color w:val="000000" w:themeColor="text1"/>
                    </w:rPr>
                  </w:pPr>
                  <w:r>
                    <w:rPr>
                      <w:rFonts w:hint="eastAsia"/>
                      <w:color w:val="000000" w:themeColor="text1"/>
                      <w:szCs w:val="24"/>
                    </w:rPr>
                    <w:t>本项目实际建成的水淬渣暂存库和原环评设计未发生变化。</w:t>
                  </w:r>
                </w:p>
              </w:tc>
              <w:tc>
                <w:tcPr>
                  <w:tcW w:w="445" w:type="pct"/>
                  <w:vAlign w:val="center"/>
                </w:tcPr>
                <w:p>
                  <w:pPr>
                    <w:pStyle w:val="33"/>
                    <w:spacing w:line="360" w:lineRule="exact"/>
                    <w:rPr>
                      <w:color w:val="000000" w:themeColor="text1"/>
                    </w:rPr>
                  </w:pPr>
                  <w:r>
                    <w:rPr>
                      <w:color w:val="000000" w:themeColor="text1"/>
                    </w:rPr>
                    <w:t>新建</w:t>
                  </w:r>
                  <w:r>
                    <w:rPr>
                      <w:rFonts w:hint="eastAsia"/>
                      <w:color w:val="000000" w:themeColor="text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shd w:val="clear" w:color="auto" w:fill="auto"/>
                  <w:vAlign w:val="center"/>
                </w:tcPr>
                <w:p>
                  <w:pPr>
                    <w:pStyle w:val="33"/>
                    <w:spacing w:line="360" w:lineRule="exact"/>
                    <w:rPr>
                      <w:color w:val="000000" w:themeColor="text1"/>
                    </w:rPr>
                  </w:pPr>
                  <w:r>
                    <w:rPr>
                      <w:rFonts w:hint="eastAsia"/>
                      <w:color w:val="000000" w:themeColor="text1"/>
                    </w:rPr>
                    <w:t>依托工程</w:t>
                  </w:r>
                </w:p>
              </w:tc>
              <w:tc>
                <w:tcPr>
                  <w:tcW w:w="834" w:type="pct"/>
                  <w:gridSpan w:val="3"/>
                  <w:vAlign w:val="center"/>
                </w:tcPr>
                <w:p>
                  <w:pPr>
                    <w:pStyle w:val="33"/>
                    <w:spacing w:line="360" w:lineRule="exact"/>
                    <w:rPr>
                      <w:color w:val="000000" w:themeColor="text1"/>
                    </w:rPr>
                  </w:pPr>
                  <w:r>
                    <w:rPr>
                      <w:color w:val="000000" w:themeColor="text1"/>
                    </w:rPr>
                    <w:t>成品车间</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由于厂区内原已在进场大门处配套设置了</w:t>
                  </w:r>
                  <w:r>
                    <w:rPr>
                      <w:color w:val="000000" w:themeColor="text1"/>
                    </w:rPr>
                    <w:t>成品</w:t>
                  </w:r>
                  <w:r>
                    <w:rPr>
                      <w:rFonts w:hint="eastAsia"/>
                      <w:color w:val="000000" w:themeColor="text1"/>
                    </w:rPr>
                    <w:t>车间，产品车间实际建筑面积为</w:t>
                  </w:r>
                  <w:r>
                    <w:rPr>
                      <w:color w:val="000000" w:themeColor="text1"/>
                      <w:kern w:val="0"/>
                      <w:szCs w:val="21"/>
                    </w:rPr>
                    <w:t>769m²</w:t>
                  </w:r>
                  <w:r>
                    <w:rPr>
                      <w:rFonts w:hint="eastAsia"/>
                      <w:color w:val="000000" w:themeColor="text1"/>
                      <w:kern w:val="0"/>
                      <w:szCs w:val="21"/>
                    </w:rPr>
                    <w:t>，</w:t>
                  </w:r>
                  <w:r>
                    <w:rPr>
                      <w:rFonts w:hint="eastAsia"/>
                      <w:color w:val="000000" w:themeColor="text1"/>
                    </w:rPr>
                    <w:t>规模较大，因此本项目不在新建</w:t>
                  </w:r>
                  <w:r>
                    <w:rPr>
                      <w:color w:val="000000" w:themeColor="text1"/>
                    </w:rPr>
                    <w:t>成品</w:t>
                  </w:r>
                  <w:r>
                    <w:rPr>
                      <w:rFonts w:hint="eastAsia"/>
                      <w:color w:val="000000" w:themeColor="text1"/>
                    </w:rPr>
                    <w:t>车间，项目的产品依托现有成品车间进行堆存外卖。</w:t>
                  </w:r>
                </w:p>
              </w:tc>
              <w:tc>
                <w:tcPr>
                  <w:tcW w:w="1498" w:type="pct"/>
                  <w:shd w:val="clear" w:color="auto" w:fill="auto"/>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根据调查，本项目依托使用的</w:t>
                  </w:r>
                  <w:r>
                    <w:rPr>
                      <w:color w:val="000000" w:themeColor="text1"/>
                      <w:szCs w:val="24"/>
                    </w:rPr>
                    <w:t>成品车间</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rPr>
                  </w:pPr>
                  <w:r>
                    <w:rPr>
                      <w:rFonts w:hint="eastAsia"/>
                      <w:color w:val="000000" w:themeColor="text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shd w:val="clear" w:color="auto" w:fill="auto"/>
                  <w:vAlign w:val="center"/>
                </w:tcPr>
                <w:p>
                  <w:pPr>
                    <w:pStyle w:val="33"/>
                    <w:spacing w:line="360" w:lineRule="exact"/>
                    <w:rPr>
                      <w:color w:val="000000" w:themeColor="text1"/>
                    </w:rPr>
                  </w:pPr>
                </w:p>
              </w:tc>
              <w:tc>
                <w:tcPr>
                  <w:tcW w:w="834" w:type="pct"/>
                  <w:gridSpan w:val="3"/>
                  <w:vAlign w:val="center"/>
                </w:tcPr>
                <w:p>
                  <w:pPr>
                    <w:pStyle w:val="33"/>
                    <w:spacing w:line="360" w:lineRule="exact"/>
                    <w:rPr>
                      <w:color w:val="000000" w:themeColor="text1"/>
                    </w:rPr>
                  </w:pPr>
                  <w:r>
                    <w:rPr>
                      <w:color w:val="000000" w:themeColor="text1"/>
                    </w:rPr>
                    <w:t>办公生活区</w:t>
                  </w:r>
                </w:p>
              </w:tc>
              <w:tc>
                <w:tcPr>
                  <w:tcW w:w="1829" w:type="pct"/>
                  <w:shd w:val="clear" w:color="auto" w:fill="auto"/>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rPr>
                    <w:t>项目厂区西侧已配套设置了办公生活区域，本项目员工依托使用，可满足需求。</w:t>
                  </w:r>
                </w:p>
              </w:tc>
              <w:tc>
                <w:tcPr>
                  <w:tcW w:w="1498" w:type="pct"/>
                  <w:shd w:val="clear" w:color="auto" w:fill="auto"/>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根据调查，本项目依托使用的</w:t>
                  </w:r>
                  <w:r>
                    <w:rPr>
                      <w:color w:val="000000" w:themeColor="text1"/>
                      <w:szCs w:val="24"/>
                    </w:rPr>
                    <w:t>办公生活区</w:t>
                  </w:r>
                  <w:r>
                    <w:rPr>
                      <w:rFonts w:hint="eastAsia"/>
                      <w:color w:val="000000" w:themeColor="text1"/>
                      <w:szCs w:val="24"/>
                    </w:rPr>
                    <w:t>和原环评设计未发生变化。</w:t>
                  </w:r>
                </w:p>
              </w:tc>
              <w:tc>
                <w:tcPr>
                  <w:tcW w:w="445" w:type="pct"/>
                  <w:vAlign w:val="center"/>
                </w:tcPr>
                <w:p>
                  <w:pPr>
                    <w:pStyle w:val="33"/>
                    <w:spacing w:line="360" w:lineRule="exact"/>
                    <w:rPr>
                      <w:color w:val="000000" w:themeColor="text1"/>
                      <w:szCs w:val="21"/>
                    </w:rPr>
                  </w:pPr>
                  <w:r>
                    <w:rPr>
                      <w:rFonts w:hint="eastAsia"/>
                      <w:color w:val="000000" w:themeColor="text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pStyle w:val="33"/>
                    <w:spacing w:line="360" w:lineRule="exact"/>
                    <w:rPr>
                      <w:color w:val="000000" w:themeColor="text1"/>
                      <w:szCs w:val="21"/>
                    </w:rPr>
                  </w:pPr>
                  <w:r>
                    <w:rPr>
                      <w:color w:val="000000" w:themeColor="text1"/>
                      <w:szCs w:val="21"/>
                    </w:rPr>
                    <w:t>公用工程</w:t>
                  </w:r>
                </w:p>
              </w:tc>
              <w:tc>
                <w:tcPr>
                  <w:tcW w:w="834" w:type="pct"/>
                  <w:gridSpan w:val="3"/>
                  <w:vAlign w:val="center"/>
                </w:tcPr>
                <w:p>
                  <w:pPr>
                    <w:pStyle w:val="33"/>
                    <w:spacing w:line="360" w:lineRule="exact"/>
                    <w:rPr>
                      <w:color w:val="000000" w:themeColor="text1"/>
                    </w:rPr>
                  </w:pPr>
                  <w:r>
                    <w:rPr>
                      <w:color w:val="000000" w:themeColor="text1"/>
                    </w:rPr>
                    <w:t>供电</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rPr>
                    <w:t>供电由园区统一供给。</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供电</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rPr>
                  </w:pPr>
                  <w:r>
                    <w:rPr>
                      <w:color w:val="000000" w:themeColor="text1"/>
                    </w:rPr>
                    <w:t>给水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项目给水工程如下：</w:t>
                  </w:r>
                </w:p>
                <w:p>
                  <w:pPr>
                    <w:pStyle w:val="33"/>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生产用水</w:t>
                  </w:r>
                </w:p>
                <w:p>
                  <w:pPr>
                    <w:pStyle w:val="33"/>
                    <w:spacing w:line="360" w:lineRule="exact"/>
                    <w:ind w:firstLine="210" w:firstLineChars="100"/>
                    <w:jc w:val="both"/>
                    <w:rPr>
                      <w:color w:val="000000" w:themeColor="text1"/>
                      <w:szCs w:val="21"/>
                    </w:rPr>
                  </w:pPr>
                  <w:r>
                    <w:rPr>
                      <w:rFonts w:hint="eastAsia"/>
                      <w:color w:val="000000" w:themeColor="text1"/>
                      <w:szCs w:val="21"/>
                    </w:rPr>
                    <w:t>项目生产用水定额为2.77</w:t>
                  </w:r>
                  <w:r>
                    <w:rPr>
                      <w:color w:val="000000" w:themeColor="text1"/>
                      <w:szCs w:val="21"/>
                    </w:rPr>
                    <w:t>m³/（t</w:t>
                  </w:r>
                  <w:r>
                    <w:rPr>
                      <w:rFonts w:hint="eastAsia"/>
                      <w:color w:val="000000" w:themeColor="text1"/>
                      <w:szCs w:val="21"/>
                    </w:rPr>
                    <w:t>·氧化锌尾渣（水淬渣）</w:t>
                  </w:r>
                  <w:r>
                    <w:rPr>
                      <w:color w:val="000000" w:themeColor="text1"/>
                      <w:szCs w:val="21"/>
                    </w:rPr>
                    <w:t>）</w:t>
                  </w:r>
                  <w:r>
                    <w:rPr>
                      <w:rFonts w:hint="eastAsia"/>
                      <w:color w:val="000000" w:themeColor="text1"/>
                      <w:szCs w:val="21"/>
                    </w:rPr>
                    <w:t>，日处理氧化锌尾渣（水淬渣）500t，则用水量为1385</w:t>
                  </w:r>
                  <w:r>
                    <w:rPr>
                      <w:color w:val="000000" w:themeColor="text1"/>
                      <w:szCs w:val="21"/>
                    </w:rPr>
                    <w:t>m³/</w:t>
                  </w:r>
                  <w:r>
                    <w:rPr>
                      <w:rFonts w:hint="eastAsia"/>
                      <w:color w:val="000000" w:themeColor="text1"/>
                      <w:szCs w:val="21"/>
                    </w:rPr>
                    <w:t>d，系统废水不外排，系统损失水、物料带走水分，定期补充，使用自来水。</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生活用水</w:t>
                  </w:r>
                </w:p>
                <w:p>
                  <w:pPr>
                    <w:pStyle w:val="33"/>
                    <w:spacing w:line="360" w:lineRule="exact"/>
                    <w:ind w:firstLine="210" w:firstLineChars="100"/>
                    <w:jc w:val="both"/>
                    <w:rPr>
                      <w:color w:val="000000" w:themeColor="text1"/>
                      <w:szCs w:val="21"/>
                    </w:rPr>
                  </w:pPr>
                  <w:r>
                    <w:rPr>
                      <w:color w:val="000000" w:themeColor="text1"/>
                      <w:szCs w:val="21"/>
                    </w:rPr>
                    <w:t>生活用水使用自来水</w:t>
                  </w:r>
                  <w:r>
                    <w:rPr>
                      <w:rFonts w:hint="eastAsia"/>
                      <w:color w:val="000000" w:themeColor="text1"/>
                      <w:szCs w:val="21"/>
                    </w:rPr>
                    <w:t>。</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给水</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rPr>
                  </w:pPr>
                  <w:r>
                    <w:rPr>
                      <w:color w:val="000000" w:themeColor="text1"/>
                    </w:rPr>
                    <w:t>排水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w:t>
                  </w:r>
                  <w:r>
                    <w:rPr>
                      <w:rFonts w:hint="eastAsia"/>
                      <w:color w:val="000000" w:themeColor="text1"/>
                      <w:szCs w:val="21"/>
                    </w:rPr>
                    <w:t>废水包括</w:t>
                  </w:r>
                  <w:r>
                    <w:rPr>
                      <w:color w:val="000000" w:themeColor="text1"/>
                      <w:szCs w:val="21"/>
                    </w:rPr>
                    <w:t>生产废水、生活污水和</w:t>
                  </w:r>
                  <w:r>
                    <w:rPr>
                      <w:rFonts w:hint="eastAsia"/>
                      <w:color w:val="000000" w:themeColor="text1"/>
                      <w:szCs w:val="21"/>
                    </w:rPr>
                    <w:t>初期雨水。</w:t>
                  </w:r>
                </w:p>
                <w:p>
                  <w:pPr>
                    <w:pStyle w:val="33"/>
                    <w:spacing w:line="360" w:lineRule="exact"/>
                    <w:ind w:firstLine="210" w:firstLineChars="100"/>
                    <w:jc w:val="both"/>
                    <w:rPr>
                      <w:color w:val="000000" w:themeColor="text1"/>
                      <w:szCs w:val="21"/>
                    </w:rPr>
                  </w:pPr>
                  <w:r>
                    <w:rPr>
                      <w:rFonts w:hint="eastAsia"/>
                      <w:color w:val="000000" w:themeColor="text1"/>
                      <w:szCs w:val="21"/>
                    </w:rPr>
                    <w:t>①生产废水：项目生产废水为项目选别系统产生的选别废水，由于本项目选别系统为物理磁选、重选法，不添加任何药剂，因此生产废水拟通过</w:t>
                  </w:r>
                  <w:r>
                    <w:rPr>
                      <w:color w:val="000000" w:themeColor="text1"/>
                      <w:szCs w:val="24"/>
                    </w:rPr>
                    <w:t>废水处理系统</w:t>
                  </w:r>
                  <w:r>
                    <w:rPr>
                      <w:rFonts w:hint="eastAsia"/>
                      <w:color w:val="000000" w:themeColor="text1"/>
                      <w:szCs w:val="24"/>
                    </w:rPr>
                    <w:t>循环沉淀过滤</w:t>
                  </w:r>
                  <w:r>
                    <w:rPr>
                      <w:rFonts w:hint="eastAsia"/>
                      <w:color w:val="000000" w:themeColor="text1"/>
                      <w:szCs w:val="21"/>
                    </w:rPr>
                    <w:t>后，全部回用，不外排。</w:t>
                  </w:r>
                </w:p>
                <w:p>
                  <w:pPr>
                    <w:pStyle w:val="33"/>
                    <w:spacing w:line="360" w:lineRule="exact"/>
                    <w:ind w:firstLine="210" w:firstLineChars="100"/>
                    <w:jc w:val="both"/>
                    <w:rPr>
                      <w:color w:val="000000" w:themeColor="text1"/>
                      <w:szCs w:val="21"/>
                    </w:rPr>
                  </w:pPr>
                  <w:r>
                    <w:rPr>
                      <w:rFonts w:hint="eastAsia"/>
                      <w:color w:val="000000" w:themeColor="text1"/>
                      <w:szCs w:val="21"/>
                    </w:rPr>
                    <w:t>②生活污水：目前项目已设置了</w:t>
                  </w:r>
                  <w:r>
                    <w:rPr>
                      <w:color w:val="000000" w:themeColor="text1"/>
                      <w:szCs w:val="21"/>
                    </w:rPr>
                    <w:t>1个1m³的隔油池、1个有效容积为20m³的化粪池</w:t>
                  </w:r>
                  <w:r>
                    <w:rPr>
                      <w:rFonts w:hint="eastAsia"/>
                      <w:color w:val="000000" w:themeColor="text1"/>
                      <w:szCs w:val="21"/>
                    </w:rPr>
                    <w:t>对生活污水进行处理；</w:t>
                  </w:r>
                  <w:r>
                    <w:rPr>
                      <w:color w:val="000000" w:themeColor="text1"/>
                      <w:szCs w:val="21"/>
                    </w:rPr>
                    <w:t>项目生活污水经隔油池、化粪池处理后可达到《污水排入城镇下水道水质标准》（GB/T</w:t>
                  </w:r>
                  <w:r>
                    <w:rPr>
                      <w:rFonts w:hint="eastAsia"/>
                      <w:color w:val="000000" w:themeColor="text1"/>
                      <w:szCs w:val="21"/>
                      <w:lang w:eastAsia="zh-CN"/>
                    </w:rPr>
                    <w:t>*****</w:t>
                  </w:r>
                  <w:r>
                    <w:rPr>
                      <w:color w:val="000000" w:themeColor="text1"/>
                      <w:szCs w:val="21"/>
                    </w:rPr>
                    <w:t>-2015）B等级标准后，通过提升泵泵至厂区东侧小邓段公路污水管网进入四方地与碧谷园区污水处理厂处理。</w:t>
                  </w:r>
                </w:p>
                <w:p>
                  <w:pPr>
                    <w:pStyle w:val="33"/>
                    <w:spacing w:line="360" w:lineRule="exact"/>
                    <w:ind w:firstLine="210" w:firstLineChars="100"/>
                    <w:jc w:val="both"/>
                    <w:rPr>
                      <w:color w:val="000000" w:themeColor="text1"/>
                      <w:szCs w:val="21"/>
                    </w:rPr>
                  </w:pPr>
                  <w:r>
                    <w:rPr>
                      <w:rFonts w:hint="eastAsia"/>
                      <w:color w:val="000000" w:themeColor="text1"/>
                      <w:szCs w:val="21"/>
                    </w:rPr>
                    <w:t>③初期雨水：本项目在现有厂区内建设，项目的建设不会改变现有厂区初期雨水的产生量；</w:t>
                  </w:r>
                  <w:r>
                    <w:rPr>
                      <w:rFonts w:hint="eastAsia"/>
                      <w:color w:val="000000" w:themeColor="text1"/>
                      <w:szCs w:val="24"/>
                    </w:rPr>
                    <w:t>整改后，厂区初期雨水收集池包括</w:t>
                  </w:r>
                  <w:r>
                    <w:rPr>
                      <w:color w:val="000000" w:themeColor="text1"/>
                      <w:szCs w:val="24"/>
                    </w:rPr>
                    <w:t>1#初期雨水收集池</w:t>
                  </w:r>
                  <w:r>
                    <w:rPr>
                      <w:rFonts w:hint="eastAsia"/>
                      <w:color w:val="000000" w:themeColor="text1"/>
                      <w:szCs w:val="24"/>
                    </w:rPr>
                    <w:t>（</w:t>
                  </w:r>
                  <w:r>
                    <w:rPr>
                      <w:color w:val="000000" w:themeColor="text1"/>
                      <w:szCs w:val="24"/>
                    </w:rPr>
                    <w:t>150m³</w:t>
                  </w:r>
                  <w:r>
                    <w:rPr>
                      <w:rFonts w:hint="eastAsia"/>
                      <w:color w:val="000000" w:themeColor="text1"/>
                      <w:szCs w:val="24"/>
                    </w:rPr>
                    <w:t>）、</w:t>
                  </w:r>
                  <w:r>
                    <w:rPr>
                      <w:color w:val="000000" w:themeColor="text1"/>
                      <w:szCs w:val="24"/>
                    </w:rPr>
                    <w:t>2#初期雨水收集池</w:t>
                  </w:r>
                  <w:r>
                    <w:rPr>
                      <w:rFonts w:hint="eastAsia"/>
                      <w:color w:val="000000" w:themeColor="text1"/>
                      <w:szCs w:val="24"/>
                    </w:rPr>
                    <w:t>（</w:t>
                  </w:r>
                  <w:r>
                    <w:rPr>
                      <w:color w:val="000000" w:themeColor="text1"/>
                      <w:szCs w:val="24"/>
                    </w:rPr>
                    <w:t>50.8m³</w:t>
                  </w:r>
                  <w:r>
                    <w:rPr>
                      <w:rFonts w:hint="eastAsia"/>
                      <w:color w:val="000000" w:themeColor="text1"/>
                      <w:szCs w:val="24"/>
                    </w:rPr>
                    <w:t>）、3</w:t>
                  </w:r>
                  <w:r>
                    <w:rPr>
                      <w:color w:val="000000" w:themeColor="text1"/>
                      <w:szCs w:val="24"/>
                    </w:rPr>
                    <w:t>#初期雨水收集池</w:t>
                  </w:r>
                  <w:r>
                    <w:rPr>
                      <w:rFonts w:hint="eastAsia"/>
                      <w:color w:val="000000" w:themeColor="text1"/>
                      <w:szCs w:val="24"/>
                    </w:rPr>
                    <w:t>（</w:t>
                  </w:r>
                  <w:r>
                    <w:rPr>
                      <w:color w:val="000000" w:themeColor="text1"/>
                      <w:szCs w:val="24"/>
                    </w:rPr>
                    <w:t>5m³</w:t>
                  </w:r>
                  <w:r>
                    <w:rPr>
                      <w:rFonts w:hint="eastAsia"/>
                      <w:color w:val="000000" w:themeColor="text1"/>
                      <w:szCs w:val="24"/>
                    </w:rPr>
                    <w:t>），初期雨水经</w:t>
                  </w:r>
                  <w:r>
                    <w:rPr>
                      <w:color w:val="000000" w:themeColor="text1"/>
                      <w:szCs w:val="24"/>
                    </w:rPr>
                    <w:t>收集后，</w:t>
                  </w:r>
                  <w:r>
                    <w:rPr>
                      <w:rFonts w:hint="eastAsia"/>
                      <w:color w:val="000000" w:themeColor="text1"/>
                      <w:szCs w:val="24"/>
                    </w:rPr>
                    <w:t>用于次氧化锌生产线</w:t>
                  </w:r>
                  <w:r>
                    <w:rPr>
                      <w:color w:val="000000" w:themeColor="text1"/>
                      <w:szCs w:val="24"/>
                    </w:rPr>
                    <w:t>原料堆场</w:t>
                  </w:r>
                  <w:r>
                    <w:rPr>
                      <w:rFonts w:hint="eastAsia"/>
                      <w:color w:val="000000" w:themeColor="text1"/>
                      <w:szCs w:val="24"/>
                    </w:rPr>
                    <w:t>、厂区道路等区域进行洒水抑尘，不外排。</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w:t>
                  </w:r>
                  <w:r>
                    <w:rPr>
                      <w:color w:val="000000" w:themeColor="text1"/>
                      <w:szCs w:val="24"/>
                    </w:rPr>
                    <w:t>排水</w:t>
                  </w:r>
                  <w:r>
                    <w:rPr>
                      <w:rFonts w:hint="eastAsia"/>
                      <w:color w:val="000000" w:themeColor="text1"/>
                      <w:szCs w:val="24"/>
                    </w:rPr>
                    <w:t>工程未发生变化。</w:t>
                  </w:r>
                </w:p>
              </w:tc>
              <w:tc>
                <w:tcPr>
                  <w:tcW w:w="445" w:type="pct"/>
                  <w:vAlign w:val="center"/>
                </w:tcPr>
                <w:p>
                  <w:pPr>
                    <w:pStyle w:val="33"/>
                    <w:spacing w:line="360" w:lineRule="exact"/>
                    <w:ind w:firstLine="210" w:firstLineChars="100"/>
                    <w:jc w:val="both"/>
                    <w:rPr>
                      <w:color w:val="000000" w:themeColor="text1"/>
                    </w:rPr>
                  </w:pP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pStyle w:val="33"/>
                    <w:spacing w:line="360" w:lineRule="exact"/>
                    <w:rPr>
                      <w:color w:val="000000" w:themeColor="text1"/>
                      <w:szCs w:val="21"/>
                    </w:rPr>
                  </w:pPr>
                  <w:r>
                    <w:rPr>
                      <w:color w:val="000000" w:themeColor="text1"/>
                      <w:szCs w:val="21"/>
                    </w:rPr>
                    <w:t>环保工程</w:t>
                  </w: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废气</w:t>
                  </w:r>
                </w:p>
              </w:tc>
              <w:tc>
                <w:tcPr>
                  <w:tcW w:w="385" w:type="pct"/>
                  <w:vAlign w:val="center"/>
                </w:tcPr>
                <w:p>
                  <w:pPr>
                    <w:pStyle w:val="33"/>
                    <w:spacing w:line="360" w:lineRule="exact"/>
                    <w:rPr>
                      <w:color w:val="000000" w:themeColor="text1"/>
                      <w:szCs w:val="21"/>
                    </w:rPr>
                  </w:pPr>
                  <w:r>
                    <w:rPr>
                      <w:rFonts w:hint="eastAsia"/>
                      <w:color w:val="000000" w:themeColor="text1"/>
                      <w:szCs w:val="21"/>
                    </w:rPr>
                    <w:t>燃烧烟气处理系统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4"/>
                    </w:rPr>
                    <w:t>项目原拟配套设置1套天然气燃烧机，未单独设置</w:t>
                  </w:r>
                  <w:r>
                    <w:rPr>
                      <w:rFonts w:hint="eastAsia"/>
                      <w:color w:val="000000" w:themeColor="text1"/>
                      <w:szCs w:val="21"/>
                    </w:rPr>
                    <w:t>燃烧烟气处理系统。</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4"/>
                    </w:rPr>
                    <w:t>根据调查，变更后</w:t>
                  </w:r>
                  <w:r>
                    <w:rPr>
                      <w:color w:val="000000" w:themeColor="text1"/>
                      <w:szCs w:val="24"/>
                    </w:rPr>
                    <w:t>本项目</w:t>
                  </w:r>
                  <w:r>
                    <w:rPr>
                      <w:rFonts w:hint="eastAsia"/>
                      <w:color w:val="000000" w:themeColor="text1"/>
                      <w:szCs w:val="21"/>
                    </w:rPr>
                    <w:t>针对项目热风炉产生的燃烧烟气，项目拟设置1套燃烧烟气处理系统对其进行处理，该系统由低氮燃烧+非催化还原（SNCR）脱硝技术+袋式除尘器组成，其中低氮燃烧+非催化还原（SNCR）脱硝的NOx去除效率为45.4%，1#布袋除尘除尘效率为99.7%，燃烧烟气经处理后通过</w:t>
                  </w:r>
                  <w:r>
                    <w:rPr>
                      <w:color w:val="000000" w:themeColor="text1"/>
                      <w:szCs w:val="21"/>
                    </w:rPr>
                    <w:t>1根Φ</w:t>
                  </w:r>
                  <w:r>
                    <w:rPr>
                      <w:rFonts w:hint="eastAsia"/>
                      <w:color w:val="000000" w:themeColor="text1"/>
                      <w:szCs w:val="21"/>
                    </w:rPr>
                    <w:t>0.4</w:t>
                  </w:r>
                  <w:r>
                    <w:rPr>
                      <w:color w:val="000000" w:themeColor="text1"/>
                      <w:szCs w:val="21"/>
                    </w:rPr>
                    <w:t>m、高</w:t>
                  </w:r>
                  <w:r>
                    <w:rPr>
                      <w:rFonts w:hint="eastAsia"/>
                      <w:color w:val="000000" w:themeColor="text1"/>
                      <w:szCs w:val="21"/>
                    </w:rPr>
                    <w:t>20</w:t>
                  </w:r>
                  <w:r>
                    <w:rPr>
                      <w:color w:val="000000" w:themeColor="text1"/>
                      <w:szCs w:val="21"/>
                    </w:rPr>
                    <w:t>m</w:t>
                  </w:r>
                  <w:r>
                    <w:rPr>
                      <w:rFonts w:hint="eastAsia"/>
                      <w:color w:val="000000" w:themeColor="text1"/>
                      <w:szCs w:val="21"/>
                    </w:rPr>
                    <w:t>的</w:t>
                  </w:r>
                  <w:r>
                    <w:rPr>
                      <w:color w:val="000000" w:themeColor="text1"/>
                      <w:szCs w:val="21"/>
                    </w:rPr>
                    <w:t>排气筒（DA003）</w:t>
                  </w:r>
                  <w:r>
                    <w:rPr>
                      <w:rFonts w:hint="eastAsia"/>
                      <w:color w:val="000000" w:themeColor="text1"/>
                      <w:szCs w:val="21"/>
                    </w:rPr>
                    <w:t>外排。</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设计提出（在</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烘干粉尘处理系统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1"/>
                    </w:rPr>
                    <w:t>针对项目烘干粉尘（颗粒物），项目拟设置1套烘干粉尘处理系统对其进行处理，该系统由旋风除尘+袋式除尘器组成，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4"/>
                    </w:rPr>
                    <w:t>根据调查，变更后</w:t>
                  </w:r>
                  <w:r>
                    <w:rPr>
                      <w:color w:val="000000" w:themeColor="text1"/>
                      <w:szCs w:val="24"/>
                    </w:rPr>
                    <w:t>本项目</w:t>
                  </w:r>
                  <w:r>
                    <w:rPr>
                      <w:rFonts w:hint="eastAsia"/>
                      <w:color w:val="000000" w:themeColor="text1"/>
                      <w:szCs w:val="21"/>
                    </w:rPr>
                    <w:t>烘干粉尘处理系统未发生变化；满足环保要求。</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围挡及顶棚</w:t>
                  </w:r>
                </w:p>
              </w:tc>
              <w:tc>
                <w:tcPr>
                  <w:tcW w:w="1829" w:type="pct"/>
                  <w:vAlign w:val="center"/>
                </w:tcPr>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项目已设置1个建筑面积约为315m²的水淬渣暂存库对拟综合利用的氧化锌尾渣（水淬渣）进行暂存，根据调查，该水淬渣暂存库设有顶棚和三面围挡设施。</w:t>
                  </w:r>
                </w:p>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项目已设置1个建筑面积约为600m²的废渣暂存库对综合利用后的废渣进行处置，该渣库设有顶棚和三面围挡，但</w:t>
                  </w:r>
                  <w:r>
                    <w:rPr>
                      <w:rFonts w:hint="eastAsia"/>
                      <w:color w:val="000000" w:themeColor="text1"/>
                    </w:rPr>
                    <w:t>围挡与顶棚之间存在空隙，未完全封闭，应加高围挡进行封闭</w:t>
                  </w:r>
                  <w:r>
                    <w:rPr>
                      <w:color w:val="000000" w:themeColor="text1"/>
                      <w:szCs w:val="21"/>
                    </w:rPr>
                    <w:t>，应对其进行修善。</w:t>
                  </w:r>
                </w:p>
                <w:p>
                  <w:pPr>
                    <w:pStyle w:val="33"/>
                    <w:spacing w:line="360" w:lineRule="exact"/>
                    <w:ind w:firstLine="210" w:firstLineChars="100"/>
                    <w:jc w:val="both"/>
                    <w:rPr>
                      <w:color w:val="000000" w:themeColor="text1"/>
                      <w:szCs w:val="21"/>
                    </w:rPr>
                  </w:pPr>
                  <w:r>
                    <w:rPr>
                      <w:color w:val="000000" w:themeColor="text1"/>
                      <w:szCs w:val="21"/>
                    </w:rPr>
                    <w:t>围挡及顶棚扬尘抑制率约为60%。</w:t>
                  </w:r>
                </w:p>
              </w:tc>
              <w:tc>
                <w:tcPr>
                  <w:tcW w:w="1498" w:type="pct"/>
                  <w:vAlign w:val="center"/>
                </w:tcPr>
                <w:p>
                  <w:pPr>
                    <w:pStyle w:val="33"/>
                    <w:spacing w:line="360" w:lineRule="exact"/>
                    <w:ind w:firstLine="210" w:firstLineChars="100"/>
                    <w:jc w:val="both"/>
                    <w:rPr>
                      <w:color w:val="000000" w:themeColor="text1"/>
                      <w:szCs w:val="24"/>
                    </w:rPr>
                  </w:pPr>
                  <w:r>
                    <w:rPr>
                      <w:rFonts w:hint="eastAsia"/>
                      <w:color w:val="000000" w:themeColor="text1"/>
                      <w:szCs w:val="24"/>
                    </w:rPr>
                    <w:t>根据调查，变更后</w:t>
                  </w:r>
                  <w:r>
                    <w:rPr>
                      <w:color w:val="000000" w:themeColor="text1"/>
                      <w:szCs w:val="24"/>
                    </w:rPr>
                    <w:t>本项目</w:t>
                  </w:r>
                  <w:r>
                    <w:rPr>
                      <w:color w:val="000000" w:themeColor="text1"/>
                      <w:szCs w:val="21"/>
                    </w:rPr>
                    <w:t>水淬渣暂存库</w:t>
                  </w:r>
                  <w:r>
                    <w:rPr>
                      <w:rFonts w:hint="eastAsia"/>
                      <w:color w:val="000000" w:themeColor="text1"/>
                      <w:szCs w:val="21"/>
                    </w:rPr>
                    <w:t>和</w:t>
                  </w:r>
                  <w:r>
                    <w:rPr>
                      <w:color w:val="000000" w:themeColor="text1"/>
                      <w:szCs w:val="21"/>
                    </w:rPr>
                    <w:t>废渣暂存库</w:t>
                  </w:r>
                  <w:r>
                    <w:rPr>
                      <w:rFonts w:hint="eastAsia"/>
                      <w:color w:val="000000" w:themeColor="text1"/>
                      <w:szCs w:val="21"/>
                    </w:rPr>
                    <w:t>围挡及顶棚未发生变化，整改后可满足环保要求。</w:t>
                  </w:r>
                </w:p>
              </w:tc>
              <w:tc>
                <w:tcPr>
                  <w:tcW w:w="445" w:type="pct"/>
                  <w:vAlign w:val="center"/>
                </w:tcPr>
                <w:p>
                  <w:pPr>
                    <w:pStyle w:val="33"/>
                    <w:spacing w:line="360" w:lineRule="exact"/>
                    <w:rPr>
                      <w:color w:val="000000" w:themeColor="text1"/>
                      <w:szCs w:val="21"/>
                    </w:rPr>
                  </w:pPr>
                  <w:r>
                    <w:rPr>
                      <w:rFonts w:hint="eastAsia"/>
                      <w:color w:val="000000" w:themeColor="text1"/>
                      <w:szCs w:val="21"/>
                    </w:rPr>
                    <w:t>已建，环评提出需整改修善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834" w:type="pct"/>
                  <w:gridSpan w:val="3"/>
                  <w:vAlign w:val="center"/>
                </w:tcPr>
                <w:p>
                  <w:pPr>
                    <w:pStyle w:val="33"/>
                    <w:spacing w:line="360" w:lineRule="exact"/>
                    <w:rPr>
                      <w:color w:val="000000" w:themeColor="text1"/>
                      <w:szCs w:val="21"/>
                    </w:rPr>
                  </w:pPr>
                  <w:r>
                    <w:rPr>
                      <w:color w:val="000000" w:themeColor="text1"/>
                      <w:szCs w:val="21"/>
                    </w:rPr>
                    <w:t>雨污分流</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项目区已设置了雨污分流设施。</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445" w:type="pct"/>
                  <w:vAlign w:val="center"/>
                </w:tcPr>
                <w:p>
                  <w:pPr>
                    <w:pStyle w:val="33"/>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废水</w:t>
                  </w:r>
                </w:p>
              </w:tc>
              <w:tc>
                <w:tcPr>
                  <w:tcW w:w="385" w:type="pct"/>
                  <w:vAlign w:val="center"/>
                </w:tcPr>
                <w:p>
                  <w:pPr>
                    <w:pStyle w:val="33"/>
                    <w:spacing w:line="360" w:lineRule="exact"/>
                    <w:rPr>
                      <w:color w:val="000000" w:themeColor="text1"/>
                      <w:szCs w:val="21"/>
                    </w:rPr>
                  </w:pPr>
                  <w:r>
                    <w:rPr>
                      <w:rFonts w:hint="eastAsia"/>
                      <w:color w:val="000000" w:themeColor="text1"/>
                      <w:szCs w:val="21"/>
                    </w:rPr>
                    <w:t>废水处理系统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，废水处理系统由11个总容积为858m³循环水池组成。</w:t>
                  </w:r>
                  <w:r>
                    <w:rPr>
                      <w:color w:val="000000" w:themeColor="text1"/>
                      <w:szCs w:val="21"/>
                    </w:rPr>
                    <w:t>具体如下：</w:t>
                  </w:r>
                </w:p>
                <w:p>
                  <w:pPr>
                    <w:pStyle w:val="33"/>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1#</w:t>
                  </w:r>
                  <w:r>
                    <w:rPr>
                      <w:rFonts w:hint="eastAsia"/>
                      <w:color w:val="000000" w:themeColor="text1"/>
                      <w:szCs w:val="24"/>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根据设计，为了使项目废水能稳定进入</w:t>
                  </w:r>
                  <w:r>
                    <w:rPr>
                      <w:color w:val="000000" w:themeColor="text1"/>
                      <w:szCs w:val="24"/>
                    </w:rPr>
                    <w:t>废水处理系统</w:t>
                  </w:r>
                  <w:r>
                    <w:rPr>
                      <w:rFonts w:hint="eastAsia"/>
                      <w:color w:val="000000" w:themeColor="text1"/>
                      <w:szCs w:val="24"/>
                    </w:rPr>
                    <w:t>循环沉淀过滤</w:t>
                  </w:r>
                  <w:r>
                    <w:rPr>
                      <w:color w:val="000000" w:themeColor="text1"/>
                      <w:szCs w:val="21"/>
                    </w:rPr>
                    <w:t>处理，项目拟在生产车间旁配套设置1个有效容积约为18m³的</w:t>
                  </w:r>
                  <w:r>
                    <w:rPr>
                      <w:rFonts w:hint="eastAsia"/>
                      <w:color w:val="000000" w:themeColor="text1"/>
                      <w:szCs w:val="24"/>
                    </w:rPr>
                    <w:t>废水收集循环池</w:t>
                  </w:r>
                  <w:r>
                    <w:rPr>
                      <w:color w:val="000000" w:themeColor="text1"/>
                      <w:szCs w:val="21"/>
                    </w:rPr>
                    <w:t>，对各工序产生的废水进行收集、调节，使其流量稳定在</w:t>
                  </w:r>
                  <w:r>
                    <w:rPr>
                      <w:color w:val="000000" w:themeColor="text1"/>
                      <w:szCs w:val="24"/>
                    </w:rPr>
                    <w:t>废水处理系统</w:t>
                  </w:r>
                  <w:r>
                    <w:rPr>
                      <w:rFonts w:hint="eastAsia"/>
                      <w:color w:val="000000" w:themeColor="text1"/>
                      <w:szCs w:val="24"/>
                    </w:rPr>
                    <w:t>循环沉淀过滤</w:t>
                  </w:r>
                  <w:r>
                    <w:rPr>
                      <w:color w:val="000000" w:themeColor="text1"/>
                      <w:szCs w:val="21"/>
                    </w:rPr>
                    <w:t>处理。1#</w:t>
                  </w:r>
                  <w:r>
                    <w:rPr>
                      <w:rFonts w:hint="eastAsia"/>
                      <w:color w:val="000000" w:themeColor="text1"/>
                      <w:szCs w:val="24"/>
                    </w:rPr>
                    <w:t>废水收集循环池</w:t>
                  </w:r>
                  <w:r>
                    <w:rPr>
                      <w:color w:val="000000" w:themeColor="text1"/>
                      <w:szCs w:val="21"/>
                    </w:rPr>
                    <w:t>为新建。</w:t>
                  </w:r>
                </w:p>
                <w:p>
                  <w:pPr>
                    <w:pStyle w:val="33"/>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2-3#</w:t>
                  </w:r>
                  <w:r>
                    <w:rPr>
                      <w:rFonts w:hint="eastAsia"/>
                      <w:color w:val="000000" w:themeColor="text1"/>
                      <w:szCs w:val="21"/>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根据设计，项目为满足</w:t>
                  </w:r>
                  <w:r>
                    <w:rPr>
                      <w:rFonts w:hint="eastAsia"/>
                      <w:color w:val="000000" w:themeColor="text1"/>
                      <w:szCs w:val="21"/>
                    </w:rPr>
                    <w:t>废水收集循环</w:t>
                  </w:r>
                  <w:r>
                    <w:rPr>
                      <w:color w:val="000000" w:themeColor="text1"/>
                      <w:szCs w:val="21"/>
                    </w:rPr>
                    <w:t>的需要，在现有循环水池的基础上再建设两个有效容积均为100m³的循环水池，编号为2#、3#废水收集循环池。</w:t>
                  </w:r>
                </w:p>
                <w:p>
                  <w:pPr>
                    <w:pStyle w:val="33"/>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4-11#</w:t>
                  </w:r>
                  <w:r>
                    <w:rPr>
                      <w:rFonts w:hint="eastAsia"/>
                      <w:color w:val="000000" w:themeColor="text1"/>
                      <w:szCs w:val="21"/>
                    </w:rPr>
                    <w:t>废水收集循环池</w:t>
                  </w:r>
                </w:p>
                <w:p>
                  <w:pPr>
                    <w:pStyle w:val="33"/>
                    <w:spacing w:line="360" w:lineRule="exact"/>
                    <w:ind w:firstLine="210" w:firstLineChars="100"/>
                    <w:jc w:val="both"/>
                    <w:rPr>
                      <w:color w:val="000000" w:themeColor="text1"/>
                      <w:szCs w:val="21"/>
                    </w:rPr>
                  </w:pPr>
                  <w:r>
                    <w:rPr>
                      <w:color w:val="000000" w:themeColor="text1"/>
                      <w:szCs w:val="21"/>
                    </w:rPr>
                    <w:t>根据设计，由于厂区内已建设有9个圆柱形循环水池，该循环水池为原建设单位建设拟作为次氧化锌生产线磁选工序配套的废水处理设施，但由于次氧化锌生产线磁选工序未建设，因此上述循环水池一直闲置未利用。因此本次项目建设拟利用其中的8个改造后作为废水处理系统使用。根据调查，各循环水池的尺寸均为Φ4.6m、深4.5m的圆柱体，其有效容积为80m³/个，合计为640m³，编号为4-11#循环水池。</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根据调查，废水处理系统</w:t>
                  </w:r>
                  <w:r>
                    <w:rPr>
                      <w:rFonts w:hint="eastAsia"/>
                      <w:color w:val="000000" w:themeColor="text1"/>
                      <w:szCs w:val="21"/>
                    </w:rPr>
                    <w:t>未发生变化，满足环保要求。</w:t>
                  </w:r>
                </w:p>
              </w:tc>
              <w:tc>
                <w:tcPr>
                  <w:tcW w:w="445" w:type="pct"/>
                  <w:vAlign w:val="center"/>
                </w:tcPr>
                <w:p>
                  <w:pPr>
                    <w:pStyle w:val="33"/>
                    <w:spacing w:line="360" w:lineRule="exact"/>
                    <w:rPr>
                      <w:color w:val="000000" w:themeColor="text1"/>
                      <w:szCs w:val="21"/>
                    </w:rPr>
                  </w:pPr>
                  <w:r>
                    <w:rPr>
                      <w:color w:val="000000" w:themeColor="text1"/>
                      <w:szCs w:val="21"/>
                    </w:rPr>
                    <w:t>1#-3#</w:t>
                  </w:r>
                  <w:r>
                    <w:rPr>
                      <w:rFonts w:hint="eastAsia"/>
                      <w:color w:val="000000" w:themeColor="text1"/>
                      <w:szCs w:val="24"/>
                    </w:rPr>
                    <w:t>废水收集循环池</w:t>
                  </w:r>
                  <w:r>
                    <w:rPr>
                      <w:color w:val="000000" w:themeColor="text1"/>
                      <w:szCs w:val="21"/>
                    </w:rPr>
                    <w:t>为新建，4#-11#</w:t>
                  </w:r>
                  <w:r>
                    <w:rPr>
                      <w:rFonts w:hint="eastAsia"/>
                      <w:color w:val="000000" w:themeColor="text1"/>
                      <w:szCs w:val="24"/>
                    </w:rPr>
                    <w:t>废水收集循环池</w:t>
                  </w:r>
                  <w:r>
                    <w:rPr>
                      <w:color w:val="000000" w:themeColor="text1"/>
                      <w:szCs w:val="21"/>
                    </w:rPr>
                    <w:t>为依托对现有设施进行功能置换。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rFonts w:eastAsiaTheme="minorEastAsia"/>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初期雨水收集池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本项目现有厂区内已设置了1个有效容积为150m³的1#初期雨水收集池和1个50.8m³的2#初期雨水收集池</w:t>
                  </w:r>
                  <w:r>
                    <w:rPr>
                      <w:rFonts w:hint="eastAsia"/>
                      <w:color w:val="000000" w:themeColor="text1"/>
                      <w:szCs w:val="21"/>
                    </w:rPr>
                    <w:t>将初期雨水</w:t>
                  </w:r>
                  <w:r>
                    <w:rPr>
                      <w:color w:val="000000" w:themeColor="text1"/>
                      <w:szCs w:val="21"/>
                    </w:rPr>
                    <w:t>收集后，</w:t>
                  </w:r>
                  <w:r>
                    <w:rPr>
                      <w:rFonts w:hint="eastAsia"/>
                      <w:color w:val="000000" w:themeColor="text1"/>
                      <w:szCs w:val="21"/>
                    </w:rPr>
                    <w:t>用于次氧化锌生产线</w:t>
                  </w:r>
                  <w:r>
                    <w:rPr>
                      <w:color w:val="000000" w:themeColor="text1"/>
                      <w:szCs w:val="21"/>
                    </w:rPr>
                    <w:t>原料堆场</w:t>
                  </w:r>
                  <w:r>
                    <w:rPr>
                      <w:rFonts w:hint="eastAsia"/>
                      <w:color w:val="000000" w:themeColor="text1"/>
                      <w:szCs w:val="21"/>
                    </w:rPr>
                    <w:t>、厂区道路等区域进行洒水抑尘，不外排。</w:t>
                  </w:r>
                </w:p>
              </w:tc>
              <w:tc>
                <w:tcPr>
                  <w:tcW w:w="1498" w:type="pct"/>
                  <w:vAlign w:val="center"/>
                </w:tcPr>
                <w:p>
                  <w:pPr>
                    <w:pStyle w:val="33"/>
                    <w:spacing w:line="360" w:lineRule="exact"/>
                    <w:ind w:firstLine="210" w:firstLineChars="100"/>
                    <w:jc w:val="both"/>
                    <w:rPr>
                      <w:color w:val="000000" w:themeColor="text1"/>
                      <w:szCs w:val="24"/>
                    </w:rPr>
                  </w:pPr>
                  <w:r>
                    <w:rPr>
                      <w:color w:val="000000" w:themeColor="text1"/>
                      <w:szCs w:val="24"/>
                    </w:rPr>
                    <w:t>根据调查，厂区已设置的两个初期雨水收集池容积可满足收集区域，但其设置位置无法将厂区</w:t>
                  </w:r>
                  <w:r>
                    <w:rPr>
                      <w:rFonts w:hint="eastAsia"/>
                      <w:color w:val="000000" w:themeColor="text1"/>
                      <w:szCs w:val="24"/>
                    </w:rPr>
                    <w:t>下游部分道路区</w:t>
                  </w:r>
                  <w:r>
                    <w:rPr>
                      <w:color w:val="000000" w:themeColor="text1"/>
                      <w:szCs w:val="24"/>
                    </w:rPr>
                    <w:t>的初期雨水进行收集，因此环评提出拟在厂区</w:t>
                  </w:r>
                  <w:r>
                    <w:rPr>
                      <w:rFonts w:hint="eastAsia"/>
                      <w:color w:val="000000" w:themeColor="text1"/>
                      <w:szCs w:val="24"/>
                    </w:rPr>
                    <w:t>低</w:t>
                  </w:r>
                  <w:r>
                    <w:rPr>
                      <w:color w:val="000000" w:themeColor="text1"/>
                      <w:szCs w:val="24"/>
                    </w:rPr>
                    <w:t>处再建设一个有效容积为5m³的初期雨水收集池</w:t>
                  </w:r>
                  <w:r>
                    <w:rPr>
                      <w:rFonts w:hint="eastAsia"/>
                      <w:color w:val="000000" w:themeColor="text1"/>
                      <w:szCs w:val="24"/>
                    </w:rPr>
                    <w:t>（编号为3#）将</w:t>
                  </w:r>
                  <w:r>
                    <w:rPr>
                      <w:color w:val="000000" w:themeColor="text1"/>
                      <w:szCs w:val="24"/>
                    </w:rPr>
                    <w:t>厂区</w:t>
                  </w:r>
                  <w:r>
                    <w:rPr>
                      <w:rFonts w:hint="eastAsia"/>
                      <w:color w:val="000000" w:themeColor="text1"/>
                      <w:szCs w:val="24"/>
                    </w:rPr>
                    <w:t>下游部分道路区的初期雨水进行收集。</w:t>
                  </w:r>
                </w:p>
                <w:p>
                  <w:pPr>
                    <w:pStyle w:val="33"/>
                    <w:spacing w:line="360" w:lineRule="exact"/>
                    <w:ind w:firstLine="210" w:firstLineChars="100"/>
                    <w:jc w:val="both"/>
                    <w:rPr>
                      <w:color w:val="000000" w:themeColor="text1"/>
                      <w:szCs w:val="24"/>
                    </w:rPr>
                  </w:pPr>
                  <w:r>
                    <w:rPr>
                      <w:rFonts w:hint="eastAsia"/>
                      <w:color w:val="000000" w:themeColor="text1"/>
                      <w:szCs w:val="24"/>
                    </w:rPr>
                    <w:t>整改后，厂区初期雨水收集池包括</w:t>
                  </w:r>
                  <w:r>
                    <w:rPr>
                      <w:color w:val="000000" w:themeColor="text1"/>
                      <w:szCs w:val="24"/>
                    </w:rPr>
                    <w:t>1#初期雨水收集池</w:t>
                  </w:r>
                  <w:r>
                    <w:rPr>
                      <w:rFonts w:hint="eastAsia"/>
                      <w:color w:val="000000" w:themeColor="text1"/>
                      <w:szCs w:val="24"/>
                    </w:rPr>
                    <w:t>（</w:t>
                  </w:r>
                  <w:r>
                    <w:rPr>
                      <w:color w:val="000000" w:themeColor="text1"/>
                      <w:szCs w:val="24"/>
                    </w:rPr>
                    <w:t>150m³</w:t>
                  </w:r>
                  <w:r>
                    <w:rPr>
                      <w:rFonts w:hint="eastAsia"/>
                      <w:color w:val="000000" w:themeColor="text1"/>
                      <w:szCs w:val="24"/>
                    </w:rPr>
                    <w:t>）、</w:t>
                  </w:r>
                  <w:r>
                    <w:rPr>
                      <w:color w:val="000000" w:themeColor="text1"/>
                      <w:szCs w:val="24"/>
                    </w:rPr>
                    <w:t>2#初期雨水收集池</w:t>
                  </w:r>
                  <w:r>
                    <w:rPr>
                      <w:rFonts w:hint="eastAsia"/>
                      <w:color w:val="000000" w:themeColor="text1"/>
                      <w:szCs w:val="24"/>
                    </w:rPr>
                    <w:t>（</w:t>
                  </w:r>
                  <w:r>
                    <w:rPr>
                      <w:color w:val="000000" w:themeColor="text1"/>
                      <w:szCs w:val="24"/>
                    </w:rPr>
                    <w:t>50.8m³</w:t>
                  </w:r>
                  <w:r>
                    <w:rPr>
                      <w:rFonts w:hint="eastAsia"/>
                      <w:color w:val="000000" w:themeColor="text1"/>
                      <w:szCs w:val="24"/>
                    </w:rPr>
                    <w:t>）、3</w:t>
                  </w:r>
                  <w:r>
                    <w:rPr>
                      <w:color w:val="000000" w:themeColor="text1"/>
                      <w:szCs w:val="24"/>
                    </w:rPr>
                    <w:t>#初期雨水收集池</w:t>
                  </w:r>
                  <w:r>
                    <w:rPr>
                      <w:rFonts w:hint="eastAsia"/>
                      <w:color w:val="000000" w:themeColor="text1"/>
                      <w:szCs w:val="24"/>
                    </w:rPr>
                    <w:t>（</w:t>
                  </w:r>
                  <w:r>
                    <w:rPr>
                      <w:color w:val="000000" w:themeColor="text1"/>
                      <w:szCs w:val="24"/>
                    </w:rPr>
                    <w:t>5m³</w:t>
                  </w:r>
                  <w:r>
                    <w:rPr>
                      <w:rFonts w:hint="eastAsia"/>
                      <w:color w:val="000000" w:themeColor="text1"/>
                      <w:szCs w:val="24"/>
                    </w:rPr>
                    <w:t>），初期雨水经</w:t>
                  </w:r>
                  <w:r>
                    <w:rPr>
                      <w:color w:val="000000" w:themeColor="text1"/>
                      <w:szCs w:val="24"/>
                    </w:rPr>
                    <w:t>收集后，</w:t>
                  </w:r>
                  <w:r>
                    <w:rPr>
                      <w:rFonts w:hint="eastAsia"/>
                      <w:color w:val="000000" w:themeColor="text1"/>
                      <w:szCs w:val="24"/>
                    </w:rPr>
                    <w:t>用于次氧化锌生产线</w:t>
                  </w:r>
                  <w:r>
                    <w:rPr>
                      <w:color w:val="000000" w:themeColor="text1"/>
                      <w:szCs w:val="24"/>
                    </w:rPr>
                    <w:t>原料堆场</w:t>
                  </w:r>
                  <w:r>
                    <w:rPr>
                      <w:rFonts w:hint="eastAsia"/>
                      <w:color w:val="000000" w:themeColor="text1"/>
                      <w:szCs w:val="24"/>
                    </w:rPr>
                    <w:t>、厂区道路等区域进行洒水抑尘，不外排。</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已建，环评要求整改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隔油池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项目区厨房</w:t>
                  </w:r>
                  <w:r>
                    <w:rPr>
                      <w:rFonts w:hint="eastAsia"/>
                      <w:color w:val="000000" w:themeColor="text1"/>
                      <w:szCs w:val="21"/>
                    </w:rPr>
                    <w:t>已</w:t>
                  </w:r>
                  <w:r>
                    <w:rPr>
                      <w:color w:val="000000" w:themeColor="text1"/>
                      <w:szCs w:val="21"/>
                    </w:rPr>
                    <w:t>配套设置1个1m³的隔油池对厨房废水进行预处理。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eastAsiaTheme="minorEastAsia"/>
                      <w:color w:val="000000" w:themeColor="text1"/>
                      <w:szCs w:val="21"/>
                    </w:rPr>
                    <w:t>隔油池未发生变化；满足环保要求。</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化粪池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项目生活区旁已设置了1个有效容积为20m³的化粪池对项目区生活污水进行处理。项目区生活污水经隔油池、化粪池处理后，通过提升泵泵至厂区东侧小邓段公路污水管网进入四方地与碧谷园区污水处理厂处理。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eastAsiaTheme="minorEastAsia"/>
                      <w:color w:val="000000" w:themeColor="text1"/>
                      <w:szCs w:val="21"/>
                    </w:rPr>
                    <w:t>化粪池未发生变化；满足环保要求。</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地下水防渗</w:t>
                  </w:r>
                </w:p>
              </w:tc>
              <w:tc>
                <w:tcPr>
                  <w:tcW w:w="385"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重点防渗区</w:t>
                  </w:r>
                </w:p>
              </w:tc>
              <w:tc>
                <w:tcPr>
                  <w:tcW w:w="1829" w:type="pct"/>
                  <w:vAlign w:val="center"/>
                </w:tcPr>
                <w:p>
                  <w:pPr>
                    <w:pStyle w:val="33"/>
                    <w:spacing w:line="360" w:lineRule="exact"/>
                    <w:ind w:firstLine="210" w:firstLineChars="100"/>
                    <w:jc w:val="both"/>
                    <w:rPr>
                      <w:color w:val="000000" w:themeColor="text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rPr>
                    <w:t>项目重点防渗区为危险废物贮存间</w:t>
                  </w:r>
                  <w:r>
                    <w:rPr>
                      <w:rFonts w:hint="eastAsia"/>
                      <w:color w:val="000000" w:themeColor="text1"/>
                    </w:rPr>
                    <w:t>：</w:t>
                  </w:r>
                  <w:r>
                    <w:rPr>
                      <w:color w:val="000000" w:themeColor="text1"/>
                    </w:rPr>
                    <w:t>危险废物贮存间</w:t>
                  </w:r>
                  <w:r>
                    <w:rPr>
                      <w:rFonts w:hint="eastAsia"/>
                      <w:color w:val="000000" w:themeColor="text1"/>
                    </w:rPr>
                    <w:t>地面及裙墙已采用了</w:t>
                  </w:r>
                  <w:r>
                    <w:rPr>
                      <w:color w:val="000000" w:themeColor="text1"/>
                    </w:rPr>
                    <w:t>2mm后的HDPE膜进行防渗，使其渗透系数≤10</w:t>
                  </w:r>
                  <w:r>
                    <w:rPr>
                      <w:color w:val="000000" w:themeColor="text1"/>
                      <w:vertAlign w:val="superscript"/>
                    </w:rPr>
                    <w:t>-10</w:t>
                  </w:r>
                  <w:r>
                    <w:rPr>
                      <w:color w:val="000000" w:themeColor="text1"/>
                    </w:rPr>
                    <w:t>cm/s；</w:t>
                  </w:r>
                </w:p>
              </w:tc>
              <w:tc>
                <w:tcPr>
                  <w:tcW w:w="1498" w:type="pct"/>
                  <w:vAlign w:val="center"/>
                </w:tcPr>
                <w:p>
                  <w:pPr>
                    <w:pStyle w:val="33"/>
                    <w:spacing w:line="360" w:lineRule="exact"/>
                    <w:ind w:firstLine="210" w:firstLineChars="100"/>
                    <w:jc w:val="both"/>
                    <w:rPr>
                      <w:color w:val="000000" w:themeColor="text1"/>
                    </w:rPr>
                  </w:pPr>
                  <w:r>
                    <w:rPr>
                      <w:color w:val="000000" w:themeColor="text1"/>
                      <w:szCs w:val="21"/>
                    </w:rPr>
                    <w:t>根据调查，</w:t>
                  </w:r>
                  <w:r>
                    <w:rPr>
                      <w:rFonts w:eastAsiaTheme="minorEastAsia"/>
                      <w:color w:val="000000" w:themeColor="text1"/>
                      <w:szCs w:val="21"/>
                    </w:rPr>
                    <w:t>重点防渗区</w:t>
                  </w:r>
                  <w:r>
                    <w:rPr>
                      <w:rFonts w:hint="eastAsia" w:eastAsiaTheme="minorEastAsia"/>
                      <w:color w:val="000000" w:themeColor="text1"/>
                      <w:szCs w:val="21"/>
                    </w:rPr>
                    <w:t>未发生变化。</w:t>
                  </w:r>
                </w:p>
              </w:tc>
              <w:tc>
                <w:tcPr>
                  <w:tcW w:w="445" w:type="pct"/>
                  <w:vAlign w:val="center"/>
                </w:tcPr>
                <w:p>
                  <w:pPr>
                    <w:pStyle w:val="33"/>
                    <w:spacing w:line="360" w:lineRule="exact"/>
                    <w:rPr>
                      <w:color w:val="000000" w:themeColor="text1"/>
                      <w:szCs w:val="21"/>
                    </w:rPr>
                  </w:pPr>
                  <w:r>
                    <w:rPr>
                      <w:rFonts w:hint="eastAsia" w:eastAsiaTheme="minorEastAsia"/>
                      <w:color w:val="000000" w:themeColor="text1"/>
                      <w:szCs w:val="21"/>
                    </w:rPr>
                    <w:t>已建，满足环保要求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rFonts w:eastAsiaTheme="minorEastAsia"/>
                      <w:color w:val="000000" w:themeColor="text1"/>
                      <w:szCs w:val="21"/>
                    </w:rPr>
                  </w:pPr>
                </w:p>
              </w:tc>
              <w:tc>
                <w:tcPr>
                  <w:tcW w:w="385"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一般防渗区</w:t>
                  </w:r>
                </w:p>
              </w:tc>
              <w:tc>
                <w:tcPr>
                  <w:tcW w:w="1829" w:type="pct"/>
                  <w:vAlign w:val="center"/>
                </w:tcPr>
                <w:p>
                  <w:pPr>
                    <w:pStyle w:val="33"/>
                    <w:spacing w:line="360" w:lineRule="exact"/>
                    <w:ind w:firstLine="210" w:firstLineChars="100"/>
                    <w:jc w:val="both"/>
                    <w:rPr>
                      <w:color w:val="000000" w:themeColor="text1"/>
                      <w:szCs w:val="21"/>
                    </w:rPr>
                  </w:pPr>
                  <w:r>
                    <w:rPr>
                      <w:rFonts w:hint="eastAsia"/>
                      <w:color w:val="000000" w:themeColor="text1"/>
                    </w:rPr>
                    <w:t>根据分区防渗规范要求，项目生产车间、废水处理系统、水淬渣暂存库、废渣暂存库区域均划定为一般防渗区</w:t>
                  </w:r>
                  <w:r>
                    <w:rPr>
                      <w:color w:val="000000" w:themeColor="text1"/>
                    </w:rPr>
                    <w:t>，</w:t>
                  </w:r>
                  <w:r>
                    <w:rPr>
                      <w:rFonts w:hint="eastAsia"/>
                      <w:color w:val="000000" w:themeColor="text1"/>
                    </w:rPr>
                    <w:t>根据业主介绍，废水处理系统已采取了防腐防渗措施，其</w:t>
                  </w:r>
                  <w:r>
                    <w:rPr>
                      <w:color w:val="000000" w:themeColor="text1"/>
                    </w:rPr>
                    <w:t>渗透系数≤1.0×10</w:t>
                  </w:r>
                  <w:r>
                    <w:rPr>
                      <w:color w:val="000000" w:themeColor="text1"/>
                      <w:vertAlign w:val="superscript"/>
                    </w:rPr>
                    <w:t>-</w:t>
                  </w:r>
                  <w:r>
                    <w:rPr>
                      <w:rFonts w:hint="eastAsia"/>
                      <w:color w:val="000000" w:themeColor="text1"/>
                      <w:vertAlign w:val="superscript"/>
                    </w:rPr>
                    <w:t>10</w:t>
                  </w:r>
                  <w:r>
                    <w:rPr>
                      <w:color w:val="000000" w:themeColor="text1"/>
                    </w:rPr>
                    <w:t>cm/s</w:t>
                  </w:r>
                  <w:r>
                    <w:rPr>
                      <w:rFonts w:hint="eastAsia"/>
                      <w:color w:val="000000" w:themeColor="text1"/>
                    </w:rPr>
                    <w:t>；而水淬渣暂存库和废渣暂存库均已进行了防渗施工，其</w:t>
                  </w:r>
                  <w:r>
                    <w:rPr>
                      <w:color w:val="000000" w:themeColor="text1"/>
                    </w:rPr>
                    <w:t>渗透系数≤1.0×10</w:t>
                  </w:r>
                  <w:r>
                    <w:rPr>
                      <w:color w:val="000000" w:themeColor="text1"/>
                      <w:vertAlign w:val="superscript"/>
                    </w:rPr>
                    <w:t>-</w:t>
                  </w:r>
                  <w:r>
                    <w:rPr>
                      <w:rFonts w:hint="eastAsia"/>
                      <w:color w:val="000000" w:themeColor="text1"/>
                      <w:vertAlign w:val="superscript"/>
                    </w:rPr>
                    <w:t>7</w:t>
                  </w:r>
                  <w:r>
                    <w:rPr>
                      <w:color w:val="000000" w:themeColor="text1"/>
                    </w:rPr>
                    <w:t>cm/s</w:t>
                  </w:r>
                  <w:r>
                    <w:rPr>
                      <w:rFonts w:hint="eastAsia"/>
                      <w:color w:val="000000" w:themeColor="text1"/>
                    </w:rPr>
                    <w:t>；生产车间各区域已采用粘土铺底</w:t>
                  </w:r>
                  <w:r>
                    <w:rPr>
                      <w:color w:val="000000" w:themeColor="text1"/>
                    </w:rPr>
                    <w:t>，并在上层铺30cm的混凝土进行硬化。确保防渗性能，使其渗透系数≤1.0×10</w:t>
                  </w:r>
                  <w:r>
                    <w:rPr>
                      <w:color w:val="000000" w:themeColor="text1"/>
                      <w:vertAlign w:val="superscript"/>
                    </w:rPr>
                    <w:t>-7</w:t>
                  </w:r>
                  <w:r>
                    <w:rPr>
                      <w:color w:val="000000" w:themeColor="text1"/>
                    </w:rPr>
                    <w:t>cm/s。</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根据调查，一般防渗区</w:t>
                  </w:r>
                  <w:r>
                    <w:rPr>
                      <w:rFonts w:hint="eastAsia"/>
                      <w:color w:val="000000" w:themeColor="text1"/>
                      <w:szCs w:val="21"/>
                    </w:rPr>
                    <w:t>未发生变化。</w:t>
                  </w:r>
                </w:p>
              </w:tc>
              <w:tc>
                <w:tcPr>
                  <w:tcW w:w="445" w:type="pct"/>
                  <w:vAlign w:val="center"/>
                </w:tcPr>
                <w:p>
                  <w:pPr>
                    <w:pStyle w:val="33"/>
                    <w:spacing w:line="360" w:lineRule="exact"/>
                    <w:rPr>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color w:val="000000" w:themeColor="text1"/>
                      <w:szCs w:val="21"/>
                    </w:rPr>
                    <w:t>噪声</w:t>
                  </w:r>
                </w:p>
              </w:tc>
              <w:tc>
                <w:tcPr>
                  <w:tcW w:w="385" w:type="pct"/>
                  <w:vAlign w:val="center"/>
                </w:tcPr>
                <w:p>
                  <w:pPr>
                    <w:pStyle w:val="33"/>
                    <w:spacing w:line="360" w:lineRule="exact"/>
                    <w:rPr>
                      <w:color w:val="000000" w:themeColor="text1"/>
                      <w:szCs w:val="21"/>
                    </w:rPr>
                  </w:pPr>
                  <w:r>
                    <w:rPr>
                      <w:color w:val="000000" w:themeColor="text1"/>
                      <w:szCs w:val="21"/>
                    </w:rPr>
                    <w:t>设备噪声</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设备基础加装减震垫、消声器等。</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噪声防治工程未发生变化；满足环保要求。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restart"/>
                  <w:vAlign w:val="center"/>
                </w:tcPr>
                <w:p>
                  <w:pPr>
                    <w:pStyle w:val="33"/>
                    <w:spacing w:line="360" w:lineRule="exact"/>
                    <w:rPr>
                      <w:color w:val="000000" w:themeColor="text1"/>
                      <w:szCs w:val="21"/>
                    </w:rPr>
                  </w:pPr>
                  <w:r>
                    <w:rPr>
                      <w:color w:val="000000" w:themeColor="text1"/>
                      <w:szCs w:val="21"/>
                    </w:rPr>
                    <w:t>固废</w:t>
                  </w:r>
                </w:p>
              </w:tc>
              <w:tc>
                <w:tcPr>
                  <w:tcW w:w="385" w:type="pct"/>
                  <w:vAlign w:val="center"/>
                </w:tcPr>
                <w:p>
                  <w:pPr>
                    <w:pStyle w:val="33"/>
                    <w:spacing w:line="360" w:lineRule="exact"/>
                    <w:rPr>
                      <w:color w:val="000000" w:themeColor="text1"/>
                      <w:szCs w:val="21"/>
                    </w:rPr>
                  </w:pPr>
                  <w:r>
                    <w:rPr>
                      <w:rFonts w:hint="eastAsia"/>
                      <w:color w:val="000000" w:themeColor="text1"/>
                      <w:szCs w:val="21"/>
                    </w:rPr>
                    <w:t>尾渣处理系统</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rFonts w:hint="eastAsia"/>
                      <w:color w:val="000000" w:themeColor="text1"/>
                      <w:szCs w:val="21"/>
                    </w:rPr>
                    <w:t>项目拟设置尾渣处理系统对其进行处理，尾渣处理系统包括浓密+真空过滤工艺，具体如下：</w:t>
                  </w:r>
                </w:p>
                <w:p>
                  <w:pPr>
                    <w:pStyle w:val="33"/>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1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⑴</w:t>
                  </w:r>
                  <w:r>
                    <w:rPr>
                      <w:color w:val="000000" w:themeColor="text1"/>
                      <w:szCs w:val="21"/>
                    </w:rPr>
                    <w:fldChar w:fldCharType="end"/>
                  </w:r>
                  <w:r>
                    <w:rPr>
                      <w:rFonts w:hint="eastAsia"/>
                      <w:color w:val="000000" w:themeColor="text1"/>
                      <w:szCs w:val="21"/>
                    </w:rPr>
                    <w:t>浓密</w:t>
                  </w:r>
                </w:p>
                <w:p>
                  <w:pPr>
                    <w:pStyle w:val="33"/>
                    <w:spacing w:line="360" w:lineRule="exact"/>
                    <w:ind w:firstLine="210" w:firstLineChars="100"/>
                    <w:jc w:val="both"/>
                    <w:rPr>
                      <w:color w:val="000000" w:themeColor="text1"/>
                      <w:szCs w:val="21"/>
                    </w:rPr>
                  </w:pPr>
                  <w:r>
                    <w:rPr>
                      <w:rFonts w:hint="eastAsia"/>
                      <w:color w:val="000000" w:themeColor="text1"/>
                      <w:szCs w:val="21"/>
                    </w:rPr>
                    <w:t>项目设置5个FNX-10浓密机对磁选和弱磁选工序产生的尾渣进行浓密，浓密后的尾渣进入过滤工序。</w:t>
                  </w:r>
                </w:p>
                <w:p>
                  <w:pPr>
                    <w:pStyle w:val="33"/>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2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⑵</w:t>
                  </w:r>
                  <w:r>
                    <w:rPr>
                      <w:color w:val="000000" w:themeColor="text1"/>
                      <w:szCs w:val="21"/>
                    </w:rPr>
                    <w:fldChar w:fldCharType="end"/>
                  </w:r>
                  <w:r>
                    <w:rPr>
                      <w:rFonts w:hint="eastAsia"/>
                      <w:color w:val="000000" w:themeColor="text1"/>
                      <w:szCs w:val="21"/>
                    </w:rPr>
                    <w:t>真空过滤</w:t>
                  </w:r>
                </w:p>
                <w:p>
                  <w:pPr>
                    <w:pStyle w:val="33"/>
                    <w:spacing w:line="360" w:lineRule="exact"/>
                    <w:ind w:firstLine="210" w:firstLineChars="100"/>
                    <w:jc w:val="both"/>
                    <w:rPr>
                      <w:color w:val="000000" w:themeColor="text1"/>
                      <w:szCs w:val="21"/>
                    </w:rPr>
                  </w:pPr>
                  <w:r>
                    <w:rPr>
                      <w:rFonts w:hint="eastAsia"/>
                      <w:color w:val="000000" w:themeColor="text1"/>
                      <w:szCs w:val="21"/>
                    </w:rPr>
                    <w:t>项目设置了1台GP-30-6盘式过滤机对经浓密后的尾渣进行过滤，经过滤后的废渣其含水率约为10%。</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尾渣处理系统未发生变化；满足环保要求。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设计提出提出（已</w:t>
                  </w:r>
                  <w:r>
                    <w:rPr>
                      <w:color w:val="000000" w:themeColor="text1"/>
                      <w:szCs w:val="21"/>
                    </w:rPr>
                    <w:t>建</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rFonts w:hint="eastAsia"/>
                      <w:color w:val="000000" w:themeColor="text1"/>
                      <w:szCs w:val="21"/>
                    </w:rPr>
                    <w:t>废渣暂存库</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本项目已设置的600m²废渣暂存库对其进行暂存。根据调查，该渣库设有顶棚和三面围挡，但围挡与顶棚之间存在空隙，未完全封闭，应加高围挡进行封闭，应对其进行修善。</w:t>
                  </w:r>
                </w:p>
              </w:tc>
              <w:tc>
                <w:tcPr>
                  <w:tcW w:w="1498" w:type="pct"/>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根据调查，</w:t>
                  </w:r>
                  <w:r>
                    <w:rPr>
                      <w:color w:val="000000" w:themeColor="text1"/>
                      <w:szCs w:val="21"/>
                    </w:rPr>
                    <w:t>本项目</w:t>
                  </w:r>
                  <w:r>
                    <w:rPr>
                      <w:rFonts w:hint="eastAsia"/>
                      <w:color w:val="000000" w:themeColor="text1"/>
                      <w:szCs w:val="21"/>
                    </w:rPr>
                    <w:t>浓密+真空过滤后的废渣</w:t>
                  </w:r>
                  <w:r>
                    <w:rPr>
                      <w:color w:val="000000" w:themeColor="text1"/>
                      <w:szCs w:val="21"/>
                    </w:rPr>
                    <w:t>产生</w:t>
                  </w:r>
                  <w:r>
                    <w:rPr>
                      <w:rFonts w:hint="eastAsia"/>
                      <w:color w:val="000000" w:themeColor="text1"/>
                      <w:szCs w:val="21"/>
                    </w:rPr>
                    <w:t>量</w:t>
                  </w:r>
                  <w:r>
                    <w:rPr>
                      <w:color w:val="000000" w:themeColor="text1"/>
                      <w:szCs w:val="21"/>
                    </w:rPr>
                    <w:t>约</w:t>
                  </w: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r>
                    <w:rPr>
                      <w:color w:val="000000" w:themeColor="text1"/>
                      <w:szCs w:val="21"/>
                    </w:rPr>
                    <w:t>，项目已设置的600m²废渣暂存库对其进行暂存后，</w:t>
                  </w:r>
                  <w:r>
                    <w:rPr>
                      <w:rFonts w:hint="eastAsia"/>
                      <w:color w:val="000000" w:themeColor="text1"/>
                      <w:szCs w:val="21"/>
                    </w:rPr>
                    <w:t>外售成都众轶金属材料有限公司作为生产原料利用。</w:t>
                  </w:r>
                </w:p>
                <w:p>
                  <w:pPr>
                    <w:pStyle w:val="33"/>
                    <w:spacing w:line="360" w:lineRule="exact"/>
                    <w:ind w:firstLine="210" w:firstLineChars="100"/>
                    <w:jc w:val="both"/>
                    <w:rPr>
                      <w:color w:val="000000" w:themeColor="text1"/>
                      <w:szCs w:val="21"/>
                    </w:rPr>
                  </w:pPr>
                  <w:r>
                    <w:rPr>
                      <w:color w:val="000000" w:themeColor="text1"/>
                      <w:szCs w:val="21"/>
                    </w:rPr>
                    <w:t>根据调查，该渣库设有顶棚和三面围挡，但围挡与顶棚之间存在空隙，未完全封闭，应加高围挡进行封闭，应对其进行修善。</w:t>
                  </w:r>
                </w:p>
              </w:tc>
              <w:tc>
                <w:tcPr>
                  <w:tcW w:w="445" w:type="pct"/>
                  <w:vAlign w:val="center"/>
                </w:tcPr>
                <w:p>
                  <w:pPr>
                    <w:pStyle w:val="33"/>
                    <w:spacing w:line="360" w:lineRule="exact"/>
                    <w:rPr>
                      <w:rFonts w:eastAsiaTheme="minorEastAsia"/>
                      <w:color w:val="000000" w:themeColor="text1"/>
                      <w:szCs w:val="21"/>
                    </w:rPr>
                  </w:pPr>
                  <w:r>
                    <w:rPr>
                      <w:rFonts w:hint="eastAsia"/>
                      <w:color w:val="000000" w:themeColor="text1"/>
                      <w:szCs w:val="21"/>
                    </w:rPr>
                    <w:t>已建，环评提出需整改修善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color w:val="000000" w:themeColor="text1"/>
                      <w:szCs w:val="21"/>
                    </w:rPr>
                    <w:t>危险废物贮存间</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针对项目产生的废机油，厂区已建设了1个15m²的危险废物贮存间对项目区废机油进行暂存。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根据调查，危险废物贮存间</w:t>
                  </w:r>
                  <w:r>
                    <w:rPr>
                      <w:rFonts w:hint="eastAsia"/>
                      <w:color w:val="000000" w:themeColor="text1"/>
                      <w:szCs w:val="21"/>
                    </w:rPr>
                    <w:t>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依托现有设施，满足环保要求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Merge w:val="continue"/>
                  <w:vAlign w:val="center"/>
                </w:tcPr>
                <w:p>
                  <w:pPr>
                    <w:pStyle w:val="33"/>
                    <w:spacing w:line="360" w:lineRule="exact"/>
                    <w:rPr>
                      <w:color w:val="000000" w:themeColor="text1"/>
                      <w:szCs w:val="21"/>
                    </w:rPr>
                  </w:pPr>
                </w:p>
              </w:tc>
              <w:tc>
                <w:tcPr>
                  <w:tcW w:w="385" w:type="pct"/>
                  <w:vAlign w:val="center"/>
                </w:tcPr>
                <w:p>
                  <w:pPr>
                    <w:pStyle w:val="33"/>
                    <w:spacing w:line="360" w:lineRule="exact"/>
                    <w:rPr>
                      <w:color w:val="000000" w:themeColor="text1"/>
                      <w:szCs w:val="21"/>
                    </w:rPr>
                  </w:pPr>
                  <w:r>
                    <w:rPr>
                      <w:color w:val="000000" w:themeColor="text1"/>
                      <w:szCs w:val="21"/>
                    </w:rPr>
                    <w:t>生活垃圾桶</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项目拟设置生活垃圾桶，对生活垃圾收集后委托环卫部门进行处理。</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根据调查，生活垃圾</w:t>
                  </w:r>
                  <w:r>
                    <w:rPr>
                      <w:rFonts w:hint="eastAsia"/>
                      <w:color w:val="000000" w:themeColor="text1"/>
                      <w:szCs w:val="21"/>
                    </w:rPr>
                    <w:t>处置满足环保要求。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依托现有设施，满足环保要求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rFonts w:hint="eastAsia"/>
                      <w:color w:val="000000" w:themeColor="text1"/>
                      <w:szCs w:val="21"/>
                    </w:rPr>
                    <w:t>环境风险</w:t>
                  </w:r>
                </w:p>
              </w:tc>
              <w:tc>
                <w:tcPr>
                  <w:tcW w:w="385" w:type="pct"/>
                  <w:vAlign w:val="center"/>
                </w:tcPr>
                <w:p>
                  <w:pPr>
                    <w:pStyle w:val="33"/>
                    <w:spacing w:line="360" w:lineRule="exact"/>
                    <w:rPr>
                      <w:color w:val="000000" w:themeColor="text1"/>
                      <w:szCs w:val="21"/>
                    </w:rPr>
                  </w:pPr>
                  <w:r>
                    <w:rPr>
                      <w:rFonts w:hint="eastAsia"/>
                      <w:color w:val="000000" w:themeColor="text1"/>
                      <w:szCs w:val="21"/>
                    </w:rPr>
                    <w:t>事故池</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由于厂区内已建设有9个圆柱形循环水池，一直闲置未利用。因此拟将最后1个循环水池作为事故池使用，该循环水池的尺寸为Φ4.6m、深4.5m的圆柱体，其有效容积为80m³。</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根据调查，</w:t>
                  </w:r>
                  <w:r>
                    <w:rPr>
                      <w:rFonts w:hint="eastAsia"/>
                      <w:color w:val="000000" w:themeColor="text1"/>
                      <w:szCs w:val="21"/>
                    </w:rPr>
                    <w:t>事故池位于废水处理系统旁，其</w:t>
                  </w:r>
                  <w:r>
                    <w:rPr>
                      <w:color w:val="000000" w:themeColor="text1"/>
                      <w:szCs w:val="21"/>
                    </w:rPr>
                    <w:t>尺寸为Φ4.6m、深4.5m的圆柱体</w:t>
                  </w:r>
                  <w:r>
                    <w:rPr>
                      <w:rFonts w:hint="eastAsia"/>
                      <w:color w:val="000000" w:themeColor="text1"/>
                      <w:szCs w:val="21"/>
                    </w:rPr>
                    <w:t>，且该事故池已配套设置了管道及水泵。</w:t>
                  </w:r>
                </w:p>
                <w:p>
                  <w:pPr>
                    <w:pStyle w:val="33"/>
                    <w:spacing w:line="360" w:lineRule="exact"/>
                    <w:ind w:firstLine="210" w:firstLineChars="100"/>
                    <w:jc w:val="both"/>
                    <w:rPr>
                      <w:color w:val="000000" w:themeColor="text1"/>
                      <w:szCs w:val="21"/>
                    </w:rPr>
                  </w:pPr>
                  <w:r>
                    <w:rPr>
                      <w:rFonts w:hint="eastAsia"/>
                      <w:color w:val="000000" w:themeColor="text1"/>
                      <w:szCs w:val="21"/>
                    </w:rPr>
                    <w:t>事故池未发生变化；满足环保要求。</w:t>
                  </w:r>
                </w:p>
              </w:tc>
              <w:tc>
                <w:tcPr>
                  <w:tcW w:w="445" w:type="pc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依托对现有设施进行功能置换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pStyle w:val="33"/>
                    <w:spacing w:line="360" w:lineRule="exact"/>
                    <w:rPr>
                      <w:color w:val="000000" w:themeColor="text1"/>
                      <w:szCs w:val="21"/>
                    </w:rPr>
                  </w:pPr>
                </w:p>
              </w:tc>
              <w:tc>
                <w:tcPr>
                  <w:tcW w:w="449" w:type="pct"/>
                  <w:gridSpan w:val="2"/>
                  <w:vAlign w:val="center"/>
                </w:tcPr>
                <w:p>
                  <w:pPr>
                    <w:pStyle w:val="33"/>
                    <w:spacing w:line="360" w:lineRule="exact"/>
                    <w:rPr>
                      <w:color w:val="000000" w:themeColor="text1"/>
                      <w:szCs w:val="21"/>
                    </w:rPr>
                  </w:pPr>
                  <w:r>
                    <w:rPr>
                      <w:color w:val="000000" w:themeColor="text1"/>
                      <w:szCs w:val="21"/>
                    </w:rPr>
                    <w:t>其他</w:t>
                  </w:r>
                </w:p>
              </w:tc>
              <w:tc>
                <w:tcPr>
                  <w:tcW w:w="385" w:type="pct"/>
                  <w:vAlign w:val="center"/>
                </w:tcPr>
                <w:p>
                  <w:pPr>
                    <w:pStyle w:val="33"/>
                    <w:spacing w:line="360" w:lineRule="exact"/>
                    <w:rPr>
                      <w:color w:val="000000" w:themeColor="text1"/>
                      <w:szCs w:val="21"/>
                    </w:rPr>
                  </w:pPr>
                  <w:r>
                    <w:rPr>
                      <w:color w:val="000000" w:themeColor="text1"/>
                      <w:szCs w:val="21"/>
                    </w:rPr>
                    <w:t>标识牌</w:t>
                  </w:r>
                </w:p>
              </w:tc>
              <w:tc>
                <w:tcPr>
                  <w:tcW w:w="1829" w:type="pct"/>
                  <w:vAlign w:val="center"/>
                </w:tcPr>
                <w:p>
                  <w:pPr>
                    <w:pStyle w:val="33"/>
                    <w:spacing w:line="360" w:lineRule="exact"/>
                    <w:ind w:firstLine="210" w:firstLineChars="100"/>
                    <w:jc w:val="both"/>
                    <w:rPr>
                      <w:color w:val="000000" w:themeColor="text1"/>
                      <w:szCs w:val="21"/>
                    </w:rPr>
                  </w:pPr>
                  <w:r>
                    <w:rPr>
                      <w:color w:val="000000" w:themeColor="text1"/>
                      <w:szCs w:val="24"/>
                    </w:rPr>
                    <w:t>根据</w:t>
                  </w:r>
                  <w:r>
                    <w:rPr>
                      <w:rFonts w:hint="eastAsia"/>
                      <w:color w:val="000000" w:themeColor="text1"/>
                      <w:szCs w:val="24"/>
                    </w:rPr>
                    <w:t>原环评</w:t>
                  </w:r>
                  <w:r>
                    <w:rPr>
                      <w:color w:val="000000" w:themeColor="text1"/>
                      <w:szCs w:val="24"/>
                    </w:rPr>
                    <w:t>，</w:t>
                  </w:r>
                  <w:r>
                    <w:rPr>
                      <w:color w:val="000000" w:themeColor="text1"/>
                      <w:szCs w:val="21"/>
                    </w:rPr>
                    <w:t>建设单位按照危险废物管理的规范要求，设置危险废物识别标志、环境保护图形标志。</w:t>
                  </w:r>
                </w:p>
              </w:tc>
              <w:tc>
                <w:tcPr>
                  <w:tcW w:w="1498" w:type="pct"/>
                  <w:vAlign w:val="center"/>
                </w:tcPr>
                <w:p>
                  <w:pPr>
                    <w:pStyle w:val="33"/>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445" w:type="pct"/>
                  <w:vAlign w:val="center"/>
                </w:tcPr>
                <w:p>
                  <w:pPr>
                    <w:pStyle w:val="33"/>
                    <w:spacing w:line="360" w:lineRule="exact"/>
                    <w:rPr>
                      <w:color w:val="000000" w:themeColor="text1"/>
                      <w:szCs w:val="21"/>
                    </w:rPr>
                  </w:pPr>
                  <w:r>
                    <w:rPr>
                      <w:rFonts w:hint="eastAsia"/>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6" w:name="_Toc493693536"/>
            <w:bookmarkStart w:id="7" w:name="_Toc433544969"/>
            <w:r>
              <w:rPr>
                <w:rFonts w:ascii="Times New Roman" w:hAnsi="Times New Roman" w:cs="Times New Roman"/>
                <w:b/>
                <w:color w:val="000000" w:themeColor="text1"/>
                <w:sz w:val="24"/>
                <w:szCs w:val="24"/>
              </w:rPr>
              <w:t>2.2 总平面布置</w:t>
            </w:r>
            <w:bookmarkEnd w:id="6"/>
            <w:bookmarkEnd w:id="7"/>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Pr>
                <w:rFonts w:hint="eastAsia" w:ascii="Times New Roman" w:hAnsi="Times New Roman" w:cs="Times New Roman"/>
                <w:b/>
                <w:color w:val="000000" w:themeColor="text1"/>
                <w:sz w:val="24"/>
                <w:szCs w:val="24"/>
              </w:rPr>
              <w:t>本项目在</w:t>
            </w:r>
            <w:r>
              <w:rPr>
                <w:rFonts w:ascii="Times New Roman" w:hAnsi="Times New Roman" w:cs="Times New Roman"/>
                <w:b/>
                <w:color w:val="000000" w:themeColor="text1"/>
                <w:sz w:val="24"/>
                <w:szCs w:val="24"/>
              </w:rPr>
              <w:t>厂区平面布置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昆明合旺有色金属有限公司根据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区地势设置，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区地势由东至西依次降低，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区东侧为</w:t>
            </w:r>
            <w:r>
              <w:rPr>
                <w:rFonts w:hint="eastAsia" w:ascii="Times New Roman" w:hAnsi="Times New Roman" w:cs="Times New Roman"/>
                <w:color w:val="000000" w:themeColor="text1"/>
                <w:sz w:val="24"/>
                <w:szCs w:val="24"/>
              </w:rPr>
              <w:t>次氧化锌生产线的</w:t>
            </w:r>
            <w:r>
              <w:rPr>
                <w:rFonts w:ascii="Times New Roman" w:hAnsi="Times New Roman" w:cs="Times New Roman"/>
                <w:color w:val="000000" w:themeColor="text1"/>
                <w:sz w:val="24"/>
                <w:szCs w:val="24"/>
              </w:rPr>
              <w:t>原料堆场，中部区域为</w:t>
            </w:r>
            <w:r>
              <w:rPr>
                <w:rFonts w:hint="eastAsia" w:ascii="Times New Roman" w:hAnsi="Times New Roman" w:cs="Times New Roman"/>
                <w:color w:val="000000" w:themeColor="text1"/>
                <w:sz w:val="24"/>
                <w:szCs w:val="24"/>
              </w:rPr>
              <w:t>次氧化锌生产线</w:t>
            </w:r>
            <w:r>
              <w:rPr>
                <w:rFonts w:ascii="Times New Roman" w:hAnsi="Times New Roman" w:cs="Times New Roman"/>
                <w:color w:val="000000" w:themeColor="text1"/>
                <w:sz w:val="24"/>
                <w:szCs w:val="24"/>
              </w:rPr>
              <w:t>生产车间，</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区北侧地势较低区域，生活办公区位于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区西侧</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w:t>
            </w:r>
            <w:r>
              <w:rPr>
                <w:rFonts w:hint="eastAsia" w:ascii="Times New Roman" w:hAnsi="Times New Roman" w:cs="Times New Roman"/>
                <w:color w:val="000000" w:themeColor="text1"/>
                <w:sz w:val="24"/>
                <w:szCs w:val="24"/>
              </w:rPr>
              <w:t>有9个闲置的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和废渣暂存库位于生活区旁；而本项目在氧化锌尾渣（水淬渣）</w:t>
            </w:r>
            <w:r>
              <w:rPr>
                <w:rFonts w:ascii="Times New Roman" w:hAnsi="Times New Roman" w:cs="Times New Roman"/>
                <w:color w:val="000000" w:themeColor="text1"/>
                <w:sz w:val="24"/>
                <w:szCs w:val="24"/>
              </w:rPr>
              <w:t>场</w:t>
            </w:r>
            <w:r>
              <w:rPr>
                <w:rFonts w:hint="eastAsia" w:ascii="Times New Roman" w:hAnsi="Times New Roman" w:cs="Times New Roman"/>
                <w:color w:val="000000" w:themeColor="text1"/>
                <w:sz w:val="24"/>
                <w:szCs w:val="24"/>
              </w:rPr>
              <w:t>区域建设，并依托使用9个闲置的</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和废渣暂存库。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位置详见附图3-1 项目在厂区范围位置示意图。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生产车间平面布置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根据设计，项目占地面积约为1950m²，</w:t>
            </w:r>
            <w:r>
              <w:rPr>
                <w:rFonts w:hint="eastAsia" w:ascii="Times New Roman" w:hAnsi="Times New Roman" w:cs="Times New Roman"/>
                <w:color w:val="000000" w:themeColor="text1"/>
                <w:sz w:val="24"/>
                <w:szCs w:val="24"/>
              </w:rPr>
              <w:t>项目生产区大致可以分为水淬渣暂存库、球磨选别车间、烘干车间和包装车间；其中水淬渣暂存库位于拟建生产线南侧区域，球磨选别车间位于项目区中部区域，烘干车间位于项目区东部区域，包装车间位于烘干车间的北侧区域。项目区域北侧为尾渣处理系统， 1#废水收集循环池位于尾渣处理系统西侧；而2#-11#废水收集循环池和废渣暂存库位于</w:t>
            </w:r>
            <w:r>
              <w:rPr>
                <w:rFonts w:ascii="Times New Roman" w:hAnsi="Times New Roman" w:cs="Times New Roman"/>
                <w:color w:val="000000" w:themeColor="text1"/>
                <w:sz w:val="24"/>
                <w:szCs w:val="24"/>
              </w:rPr>
              <w:t>生活办公区</w:t>
            </w:r>
            <w:r>
              <w:rPr>
                <w:rFonts w:hint="eastAsia" w:ascii="Times New Roman" w:hAnsi="Times New Roman" w:cs="Times New Roman"/>
                <w:color w:val="000000" w:themeColor="text1"/>
                <w:sz w:val="24"/>
                <w:szCs w:val="24"/>
              </w:rPr>
              <w:t>旁。</w:t>
            </w:r>
            <w:r>
              <w:rPr>
                <w:rFonts w:ascii="Times New Roman" w:hAnsi="Times New Roman" w:cs="Times New Roman"/>
                <w:color w:val="000000" w:themeColor="text1"/>
                <w:sz w:val="24"/>
                <w:szCs w:val="24"/>
              </w:rPr>
              <w:t>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本项目对第I类一般工业固废类氧化锌尾渣（水淬渣）进行综合利用，其主要工艺为通过物理磁选、重选的方式，回收有利用价值的铁，年处理氧化锌尾渣（水淬渣）16.5万吨；回收还原铁粉4.54万t/a、次铁粉1.38万t/a。</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根据设计，项目主要生产单元、主要工艺、生产设施及设施参数如下表所示。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2"/>
              <w:gridCol w:w="709"/>
              <w:gridCol w:w="1100"/>
              <w:gridCol w:w="2585"/>
              <w:gridCol w:w="2124"/>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179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restart"/>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主体工程</w:t>
                  </w:r>
                </w:p>
              </w:tc>
              <w:tc>
                <w:tcPr>
                  <w:tcW w:w="702"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球磨选别车间</w:t>
                  </w: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球磨分级系统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料斗</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54m³</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选别</w:t>
                  </w:r>
                  <w:r>
                    <w:rPr>
                      <w:rFonts w:hint="eastAsia" w:ascii="Times New Roman" w:hAnsi="Times New Roman" w:eastAsia="宋体" w:cs="Times New Roman"/>
                      <w:color w:val="000000" w:themeColor="text1"/>
                      <w:kern w:val="32"/>
                    </w:rPr>
                    <w:t>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磁选机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弱磁机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摇床</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6t/h</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8</w:t>
                  </w:r>
                  <w:r>
                    <w:rPr>
                      <w:rFonts w:hint="eastAsia"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FNX-10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50ZJL-A35</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restart"/>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烘干车间</w:t>
                  </w:r>
                </w:p>
              </w:tc>
              <w:tc>
                <w:tcPr>
                  <w:tcW w:w="1089" w:type="dxa"/>
                  <w:vMerge w:val="restart"/>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烘干</w:t>
                  </w:r>
                  <w:r>
                    <w:rPr>
                      <w:rFonts w:hint="eastAsia" w:ascii="Times New Roman" w:hAnsi="Times New Roman" w:eastAsia="宋体" w:cs="Times New Roman"/>
                      <w:color w:val="000000" w:themeColor="text1"/>
                      <w:kern w:val="32"/>
                    </w:rPr>
                    <w:t>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过滤机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螺旋进料机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烘干机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热风供应系统</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热风炉</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RFL型、功率37KW</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Y5-47-4C</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Y5-47-6C</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vMerge w:val="continue"/>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1089" w:type="dxa"/>
                  <w:vMerge w:val="continue"/>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风机</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4-7Z-4.5A</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r>
                    <w:rPr>
                      <w:rFonts w:ascii="Times New Roman" w:hAnsi="Times New Roman" w:eastAsia="宋体" w:cs="Times New Roman"/>
                      <w:color w:val="000000" w:themeColor="text1"/>
                      <w:kern w:val="32"/>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3"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702" w:type="dxa"/>
                  <w:tcBorders>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包装车间</w:t>
                  </w:r>
                </w:p>
              </w:tc>
              <w:tc>
                <w:tcPr>
                  <w:tcW w:w="1089" w:type="dxa"/>
                  <w:tcBorders>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包装工序</w:t>
                  </w:r>
                </w:p>
              </w:tc>
              <w:tc>
                <w:tcPr>
                  <w:tcW w:w="2559"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成品料斗</w:t>
                  </w:r>
                </w:p>
              </w:tc>
              <w:tc>
                <w:tcPr>
                  <w:tcW w:w="210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Φ200*</w:t>
                  </w:r>
                  <w:r>
                    <w:rPr>
                      <w:rFonts w:hint="eastAsia" w:ascii="Times New Roman" w:hAnsi="Times New Roman" w:eastAsia="宋体" w:cs="Times New Roman"/>
                      <w:color w:val="000000" w:themeColor="text1"/>
                      <w:kern w:val="32"/>
                    </w:rPr>
                    <w:t>2</w:t>
                  </w:r>
                  <w:r>
                    <w:rPr>
                      <w:rFonts w:ascii="Times New Roman" w:hAnsi="Times New Roman" w:eastAsia="宋体" w:cs="Times New Roman"/>
                      <w:color w:val="000000" w:themeColor="text1"/>
                      <w:kern w:val="32"/>
                    </w:rPr>
                    <w:t>00</w:t>
                  </w:r>
                </w:p>
              </w:tc>
              <w:tc>
                <w:tcPr>
                  <w:tcW w:w="11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本项目主要对昆明合旺有色金属有限公司生产线产生的氧化锌尾渣（水淬渣）进行综合利用，其原料来源于</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次氧化锌生产线及其拟扩建线产生的氧化锌尾渣（水淬渣）。</w:t>
            </w:r>
            <w:r>
              <w:rPr>
                <w:rFonts w:ascii="Times New Roman" w:hAnsi="Times New Roman" w:cs="Times New Roman"/>
                <w:color w:val="000000" w:themeColor="text1"/>
                <w:sz w:val="24"/>
                <w:szCs w:val="24"/>
              </w:rPr>
              <w:t>根据拟扩建生产线的设计资料，该扩建生产线拟在现有次氧化锌生产线基础上进行扩建，该扩建生产线目前处于初步设计阶段，预计2024年初完成初步设计，2024年初至2025年底完成环评审批手续，2025年底至2026年底完成项目建设并投入生产；该扩建生产线建设规模为年产次氧化锌7000吨，扩建生产线部分产生的氧化锌尾渣（水淬渣）量约为8.8万t/a；扩建完成后，厂区内氧化锌尾渣（水淬渣）总产生量约为16.5万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根据项目实际情况，目前</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次氧化锌生产线产生的尾渣仅有7.7万t/a，而项目设计规模为16.5万t/a，若在次氧化锌生产线的扩建工作完成前，项目对同类型企业的委托对其产生的氧化锌尾渣（水淬渣）进行处理，则必须满足以下两个条件：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①拟接收处理的氧化锌尾渣（水淬渣）为</w:t>
            </w:r>
            <w:r>
              <w:rPr>
                <w:rFonts w:ascii="Times New Roman" w:hAnsi="Times New Roman" w:cs="Times New Roman"/>
                <w:color w:val="000000" w:themeColor="text1"/>
                <w:sz w:val="24"/>
                <w:szCs w:val="24"/>
              </w:rPr>
              <w:t>第I类一般工业固体废物</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②拟接收处理的氧化锌尾渣（水淬渣）的主要成分和</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次氧化锌生产线产生的氧化锌尾渣（水淬渣）成分相似。</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项目年处理氧化锌尾渣（水淬渣）16.5万吨。</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（1）氧化锌尾渣（水淬渣）成分分析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根据建设单位提供的多次化验单，其主要成分如下表所示。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 xml:space="preserve">表2.5.1-1 </w:t>
            </w:r>
            <w:r>
              <w:rPr>
                <w:rFonts w:hAnsi="Times New Roman" w:eastAsiaTheme="minorEastAsia"/>
                <w:bCs/>
                <w:snapToGrid w:val="0"/>
                <w:color w:val="000000" w:themeColor="text1"/>
                <w:sz w:val="21"/>
                <w:szCs w:val="21"/>
              </w:rPr>
              <w:t>原料</w:t>
            </w:r>
            <w:r>
              <w:rPr>
                <w:rFonts w:hint="eastAsia" w:hAnsi="Times New Roman" w:eastAsiaTheme="minorEastAsia"/>
                <w:bCs/>
                <w:snapToGrid w:val="0"/>
                <w:color w:val="000000" w:themeColor="text1"/>
                <w:sz w:val="21"/>
                <w:szCs w:val="21"/>
              </w:rPr>
              <w:t>主要成分一览表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15"/>
              <w:gridCol w:w="1213"/>
              <w:gridCol w:w="1213"/>
              <w:gridCol w:w="1214"/>
              <w:gridCol w:w="1214"/>
              <w:gridCol w:w="1215"/>
              <w:gridCol w:w="1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元素组分</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锌</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铅</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单质铁</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热值（卡）</w:t>
                  </w:r>
                </w:p>
              </w:tc>
              <w:tc>
                <w:tcPr>
                  <w:tcW w:w="132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化验时间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含量%</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0.57</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0.21</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40.03</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29.56</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387</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0.39</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0.18</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38.62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31.53</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426</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0.45</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0.16</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37.74</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28.63</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427</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0.29</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0.18</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39.16</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32.41</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398</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0.46</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0.12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37.57</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29.25</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415</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2023/10/25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0.43</w:t>
                  </w:r>
                </w:p>
              </w:tc>
              <w:tc>
                <w:tcPr>
                  <w:tcW w:w="121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0.17</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38.62</w:t>
                  </w:r>
                </w:p>
              </w:tc>
              <w:tc>
                <w:tcPr>
                  <w:tcW w:w="121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30.28</w:t>
                  </w:r>
                </w:p>
              </w:tc>
              <w:tc>
                <w:tcPr>
                  <w:tcW w:w="121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41</w:t>
                  </w:r>
                  <w:r>
                    <w:rPr>
                      <w:rFonts w:hint="eastAsia" w:ascii="Times New Roman" w:hAnsi="Times New Roman" w:eastAsia="宋体" w:cs="Times New Roman"/>
                      <w:bCs/>
                      <w:snapToGrid w:val="0"/>
                      <w:color w:val="000000" w:themeColor="text1"/>
                      <w:kern w:val="32"/>
                      <w:lang w:val="zh-CN"/>
                    </w:rPr>
                    <w:t>1</w:t>
                  </w:r>
                </w:p>
              </w:tc>
              <w:tc>
                <w:tcPr>
                  <w:tcW w:w="1324"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平均值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08" w:type="dxa"/>
                  <w:gridSpan w:val="7"/>
                  <w:vAlign w:val="center"/>
                </w:tcPr>
                <w:p>
                  <w:pPr>
                    <w:spacing w:line="360" w:lineRule="exact"/>
                    <w:ind w:firstLine="210" w:firstLineChars="100"/>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备注：该成分分析表由建设单位自己根据生产需求化验，仅化验锌、铅、铁、单质铁等主要成分。</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（2）氧化锌尾渣（水淬渣）属性鉴别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为确定</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产生的</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的固体废物属性，建设单位委托</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进行了属性鉴别。</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①鉴别份数的设置原则</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本环评严格按照《危险废物鉴别技术规范》（HJ298-2019）的要求进行氧化锌尾渣（水淬渣）的属性鉴别，根据《危险废物鉴别技术规范》（HJ298-2019）中4.2.4条 满足以下情形固体废物的危险特性鉴别可以不根据固体废物的产生量确定采样份样数，“以下情形”中第3条为：“固体废物来源于连续生产工艺，且设施长期运行稳定、原辅材料类别和来源固定，可适当减少采样份样数，份样数不少于5个”。</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根据设计，项目原料来源于昆明合旺有色金属有限公司</w:t>
            </w:r>
            <w:r>
              <w:rPr>
                <w:rFonts w:ascii="Times New Roman" w:hAnsi="Times New Roman" w:cs="Times New Roman"/>
                <w:color w:val="000000" w:themeColor="text1"/>
                <w:sz w:val="24"/>
                <w:szCs w:val="24"/>
              </w:rPr>
              <w:t>次氧化锌生产线</w:t>
            </w:r>
            <w:r>
              <w:rPr>
                <w:rFonts w:hint="eastAsia" w:ascii="Times New Roman" w:hAnsi="Times New Roman" w:cs="Times New Roman"/>
                <w:color w:val="000000" w:themeColor="text1"/>
                <w:sz w:val="24"/>
                <w:szCs w:val="24"/>
              </w:rPr>
              <w:t>，根据该生产线的环评及竣工验收报告，该生产线产生的氧化锌尾渣（水淬渣）属性属于一般工业固体废物，且本项目运行至今均是按照一般工业固体废物管理。该生产线将氧化锌矿、含锌物料、石灰石和焦粉按比例配比后通过挥发回转窑焙烧回收次氧化锌产品，属于连续生产工艺，从2020年至今，生产线长期稳定运行，其原辅料来源均由河南骏牛供应链有限公司和四川宜牛供应链有限公司统一提供，来源固定。可满足上述鉴别的要求，因此其鉴别份数按5个设置。</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②氧化锌尾渣（水淬渣）属性鉴别</w:t>
            </w:r>
            <w:r>
              <w:rPr>
                <w:rFonts w:ascii="Times New Roman" w:hAnsi="Times New Roman" w:eastAsia="宋体" w:cs="Times New Roman"/>
                <w:b/>
                <w:color w:val="000000" w:themeColor="text1"/>
                <w:sz w:val="24"/>
                <w:szCs w:val="24"/>
              </w:rPr>
              <w:t>监测参数设置</w:t>
            </w:r>
          </w:p>
          <w:p>
            <w:pPr>
              <w:spacing w:line="360" w:lineRule="auto"/>
              <w:ind w:firstLine="480" w:firstLineChars="200"/>
              <w:rPr>
                <w:rFonts w:ascii="Times New Roman" w:hAnsi="Times New Roman" w:cs="Times New Roman"/>
                <w:color w:val="000000" w:themeColor="text1"/>
                <w:sz w:val="24"/>
                <w:szCs w:val="32"/>
              </w:rPr>
            </w:pPr>
            <w:r>
              <w:rPr>
                <w:rFonts w:hint="eastAsia" w:ascii="Times New Roman" w:hAnsi="Times New Roman" w:cs="Times New Roman"/>
                <w:color w:val="000000" w:themeColor="text1"/>
                <w:sz w:val="24"/>
                <w:szCs w:val="32"/>
              </w:rPr>
              <w:t>氧化锌尾渣（水淬渣）属性鉴别</w:t>
            </w:r>
            <w:r>
              <w:rPr>
                <w:rFonts w:ascii="Times New Roman" w:hAnsi="Times New Roman" w:cs="Times New Roman"/>
                <w:color w:val="000000" w:themeColor="text1"/>
                <w:sz w:val="24"/>
                <w:szCs w:val="32"/>
              </w:rPr>
              <w:t>监测参数如下表所示。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w:t>
            </w:r>
            <w:r>
              <w:rPr>
                <w:rFonts w:hint="eastAsia" w:hAnsi="Times New Roman" w:eastAsiaTheme="minorEastAsia"/>
                <w:bCs/>
                <w:snapToGrid w:val="0"/>
                <w:color w:val="000000" w:themeColor="text1"/>
                <w:sz w:val="21"/>
                <w:szCs w:val="21"/>
              </w:rPr>
              <w:t>2.5.1-2</w:t>
            </w:r>
            <w:r>
              <w:rPr>
                <w:rFonts w:hAnsi="Times New Roman" w:eastAsiaTheme="minorEastAsia"/>
                <w:bCs/>
                <w:snapToGrid w:val="0"/>
                <w:color w:val="000000" w:themeColor="text1"/>
                <w:sz w:val="21"/>
                <w:szCs w:val="21"/>
              </w:rPr>
              <w:t xml:space="preserve"> </w:t>
            </w:r>
            <w:r>
              <w:rPr>
                <w:rFonts w:hint="eastAsia" w:hAnsi="Times New Roman" w:eastAsiaTheme="minorEastAsia"/>
                <w:bCs/>
                <w:snapToGrid w:val="0"/>
                <w:color w:val="000000" w:themeColor="text1"/>
                <w:sz w:val="21"/>
                <w:szCs w:val="21"/>
              </w:rPr>
              <w:t>氧化锌尾渣（水淬渣）属性鉴别参数设置</w:t>
            </w:r>
            <w:r>
              <w:rPr>
                <w:rFonts w:hAnsi="Times New Roman" w:eastAsiaTheme="minorEastAsia"/>
                <w:bCs/>
                <w:snapToGrid w:val="0"/>
                <w:color w:val="000000" w:themeColor="text1"/>
                <w:sz w:val="21"/>
                <w:szCs w:val="21"/>
              </w:rPr>
              <w:t>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项目</w:t>
                  </w:r>
                </w:p>
              </w:tc>
              <w:tc>
                <w:tcPr>
                  <w:tcW w:w="6494" w:type="dxa"/>
                  <w:vAlign w:val="center"/>
                </w:tcPr>
                <w:p>
                  <w:pPr>
                    <w:pStyle w:val="33"/>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监测项目</w:t>
                  </w:r>
                </w:p>
              </w:tc>
              <w:tc>
                <w:tcPr>
                  <w:tcW w:w="6494" w:type="dxa"/>
                  <w:vAlign w:val="center"/>
                </w:tcPr>
                <w:p>
                  <w:pPr>
                    <w:pStyle w:val="33"/>
                    <w:spacing w:line="360" w:lineRule="exact"/>
                    <w:ind w:firstLine="210" w:firstLineChars="100"/>
                    <w:jc w:val="both"/>
                    <w:rPr>
                      <w:color w:val="000000" w:themeColor="text1"/>
                      <w:szCs w:val="21"/>
                    </w:rPr>
                  </w:pPr>
                  <w:r>
                    <w:rPr>
                      <w:color w:val="000000" w:themeColor="text1"/>
                      <w:szCs w:val="21"/>
                    </w:rPr>
                    <w:t>pH值</w:t>
                  </w:r>
                  <w:r>
                    <w:rPr>
                      <w:rFonts w:hint="eastAsia"/>
                      <w:color w:val="000000" w:themeColor="text1"/>
                      <w:szCs w:val="21"/>
                    </w:rPr>
                    <w:t>、</w:t>
                  </w:r>
                  <w:r>
                    <w:rPr>
                      <w:color w:val="000000" w:themeColor="text1"/>
                      <w:szCs w:val="21"/>
                    </w:rPr>
                    <w:t>铜</w:t>
                  </w:r>
                  <w:r>
                    <w:rPr>
                      <w:rFonts w:hint="eastAsia"/>
                      <w:color w:val="000000" w:themeColor="text1"/>
                      <w:szCs w:val="21"/>
                    </w:rPr>
                    <w:t>、</w:t>
                  </w:r>
                  <w:r>
                    <w:rPr>
                      <w:color w:val="000000" w:themeColor="text1"/>
                      <w:szCs w:val="21"/>
                    </w:rPr>
                    <w:t>锌</w:t>
                  </w:r>
                  <w:r>
                    <w:rPr>
                      <w:rFonts w:hint="eastAsia"/>
                      <w:color w:val="000000" w:themeColor="text1"/>
                      <w:szCs w:val="21"/>
                    </w:rPr>
                    <w:t>、</w:t>
                  </w:r>
                  <w:r>
                    <w:rPr>
                      <w:color w:val="000000" w:themeColor="text1"/>
                      <w:szCs w:val="21"/>
                    </w:rPr>
                    <w:t>镉</w:t>
                  </w:r>
                  <w:r>
                    <w:rPr>
                      <w:rFonts w:hint="eastAsia"/>
                      <w:color w:val="000000" w:themeColor="text1"/>
                      <w:szCs w:val="21"/>
                    </w:rPr>
                    <w:t>、</w:t>
                  </w:r>
                  <w:r>
                    <w:rPr>
                      <w:color w:val="000000" w:themeColor="text1"/>
                      <w:szCs w:val="21"/>
                    </w:rPr>
                    <w:t>铅</w:t>
                  </w:r>
                  <w:r>
                    <w:rPr>
                      <w:rFonts w:hint="eastAsia"/>
                      <w:color w:val="000000" w:themeColor="text1"/>
                      <w:szCs w:val="21"/>
                    </w:rPr>
                    <w:t>、</w:t>
                  </w:r>
                  <w:r>
                    <w:rPr>
                      <w:color w:val="000000" w:themeColor="text1"/>
                      <w:szCs w:val="21"/>
                    </w:rPr>
                    <w:t>总铬</w:t>
                  </w:r>
                  <w:r>
                    <w:rPr>
                      <w:rFonts w:hint="eastAsia"/>
                      <w:color w:val="000000" w:themeColor="text1"/>
                      <w:szCs w:val="21"/>
                    </w:rPr>
                    <w:t>、烷基汞、</w:t>
                  </w:r>
                  <w:r>
                    <w:rPr>
                      <w:color w:val="000000" w:themeColor="text1"/>
                      <w:szCs w:val="21"/>
                    </w:rPr>
                    <w:t>六价铬</w:t>
                  </w:r>
                  <w:r>
                    <w:rPr>
                      <w:rFonts w:hint="eastAsia"/>
                      <w:color w:val="000000" w:themeColor="text1"/>
                      <w:szCs w:val="21"/>
                    </w:rPr>
                    <w:t>、汞、</w:t>
                  </w:r>
                  <w:r>
                    <w:rPr>
                      <w:color w:val="000000" w:themeColor="text1"/>
                      <w:szCs w:val="21"/>
                    </w:rPr>
                    <w:t>铍</w:t>
                  </w:r>
                  <w:r>
                    <w:rPr>
                      <w:rFonts w:hint="eastAsia"/>
                      <w:color w:val="000000" w:themeColor="text1"/>
                      <w:szCs w:val="21"/>
                    </w:rPr>
                    <w:t>、</w:t>
                  </w:r>
                  <w:r>
                    <w:rPr>
                      <w:color w:val="000000" w:themeColor="text1"/>
                      <w:szCs w:val="21"/>
                    </w:rPr>
                    <w:t>钡</w:t>
                  </w:r>
                  <w:r>
                    <w:rPr>
                      <w:rFonts w:hint="eastAsia"/>
                      <w:color w:val="000000" w:themeColor="text1"/>
                      <w:szCs w:val="21"/>
                    </w:rPr>
                    <w:t>、</w:t>
                  </w:r>
                  <w:r>
                    <w:rPr>
                      <w:color w:val="000000" w:themeColor="text1"/>
                      <w:szCs w:val="21"/>
                    </w:rPr>
                    <w:t>镍</w:t>
                  </w:r>
                  <w:r>
                    <w:rPr>
                      <w:rFonts w:hint="eastAsia"/>
                      <w:color w:val="000000" w:themeColor="text1"/>
                      <w:szCs w:val="21"/>
                    </w:rPr>
                    <w:t>、总</w:t>
                  </w:r>
                  <w:r>
                    <w:rPr>
                      <w:color w:val="000000" w:themeColor="text1"/>
                      <w:szCs w:val="21"/>
                    </w:rPr>
                    <w:t>银</w:t>
                  </w:r>
                  <w:r>
                    <w:rPr>
                      <w:rFonts w:hint="eastAsia"/>
                      <w:color w:val="000000" w:themeColor="text1"/>
                      <w:szCs w:val="21"/>
                    </w:rPr>
                    <w:t>、</w:t>
                  </w:r>
                  <w:r>
                    <w:rPr>
                      <w:color w:val="000000" w:themeColor="text1"/>
                      <w:szCs w:val="21"/>
                    </w:rPr>
                    <w:t>砷</w:t>
                  </w:r>
                  <w:r>
                    <w:rPr>
                      <w:rFonts w:hint="eastAsia"/>
                      <w:color w:val="000000" w:themeColor="text1"/>
                      <w:szCs w:val="21"/>
                    </w:rPr>
                    <w:t>、</w:t>
                  </w:r>
                  <w:r>
                    <w:rPr>
                      <w:color w:val="000000" w:themeColor="text1"/>
                      <w:szCs w:val="21"/>
                    </w:rPr>
                    <w:t>硒</w:t>
                  </w:r>
                  <w:r>
                    <w:rPr>
                      <w:rFonts w:hint="eastAsia"/>
                      <w:color w:val="000000" w:themeColor="text1"/>
                      <w:szCs w:val="21"/>
                    </w:rPr>
                    <w:t>、</w:t>
                  </w:r>
                  <w:r>
                    <w:rPr>
                      <w:color w:val="000000" w:themeColor="text1"/>
                      <w:szCs w:val="21"/>
                    </w:rPr>
                    <w:t>氟化物</w:t>
                  </w:r>
                  <w:r>
                    <w:rPr>
                      <w:rFonts w:hint="eastAsia"/>
                      <w:color w:val="000000" w:themeColor="text1"/>
                      <w:szCs w:val="21"/>
                    </w:rPr>
                    <w:t>、</w:t>
                  </w:r>
                  <w:r>
                    <w:rPr>
                      <w:color w:val="000000" w:themeColor="text1"/>
                      <w:szCs w:val="21"/>
                    </w:rPr>
                    <w:t>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tabs>
                      <w:tab w:val="center" w:pos="540"/>
                    </w:tabs>
                    <w:spacing w:line="360" w:lineRule="exact"/>
                    <w:rPr>
                      <w:color w:val="000000" w:themeColor="text1"/>
                      <w:szCs w:val="21"/>
                    </w:rPr>
                  </w:pPr>
                  <w:r>
                    <w:rPr>
                      <w:color w:val="000000" w:themeColor="text1"/>
                      <w:szCs w:val="21"/>
                    </w:rPr>
                    <w:t>采样频率</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设置5个样，每个样均来自不同时间段产生的固体废物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color w:val="000000" w:themeColor="text1"/>
                      <w:szCs w:val="21"/>
                    </w:rPr>
                    <w:t>采样地点</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水淬渣暂存库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4" w:type="dxa"/>
                  <w:vAlign w:val="center"/>
                </w:tcPr>
                <w:p>
                  <w:pPr>
                    <w:pStyle w:val="33"/>
                    <w:spacing w:line="360" w:lineRule="exact"/>
                    <w:rPr>
                      <w:color w:val="000000" w:themeColor="text1"/>
                      <w:szCs w:val="21"/>
                    </w:rPr>
                  </w:pPr>
                  <w:r>
                    <w:rPr>
                      <w:rFonts w:hint="eastAsia"/>
                      <w:color w:val="000000" w:themeColor="text1"/>
                      <w:szCs w:val="21"/>
                    </w:rPr>
                    <w:t>监测时间</w:t>
                  </w:r>
                </w:p>
              </w:tc>
              <w:tc>
                <w:tcPr>
                  <w:tcW w:w="6494"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2023年9月15日</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③腐蚀性</w:t>
            </w:r>
            <w:r>
              <w:rPr>
                <w:rFonts w:ascii="Times New Roman" w:hAnsi="Times New Roman" w:eastAsia="宋体" w:cs="Times New Roman"/>
                <w:b/>
                <w:color w:val="000000" w:themeColor="text1"/>
                <w:sz w:val="24"/>
                <w:szCs w:val="24"/>
              </w:rPr>
              <w:t>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的监测结果，其</w:t>
            </w:r>
            <w:r>
              <w:rPr>
                <w:rFonts w:ascii="Times New Roman" w:hAnsi="Times New Roman" w:cs="Times New Roman"/>
                <w:color w:val="000000" w:themeColor="text1"/>
                <w:sz w:val="24"/>
                <w:szCs w:val="24"/>
              </w:rPr>
              <w:t>腐蚀性鉴别结果见下表。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2.5.1-3  </w:t>
            </w:r>
            <w:r>
              <w:rPr>
                <w:rFonts w:ascii="Times New Roman" w:hAnsi="Times New Roman" w:eastAsia="宋体" w:cs="Times New Roman"/>
                <w:b/>
                <w:color w:val="000000" w:themeColor="text1"/>
              </w:rPr>
              <w:t>氧化锌尾渣（水淬渣）腐蚀性检测结果一览表</w:t>
            </w:r>
            <w:r>
              <w:rPr>
                <w:rFonts w:hint="eastAsia" w:ascii="Times New Roman" w:hAnsi="Times New Roman" w:eastAsia="宋体" w:cs="Times New Roman"/>
                <w:b/>
                <w:color w:val="000000" w:themeColor="text1"/>
              </w:rPr>
              <w:t>mg/L</w:t>
            </w:r>
          </w:p>
          <w:tbl>
            <w:tblPr>
              <w:tblStyle w:val="22"/>
              <w:tblW w:w="5000" w:type="pct"/>
              <w:jc w:val="center"/>
              <w:tblLayout w:type="fixed"/>
              <w:tblCellMar>
                <w:top w:w="0" w:type="dxa"/>
                <w:left w:w="108" w:type="dxa"/>
                <w:bottom w:w="0" w:type="dxa"/>
                <w:right w:w="108" w:type="dxa"/>
              </w:tblCellMar>
            </w:tblPr>
            <w:tblGrid>
              <w:gridCol w:w="682"/>
              <w:gridCol w:w="1147"/>
              <w:gridCol w:w="1004"/>
              <w:gridCol w:w="1003"/>
              <w:gridCol w:w="1003"/>
              <w:gridCol w:w="1003"/>
              <w:gridCol w:w="1004"/>
              <w:gridCol w:w="1771"/>
            </w:tblGrid>
            <w:tr>
              <w:tblPrEx>
                <w:tblCellMar>
                  <w:top w:w="0" w:type="dxa"/>
                  <w:left w:w="108" w:type="dxa"/>
                  <w:bottom w:w="0" w:type="dxa"/>
                  <w:right w:w="108" w:type="dxa"/>
                </w:tblCellMar>
              </w:tblPrEx>
              <w:trPr>
                <w:trHeight w:val="245"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序号</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污染因子</w:t>
                  </w:r>
                </w:p>
              </w:tc>
              <w:tc>
                <w:tcPr>
                  <w:tcW w:w="4962" w:type="dxa"/>
                  <w:gridSpan w:val="5"/>
                  <w:tcBorders>
                    <w:top w:val="single" w:color="000000"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检出值</w:t>
                  </w:r>
                </w:p>
              </w:tc>
              <w:tc>
                <w:tcPr>
                  <w:tcW w:w="1751"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危险废物参考标准值</w:t>
                  </w:r>
                </w:p>
              </w:tc>
            </w:tr>
            <w:tr>
              <w:tblPrEx>
                <w:tblCellMar>
                  <w:top w:w="0" w:type="dxa"/>
                  <w:left w:w="108" w:type="dxa"/>
                  <w:bottom w:w="0" w:type="dxa"/>
                  <w:right w:w="108" w:type="dxa"/>
                </w:tblCellMar>
              </w:tblPrEx>
              <w:trPr>
                <w:trHeight w:val="300" w:hRule="atLeast"/>
                <w:jc w:val="center"/>
              </w:trPr>
              <w:tc>
                <w:tcPr>
                  <w:tcW w:w="675"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color w:val="000000" w:themeColor="text1"/>
                      <w:szCs w:val="21"/>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color w:val="000000" w:themeColor="text1"/>
                      <w:szCs w:val="21"/>
                    </w:rPr>
                  </w:pP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751" w:type="dxa"/>
                  <w:vMerge w:val="continue"/>
                  <w:tcBorders>
                    <w:top w:val="single" w:color="000000" w:sz="8" w:space="0"/>
                    <w:left w:val="single" w:color="auto" w:sz="8" w:space="0"/>
                    <w:bottom w:val="single" w:color="000000" w:sz="8" w:space="0"/>
                    <w:right w:val="single" w:color="000000" w:sz="8" w:space="0"/>
                  </w:tcBorders>
                  <w:vAlign w:val="center"/>
                </w:tcPr>
                <w:p>
                  <w:pPr>
                    <w:pStyle w:val="33"/>
                    <w:spacing w:line="360" w:lineRule="exact"/>
                    <w:rPr>
                      <w:color w:val="000000" w:themeColor="text1"/>
                      <w:szCs w:val="21"/>
                    </w:rPr>
                  </w:pPr>
                </w:p>
              </w:tc>
            </w:tr>
            <w:tr>
              <w:tblPrEx>
                <w:tblCellMar>
                  <w:top w:w="0" w:type="dxa"/>
                  <w:left w:w="108" w:type="dxa"/>
                  <w:bottom w:w="0" w:type="dxa"/>
                  <w:right w:w="108" w:type="dxa"/>
                </w:tblCellMar>
              </w:tblPrEx>
              <w:trPr>
                <w:trHeight w:val="61" w:hRule="atLeast"/>
                <w:jc w:val="center"/>
              </w:trPr>
              <w:tc>
                <w:tcPr>
                  <w:tcW w:w="675" w:type="dxa"/>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1</w:t>
                  </w:r>
                </w:p>
              </w:tc>
              <w:tc>
                <w:tcPr>
                  <w:tcW w:w="1134" w:type="dxa"/>
                  <w:tcBorders>
                    <w:top w:val="nil"/>
                    <w:left w:val="nil"/>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pH</w:t>
                  </w:r>
                  <w:r>
                    <w:rPr>
                      <w:rFonts w:hint="eastAsia"/>
                      <w:color w:val="000000" w:themeColor="text1"/>
                      <w:szCs w:val="21"/>
                    </w:rPr>
                    <w:t>值</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6.35</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6.56</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6.50</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7.22</w:t>
                  </w:r>
                </w:p>
              </w:tc>
              <w:tc>
                <w:tcPr>
                  <w:tcW w:w="993" w:type="dxa"/>
                  <w:tcBorders>
                    <w:top w:val="nil"/>
                    <w:left w:val="nil"/>
                    <w:bottom w:val="single" w:color="000000" w:sz="8" w:space="0"/>
                    <w:right w:val="single" w:color="auto"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8.73</w:t>
                  </w:r>
                </w:p>
              </w:tc>
              <w:tc>
                <w:tcPr>
                  <w:tcW w:w="1751" w:type="dxa"/>
                  <w:tcBorders>
                    <w:top w:val="nil"/>
                    <w:left w:val="nil"/>
                    <w:bottom w:val="single" w:color="000000" w:sz="8" w:space="0"/>
                    <w:right w:val="single" w:color="000000" w:sz="8" w:space="0"/>
                  </w:tcBorders>
                  <w:shd w:val="clear" w:color="auto" w:fill="auto"/>
                  <w:vAlign w:val="center"/>
                </w:tcPr>
                <w:p>
                  <w:pPr>
                    <w:pStyle w:val="33"/>
                    <w:spacing w:line="360" w:lineRule="exact"/>
                    <w:rPr>
                      <w:color w:val="000000" w:themeColor="text1"/>
                      <w:szCs w:val="21"/>
                    </w:rPr>
                  </w:pPr>
                  <w:r>
                    <w:rPr>
                      <w:color w:val="000000" w:themeColor="text1"/>
                      <w:szCs w:val="21"/>
                    </w:rPr>
                    <w:t>≥12.5</w:t>
                  </w:r>
                  <w:r>
                    <w:rPr>
                      <w:rFonts w:hint="eastAsia"/>
                      <w:color w:val="000000" w:themeColor="text1"/>
                      <w:szCs w:val="21"/>
                    </w:rPr>
                    <w:t>或</w:t>
                  </w:r>
                  <w:r>
                    <w:rPr>
                      <w:color w:val="000000" w:themeColor="text1"/>
                      <w:szCs w:val="21"/>
                    </w:rPr>
                    <w:t>≤2</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的腐蚀性不超过《危险废物鉴别标准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腐蚀性鉴别》（GB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.1-2007）。</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④酸</w:t>
            </w:r>
            <w:r>
              <w:rPr>
                <w:rFonts w:ascii="Times New Roman" w:hAnsi="Times New Roman" w:eastAsia="宋体" w:cs="Times New Roman"/>
                <w:b/>
                <w:color w:val="000000" w:themeColor="text1"/>
                <w:sz w:val="24"/>
                <w:szCs w:val="24"/>
              </w:rPr>
              <w:t>浸鉴别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的监测结果，其</w:t>
            </w:r>
            <w:r>
              <w:rPr>
                <w:rFonts w:ascii="Times New Roman" w:hAnsi="Times New Roman" w:cs="Times New Roman"/>
                <w:color w:val="000000" w:themeColor="text1"/>
                <w:sz w:val="24"/>
                <w:szCs w:val="24"/>
              </w:rPr>
              <w:t>浸出毒性鉴别结果见下表。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2.5.1-4 </w:t>
            </w:r>
            <w:r>
              <w:rPr>
                <w:rFonts w:ascii="Times New Roman" w:hAnsi="Times New Roman" w:eastAsia="宋体" w:cs="Times New Roman"/>
                <w:b/>
                <w:color w:val="000000" w:themeColor="text1"/>
              </w:rPr>
              <w:t>氧化锌尾渣（水淬渣）浸出毒性检测结果一览表</w:t>
            </w:r>
            <w:r>
              <w:rPr>
                <w:rFonts w:hint="eastAsia" w:ascii="Times New Roman" w:hAnsi="Times New Roman" w:eastAsia="宋体" w:cs="Times New Roman"/>
                <w:b/>
                <w:color w:val="000000" w:themeColor="text1"/>
              </w:rPr>
              <w:t>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60"/>
              <w:gridCol w:w="1002"/>
              <w:gridCol w:w="1002"/>
              <w:gridCol w:w="1002"/>
              <w:gridCol w:w="1003"/>
              <w:gridCol w:w="1002"/>
              <w:gridCol w:w="1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675" w:type="dxa"/>
                  <w:vMerge w:val="restart"/>
                  <w:vAlign w:val="center"/>
                </w:tcPr>
                <w:p>
                  <w:pPr>
                    <w:pStyle w:val="33"/>
                    <w:spacing w:line="360" w:lineRule="exact"/>
                    <w:rPr>
                      <w:color w:val="000000" w:themeColor="text1"/>
                      <w:szCs w:val="21"/>
                    </w:rPr>
                  </w:pPr>
                  <w:r>
                    <w:rPr>
                      <w:color w:val="000000" w:themeColor="text1"/>
                      <w:szCs w:val="21"/>
                    </w:rPr>
                    <w:t>序号</w:t>
                  </w:r>
                </w:p>
              </w:tc>
              <w:tc>
                <w:tcPr>
                  <w:tcW w:w="1560" w:type="dxa"/>
                  <w:gridSpan w:val="2"/>
                  <w:vMerge w:val="restart"/>
                  <w:vAlign w:val="center"/>
                </w:tcPr>
                <w:p>
                  <w:pPr>
                    <w:pStyle w:val="33"/>
                    <w:spacing w:line="360" w:lineRule="exact"/>
                    <w:rPr>
                      <w:color w:val="000000" w:themeColor="text1"/>
                      <w:szCs w:val="21"/>
                    </w:rPr>
                  </w:pPr>
                  <w:r>
                    <w:rPr>
                      <w:color w:val="000000" w:themeColor="text1"/>
                      <w:szCs w:val="21"/>
                    </w:rPr>
                    <w:t>污染因子</w:t>
                  </w:r>
                </w:p>
              </w:tc>
              <w:tc>
                <w:tcPr>
                  <w:tcW w:w="4961" w:type="dxa"/>
                  <w:gridSpan w:val="5"/>
                  <w:tcBorders>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检出值</w:t>
                  </w:r>
                </w:p>
              </w:tc>
              <w:tc>
                <w:tcPr>
                  <w:tcW w:w="1326" w:type="dxa"/>
                  <w:vMerge w:val="restart"/>
                  <w:vAlign w:val="center"/>
                </w:tcPr>
                <w:p>
                  <w:pPr>
                    <w:pStyle w:val="33"/>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75" w:type="dxa"/>
                  <w:vMerge w:val="continue"/>
                  <w:vAlign w:val="center"/>
                </w:tcPr>
                <w:p>
                  <w:pPr>
                    <w:pStyle w:val="33"/>
                    <w:spacing w:line="360" w:lineRule="exact"/>
                    <w:rPr>
                      <w:color w:val="000000" w:themeColor="text1"/>
                      <w:szCs w:val="21"/>
                    </w:rPr>
                  </w:pPr>
                </w:p>
              </w:tc>
              <w:tc>
                <w:tcPr>
                  <w:tcW w:w="1560" w:type="dxa"/>
                  <w:gridSpan w:val="2"/>
                  <w:vMerge w:val="continue"/>
                  <w:vAlign w:val="center"/>
                </w:tcPr>
                <w:p>
                  <w:pPr>
                    <w:pStyle w:val="33"/>
                    <w:spacing w:line="360" w:lineRule="exact"/>
                    <w:rPr>
                      <w:color w:val="000000" w:themeColor="text1"/>
                      <w:szCs w:val="21"/>
                    </w:rPr>
                  </w:pP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993"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99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326"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1</w:t>
                  </w:r>
                </w:p>
              </w:tc>
              <w:tc>
                <w:tcPr>
                  <w:tcW w:w="1560" w:type="dxa"/>
                  <w:gridSpan w:val="2"/>
                  <w:vAlign w:val="center"/>
                </w:tcPr>
                <w:p>
                  <w:pPr>
                    <w:pStyle w:val="33"/>
                    <w:spacing w:line="360" w:lineRule="exact"/>
                    <w:rPr>
                      <w:color w:val="000000" w:themeColor="text1"/>
                      <w:szCs w:val="21"/>
                    </w:rPr>
                  </w:pPr>
                  <w:r>
                    <w:rPr>
                      <w:color w:val="000000" w:themeColor="text1"/>
                      <w:szCs w:val="21"/>
                    </w:rPr>
                    <w:t>铜</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2</w:t>
                  </w:r>
                </w:p>
              </w:tc>
              <w:tc>
                <w:tcPr>
                  <w:tcW w:w="1560" w:type="dxa"/>
                  <w:gridSpan w:val="2"/>
                  <w:vAlign w:val="center"/>
                </w:tcPr>
                <w:p>
                  <w:pPr>
                    <w:pStyle w:val="33"/>
                    <w:spacing w:line="360" w:lineRule="exact"/>
                    <w:rPr>
                      <w:color w:val="000000" w:themeColor="text1"/>
                      <w:szCs w:val="21"/>
                    </w:rPr>
                  </w:pPr>
                  <w:r>
                    <w:rPr>
                      <w:color w:val="000000" w:themeColor="text1"/>
                      <w:szCs w:val="21"/>
                    </w:rPr>
                    <w:t>锌</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0.199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0.102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0.064</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0.011</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3</w:t>
                  </w:r>
                </w:p>
              </w:tc>
              <w:tc>
                <w:tcPr>
                  <w:tcW w:w="1560" w:type="dxa"/>
                  <w:gridSpan w:val="2"/>
                  <w:vAlign w:val="center"/>
                </w:tcPr>
                <w:p>
                  <w:pPr>
                    <w:pStyle w:val="33"/>
                    <w:spacing w:line="360" w:lineRule="exact"/>
                    <w:rPr>
                      <w:color w:val="000000" w:themeColor="text1"/>
                      <w:szCs w:val="21"/>
                    </w:rPr>
                  </w:pPr>
                  <w:r>
                    <w:rPr>
                      <w:color w:val="000000" w:themeColor="text1"/>
                      <w:szCs w:val="21"/>
                    </w:rPr>
                    <w:t>镉</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26"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4</w:t>
                  </w:r>
                </w:p>
              </w:tc>
              <w:tc>
                <w:tcPr>
                  <w:tcW w:w="1560" w:type="dxa"/>
                  <w:gridSpan w:val="2"/>
                  <w:vAlign w:val="center"/>
                </w:tcPr>
                <w:p>
                  <w:pPr>
                    <w:pStyle w:val="33"/>
                    <w:spacing w:line="360" w:lineRule="exact"/>
                    <w:rPr>
                      <w:color w:val="000000" w:themeColor="text1"/>
                      <w:szCs w:val="21"/>
                    </w:rPr>
                  </w:pPr>
                  <w:r>
                    <w:rPr>
                      <w:color w:val="000000" w:themeColor="text1"/>
                      <w:szCs w:val="21"/>
                    </w:rPr>
                    <w:t>铅</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0.20</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5</w:t>
                  </w:r>
                </w:p>
              </w:tc>
              <w:tc>
                <w:tcPr>
                  <w:tcW w:w="1560" w:type="dxa"/>
                  <w:gridSpan w:val="2"/>
                  <w:vAlign w:val="center"/>
                </w:tcPr>
                <w:p>
                  <w:pPr>
                    <w:pStyle w:val="33"/>
                    <w:spacing w:line="360" w:lineRule="exact"/>
                    <w:rPr>
                      <w:color w:val="000000" w:themeColor="text1"/>
                      <w:szCs w:val="21"/>
                    </w:rPr>
                  </w:pPr>
                  <w:r>
                    <w:rPr>
                      <w:color w:val="000000" w:themeColor="text1"/>
                      <w:szCs w:val="21"/>
                    </w:rPr>
                    <w:t>总铬</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0.08</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0.07</w:t>
                  </w:r>
                </w:p>
              </w:tc>
              <w:tc>
                <w:tcPr>
                  <w:tcW w:w="1326"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675" w:type="dxa"/>
                  <w:vMerge w:val="restart"/>
                  <w:vAlign w:val="center"/>
                </w:tcPr>
                <w:p>
                  <w:pPr>
                    <w:pStyle w:val="33"/>
                    <w:spacing w:line="360" w:lineRule="exact"/>
                    <w:rPr>
                      <w:color w:val="000000" w:themeColor="text1"/>
                      <w:szCs w:val="21"/>
                    </w:rPr>
                  </w:pPr>
                  <w:r>
                    <w:rPr>
                      <w:rFonts w:hint="eastAsia"/>
                      <w:color w:val="000000" w:themeColor="text1"/>
                      <w:szCs w:val="21"/>
                    </w:rPr>
                    <w:t>6</w:t>
                  </w:r>
                </w:p>
              </w:tc>
              <w:tc>
                <w:tcPr>
                  <w:tcW w:w="709" w:type="dxa"/>
                  <w:vMerge w:val="restart"/>
                  <w:vAlign w:val="center"/>
                </w:tcPr>
                <w:p>
                  <w:pPr>
                    <w:pStyle w:val="33"/>
                    <w:spacing w:line="360" w:lineRule="exact"/>
                    <w:rPr>
                      <w:color w:val="000000" w:themeColor="text1"/>
                      <w:szCs w:val="21"/>
                    </w:rPr>
                  </w:pPr>
                  <w:r>
                    <w:rPr>
                      <w:rFonts w:hint="eastAsia"/>
                      <w:color w:val="000000" w:themeColor="text1"/>
                      <w:szCs w:val="21"/>
                    </w:rPr>
                    <w:t>烷基汞</w:t>
                  </w:r>
                </w:p>
              </w:tc>
              <w:tc>
                <w:tcPr>
                  <w:tcW w:w="851" w:type="dxa"/>
                  <w:vAlign w:val="center"/>
                </w:tcPr>
                <w:p>
                  <w:pPr>
                    <w:pStyle w:val="33"/>
                    <w:spacing w:line="360" w:lineRule="exact"/>
                    <w:rPr>
                      <w:color w:val="000000" w:themeColor="text1"/>
                      <w:szCs w:val="21"/>
                    </w:rPr>
                  </w:pPr>
                  <w:r>
                    <w:rPr>
                      <w:rFonts w:hint="eastAsia"/>
                      <w:color w:val="000000" w:themeColor="text1"/>
                      <w:szCs w:val="21"/>
                    </w:rPr>
                    <w:t>甲基汞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Merge w:val="restart"/>
                  <w:vAlign w:val="center"/>
                </w:tcPr>
                <w:p>
                  <w:pPr>
                    <w:pStyle w:val="33"/>
                    <w:spacing w:line="360" w:lineRule="exact"/>
                    <w:rPr>
                      <w:color w:val="000000" w:themeColor="text1"/>
                      <w:szCs w:val="21"/>
                    </w:rPr>
                  </w:pPr>
                  <w:r>
                    <w:rPr>
                      <w:rFonts w:hint="eastAsia"/>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675"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1" w:type="dxa"/>
                  <w:vAlign w:val="center"/>
                </w:tcPr>
                <w:p>
                  <w:pPr>
                    <w:pStyle w:val="33"/>
                    <w:spacing w:line="360" w:lineRule="exact"/>
                    <w:rPr>
                      <w:color w:val="000000" w:themeColor="text1"/>
                      <w:szCs w:val="21"/>
                    </w:rPr>
                  </w:pPr>
                  <w:r>
                    <w:rPr>
                      <w:rFonts w:hint="eastAsia"/>
                      <w:color w:val="000000" w:themeColor="text1"/>
                      <w:szCs w:val="21"/>
                    </w:rPr>
                    <w:t>乙基汞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rFonts w:hint="eastAsia"/>
                      <w:color w:val="000000" w:themeColor="text1"/>
                      <w:szCs w:val="21"/>
                    </w:rPr>
                    <w:t>7</w:t>
                  </w:r>
                </w:p>
              </w:tc>
              <w:tc>
                <w:tcPr>
                  <w:tcW w:w="1560" w:type="dxa"/>
                  <w:gridSpan w:val="2"/>
                  <w:vAlign w:val="center"/>
                </w:tcPr>
                <w:p>
                  <w:pPr>
                    <w:pStyle w:val="33"/>
                    <w:spacing w:line="360" w:lineRule="exact"/>
                    <w:rPr>
                      <w:color w:val="000000" w:themeColor="text1"/>
                      <w:szCs w:val="21"/>
                    </w:rPr>
                  </w:pPr>
                  <w:r>
                    <w:rPr>
                      <w:color w:val="000000" w:themeColor="text1"/>
                      <w:szCs w:val="21"/>
                    </w:rPr>
                    <w:t>六价铬</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8</w:t>
                  </w:r>
                </w:p>
              </w:tc>
              <w:tc>
                <w:tcPr>
                  <w:tcW w:w="1560" w:type="dxa"/>
                  <w:gridSpan w:val="2"/>
                  <w:vAlign w:val="center"/>
                </w:tcPr>
                <w:p>
                  <w:pPr>
                    <w:pStyle w:val="33"/>
                    <w:spacing w:line="360" w:lineRule="exact"/>
                    <w:rPr>
                      <w:color w:val="000000" w:themeColor="text1"/>
                      <w:szCs w:val="21"/>
                    </w:rPr>
                  </w:pPr>
                  <w:r>
                    <w:rPr>
                      <w:rFonts w:hint="eastAsia"/>
                      <w:color w:val="000000" w:themeColor="text1"/>
                      <w:szCs w:val="21"/>
                    </w:rPr>
                    <w:t>汞</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0.00103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0.00058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1326"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9</w:t>
                  </w:r>
                </w:p>
              </w:tc>
              <w:tc>
                <w:tcPr>
                  <w:tcW w:w="1560" w:type="dxa"/>
                  <w:gridSpan w:val="2"/>
                  <w:vAlign w:val="center"/>
                </w:tcPr>
                <w:p>
                  <w:pPr>
                    <w:pStyle w:val="33"/>
                    <w:spacing w:line="360" w:lineRule="exact"/>
                    <w:rPr>
                      <w:color w:val="000000" w:themeColor="text1"/>
                      <w:szCs w:val="21"/>
                    </w:rPr>
                  </w:pPr>
                  <w:r>
                    <w:rPr>
                      <w:color w:val="000000" w:themeColor="text1"/>
                      <w:szCs w:val="21"/>
                    </w:rPr>
                    <w:t>铍</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0.0008</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0.0009</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1326" w:type="dxa"/>
                  <w:vAlign w:val="center"/>
                </w:tcPr>
                <w:p>
                  <w:pPr>
                    <w:pStyle w:val="33"/>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10</w:t>
                  </w:r>
                </w:p>
              </w:tc>
              <w:tc>
                <w:tcPr>
                  <w:tcW w:w="1560" w:type="dxa"/>
                  <w:gridSpan w:val="2"/>
                  <w:vAlign w:val="center"/>
                </w:tcPr>
                <w:p>
                  <w:pPr>
                    <w:pStyle w:val="33"/>
                    <w:spacing w:line="360" w:lineRule="exact"/>
                    <w:rPr>
                      <w:color w:val="000000" w:themeColor="text1"/>
                      <w:szCs w:val="21"/>
                    </w:rPr>
                  </w:pPr>
                  <w:r>
                    <w:rPr>
                      <w:color w:val="000000" w:themeColor="text1"/>
                      <w:szCs w:val="21"/>
                    </w:rPr>
                    <w:t>钡</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0.0464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0.0166</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0.0228</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0.0297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0.0289</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11</w:t>
                  </w:r>
                </w:p>
              </w:tc>
              <w:tc>
                <w:tcPr>
                  <w:tcW w:w="1560" w:type="dxa"/>
                  <w:gridSpan w:val="2"/>
                  <w:vAlign w:val="center"/>
                </w:tcPr>
                <w:p>
                  <w:pPr>
                    <w:pStyle w:val="33"/>
                    <w:spacing w:line="360" w:lineRule="exact"/>
                    <w:rPr>
                      <w:color w:val="000000" w:themeColor="text1"/>
                      <w:szCs w:val="21"/>
                    </w:rPr>
                  </w:pPr>
                  <w:r>
                    <w:rPr>
                      <w:color w:val="000000" w:themeColor="text1"/>
                      <w:szCs w:val="21"/>
                    </w:rPr>
                    <w:t>镍</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0.13</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0.17</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12</w:t>
                  </w:r>
                </w:p>
              </w:tc>
              <w:tc>
                <w:tcPr>
                  <w:tcW w:w="1560" w:type="dxa"/>
                  <w:gridSpan w:val="2"/>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13</w:t>
                  </w:r>
                </w:p>
              </w:tc>
              <w:tc>
                <w:tcPr>
                  <w:tcW w:w="1560" w:type="dxa"/>
                  <w:gridSpan w:val="2"/>
                  <w:vAlign w:val="center"/>
                </w:tcPr>
                <w:p>
                  <w:pPr>
                    <w:pStyle w:val="33"/>
                    <w:spacing w:line="360" w:lineRule="exact"/>
                    <w:rPr>
                      <w:color w:val="000000" w:themeColor="text1"/>
                      <w:szCs w:val="21"/>
                    </w:rPr>
                  </w:pPr>
                  <w:r>
                    <w:rPr>
                      <w:color w:val="000000" w:themeColor="text1"/>
                      <w:szCs w:val="21"/>
                    </w:rPr>
                    <w:t>砷</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0.0644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0.0055</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.0525</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0.0094</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0.0038</w:t>
                  </w:r>
                </w:p>
              </w:tc>
              <w:tc>
                <w:tcPr>
                  <w:tcW w:w="132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14</w:t>
                  </w:r>
                </w:p>
              </w:tc>
              <w:tc>
                <w:tcPr>
                  <w:tcW w:w="1560" w:type="dxa"/>
                  <w:gridSpan w:val="2"/>
                  <w:vAlign w:val="center"/>
                </w:tcPr>
                <w:p>
                  <w:pPr>
                    <w:pStyle w:val="33"/>
                    <w:spacing w:line="360" w:lineRule="exact"/>
                    <w:rPr>
                      <w:color w:val="000000" w:themeColor="text1"/>
                      <w:szCs w:val="21"/>
                    </w:rPr>
                  </w:pPr>
                  <w:r>
                    <w:rPr>
                      <w:color w:val="000000" w:themeColor="text1"/>
                      <w:szCs w:val="21"/>
                    </w:rPr>
                    <w:t>硒</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0.0386</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0.0133</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0.0667</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0.0140</w:t>
                  </w:r>
                </w:p>
              </w:tc>
              <w:tc>
                <w:tcPr>
                  <w:tcW w:w="1326"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15</w:t>
                  </w:r>
                </w:p>
              </w:tc>
              <w:tc>
                <w:tcPr>
                  <w:tcW w:w="1560" w:type="dxa"/>
                  <w:gridSpan w:val="2"/>
                  <w:vAlign w:val="center"/>
                </w:tcPr>
                <w:p>
                  <w:pPr>
                    <w:pStyle w:val="33"/>
                    <w:spacing w:line="360" w:lineRule="exact"/>
                    <w:rPr>
                      <w:color w:val="000000" w:themeColor="text1"/>
                      <w:szCs w:val="21"/>
                    </w:rPr>
                  </w:pPr>
                  <w:r>
                    <w:rPr>
                      <w:color w:val="000000" w:themeColor="text1"/>
                      <w:szCs w:val="21"/>
                    </w:rPr>
                    <w:t>氟化物</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2.80</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2.91</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2.24</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1.99</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1.64</w:t>
                  </w:r>
                </w:p>
              </w:tc>
              <w:tc>
                <w:tcPr>
                  <w:tcW w:w="1326"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vAlign w:val="center"/>
                </w:tcPr>
                <w:p>
                  <w:pPr>
                    <w:pStyle w:val="33"/>
                    <w:spacing w:line="360" w:lineRule="exact"/>
                    <w:rPr>
                      <w:color w:val="000000" w:themeColor="text1"/>
                      <w:szCs w:val="21"/>
                    </w:rPr>
                  </w:pPr>
                  <w:r>
                    <w:rPr>
                      <w:color w:val="000000" w:themeColor="text1"/>
                      <w:szCs w:val="21"/>
                    </w:rPr>
                    <w:t>16</w:t>
                  </w:r>
                </w:p>
              </w:tc>
              <w:tc>
                <w:tcPr>
                  <w:tcW w:w="1560" w:type="dxa"/>
                  <w:gridSpan w:val="2"/>
                  <w:vAlign w:val="center"/>
                </w:tcPr>
                <w:p>
                  <w:pPr>
                    <w:pStyle w:val="33"/>
                    <w:spacing w:line="360" w:lineRule="exact"/>
                    <w:rPr>
                      <w:color w:val="000000" w:themeColor="text1"/>
                      <w:szCs w:val="21"/>
                    </w:rPr>
                  </w:pPr>
                  <w:r>
                    <w:rPr>
                      <w:color w:val="000000" w:themeColor="text1"/>
                      <w:szCs w:val="21"/>
                    </w:rPr>
                    <w:t>氰化物</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99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ND</w:t>
                  </w:r>
                </w:p>
              </w:tc>
              <w:tc>
                <w:tcPr>
                  <w:tcW w:w="1326" w:type="dxa"/>
                  <w:vAlign w:val="center"/>
                </w:tcPr>
                <w:p>
                  <w:pPr>
                    <w:pStyle w:val="33"/>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的浸出毒性不超过《危险废物鉴别标准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浸出毒性鉴别》（GB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.3-2007）。</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⑤</w:t>
            </w:r>
            <w:r>
              <w:rPr>
                <w:rFonts w:ascii="Times New Roman" w:hAnsi="Times New Roman" w:eastAsia="宋体" w:cs="Times New Roman"/>
                <w:b/>
                <w:color w:val="000000" w:themeColor="text1"/>
                <w:sz w:val="24"/>
                <w:szCs w:val="24"/>
              </w:rPr>
              <w:t>水浸鉴别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cs="Times New Roman"/>
                <w:color w:val="000000" w:themeColor="text1"/>
                <w:sz w:val="24"/>
                <w:szCs w:val="24"/>
              </w:rPr>
              <w:t>2023年9月15日</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氧化锌尾渣（水淬渣）</w:t>
            </w:r>
            <w:r>
              <w:rPr>
                <w:rFonts w:hint="eastAsia" w:ascii="Times New Roman" w:hAnsi="Times New Roman" w:cs="Times New Roman"/>
                <w:color w:val="000000" w:themeColor="text1"/>
                <w:sz w:val="24"/>
                <w:szCs w:val="24"/>
              </w:rPr>
              <w:t>的监测结果，</w:t>
            </w:r>
            <w:r>
              <w:rPr>
                <w:rFonts w:ascii="Times New Roman" w:hAnsi="Times New Roman" w:eastAsia="宋体" w:cs="Times New Roman"/>
                <w:color w:val="000000" w:themeColor="text1"/>
                <w:sz w:val="24"/>
                <w:szCs w:val="24"/>
              </w:rPr>
              <w:t>水浸鉴别结果如下表所示。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 xml:space="preserve">2.5.1-5  </w:t>
            </w:r>
            <w:r>
              <w:rPr>
                <w:rFonts w:ascii="Times New Roman" w:hAnsi="Times New Roman" w:eastAsia="宋体" w:cs="Times New Roman"/>
                <w:b/>
                <w:color w:val="000000" w:themeColor="text1"/>
              </w:rPr>
              <w:t>氧化锌尾渣（水淬渣）水浸检测结果一览表</w:t>
            </w:r>
            <w:r>
              <w:rPr>
                <w:rFonts w:hint="eastAsia" w:ascii="Times New Roman" w:hAnsi="Times New Roman" w:eastAsia="宋体" w:cs="Times New Roman"/>
                <w:b/>
                <w:color w:val="000000" w:themeColor="text1"/>
              </w:rPr>
              <w:t xml:space="preserve">   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60"/>
              <w:gridCol w:w="1002"/>
              <w:gridCol w:w="1002"/>
              <w:gridCol w:w="1002"/>
              <w:gridCol w:w="1003"/>
              <w:gridCol w:w="1002"/>
              <w:gridCol w:w="1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682" w:type="dxa"/>
                  <w:vMerge w:val="restart"/>
                  <w:vAlign w:val="center"/>
                </w:tcPr>
                <w:p>
                  <w:pPr>
                    <w:pStyle w:val="33"/>
                    <w:spacing w:line="360" w:lineRule="exact"/>
                    <w:rPr>
                      <w:color w:val="000000" w:themeColor="text1"/>
                      <w:szCs w:val="21"/>
                    </w:rPr>
                  </w:pPr>
                  <w:r>
                    <w:rPr>
                      <w:color w:val="000000" w:themeColor="text1"/>
                      <w:szCs w:val="21"/>
                    </w:rPr>
                    <w:t>序号</w:t>
                  </w:r>
                </w:p>
              </w:tc>
              <w:tc>
                <w:tcPr>
                  <w:tcW w:w="1576" w:type="dxa"/>
                  <w:gridSpan w:val="2"/>
                  <w:vMerge w:val="restart"/>
                  <w:vAlign w:val="center"/>
                </w:tcPr>
                <w:p>
                  <w:pPr>
                    <w:pStyle w:val="33"/>
                    <w:spacing w:line="360" w:lineRule="exact"/>
                    <w:rPr>
                      <w:color w:val="000000" w:themeColor="text1"/>
                      <w:szCs w:val="21"/>
                    </w:rPr>
                  </w:pPr>
                  <w:r>
                    <w:rPr>
                      <w:color w:val="000000" w:themeColor="text1"/>
                      <w:szCs w:val="21"/>
                    </w:rPr>
                    <w:t>污染因子</w:t>
                  </w:r>
                </w:p>
              </w:tc>
              <w:tc>
                <w:tcPr>
                  <w:tcW w:w="5011" w:type="dxa"/>
                  <w:gridSpan w:val="5"/>
                  <w:tcBorders>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检出值</w:t>
                  </w:r>
                </w:p>
              </w:tc>
              <w:tc>
                <w:tcPr>
                  <w:tcW w:w="1339" w:type="dxa"/>
                  <w:vMerge w:val="restart"/>
                  <w:vAlign w:val="center"/>
                </w:tcPr>
                <w:p>
                  <w:pPr>
                    <w:pStyle w:val="33"/>
                    <w:spacing w:line="360" w:lineRule="exact"/>
                    <w:rPr>
                      <w:color w:val="000000" w:themeColor="text1"/>
                      <w:szCs w:val="21"/>
                    </w:rPr>
                  </w:pPr>
                  <w:r>
                    <w:rPr>
                      <w:rFonts w:hint="eastAsia"/>
                      <w:color w:val="000000" w:themeColor="text1"/>
                      <w:szCs w:val="21"/>
                    </w:rPr>
                    <w:t>第</w:t>
                  </w:r>
                  <w:r>
                    <w:rPr>
                      <w:color w:val="000000" w:themeColor="text1"/>
                      <w:szCs w:val="21"/>
                    </w:rPr>
                    <w:t>I类和</w:t>
                  </w:r>
                  <w:r>
                    <w:rPr>
                      <w:rFonts w:hint="eastAsia"/>
                      <w:color w:val="000000" w:themeColor="text1"/>
                      <w:szCs w:val="21"/>
                    </w:rPr>
                    <w:t>第</w:t>
                  </w:r>
                  <w:r>
                    <w:rPr>
                      <w:color w:val="000000" w:themeColor="text1"/>
                      <w:szCs w:val="21"/>
                    </w:rPr>
                    <w:t>II类一般工业固废临界值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82" w:type="dxa"/>
                  <w:vMerge w:val="continue"/>
                  <w:vAlign w:val="center"/>
                </w:tcPr>
                <w:p>
                  <w:pPr>
                    <w:pStyle w:val="33"/>
                    <w:spacing w:line="360" w:lineRule="exact"/>
                    <w:rPr>
                      <w:color w:val="000000" w:themeColor="text1"/>
                      <w:szCs w:val="21"/>
                    </w:rPr>
                  </w:pPr>
                </w:p>
              </w:tc>
              <w:tc>
                <w:tcPr>
                  <w:tcW w:w="1576" w:type="dxa"/>
                  <w:gridSpan w:val="2"/>
                  <w:vMerge w:val="continue"/>
                  <w:vAlign w:val="center"/>
                </w:tcPr>
                <w:p>
                  <w:pPr>
                    <w:pStyle w:val="33"/>
                    <w:spacing w:line="360" w:lineRule="exact"/>
                    <w:rPr>
                      <w:color w:val="000000" w:themeColor="text1"/>
                      <w:szCs w:val="21"/>
                    </w:rPr>
                  </w:pP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3#</w:t>
                  </w:r>
                  <w:r>
                    <w:rPr>
                      <w:rFonts w:hint="eastAsia"/>
                      <w:color w:val="000000" w:themeColor="text1"/>
                      <w:szCs w:val="21"/>
                    </w:rPr>
                    <w:t>渣样</w:t>
                  </w:r>
                </w:p>
              </w:tc>
              <w:tc>
                <w:tcPr>
                  <w:tcW w:w="1003"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4#</w:t>
                  </w:r>
                  <w:r>
                    <w:rPr>
                      <w:rFonts w:hint="eastAsia"/>
                      <w:color w:val="000000" w:themeColor="text1"/>
                      <w:szCs w:val="21"/>
                    </w:rPr>
                    <w:t>渣样</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5#</w:t>
                  </w:r>
                  <w:r>
                    <w:rPr>
                      <w:rFonts w:hint="eastAsia"/>
                      <w:color w:val="000000" w:themeColor="text1"/>
                      <w:szCs w:val="21"/>
                    </w:rPr>
                    <w:t>渣样</w:t>
                  </w:r>
                </w:p>
              </w:tc>
              <w:tc>
                <w:tcPr>
                  <w:tcW w:w="1339"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1</w:t>
                  </w:r>
                </w:p>
              </w:tc>
              <w:tc>
                <w:tcPr>
                  <w:tcW w:w="1576" w:type="dxa"/>
                  <w:gridSpan w:val="2"/>
                  <w:vAlign w:val="center"/>
                </w:tcPr>
                <w:p>
                  <w:pPr>
                    <w:pStyle w:val="33"/>
                    <w:spacing w:line="360" w:lineRule="exact"/>
                    <w:rPr>
                      <w:color w:val="000000" w:themeColor="text1"/>
                      <w:szCs w:val="21"/>
                    </w:rPr>
                  </w:pPr>
                  <w:r>
                    <w:rPr>
                      <w:color w:val="000000" w:themeColor="text1"/>
                      <w:szCs w:val="21"/>
                    </w:rPr>
                    <w:t>pH值</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6.35</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6.56</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6.50</w:t>
                  </w:r>
                </w:p>
              </w:tc>
              <w:tc>
                <w:tcPr>
                  <w:tcW w:w="1003"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7.22</w:t>
                  </w:r>
                </w:p>
              </w:tc>
              <w:tc>
                <w:tcPr>
                  <w:tcW w:w="1002" w:type="dxa"/>
                  <w:tcBorders>
                    <w:top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8.73</w:t>
                  </w:r>
                </w:p>
              </w:tc>
              <w:tc>
                <w:tcPr>
                  <w:tcW w:w="1339" w:type="dxa"/>
                  <w:vAlign w:val="center"/>
                </w:tcPr>
                <w:p>
                  <w:pPr>
                    <w:pStyle w:val="33"/>
                    <w:spacing w:line="360" w:lineRule="exact"/>
                    <w:rPr>
                      <w:color w:val="000000" w:themeColor="text1"/>
                      <w:szCs w:val="21"/>
                    </w:rPr>
                  </w:pPr>
                  <w:r>
                    <w:rPr>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2</w:t>
                  </w:r>
                </w:p>
              </w:tc>
              <w:tc>
                <w:tcPr>
                  <w:tcW w:w="1576" w:type="dxa"/>
                  <w:gridSpan w:val="2"/>
                  <w:vAlign w:val="center"/>
                </w:tcPr>
                <w:p>
                  <w:pPr>
                    <w:pStyle w:val="33"/>
                    <w:spacing w:line="360" w:lineRule="exact"/>
                    <w:rPr>
                      <w:color w:val="000000" w:themeColor="text1"/>
                      <w:szCs w:val="21"/>
                    </w:rPr>
                  </w:pPr>
                  <w:r>
                    <w:rPr>
                      <w:color w:val="000000" w:themeColor="text1"/>
                      <w:szCs w:val="21"/>
                    </w:rPr>
                    <w:t>铜</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3</w:t>
                  </w:r>
                </w:p>
              </w:tc>
              <w:tc>
                <w:tcPr>
                  <w:tcW w:w="1576" w:type="dxa"/>
                  <w:gridSpan w:val="2"/>
                  <w:vAlign w:val="center"/>
                </w:tcPr>
                <w:p>
                  <w:pPr>
                    <w:pStyle w:val="33"/>
                    <w:spacing w:line="360" w:lineRule="exact"/>
                    <w:rPr>
                      <w:color w:val="000000" w:themeColor="text1"/>
                      <w:szCs w:val="21"/>
                    </w:rPr>
                  </w:pPr>
                  <w:r>
                    <w:rPr>
                      <w:color w:val="000000" w:themeColor="text1"/>
                      <w:szCs w:val="21"/>
                    </w:rPr>
                    <w:t>锌</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0.044</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39" w:type="dxa"/>
                  <w:vAlign w:val="center"/>
                </w:tcPr>
                <w:p>
                  <w:pPr>
                    <w:pStyle w:val="33"/>
                    <w:spacing w:line="360" w:lineRule="exact"/>
                    <w:rPr>
                      <w:color w:val="000000" w:themeColor="text1"/>
                      <w:szCs w:val="21"/>
                    </w:rPr>
                  </w:pPr>
                  <w:r>
                    <w:rPr>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4</w:t>
                  </w:r>
                </w:p>
              </w:tc>
              <w:tc>
                <w:tcPr>
                  <w:tcW w:w="1576" w:type="dxa"/>
                  <w:gridSpan w:val="2"/>
                  <w:vAlign w:val="center"/>
                </w:tcPr>
                <w:p>
                  <w:pPr>
                    <w:pStyle w:val="33"/>
                    <w:spacing w:line="360" w:lineRule="exact"/>
                    <w:rPr>
                      <w:color w:val="000000" w:themeColor="text1"/>
                      <w:szCs w:val="21"/>
                    </w:rPr>
                  </w:pPr>
                  <w:r>
                    <w:rPr>
                      <w:color w:val="000000" w:themeColor="text1"/>
                      <w:szCs w:val="21"/>
                    </w:rPr>
                    <w:t>镉</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0.005L</w:t>
                  </w:r>
                </w:p>
              </w:tc>
              <w:tc>
                <w:tcPr>
                  <w:tcW w:w="1339"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5</w:t>
                  </w:r>
                </w:p>
              </w:tc>
              <w:tc>
                <w:tcPr>
                  <w:tcW w:w="1576" w:type="dxa"/>
                  <w:gridSpan w:val="2"/>
                  <w:vAlign w:val="center"/>
                </w:tcPr>
                <w:p>
                  <w:pPr>
                    <w:pStyle w:val="33"/>
                    <w:spacing w:line="360" w:lineRule="exact"/>
                    <w:rPr>
                      <w:color w:val="000000" w:themeColor="text1"/>
                      <w:szCs w:val="21"/>
                    </w:rPr>
                  </w:pPr>
                  <w:r>
                    <w:rPr>
                      <w:color w:val="000000" w:themeColor="text1"/>
                      <w:szCs w:val="21"/>
                    </w:rPr>
                    <w:t>铅</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0.1L</w:t>
                  </w:r>
                </w:p>
              </w:tc>
              <w:tc>
                <w:tcPr>
                  <w:tcW w:w="1339" w:type="dxa"/>
                  <w:vAlign w:val="center"/>
                </w:tcPr>
                <w:p>
                  <w:pPr>
                    <w:pStyle w:val="33"/>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rFonts w:hint="eastAsia"/>
                      <w:color w:val="000000" w:themeColor="text1"/>
                      <w:szCs w:val="21"/>
                    </w:rPr>
                    <w:t>6</w:t>
                  </w:r>
                </w:p>
              </w:tc>
              <w:tc>
                <w:tcPr>
                  <w:tcW w:w="1576" w:type="dxa"/>
                  <w:gridSpan w:val="2"/>
                  <w:vAlign w:val="center"/>
                </w:tcPr>
                <w:p>
                  <w:pPr>
                    <w:pStyle w:val="33"/>
                    <w:spacing w:line="360" w:lineRule="exact"/>
                    <w:rPr>
                      <w:color w:val="000000" w:themeColor="text1"/>
                      <w:szCs w:val="21"/>
                    </w:rPr>
                  </w:pPr>
                  <w:r>
                    <w:rPr>
                      <w:color w:val="000000" w:themeColor="text1"/>
                      <w:szCs w:val="21"/>
                    </w:rPr>
                    <w:t>总铬</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0.06</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0.05L</w:t>
                  </w:r>
                </w:p>
              </w:tc>
              <w:tc>
                <w:tcPr>
                  <w:tcW w:w="1339"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682" w:type="dxa"/>
                  <w:vMerge w:val="restart"/>
                  <w:vAlign w:val="center"/>
                </w:tcPr>
                <w:p>
                  <w:pPr>
                    <w:pStyle w:val="33"/>
                    <w:spacing w:line="360" w:lineRule="exact"/>
                    <w:rPr>
                      <w:color w:val="000000" w:themeColor="text1"/>
                      <w:szCs w:val="21"/>
                    </w:rPr>
                  </w:pPr>
                  <w:r>
                    <w:rPr>
                      <w:rFonts w:hint="eastAsia"/>
                      <w:color w:val="000000" w:themeColor="text1"/>
                      <w:szCs w:val="21"/>
                    </w:rPr>
                    <w:t>7</w:t>
                  </w:r>
                </w:p>
              </w:tc>
              <w:tc>
                <w:tcPr>
                  <w:tcW w:w="716" w:type="dxa"/>
                  <w:vMerge w:val="restart"/>
                  <w:vAlign w:val="center"/>
                </w:tcPr>
                <w:p>
                  <w:pPr>
                    <w:pStyle w:val="33"/>
                    <w:spacing w:line="360" w:lineRule="exact"/>
                    <w:rPr>
                      <w:color w:val="000000" w:themeColor="text1"/>
                      <w:szCs w:val="21"/>
                    </w:rPr>
                  </w:pPr>
                  <w:r>
                    <w:rPr>
                      <w:rFonts w:hint="eastAsia"/>
                      <w:color w:val="000000" w:themeColor="text1"/>
                      <w:szCs w:val="21"/>
                    </w:rPr>
                    <w:t>烷基汞</w:t>
                  </w:r>
                </w:p>
              </w:tc>
              <w:tc>
                <w:tcPr>
                  <w:tcW w:w="860" w:type="dxa"/>
                  <w:vAlign w:val="center"/>
                </w:tcPr>
                <w:p>
                  <w:pPr>
                    <w:pStyle w:val="33"/>
                    <w:spacing w:line="360" w:lineRule="exact"/>
                    <w:rPr>
                      <w:color w:val="000000" w:themeColor="text1"/>
                      <w:szCs w:val="21"/>
                    </w:rPr>
                  </w:pPr>
                  <w:r>
                    <w:rPr>
                      <w:rFonts w:hint="eastAsia"/>
                      <w:color w:val="000000" w:themeColor="text1"/>
                      <w:szCs w:val="21"/>
                    </w:rPr>
                    <w:t>甲基汞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339" w:type="dxa"/>
                  <w:vMerge w:val="restart"/>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682" w:type="dxa"/>
                  <w:vMerge w:val="continue"/>
                  <w:vAlign w:val="center"/>
                </w:tcPr>
                <w:p>
                  <w:pPr>
                    <w:pStyle w:val="33"/>
                    <w:spacing w:line="360" w:lineRule="exact"/>
                    <w:rPr>
                      <w:color w:val="000000" w:themeColor="text1"/>
                      <w:szCs w:val="21"/>
                    </w:rPr>
                  </w:pPr>
                </w:p>
              </w:tc>
              <w:tc>
                <w:tcPr>
                  <w:tcW w:w="716" w:type="dxa"/>
                  <w:vMerge w:val="continue"/>
                  <w:vAlign w:val="center"/>
                </w:tcPr>
                <w:p>
                  <w:pPr>
                    <w:pStyle w:val="33"/>
                    <w:spacing w:line="360" w:lineRule="exact"/>
                    <w:rPr>
                      <w:color w:val="000000" w:themeColor="text1"/>
                      <w:szCs w:val="21"/>
                    </w:rPr>
                  </w:pPr>
                </w:p>
              </w:tc>
              <w:tc>
                <w:tcPr>
                  <w:tcW w:w="860" w:type="dxa"/>
                  <w:vAlign w:val="center"/>
                </w:tcPr>
                <w:p>
                  <w:pPr>
                    <w:pStyle w:val="33"/>
                    <w:spacing w:line="360" w:lineRule="exact"/>
                    <w:rPr>
                      <w:color w:val="000000" w:themeColor="text1"/>
                      <w:szCs w:val="21"/>
                    </w:rPr>
                  </w:pPr>
                  <w:r>
                    <w:rPr>
                      <w:rFonts w:hint="eastAsia"/>
                      <w:color w:val="000000" w:themeColor="text1"/>
                      <w:szCs w:val="21"/>
                    </w:rPr>
                    <w:t>乙基汞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339" w:type="dxa"/>
                  <w:vMerge w:val="continue"/>
                  <w:vAlign w:val="center"/>
                </w:tcPr>
                <w:p>
                  <w:pPr>
                    <w:pStyle w:val="33"/>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8</w:t>
                  </w:r>
                </w:p>
              </w:tc>
              <w:tc>
                <w:tcPr>
                  <w:tcW w:w="1576" w:type="dxa"/>
                  <w:gridSpan w:val="2"/>
                  <w:vAlign w:val="center"/>
                </w:tcPr>
                <w:p>
                  <w:pPr>
                    <w:pStyle w:val="33"/>
                    <w:spacing w:line="360" w:lineRule="exact"/>
                    <w:rPr>
                      <w:color w:val="000000" w:themeColor="text1"/>
                      <w:szCs w:val="21"/>
                    </w:rPr>
                  </w:pPr>
                  <w:r>
                    <w:rPr>
                      <w:color w:val="000000" w:themeColor="text1"/>
                      <w:szCs w:val="21"/>
                    </w:rPr>
                    <w:t>六价铬</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0.004L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9</w:t>
                  </w:r>
                </w:p>
              </w:tc>
              <w:tc>
                <w:tcPr>
                  <w:tcW w:w="1576" w:type="dxa"/>
                  <w:gridSpan w:val="2"/>
                  <w:vAlign w:val="center"/>
                </w:tcPr>
                <w:p>
                  <w:pPr>
                    <w:pStyle w:val="33"/>
                    <w:spacing w:line="360" w:lineRule="exact"/>
                    <w:rPr>
                      <w:color w:val="000000" w:themeColor="text1"/>
                      <w:szCs w:val="21"/>
                    </w:rPr>
                  </w:pPr>
                  <w:r>
                    <w:rPr>
                      <w:rFonts w:hint="eastAsia"/>
                      <w:color w:val="000000" w:themeColor="text1"/>
                      <w:szCs w:val="21"/>
                    </w:rPr>
                    <w:t>汞</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0.00065</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0.00028</w:t>
                  </w:r>
                </w:p>
              </w:tc>
              <w:tc>
                <w:tcPr>
                  <w:tcW w:w="1339" w:type="dxa"/>
                  <w:vAlign w:val="center"/>
                </w:tcPr>
                <w:p>
                  <w:pPr>
                    <w:pStyle w:val="33"/>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10</w:t>
                  </w:r>
                </w:p>
              </w:tc>
              <w:tc>
                <w:tcPr>
                  <w:tcW w:w="1576" w:type="dxa"/>
                  <w:gridSpan w:val="2"/>
                  <w:vAlign w:val="center"/>
                </w:tcPr>
                <w:p>
                  <w:pPr>
                    <w:pStyle w:val="33"/>
                    <w:spacing w:line="360" w:lineRule="exact"/>
                    <w:rPr>
                      <w:color w:val="000000" w:themeColor="text1"/>
                      <w:szCs w:val="21"/>
                    </w:rPr>
                  </w:pPr>
                  <w:r>
                    <w:rPr>
                      <w:color w:val="000000" w:themeColor="text1"/>
                      <w:szCs w:val="21"/>
                    </w:rPr>
                    <w:t>铍</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0.0004</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0.0003</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0.0001L</w:t>
                  </w:r>
                </w:p>
              </w:tc>
              <w:tc>
                <w:tcPr>
                  <w:tcW w:w="1339" w:type="dxa"/>
                  <w:vAlign w:val="center"/>
                </w:tcPr>
                <w:p>
                  <w:pPr>
                    <w:pStyle w:val="33"/>
                    <w:spacing w:line="360" w:lineRule="exact"/>
                    <w:rPr>
                      <w:color w:val="000000" w:themeColor="text1"/>
                      <w:szCs w:val="21"/>
                    </w:rPr>
                  </w:pPr>
                  <w:r>
                    <w:rPr>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11</w:t>
                  </w:r>
                </w:p>
              </w:tc>
              <w:tc>
                <w:tcPr>
                  <w:tcW w:w="1576" w:type="dxa"/>
                  <w:gridSpan w:val="2"/>
                  <w:vAlign w:val="center"/>
                </w:tcPr>
                <w:p>
                  <w:pPr>
                    <w:pStyle w:val="33"/>
                    <w:spacing w:line="360" w:lineRule="exact"/>
                    <w:rPr>
                      <w:color w:val="000000" w:themeColor="text1"/>
                      <w:szCs w:val="21"/>
                    </w:rPr>
                  </w:pPr>
                  <w:r>
                    <w:rPr>
                      <w:color w:val="000000" w:themeColor="text1"/>
                      <w:szCs w:val="21"/>
                    </w:rPr>
                    <w:t>钡</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0.0226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0.0025L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0.0057</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0.0219</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0.0152</w:t>
                  </w:r>
                </w:p>
              </w:tc>
              <w:tc>
                <w:tcPr>
                  <w:tcW w:w="1339"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12</w:t>
                  </w:r>
                </w:p>
              </w:tc>
              <w:tc>
                <w:tcPr>
                  <w:tcW w:w="1576" w:type="dxa"/>
                  <w:gridSpan w:val="2"/>
                  <w:vAlign w:val="center"/>
                </w:tcPr>
                <w:p>
                  <w:pPr>
                    <w:pStyle w:val="33"/>
                    <w:spacing w:line="360" w:lineRule="exact"/>
                    <w:rPr>
                      <w:color w:val="000000" w:themeColor="text1"/>
                      <w:szCs w:val="21"/>
                    </w:rPr>
                  </w:pPr>
                  <w:r>
                    <w:rPr>
                      <w:color w:val="000000" w:themeColor="text1"/>
                      <w:szCs w:val="21"/>
                    </w:rPr>
                    <w:t>镍</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0.04L</w:t>
                  </w:r>
                </w:p>
              </w:tc>
              <w:tc>
                <w:tcPr>
                  <w:tcW w:w="1339" w:type="dxa"/>
                  <w:vAlign w:val="center"/>
                </w:tcPr>
                <w:p>
                  <w:pPr>
                    <w:pStyle w:val="33"/>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13</w:t>
                  </w:r>
                </w:p>
              </w:tc>
              <w:tc>
                <w:tcPr>
                  <w:tcW w:w="1576" w:type="dxa"/>
                  <w:gridSpan w:val="2"/>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0.01L</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14</w:t>
                  </w:r>
                </w:p>
              </w:tc>
              <w:tc>
                <w:tcPr>
                  <w:tcW w:w="1576" w:type="dxa"/>
                  <w:gridSpan w:val="2"/>
                  <w:vAlign w:val="center"/>
                </w:tcPr>
                <w:p>
                  <w:pPr>
                    <w:pStyle w:val="33"/>
                    <w:spacing w:line="360" w:lineRule="exact"/>
                    <w:rPr>
                      <w:color w:val="000000" w:themeColor="text1"/>
                      <w:szCs w:val="21"/>
                    </w:rPr>
                  </w:pPr>
                  <w:r>
                    <w:rPr>
                      <w:color w:val="000000" w:themeColor="text1"/>
                      <w:szCs w:val="21"/>
                    </w:rPr>
                    <w:t>砷</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0.0478</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0.0061</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0.0352</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0.0023</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0.0016</w:t>
                  </w:r>
                </w:p>
              </w:tc>
              <w:tc>
                <w:tcPr>
                  <w:tcW w:w="1339" w:type="dxa"/>
                  <w:vAlign w:val="center"/>
                </w:tcPr>
                <w:p>
                  <w:pPr>
                    <w:pStyle w:val="33"/>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15</w:t>
                  </w:r>
                </w:p>
              </w:tc>
              <w:tc>
                <w:tcPr>
                  <w:tcW w:w="1576" w:type="dxa"/>
                  <w:gridSpan w:val="2"/>
                  <w:vAlign w:val="center"/>
                </w:tcPr>
                <w:p>
                  <w:pPr>
                    <w:pStyle w:val="33"/>
                    <w:spacing w:line="360" w:lineRule="exact"/>
                    <w:rPr>
                      <w:color w:val="000000" w:themeColor="text1"/>
                      <w:szCs w:val="21"/>
                    </w:rPr>
                  </w:pPr>
                  <w:r>
                    <w:rPr>
                      <w:color w:val="000000" w:themeColor="text1"/>
                      <w:szCs w:val="21"/>
                    </w:rPr>
                    <w:t>硒</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0.0316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0.0322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0.0402</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0.0216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0.0136</w:t>
                  </w:r>
                </w:p>
              </w:tc>
              <w:tc>
                <w:tcPr>
                  <w:tcW w:w="1339"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2" w:type="dxa"/>
                  <w:vAlign w:val="center"/>
                </w:tcPr>
                <w:p>
                  <w:pPr>
                    <w:pStyle w:val="33"/>
                    <w:spacing w:line="360" w:lineRule="exact"/>
                    <w:rPr>
                      <w:color w:val="000000" w:themeColor="text1"/>
                      <w:szCs w:val="21"/>
                    </w:rPr>
                  </w:pPr>
                  <w:r>
                    <w:rPr>
                      <w:color w:val="000000" w:themeColor="text1"/>
                      <w:szCs w:val="21"/>
                    </w:rPr>
                    <w:t>16</w:t>
                  </w:r>
                </w:p>
              </w:tc>
              <w:tc>
                <w:tcPr>
                  <w:tcW w:w="1576" w:type="dxa"/>
                  <w:gridSpan w:val="2"/>
                  <w:vAlign w:val="center"/>
                </w:tcPr>
                <w:p>
                  <w:pPr>
                    <w:pStyle w:val="33"/>
                    <w:spacing w:line="360" w:lineRule="exact"/>
                    <w:rPr>
                      <w:color w:val="000000" w:themeColor="text1"/>
                      <w:szCs w:val="21"/>
                    </w:rPr>
                  </w:pPr>
                  <w:r>
                    <w:rPr>
                      <w:color w:val="000000" w:themeColor="text1"/>
                      <w:szCs w:val="21"/>
                    </w:rPr>
                    <w:t>氟化物</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1.72</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1.80</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0.69</w:t>
                  </w:r>
                </w:p>
              </w:tc>
              <w:tc>
                <w:tcPr>
                  <w:tcW w:w="1003"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0.36</w:t>
                  </w:r>
                </w:p>
              </w:tc>
              <w:tc>
                <w:tcPr>
                  <w:tcW w:w="1002"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0.66</w:t>
                  </w:r>
                </w:p>
              </w:tc>
              <w:tc>
                <w:tcPr>
                  <w:tcW w:w="1339" w:type="dxa"/>
                  <w:vAlign w:val="center"/>
                </w:tcPr>
                <w:p>
                  <w:pPr>
                    <w:pStyle w:val="33"/>
                    <w:spacing w:line="360" w:lineRule="exact"/>
                    <w:rPr>
                      <w:color w:val="000000" w:themeColor="text1"/>
                      <w:szCs w:val="21"/>
                    </w:rPr>
                  </w:pPr>
                  <w:r>
                    <w:rPr>
                      <w:color w:val="000000" w:themeColor="text1"/>
                      <w:szCs w:val="21"/>
                    </w:rPr>
                    <w:t>10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由上表可知，氧化锌尾渣（水淬渣）</w:t>
            </w:r>
            <w:r>
              <w:rPr>
                <w:rFonts w:ascii="Times New Roman" w:hAnsi="Times New Roman" w:cs="Times New Roman"/>
                <w:color w:val="000000" w:themeColor="text1"/>
                <w:sz w:val="24"/>
                <w:szCs w:val="24"/>
              </w:rPr>
              <w:t>水浸鉴别结果任何一种污染物的浓度均未超过《污水综合排放标准》（GB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-1996）最高允许排放浓度，且pH值在6-9范围之内。</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⑥氧化锌尾渣（水淬渣）属性判定结果</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根据建设单位委托</w:t>
            </w:r>
            <w:r>
              <w:rPr>
                <w:rFonts w:ascii="Times New Roman" w:hAnsi="Times New Roman" w:cs="Times New Roman"/>
                <w:color w:val="000000" w:themeColor="text1"/>
                <w:sz w:val="24"/>
                <w:szCs w:val="24"/>
              </w:rPr>
              <w:t>云南环普检测科技有限公司</w:t>
            </w:r>
            <w:r>
              <w:rPr>
                <w:rFonts w:hint="eastAsia" w:ascii="Times New Roman" w:hAnsi="Times New Roman" w:cs="Times New Roman"/>
                <w:color w:val="000000" w:themeColor="text1"/>
                <w:sz w:val="24"/>
                <w:szCs w:val="24"/>
              </w:rPr>
              <w:t>严格按照《危险废物鉴别技术规范》（HJ298-2019）的要求进行氧化锌尾渣（水淬渣）的属性鉴别结果可知，氧化锌尾渣（水淬渣）的</w:t>
            </w:r>
            <w:r>
              <w:rPr>
                <w:rFonts w:ascii="Times New Roman" w:hAnsi="Times New Roman" w:cs="Times New Roman"/>
                <w:color w:val="000000" w:themeColor="text1"/>
                <w:sz w:val="24"/>
                <w:szCs w:val="24"/>
              </w:rPr>
              <w:t>腐蚀性和浸出毒性不超过《危险废物鉴别标准腐蚀性鉴别》（GB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.1-2007）和《危险废物鉴别标准</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浸出毒性鉴别》（GB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.3-2007），</w:t>
            </w:r>
            <w:r>
              <w:rPr>
                <w:rFonts w:hint="eastAsia" w:ascii="Times New Roman" w:hAnsi="Times New Roman" w:cs="Times New Roman"/>
                <w:color w:val="000000" w:themeColor="text1"/>
                <w:sz w:val="24"/>
                <w:szCs w:val="24"/>
              </w:rPr>
              <w:t>且</w:t>
            </w:r>
            <w:r>
              <w:rPr>
                <w:rFonts w:ascii="Times New Roman" w:hAnsi="Times New Roman" w:cs="Times New Roman"/>
                <w:color w:val="000000" w:themeColor="text1"/>
                <w:sz w:val="24"/>
                <w:szCs w:val="24"/>
              </w:rPr>
              <w:t>水浸实验获得的浸出液中，任何一种污染物的浓度均未超过《污水综合排放标准》（GB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-1996）最高允许排放浓度，且pH值在6-9范围之内，因此该氧化锌尾渣（水淬渣）属于第I类一般工业固体废物。</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辅料性质及来源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项目采用物理方法进行磁选和重选，不添加任何药剂。</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燃料</w:t>
            </w:r>
          </w:p>
          <w:p>
            <w:pPr>
              <w:autoSpaceDE w:val="0"/>
              <w:autoSpaceDN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调整后，</w:t>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烘干系统</w:t>
            </w:r>
            <w:r>
              <w:rPr>
                <w:rFonts w:ascii="Times New Roman" w:hAnsi="Times New Roman" w:cs="Times New Roman"/>
                <w:color w:val="000000" w:themeColor="text1"/>
                <w:sz w:val="24"/>
                <w:szCs w:val="24"/>
              </w:rPr>
              <w:t>使用</w:t>
            </w:r>
            <w:r>
              <w:rPr>
                <w:rFonts w:hint="eastAsia" w:ascii="Times New Roman" w:hAnsi="Times New Roman" w:cs="Times New Roman"/>
                <w:color w:val="000000" w:themeColor="text1"/>
                <w:sz w:val="24"/>
                <w:szCs w:val="24"/>
              </w:rPr>
              <w:t>生物质</w:t>
            </w:r>
            <w:r>
              <w:rPr>
                <w:rFonts w:ascii="Times New Roman" w:hAnsi="Times New Roman" w:cs="Times New Roman"/>
                <w:color w:val="000000" w:themeColor="text1"/>
                <w:sz w:val="24"/>
                <w:szCs w:val="24"/>
              </w:rPr>
              <w:t>作为燃料</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根据设计，本项目</w:t>
            </w:r>
            <w:r>
              <w:rPr>
                <w:rFonts w:hint="eastAsia" w:ascii="Times New Roman" w:hAnsi="Times New Roman" w:cs="Times New Roman"/>
                <w:color w:val="000000" w:themeColor="text1"/>
                <w:sz w:val="24"/>
                <w:szCs w:val="24"/>
              </w:rPr>
              <w:t>使用生物质成型燃料</w:t>
            </w:r>
            <w:r>
              <w:rPr>
                <w:rFonts w:ascii="Times New Roman" w:hAnsi="Times New Roman" w:cs="Times New Roman"/>
                <w:color w:val="000000" w:themeColor="text1"/>
                <w:sz w:val="24"/>
                <w:szCs w:val="24"/>
              </w:rPr>
              <w:t>用量约为</w:t>
            </w:r>
            <w:r>
              <w:rPr>
                <w:rFonts w:hint="eastAsia" w:ascii="Times New Roman" w:hAnsi="Times New Roman" w:cs="Times New Roman"/>
                <w:color w:val="000000" w:themeColor="text1"/>
                <w:sz w:val="24"/>
                <w:szCs w:val="24"/>
              </w:rPr>
              <w:t>1000t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bCs/>
                <w:color w:val="000000" w:themeColor="text1"/>
                <w:sz w:val="24"/>
                <w:szCs w:val="24"/>
              </w:rPr>
            </w:pPr>
            <w:r>
              <w:rPr>
                <w:rFonts w:hint="eastAsia" w:ascii="Times New Roman" w:hAnsi="Times New Roman"/>
                <w:bCs/>
                <w:color w:val="000000" w:themeColor="text1"/>
                <w:sz w:val="24"/>
                <w:szCs w:val="24"/>
              </w:rPr>
              <w:t>根据检测报告，项目拟使用生物质燃料成分如下表所示。</w:t>
            </w:r>
          </w:p>
          <w:p>
            <w:pPr>
              <w:pStyle w:val="43"/>
              <w:spacing w:line="360" w:lineRule="exact"/>
              <w:rPr>
                <w:color w:val="000000" w:themeColor="text1"/>
                <w:szCs w:val="21"/>
              </w:rPr>
            </w:pPr>
            <w:r>
              <w:rPr>
                <w:rFonts w:hint="eastAsia"/>
                <w:color w:val="000000" w:themeColor="text1"/>
                <w:szCs w:val="21"/>
              </w:rPr>
              <w:t>表2.5.3-1 生物质燃料主要成分一览表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
              <w:gridCol w:w="1417"/>
              <w:gridCol w:w="2008"/>
              <w:gridCol w:w="1434"/>
              <w:gridCol w:w="1434"/>
              <w:gridCol w:w="14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项目</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全水分</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空气干燥基水分</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空气干燥基灰分</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空气干燥基挥发分</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空气干燥基固定碳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成分</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9.0%</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2.40%</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3.07%</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77.69%</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项目</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空气干燥基弹筒发热量</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空气干燥基弹筒发热量高位发热量</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收到基恒容低位发热量</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空气干燥基全硫</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空气干燥基氢元素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成分</w:t>
                  </w:r>
                </w:p>
              </w:tc>
              <w:tc>
                <w:tcPr>
                  <w:tcW w:w="141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19.29MJ/kg</w:t>
                  </w:r>
                </w:p>
              </w:tc>
              <w:tc>
                <w:tcPr>
                  <w:tcW w:w="2007"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19.25MJ/kg</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16.62MJ/kg</w:t>
                  </w:r>
                </w:p>
              </w:tc>
              <w:tc>
                <w:tcPr>
                  <w:tcW w:w="1434"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0.08%</w:t>
                  </w:r>
                </w:p>
              </w:tc>
              <w:tc>
                <w:tcPr>
                  <w:tcW w:w="1436" w:type="dxa"/>
                  <w:vAlign w:val="center"/>
                </w:tcPr>
                <w:p>
                  <w:pPr>
                    <w:spacing w:before="78" w:line="360" w:lineRule="exact"/>
                    <w:jc w:val="center"/>
                    <w:rPr>
                      <w:rFonts w:ascii="Times New Roman" w:hAnsi="Times New Roman"/>
                      <w:bCs/>
                      <w:snapToGrid w:val="0"/>
                      <w:color w:val="000000" w:themeColor="text1"/>
                      <w:kern w:val="32"/>
                    </w:rPr>
                  </w:pPr>
                  <w:r>
                    <w:rPr>
                      <w:rFonts w:hint="eastAsia" w:ascii="Times New Roman" w:hAnsi="Times New Roman"/>
                      <w:bCs/>
                      <w:snapToGrid w:val="0"/>
                      <w:color w:val="000000" w:themeColor="text1"/>
                      <w:kern w:val="32"/>
                    </w:rPr>
                    <w:t>5.97%</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 相关平衡</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2.6.1 物料平衡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根据项目生产工艺分析，本项目物料平衡如下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drawing>
                <wp:inline distT="0" distB="0" distL="0" distR="0">
                  <wp:extent cx="5477510" cy="2752090"/>
                  <wp:effectExtent l="19050" t="0" r="8740" b="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noChangeArrowheads="1"/>
                          </pic:cNvPicPr>
                        </pic:nvPicPr>
                        <pic:blipFill>
                          <a:blip r:embed="rId5"/>
                          <a:srcRect/>
                          <a:stretch>
                            <a:fillRect/>
                          </a:stretch>
                        </pic:blipFill>
                        <pic:spPr>
                          <a:xfrm>
                            <a:off x="0" y="0"/>
                            <a:ext cx="5478780" cy="2752727"/>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.1</w:t>
            </w:r>
            <w:r>
              <w:rPr>
                <w:rFonts w:hAnsi="Times New Roman" w:eastAsiaTheme="minorEastAsia"/>
                <w:bCs/>
                <w:snapToGrid w:val="0"/>
                <w:color w:val="000000" w:themeColor="text1"/>
                <w:sz w:val="21"/>
                <w:szCs w:val="21"/>
              </w:rPr>
              <w:t>-1 本项目物料平衡图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2.6.2 铁元素平衡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w:t>
            </w:r>
            <w:r>
              <w:rPr>
                <w:rFonts w:hint="eastAsia" w:ascii="Times New Roman" w:hAnsi="Times New Roman"/>
                <w:bCs/>
                <w:color w:val="000000" w:themeColor="text1"/>
                <w:sz w:val="24"/>
                <w:szCs w:val="24"/>
              </w:rPr>
              <w:t>铁元素</w:t>
            </w:r>
            <w:r>
              <w:rPr>
                <w:rFonts w:ascii="Times New Roman" w:hAnsi="Times New Roman"/>
                <w:bCs/>
                <w:color w:val="000000" w:themeColor="text1"/>
                <w:sz w:val="24"/>
                <w:szCs w:val="24"/>
              </w:rPr>
              <w:t>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color w:val="000000" w:themeColor="text1"/>
                <w:sz w:val="21"/>
                <w:szCs w:val="21"/>
              </w:rPr>
              <w:drawing>
                <wp:inline distT="0" distB="0" distL="0" distR="0">
                  <wp:extent cx="5478780" cy="1925955"/>
                  <wp:effectExtent l="19050" t="0" r="762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noChangeArrowheads="1"/>
                          </pic:cNvPicPr>
                        </pic:nvPicPr>
                        <pic:blipFill>
                          <a:blip r:embed="rId6"/>
                          <a:srcRect/>
                          <a:stretch>
                            <a:fillRect/>
                          </a:stretch>
                        </pic:blipFill>
                        <pic:spPr>
                          <a:xfrm>
                            <a:off x="0" y="0"/>
                            <a:ext cx="5478780" cy="1925955"/>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w:t>
            </w:r>
            <w:r>
              <w:rPr>
                <w:rFonts w:hint="eastAsia" w:hAnsi="Times New Roman" w:eastAsiaTheme="minorEastAsia"/>
                <w:bCs/>
                <w:snapToGrid w:val="0"/>
                <w:color w:val="000000" w:themeColor="text1"/>
                <w:sz w:val="21"/>
                <w:szCs w:val="21"/>
              </w:rPr>
              <w:t>1</w:t>
            </w:r>
            <w:r>
              <w:rPr>
                <w:rFonts w:hAnsi="Times New Roman" w:eastAsiaTheme="minorEastAsia"/>
                <w:bCs/>
                <w:snapToGrid w:val="0"/>
                <w:color w:val="000000" w:themeColor="text1"/>
                <w:sz w:val="21"/>
                <w:szCs w:val="21"/>
              </w:rPr>
              <w:t xml:space="preserve"> 本项目</w:t>
            </w:r>
            <w:r>
              <w:rPr>
                <w:rFonts w:hint="eastAsia" w:hAnsi="Times New Roman" w:eastAsiaTheme="minorEastAsia"/>
                <w:bCs/>
                <w:snapToGrid w:val="0"/>
                <w:color w:val="000000" w:themeColor="text1"/>
                <w:sz w:val="21"/>
                <w:szCs w:val="21"/>
              </w:rPr>
              <w:t>铁元素</w:t>
            </w:r>
            <w:r>
              <w:rPr>
                <w:rFonts w:hAnsi="Times New Roman" w:eastAsiaTheme="minorEastAsia"/>
                <w:bCs/>
                <w:snapToGrid w:val="0"/>
                <w:color w:val="000000" w:themeColor="text1"/>
                <w:sz w:val="21"/>
                <w:szCs w:val="21"/>
              </w:rPr>
              <w:t>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2.6.3 铅元素平衡</w:t>
            </w:r>
          </w:p>
          <w:p>
            <w:pPr>
              <w:spacing w:line="360" w:lineRule="auto"/>
              <w:ind w:firstLine="480" w:firstLineChars="200"/>
              <w:rPr>
                <w:rFonts w:ascii="Times New Roman" w:hAnsi="Times New Roman"/>
                <w:bCs/>
                <w:color w:val="000000" w:themeColor="text1"/>
                <w:sz w:val="24"/>
                <w:szCs w:val="24"/>
              </w:rPr>
            </w:pPr>
            <w:r>
              <w:rPr>
                <w:rFonts w:ascii="Times New Roman" w:hAnsi="Times New Roman"/>
                <w:bCs/>
                <w:color w:val="000000" w:themeColor="text1"/>
                <w:sz w:val="24"/>
                <w:szCs w:val="24"/>
              </w:rPr>
              <w:t>根据项目生产工艺分析，本项目</w:t>
            </w:r>
            <w:r>
              <w:rPr>
                <w:rFonts w:hint="eastAsia" w:ascii="Times New Roman" w:hAnsi="Times New Roman"/>
                <w:bCs/>
                <w:color w:val="000000" w:themeColor="text1"/>
                <w:sz w:val="24"/>
                <w:szCs w:val="24"/>
              </w:rPr>
              <w:t>铅元素</w:t>
            </w:r>
            <w:r>
              <w:rPr>
                <w:rFonts w:ascii="Times New Roman" w:hAnsi="Times New Roman"/>
                <w:bCs/>
                <w:color w:val="000000" w:themeColor="text1"/>
                <w:sz w:val="24"/>
                <w:szCs w:val="24"/>
              </w:rPr>
              <w:t>平衡如下</w:t>
            </w:r>
            <w:r>
              <w:rPr>
                <w:rFonts w:hint="eastAsia" w:ascii="Times New Roman" w:hAnsi="Times New Roman"/>
                <w:bCs/>
                <w:color w:val="000000" w:themeColor="text1"/>
                <w:sz w:val="24"/>
                <w:szCs w:val="24"/>
              </w:rPr>
              <w:t>图</w:t>
            </w:r>
            <w:r>
              <w:rPr>
                <w:rFonts w:ascii="Times New Roman" w:hAnsi="Times New Roman"/>
                <w:bCs/>
                <w:color w:val="000000" w:themeColor="text1"/>
                <w:sz w:val="24"/>
                <w:szCs w:val="24"/>
              </w:rPr>
              <w:t>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drawing>
                <wp:inline distT="0" distB="0" distL="0" distR="0">
                  <wp:extent cx="5468620" cy="1927225"/>
                  <wp:effectExtent l="1905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noChangeArrowheads="1"/>
                          </pic:cNvPicPr>
                        </pic:nvPicPr>
                        <pic:blipFill>
                          <a:blip r:embed="rId7"/>
                          <a:srcRect/>
                          <a:stretch>
                            <a:fillRect/>
                          </a:stretch>
                        </pic:blipFill>
                        <pic:spPr>
                          <a:xfrm>
                            <a:off x="0" y="0"/>
                            <a:ext cx="5468620" cy="1927225"/>
                          </a:xfrm>
                          <a:prstGeom prst="rect">
                            <a:avLst/>
                          </a:prstGeom>
                          <a:noFill/>
                          <a:ln w="9525">
                            <a:noFill/>
                            <a:miter lim="800000"/>
                            <a:headEnd/>
                            <a:tailEnd/>
                          </a:ln>
                        </pic:spPr>
                      </pic:pic>
                    </a:graphicData>
                  </a:graphic>
                </wp:inline>
              </w:drawing>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w:t>
            </w:r>
            <w:r>
              <w:rPr>
                <w:rFonts w:hint="eastAsia" w:hAnsi="Times New Roman" w:eastAsiaTheme="minorEastAsia"/>
                <w:bCs/>
                <w:snapToGrid w:val="0"/>
                <w:color w:val="000000" w:themeColor="text1"/>
                <w:sz w:val="21"/>
                <w:szCs w:val="21"/>
              </w:rPr>
              <w:t>.3</w:t>
            </w:r>
            <w:r>
              <w:rPr>
                <w:rFonts w:hAnsi="Times New Roman" w:eastAsiaTheme="minorEastAsia"/>
                <w:bCs/>
                <w:snapToGrid w:val="0"/>
                <w:color w:val="000000" w:themeColor="text1"/>
                <w:sz w:val="21"/>
                <w:szCs w:val="21"/>
              </w:rPr>
              <w:t>-1 本项目</w:t>
            </w:r>
            <w:r>
              <w:rPr>
                <w:rFonts w:hint="eastAsia" w:hAnsi="Times New Roman" w:eastAsiaTheme="minorEastAsia"/>
                <w:bCs/>
                <w:snapToGrid w:val="0"/>
                <w:color w:val="000000" w:themeColor="text1"/>
                <w:sz w:val="21"/>
                <w:szCs w:val="21"/>
              </w:rPr>
              <w:t>铅元素</w:t>
            </w:r>
            <w:r>
              <w:rPr>
                <w:rFonts w:hAnsi="Times New Roman" w:eastAsiaTheme="minorEastAsia"/>
                <w:bCs/>
                <w:snapToGrid w:val="0"/>
                <w:color w:val="000000" w:themeColor="text1"/>
                <w:sz w:val="21"/>
                <w:szCs w:val="21"/>
              </w:rPr>
              <w:t>平衡图</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2.6.2 水平衡</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（1）本项目水平衡</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w:t>
            </w:r>
            <w:r>
              <w:rPr>
                <w:rFonts w:hint="eastAsia" w:ascii="Times New Roman" w:hAnsi="Times New Roman" w:cs="Times New Roman"/>
                <w:color w:val="000000" w:themeColor="text1"/>
                <w:sz w:val="24"/>
              </w:rPr>
              <w:t>本项目用水环节主要为生产用水和生活用水，而废水产生环节主要为生产废水、生活污水。而本项目</w:t>
            </w:r>
            <w:r>
              <w:rPr>
                <w:rFonts w:ascii="Times New Roman" w:hAnsi="Times New Roman" w:cs="Times New Roman"/>
                <w:color w:val="000000" w:themeColor="text1"/>
                <w:sz w:val="24"/>
              </w:rPr>
              <w:t>在现有厂区内建设，项目的建设不会改变现有厂区初期雨水的产生量</w:t>
            </w:r>
            <w:r>
              <w:rPr>
                <w:rFonts w:hint="eastAsia" w:ascii="Times New Roman" w:hAnsi="Times New Roman" w:cs="Times New Roman"/>
                <w:color w:val="000000" w:themeColor="text1"/>
                <w:sz w:val="24"/>
              </w:rPr>
              <w:t>，因此初期雨水纳入现有次氧化锌生产线废水污染源进行分析，</w:t>
            </w:r>
            <w:r>
              <w:rPr>
                <w:rFonts w:ascii="Times New Roman" w:hAnsi="Times New Roman" w:cs="Times New Roman"/>
                <w:color w:val="000000" w:themeColor="text1"/>
                <w:sz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生产废水量</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用水环节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根据工艺流程可知，</w:t>
            </w:r>
            <w:r>
              <w:rPr>
                <w:rFonts w:hint="eastAsia" w:ascii="Times New Roman" w:hAnsi="Times New Roman" w:cs="Times New Roman"/>
                <w:color w:val="000000" w:themeColor="text1"/>
                <w:sz w:val="24"/>
                <w:szCs w:val="24"/>
              </w:rPr>
              <w:t>本项目采用球磨、磁选和重选方式对氧化锌尾渣（水淬渣）进行综合利用，选出其中的铁物质，根据设计，本项目生产用水定额为2.77</w:t>
            </w:r>
            <w:r>
              <w:rPr>
                <w:rFonts w:ascii="Times New Roman" w:hAnsi="Times New Roman" w:cs="Times New Roman"/>
                <w:color w:val="000000" w:themeColor="text1"/>
                <w:sz w:val="24"/>
                <w:szCs w:val="24"/>
              </w:rPr>
              <w:t>m³/（t</w:t>
            </w:r>
            <w:r>
              <w:rPr>
                <w:rFonts w:hint="eastAsia" w:ascii="Times New Roman" w:hAnsi="Times New Roman" w:cs="Times New Roman"/>
                <w:color w:val="000000" w:themeColor="text1"/>
                <w:sz w:val="24"/>
                <w:szCs w:val="24"/>
              </w:rPr>
              <w:t>·氧化锌尾渣（水淬渣）</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，项目处理氧化锌尾渣（水淬渣）500t/d（16500t/a），则用水量为1385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d（457050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a），添加水量全部在I段球磨工序添加。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废水量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根据生产工艺，进入系统的水量为1385m³/d，除了烘干蒸发和产品、废渣带走以外，其他全部变为废水，损失环节主要包括烘干蒸发、还原铁粉产品带走、次铁粉产品带走和废渣带走。</w:t>
            </w:r>
            <w:r>
              <w:rPr>
                <w:rFonts w:hint="eastAsia" w:ascii="Times New Roman" w:hAnsi="Times New Roman" w:cs="Times New Roman"/>
                <w:color w:val="000000" w:themeColor="text1"/>
                <w:sz w:val="24"/>
                <w:szCs w:val="24"/>
              </w:rPr>
              <w:t>根据建单位原调试阶段（2022年4月2日）对生产工艺产物（未烘干前的单质铁）的化验单，</w:t>
            </w:r>
            <w:r>
              <w:rPr>
                <w:rFonts w:ascii="Times New Roman" w:hAnsi="Times New Roman" w:cs="Times New Roman"/>
                <w:color w:val="000000" w:themeColor="text1"/>
                <w:sz w:val="24"/>
                <w:szCs w:val="24"/>
              </w:rPr>
              <w:t>烘干前</w:t>
            </w:r>
            <w:r>
              <w:rPr>
                <w:rFonts w:hint="eastAsia" w:ascii="Times New Roman" w:hAnsi="Times New Roman" w:cs="Times New Roman"/>
                <w:color w:val="000000" w:themeColor="text1"/>
                <w:sz w:val="24"/>
                <w:szCs w:val="24"/>
              </w:rPr>
              <w:t>单质铁</w:t>
            </w:r>
            <w:r>
              <w:rPr>
                <w:rFonts w:ascii="Times New Roman" w:hAnsi="Times New Roman" w:cs="Times New Roman"/>
                <w:color w:val="000000" w:themeColor="text1"/>
                <w:sz w:val="24"/>
                <w:szCs w:val="24"/>
              </w:rPr>
              <w:t>含水率约为15%、</w:t>
            </w:r>
            <w:r>
              <w:rPr>
                <w:rFonts w:hint="eastAsia" w:ascii="Times New Roman" w:hAnsi="Times New Roman" w:cs="Times New Roman"/>
                <w:color w:val="000000" w:themeColor="text1"/>
                <w:sz w:val="24"/>
                <w:szCs w:val="24"/>
              </w:rPr>
              <w:t>而</w:t>
            </w:r>
            <w:r>
              <w:rPr>
                <w:rFonts w:ascii="Times New Roman" w:hAnsi="Times New Roman" w:cs="Times New Roman"/>
                <w:color w:val="000000" w:themeColor="text1"/>
                <w:sz w:val="24"/>
                <w:szCs w:val="24"/>
              </w:rPr>
              <w:t>还原铁粉产品的含水率≤1%</w:t>
            </w:r>
            <w:r>
              <w:rPr>
                <w:rFonts w:hint="eastAsia" w:ascii="Times New Roman" w:hAnsi="Times New Roman" w:cs="Times New Roman"/>
                <w:color w:val="000000" w:themeColor="text1"/>
                <w:sz w:val="24"/>
                <w:szCs w:val="24"/>
              </w:rPr>
              <w:t>；根据建单位原调试阶段（2022年4月3日）对生产工艺产物（次铁粉）的化验单，</w:t>
            </w:r>
            <w:r>
              <w:rPr>
                <w:rFonts w:ascii="Times New Roman" w:hAnsi="Times New Roman" w:cs="Times New Roman"/>
                <w:color w:val="000000" w:themeColor="text1"/>
                <w:sz w:val="24"/>
                <w:szCs w:val="24"/>
              </w:rPr>
              <w:t>次铁粉含水率约为10%；</w:t>
            </w:r>
            <w:r>
              <w:rPr>
                <w:rFonts w:hint="eastAsia" w:ascii="Times New Roman" w:hAnsi="Times New Roman" w:cs="Times New Roman"/>
                <w:color w:val="000000" w:themeColor="text1"/>
                <w:sz w:val="24"/>
                <w:szCs w:val="24"/>
              </w:rPr>
              <w:t>根据建单位原调试阶段（2022年4月5日）对生产工艺产物（</w:t>
            </w:r>
            <w:r>
              <w:rPr>
                <w:rFonts w:ascii="Times New Roman" w:hAnsi="Times New Roman" w:cs="Times New Roman"/>
                <w:color w:val="000000" w:themeColor="text1"/>
                <w:sz w:val="24"/>
                <w:szCs w:val="24"/>
              </w:rPr>
              <w:t>废渣</w:t>
            </w:r>
            <w:r>
              <w:rPr>
                <w:rFonts w:hint="eastAsia" w:ascii="Times New Roman" w:hAnsi="Times New Roman" w:cs="Times New Roman"/>
                <w:color w:val="000000" w:themeColor="text1"/>
                <w:sz w:val="24"/>
                <w:szCs w:val="24"/>
              </w:rPr>
              <w:t>）的化验单，</w:t>
            </w:r>
            <w:r>
              <w:rPr>
                <w:rFonts w:ascii="Times New Roman" w:hAnsi="Times New Roman" w:cs="Times New Roman"/>
                <w:color w:val="000000" w:themeColor="text1"/>
                <w:sz w:val="24"/>
                <w:szCs w:val="24"/>
              </w:rPr>
              <w:t>废渣的含水率约为10%；则烘干蒸发量为22.66m³/d、还原铁粉产品带走水量为1.38m³/d、次铁粉产品带走水量为4.17m³/d、废渣带走水量为36.25m³/d，则</w:t>
            </w:r>
            <w:r>
              <w:rPr>
                <w:rFonts w:hint="eastAsia" w:ascii="Times New Roman" w:hAnsi="Times New Roman" w:cs="Times New Roman"/>
                <w:color w:val="000000" w:themeColor="text1"/>
                <w:sz w:val="24"/>
                <w:szCs w:val="24"/>
              </w:rPr>
              <w:t>生产</w:t>
            </w:r>
            <w:r>
              <w:rPr>
                <w:rFonts w:ascii="Times New Roman" w:hAnsi="Times New Roman" w:cs="Times New Roman"/>
                <w:color w:val="000000" w:themeColor="text1"/>
                <w:sz w:val="24"/>
                <w:szCs w:val="24"/>
              </w:rPr>
              <w:t>废水量约为1320.54m³/d（435778.2m³/a）。项目</w:t>
            </w:r>
            <w:r>
              <w:rPr>
                <w:rFonts w:hint="eastAsia" w:ascii="Times New Roman" w:hAnsi="Times New Roman" w:cs="Times New Roman"/>
                <w:color w:val="000000" w:themeColor="text1"/>
                <w:sz w:val="24"/>
                <w:szCs w:val="24"/>
              </w:rPr>
              <w:t>产生的生产废水进入</w:t>
            </w:r>
            <w:r>
              <w:rPr>
                <w:rFonts w:ascii="Times New Roman" w:hAnsi="Times New Roman" w:cs="Times New Roman"/>
                <w:color w:val="000000" w:themeColor="text1"/>
                <w:sz w:val="24"/>
                <w:szCs w:val="24"/>
              </w:rPr>
              <w:t>废水处理系统</w:t>
            </w:r>
            <w:r>
              <w:rPr>
                <w:rFonts w:hint="eastAsia" w:ascii="Times New Roman" w:hAnsi="Times New Roman" w:cs="Times New Roman"/>
                <w:color w:val="000000" w:themeColor="text1"/>
                <w:sz w:val="24"/>
                <w:szCs w:val="24"/>
              </w:rPr>
              <w:t>循环沉淀过滤回用于生产，不外排。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项目生产废水产排如下表所示。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表2.6.2-1 项目生产废水产排情况一览表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701"/>
              <w:gridCol w:w="1134"/>
              <w:gridCol w:w="2410"/>
              <w:gridCol w:w="1134"/>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2835" w:type="dxa"/>
                  <w:gridSpan w:val="2"/>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用水环节</w:t>
                  </w:r>
                </w:p>
              </w:tc>
              <w:tc>
                <w:tcPr>
                  <w:tcW w:w="3544" w:type="dxa"/>
                  <w:gridSpan w:val="2"/>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损失环节</w:t>
                  </w:r>
                </w:p>
              </w:tc>
              <w:tc>
                <w:tcPr>
                  <w:tcW w:w="1491"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用水工序</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用水量（</w:t>
                  </w:r>
                  <w:r>
                    <w:rPr>
                      <w:rFonts w:eastAsiaTheme="minorEastAsia"/>
                      <w:color w:val="000000" w:themeColor="text1"/>
                      <w:szCs w:val="21"/>
                    </w:rPr>
                    <w:t>m³/d</w:t>
                  </w: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损失或废水产生工序</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损失量（</w:t>
                  </w:r>
                  <w:r>
                    <w:rPr>
                      <w:rFonts w:eastAsiaTheme="minorEastAsia"/>
                      <w:color w:val="000000" w:themeColor="text1"/>
                      <w:szCs w:val="21"/>
                    </w:rPr>
                    <w:t>m³/d</w:t>
                  </w:r>
                  <w:r>
                    <w:rPr>
                      <w:rFonts w:hint="eastAsia" w:eastAsiaTheme="minorEastAsia"/>
                      <w:color w:val="000000" w:themeColor="text1"/>
                      <w:szCs w:val="21"/>
                    </w:rPr>
                    <w:t>）</w:t>
                  </w:r>
                </w:p>
              </w:tc>
              <w:tc>
                <w:tcPr>
                  <w:tcW w:w="1491"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废水量（</w:t>
                  </w:r>
                  <w:r>
                    <w:rPr>
                      <w:rFonts w:eastAsiaTheme="minorEastAsia"/>
                      <w:color w:val="000000" w:themeColor="text1"/>
                      <w:szCs w:val="21"/>
                    </w:rPr>
                    <w:t>m³/d</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进入系统水量</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烘干蒸发</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22.66</w:t>
                  </w:r>
                </w:p>
              </w:tc>
              <w:tc>
                <w:tcPr>
                  <w:tcW w:w="1491" w:type="dxa"/>
                  <w:vMerge w:val="restart"/>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1320.54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还原铁粉产品带走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次铁粉产品带走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4.17</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废渣带走</w:t>
                  </w:r>
                </w:p>
              </w:tc>
              <w:tc>
                <w:tcPr>
                  <w:tcW w:w="1134"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36.25</w:t>
                  </w:r>
                </w:p>
              </w:tc>
              <w:tc>
                <w:tcPr>
                  <w:tcW w:w="1491" w:type="dxa"/>
                  <w:vMerge w:val="continue"/>
                  <w:tcBorders>
                    <w:left w:val="single" w:color="auto" w:sz="4" w:space="0"/>
                  </w:tcBorders>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8</w:t>
                  </w: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241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13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64.46</w:t>
                  </w:r>
                </w:p>
              </w:tc>
              <w:tc>
                <w:tcPr>
                  <w:tcW w:w="149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1320.54</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②生活污水量</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w:t>
            </w:r>
            <w:r>
              <w:rPr>
                <w:rFonts w:hint="eastAsia" w:ascii="Times New Roman" w:hAnsi="Times New Roman" w:cs="Times New Roman"/>
                <w:color w:val="000000" w:themeColor="text1"/>
                <w:sz w:val="24"/>
              </w:rPr>
              <w:t>本项目拟新增员工20人，均在</w:t>
            </w:r>
            <w:r>
              <w:rPr>
                <w:rFonts w:ascii="Times New Roman" w:hAnsi="Times New Roman" w:cs="Times New Roman"/>
                <w:color w:val="000000" w:themeColor="text1"/>
                <w:sz w:val="24"/>
              </w:rPr>
              <w:t>厂区吃饭，但住宿人数约为</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人，其余</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人回家住宿。根据《云南省地方标准用水定额》（DB53/T168-2019），在项目食宿员工用水量取100L/d·人，不在项目区住宿的员工用水量取60L/d·人，则生活用水量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528</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422.4</w:t>
            </w:r>
            <w:r>
              <w:rPr>
                <w:rFonts w:ascii="Times New Roman" w:hAnsi="Times New Roman" w:cs="Times New Roman"/>
                <w:color w:val="000000" w:themeColor="text1"/>
                <w:sz w:val="24"/>
              </w:rPr>
              <w:t>m³/a；其中食堂废水约为则废水量为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根据调查，目前项目已设置了1个1m³的隔油池、1个有效容积为20m³的化粪池对生活污水进行处理；项目生活污水经隔油池、化粪池处理后可达到《污水排入城镇下水道水质标准》（GB/T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-2015）B等级标准后，通过提升泵泵至厂区东侧小邓段公路污水管网进入四方地与碧谷园区污水处理厂处理。</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w:t>
            </w:r>
            <w:r>
              <w:rPr>
                <w:rFonts w:ascii="Times New Roman" w:hAnsi="Times New Roman" w:cs="Times New Roman"/>
                <w:color w:val="000000" w:themeColor="text1"/>
                <w:sz w:val="24"/>
              </w:rPr>
              <w:t>本项目用排水情况详见下表。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hAnsi="Times New Roman" w:cs="Times New Roman"/>
                <w:b/>
                <w:bCs/>
                <w:color w:val="000000" w:themeColor="text1"/>
                <w:kern w:val="0"/>
              </w:rPr>
              <w:t>2.6.2-2</w:t>
            </w:r>
            <w:r>
              <w:rPr>
                <w:rFonts w:ascii="Times New Roman" w:hAnsi="Times New Roman" w:cs="Times New Roman"/>
                <w:b/>
                <w:bCs/>
                <w:color w:val="000000" w:themeColor="text1"/>
                <w:kern w:val="0"/>
              </w:rPr>
              <w:t xml:space="preserve"> </w:t>
            </w:r>
            <w:r>
              <w:rPr>
                <w:rFonts w:ascii="Times New Roman" w:cs="Times New Roman" w:hAnsiTheme="minorEastAsia"/>
                <w:b/>
                <w:bCs/>
                <w:color w:val="000000" w:themeColor="text1"/>
                <w:kern w:val="0"/>
              </w:rPr>
              <w:t>项目供排水情况一览表</w:t>
            </w:r>
          </w:p>
          <w:tbl>
            <w:tblPr>
              <w:tblStyle w:val="22"/>
              <w:tblW w:w="5000" w:type="pct"/>
              <w:jc w:val="center"/>
              <w:tblLayout w:type="fixed"/>
              <w:tblCellMar>
                <w:top w:w="0" w:type="dxa"/>
                <w:left w:w="108" w:type="dxa"/>
                <w:bottom w:w="0" w:type="dxa"/>
                <w:right w:w="108" w:type="dxa"/>
              </w:tblCellMar>
            </w:tblPr>
            <w:tblGrid>
              <w:gridCol w:w="1256"/>
              <w:gridCol w:w="1453"/>
              <w:gridCol w:w="1601"/>
              <w:gridCol w:w="1068"/>
              <w:gridCol w:w="897"/>
              <w:gridCol w:w="1279"/>
              <w:gridCol w:w="1063"/>
            </w:tblGrid>
            <w:tr>
              <w:tblPrEx>
                <w:tblCellMar>
                  <w:top w:w="0" w:type="dxa"/>
                  <w:left w:w="108" w:type="dxa"/>
                  <w:bottom w:w="0" w:type="dxa"/>
                  <w:right w:w="108" w:type="dxa"/>
                </w:tblCellMar>
              </w:tblPrEx>
              <w:trPr>
                <w:trHeight w:val="67" w:hRule="atLeast"/>
                <w:jc w:val="center"/>
              </w:trPr>
              <w:tc>
                <w:tcPr>
                  <w:tcW w:w="12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用水单元</w:t>
                  </w:r>
                </w:p>
              </w:tc>
              <w:tc>
                <w:tcPr>
                  <w:tcW w:w="14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规模</w:t>
                  </w:r>
                </w:p>
              </w:tc>
              <w:tc>
                <w:tcPr>
                  <w:tcW w:w="159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用水量</w:t>
                  </w:r>
                </w:p>
              </w:tc>
              <w:tc>
                <w:tcPr>
                  <w:tcW w:w="2337"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r>
            <w:tr>
              <w:tblPrEx>
                <w:tblCellMar>
                  <w:top w:w="0" w:type="dxa"/>
                  <w:left w:w="108" w:type="dxa"/>
                  <w:bottom w:w="0" w:type="dxa"/>
                  <w:right w:w="108" w:type="dxa"/>
                </w:tblCellMar>
              </w:tblPrEx>
              <w:trPr>
                <w:trHeight w:val="285" w:hRule="atLeast"/>
                <w:jc w:val="center"/>
              </w:trPr>
              <w:tc>
                <w:tcPr>
                  <w:tcW w:w="1253" w:type="dxa"/>
                  <w:vMerge w:val="continue"/>
                  <w:tcBorders>
                    <w:top w:val="single" w:color="auto" w:sz="8" w:space="0"/>
                    <w:left w:val="single" w:color="auto"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50"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p>
              </w:tc>
              <w:tc>
                <w:tcPr>
                  <w:tcW w:w="1597"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p>
              </w:tc>
              <w:tc>
                <w:tcPr>
                  <w:tcW w:w="106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m³/d</w:t>
                  </w:r>
                </w:p>
              </w:tc>
              <w:tc>
                <w:tcPr>
                  <w:tcW w:w="895"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m³/a</w:t>
                  </w:r>
                </w:p>
              </w:tc>
              <w:tc>
                <w:tcPr>
                  <w:tcW w:w="127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m³/d</w:t>
                  </w:r>
                </w:p>
              </w:tc>
              <w:tc>
                <w:tcPr>
                  <w:tcW w:w="1061"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m³/a</w:t>
                  </w:r>
                </w:p>
              </w:tc>
            </w:tr>
            <w:tr>
              <w:tblPrEx>
                <w:tblCellMar>
                  <w:top w:w="0" w:type="dxa"/>
                  <w:left w:w="108" w:type="dxa"/>
                  <w:bottom w:w="0" w:type="dxa"/>
                  <w:right w:w="108" w:type="dxa"/>
                </w:tblCellMar>
              </w:tblPrEx>
              <w:trPr>
                <w:trHeight w:val="285" w:hRule="atLeast"/>
                <w:jc w:val="center"/>
              </w:trPr>
              <w:tc>
                <w:tcPr>
                  <w:tcW w:w="1253" w:type="dxa"/>
                  <w:tcBorders>
                    <w:top w:val="single" w:color="auto" w:sz="8" w:space="0"/>
                    <w:left w:val="single" w:color="auto"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生产用水</w:t>
                  </w:r>
                </w:p>
              </w:tc>
              <w:tc>
                <w:tcPr>
                  <w:tcW w:w="1450"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500t/d</w:t>
                  </w:r>
                </w:p>
              </w:tc>
              <w:tc>
                <w:tcPr>
                  <w:tcW w:w="1597"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2.77</w:t>
                  </w:r>
                  <w:r>
                    <w:rPr>
                      <w:rFonts w:eastAsiaTheme="minorEastAsia"/>
                      <w:color w:val="000000" w:themeColor="text1"/>
                      <w:szCs w:val="21"/>
                    </w:rPr>
                    <w:t>m³/t</w:t>
                  </w:r>
                  <w:r>
                    <w:rPr>
                      <w:rFonts w:hint="eastAsia" w:eastAsiaTheme="minorEastAsia"/>
                      <w:color w:val="000000" w:themeColor="text1"/>
                      <w:szCs w:val="21"/>
                    </w:rPr>
                    <w:t>·氧化锌尾渣</w:t>
                  </w:r>
                </w:p>
              </w:tc>
              <w:tc>
                <w:tcPr>
                  <w:tcW w:w="1066"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1385</w:t>
                  </w:r>
                </w:p>
              </w:tc>
              <w:tc>
                <w:tcPr>
                  <w:tcW w:w="895"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457050</w:t>
                  </w:r>
                </w:p>
              </w:tc>
              <w:tc>
                <w:tcPr>
                  <w:tcW w:w="127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1320.54</w:t>
                  </w:r>
                </w:p>
              </w:tc>
              <w:tc>
                <w:tcPr>
                  <w:tcW w:w="106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435778.2</w:t>
                  </w:r>
                </w:p>
              </w:tc>
            </w:tr>
            <w:tr>
              <w:tblPrEx>
                <w:tblCellMar>
                  <w:top w:w="0" w:type="dxa"/>
                  <w:left w:w="108" w:type="dxa"/>
                  <w:bottom w:w="0" w:type="dxa"/>
                  <w:right w:w="108" w:type="dxa"/>
                </w:tblCellMar>
              </w:tblPrEx>
              <w:trPr>
                <w:trHeight w:val="285" w:hRule="atLeast"/>
                <w:jc w:val="center"/>
              </w:trPr>
              <w:tc>
                <w:tcPr>
                  <w:tcW w:w="1253" w:type="dxa"/>
                  <w:vMerge w:val="restart"/>
                  <w:tcBorders>
                    <w:top w:val="single" w:color="auto" w:sz="8" w:space="0"/>
                    <w:left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生活用水</w:t>
                  </w:r>
                </w:p>
              </w:tc>
              <w:tc>
                <w:tcPr>
                  <w:tcW w:w="145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食宿10</w:t>
                  </w:r>
                  <w:r>
                    <w:rPr>
                      <w:rFonts w:eastAsiaTheme="minorEastAsia"/>
                      <w:color w:val="000000" w:themeColor="text1"/>
                      <w:szCs w:val="21"/>
                    </w:rPr>
                    <w:t>人</w:t>
                  </w:r>
                </w:p>
              </w:tc>
              <w:tc>
                <w:tcPr>
                  <w:tcW w:w="1597"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w:t>
                  </w:r>
                  <w:r>
                    <w:rPr>
                      <w:rFonts w:eastAsiaTheme="minorEastAsia"/>
                      <w:color w:val="000000" w:themeColor="text1"/>
                      <w:szCs w:val="21"/>
                    </w:rPr>
                    <w:t>0L/d·人</w:t>
                  </w:r>
                </w:p>
              </w:tc>
              <w:tc>
                <w:tcPr>
                  <w:tcW w:w="1066"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w:t>
                  </w:r>
                </w:p>
              </w:tc>
              <w:tc>
                <w:tcPr>
                  <w:tcW w:w="895"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528</w:t>
                  </w:r>
                </w:p>
              </w:tc>
              <w:tc>
                <w:tcPr>
                  <w:tcW w:w="1276"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1.28</w:t>
                  </w:r>
                </w:p>
              </w:tc>
              <w:tc>
                <w:tcPr>
                  <w:tcW w:w="1061" w:type="dxa"/>
                  <w:vMerge w:val="restart"/>
                  <w:tcBorders>
                    <w:top w:val="nil"/>
                    <w:left w:val="nil"/>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422.4</w:t>
                  </w:r>
                </w:p>
              </w:tc>
            </w:tr>
            <w:tr>
              <w:tblPrEx>
                <w:tblCellMar>
                  <w:top w:w="0" w:type="dxa"/>
                  <w:left w:w="108" w:type="dxa"/>
                  <w:bottom w:w="0" w:type="dxa"/>
                  <w:right w:w="108" w:type="dxa"/>
                </w:tblCellMar>
              </w:tblPrEx>
              <w:trPr>
                <w:trHeight w:val="285" w:hRule="atLeast"/>
                <w:jc w:val="center"/>
              </w:trPr>
              <w:tc>
                <w:tcPr>
                  <w:tcW w:w="1253" w:type="dxa"/>
                  <w:vMerge w:val="continue"/>
                  <w:tcBorders>
                    <w:left w:val="single" w:color="auto" w:sz="8" w:space="0"/>
                    <w:bottom w:val="single" w:color="auto" w:sz="4"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p>
              </w:tc>
              <w:tc>
                <w:tcPr>
                  <w:tcW w:w="145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不住宿10人</w:t>
                  </w:r>
                </w:p>
              </w:tc>
              <w:tc>
                <w:tcPr>
                  <w:tcW w:w="1597"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w:t>
                  </w:r>
                  <w:r>
                    <w:rPr>
                      <w:rFonts w:eastAsiaTheme="minorEastAsia"/>
                      <w:color w:val="000000" w:themeColor="text1"/>
                      <w:szCs w:val="21"/>
                    </w:rPr>
                    <w:t>0L/d·人</w:t>
                  </w:r>
                </w:p>
              </w:tc>
              <w:tc>
                <w:tcPr>
                  <w:tcW w:w="1066"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895"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1276"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c>
                <w:tcPr>
                  <w:tcW w:w="1061" w:type="dxa"/>
                  <w:vMerge w:val="continue"/>
                  <w:tcBorders>
                    <w:left w:val="nil"/>
                    <w:bottom w:val="single" w:color="auto" w:sz="4" w:space="0"/>
                    <w:right w:val="single" w:color="auto" w:sz="8" w:space="0"/>
                  </w:tcBorders>
                  <w:shd w:val="clear" w:color="auto" w:fill="auto"/>
                  <w:vAlign w:val="center"/>
                </w:tcPr>
                <w:p>
                  <w:pPr>
                    <w:pStyle w:val="33"/>
                    <w:spacing w:line="360" w:lineRule="exact"/>
                    <w:rPr>
                      <w:rFonts w:eastAsiaTheme="minorEastAsia"/>
                      <w:color w:val="000000" w:themeColor="text1"/>
                      <w:szCs w:val="21"/>
                    </w:rPr>
                  </w:pPr>
                </w:p>
              </w:tc>
            </w:tr>
            <w:tr>
              <w:tblPrEx>
                <w:tblCellMar>
                  <w:top w:w="0" w:type="dxa"/>
                  <w:left w:w="108" w:type="dxa"/>
                  <w:bottom w:w="0" w:type="dxa"/>
                  <w:right w:w="108" w:type="dxa"/>
                </w:tblCellMar>
              </w:tblPrEx>
              <w:trPr>
                <w:trHeight w:val="330" w:hRule="atLeast"/>
                <w:jc w:val="center"/>
              </w:trPr>
              <w:tc>
                <w:tcPr>
                  <w:tcW w:w="12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合计</w:t>
                  </w:r>
                </w:p>
              </w:tc>
              <w:tc>
                <w:tcPr>
                  <w:tcW w:w="1450"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97"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066"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1386.6</w:t>
                  </w:r>
                </w:p>
              </w:tc>
              <w:tc>
                <w:tcPr>
                  <w:tcW w:w="895"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457578</w:t>
                  </w:r>
                </w:p>
              </w:tc>
              <w:tc>
                <w:tcPr>
                  <w:tcW w:w="1276" w:type="dxa"/>
                  <w:tcBorders>
                    <w:top w:val="single" w:color="auto" w:sz="8" w:space="0"/>
                    <w:left w:val="nil"/>
                    <w:bottom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1321.82</w:t>
                  </w:r>
                </w:p>
              </w:tc>
              <w:tc>
                <w:tcPr>
                  <w:tcW w:w="106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436200.6</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本项目水日平衡如下图所示。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5468620" cy="786193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5468620" cy="7861935"/>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-1 </w:t>
            </w:r>
            <w:r>
              <w:rPr>
                <w:rFonts w:hint="eastAsia" w:ascii="Times New Roman" w:hAnsi="Times New Roman" w:cs="Times New Roman"/>
                <w:b/>
                <w:bCs/>
                <w:color w:val="000000" w:themeColor="text1"/>
                <w:kern w:val="0"/>
              </w:rPr>
              <w:t>本</w:t>
            </w:r>
            <w:r>
              <w:rPr>
                <w:rFonts w:ascii="Times New Roman" w:hAnsi="Times New Roman" w:cs="Times New Roman"/>
                <w:b/>
                <w:bCs/>
                <w:color w:val="000000" w:themeColor="text1"/>
                <w:kern w:val="0"/>
              </w:rPr>
              <w:t>项目水平衡图 m³/d</w:t>
            </w:r>
          </w:p>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本项目水年平衡如下图所示。</w:t>
            </w:r>
          </w:p>
          <w:p>
            <w:pPr>
              <w:spacing w:line="360" w:lineRule="auto"/>
              <w:ind w:firstLine="422" w:firstLineChars="200"/>
              <w:rPr>
                <w:rFonts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5468620" cy="7915910"/>
                  <wp:effectExtent l="1905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9"/>
                          <a:srcRect/>
                          <a:stretch>
                            <a:fillRect/>
                          </a:stretch>
                        </pic:blipFill>
                        <pic:spPr>
                          <a:xfrm>
                            <a:off x="0" y="0"/>
                            <a:ext cx="5468620" cy="7915910"/>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本</w:t>
            </w:r>
            <w:r>
              <w:rPr>
                <w:rFonts w:ascii="Times New Roman" w:hAnsi="Times New Roman" w:cs="Times New Roman"/>
                <w:b/>
                <w:bCs/>
                <w:color w:val="000000" w:themeColor="text1"/>
                <w:kern w:val="0"/>
              </w:rPr>
              <w:t>项目水平衡图 m³/</w:t>
            </w:r>
            <w:r>
              <w:rPr>
                <w:rFonts w:hint="eastAsia" w:ascii="Times New Roman" w:hAnsi="Times New Roman" w:cs="Times New Roman"/>
                <w:b/>
                <w:bCs/>
                <w:color w:val="000000" w:themeColor="text1"/>
                <w:kern w:val="0"/>
              </w:rPr>
              <w:t>a</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（2）本项目建成后全厂水平衡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根据本项目水平衡及现有次氧化锌生产线水平衡核算可知，</w:t>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建成后全厂</w:t>
            </w:r>
            <w:r>
              <w:rPr>
                <w:rFonts w:ascii="Times New Roman" w:hAnsi="Times New Roman" w:cs="Times New Roman"/>
                <w:color w:val="000000" w:themeColor="text1"/>
                <w:sz w:val="24"/>
                <w:szCs w:val="24"/>
              </w:rPr>
              <w:t>用排水情况详见下表。</w:t>
            </w: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t>表</w:t>
            </w:r>
            <w:r>
              <w:rPr>
                <w:rFonts w:hint="eastAsia" w:ascii="Times New Roman" w:cs="Times New Roman" w:hAnsiTheme="minorEastAsia"/>
                <w:b/>
                <w:bCs/>
                <w:color w:val="000000" w:themeColor="text1"/>
                <w:kern w:val="0"/>
              </w:rPr>
              <w:t>2.6.2-3</w:t>
            </w:r>
            <w:r>
              <w:rPr>
                <w:rFonts w:ascii="Times New Roman" w:cs="Times New Roman" w:hAnsiTheme="minorEastAsia"/>
                <w:b/>
                <w:bCs/>
                <w:color w:val="000000" w:themeColor="text1"/>
                <w:kern w:val="0"/>
              </w:rPr>
              <w:t xml:space="preserve"> 本项目</w:t>
            </w:r>
            <w:r>
              <w:rPr>
                <w:rFonts w:hint="eastAsia" w:ascii="Times New Roman" w:cs="Times New Roman" w:hAnsiTheme="minorEastAsia"/>
                <w:b/>
                <w:bCs/>
                <w:color w:val="000000" w:themeColor="text1"/>
                <w:kern w:val="0"/>
              </w:rPr>
              <w:t>建成后全厂</w:t>
            </w:r>
            <w:r>
              <w:rPr>
                <w:rFonts w:ascii="Times New Roman" w:cs="Times New Roman" w:hAnsiTheme="minorEastAsia"/>
                <w:b/>
                <w:bCs/>
                <w:color w:val="000000" w:themeColor="text1"/>
                <w:kern w:val="0"/>
              </w:rPr>
              <w:t>供排水情况一览表</w:t>
            </w:r>
          </w:p>
          <w:tbl>
            <w:tblPr>
              <w:tblStyle w:val="22"/>
              <w:tblW w:w="5000" w:type="pct"/>
              <w:jc w:val="center"/>
              <w:tblLayout w:type="fixed"/>
              <w:tblCellMar>
                <w:top w:w="0" w:type="dxa"/>
                <w:left w:w="108" w:type="dxa"/>
                <w:bottom w:w="0" w:type="dxa"/>
                <w:right w:w="108" w:type="dxa"/>
              </w:tblCellMar>
            </w:tblPr>
            <w:tblGrid>
              <w:gridCol w:w="877"/>
              <w:gridCol w:w="1096"/>
              <w:gridCol w:w="1434"/>
              <w:gridCol w:w="1289"/>
              <w:gridCol w:w="1004"/>
              <w:gridCol w:w="860"/>
              <w:gridCol w:w="1003"/>
              <w:gridCol w:w="1054"/>
            </w:tblGrid>
            <w:tr>
              <w:tblPrEx>
                <w:tblCellMar>
                  <w:top w:w="0" w:type="dxa"/>
                  <w:left w:w="108" w:type="dxa"/>
                  <w:bottom w:w="0" w:type="dxa"/>
                  <w:right w:w="108" w:type="dxa"/>
                </w:tblCellMar>
              </w:tblPrEx>
              <w:trPr>
                <w:trHeight w:val="56" w:hRule="atLeast"/>
                <w:jc w:val="center"/>
              </w:trPr>
              <w:tc>
                <w:tcPr>
                  <w:tcW w:w="1968" w:type="dxa"/>
                  <w:gridSpan w:val="2"/>
                  <w:vMerge w:val="restart"/>
                  <w:tcBorders>
                    <w:top w:val="single" w:color="auto" w:sz="8" w:space="0"/>
                    <w:left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用水单元</w:t>
                  </w:r>
                </w:p>
              </w:tc>
              <w:tc>
                <w:tcPr>
                  <w:tcW w:w="1431"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规模</w:t>
                  </w:r>
                </w:p>
              </w:tc>
              <w:tc>
                <w:tcPr>
                  <w:tcW w:w="128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用水定额</w:t>
                  </w:r>
                </w:p>
              </w:tc>
              <w:tc>
                <w:tcPr>
                  <w:tcW w:w="1860"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废水量</w:t>
                  </w:r>
                </w:p>
              </w:tc>
            </w:tr>
            <w:tr>
              <w:tblPrEx>
                <w:tblCellMar>
                  <w:top w:w="0" w:type="dxa"/>
                  <w:left w:w="108" w:type="dxa"/>
                  <w:bottom w:w="0" w:type="dxa"/>
                  <w:right w:w="108" w:type="dxa"/>
                </w:tblCellMar>
              </w:tblPrEx>
              <w:trPr>
                <w:trHeight w:val="285" w:hRule="atLeast"/>
                <w:jc w:val="center"/>
              </w:trPr>
              <w:tc>
                <w:tcPr>
                  <w:tcW w:w="1968" w:type="dxa"/>
                  <w:gridSpan w:val="2"/>
                  <w:vMerge w:val="continue"/>
                  <w:tcBorders>
                    <w:left w:val="single" w:color="auto" w:sz="8" w:space="0"/>
                    <w:bottom w:val="single" w:color="000000" w:sz="8" w:space="0"/>
                    <w:right w:val="single" w:color="000000" w:sz="8" w:space="0"/>
                  </w:tcBorders>
                  <w:vAlign w:val="center"/>
                </w:tcPr>
                <w:p>
                  <w:pPr>
                    <w:pStyle w:val="33"/>
                    <w:spacing w:line="360" w:lineRule="exact"/>
                    <w:rPr>
                      <w:color w:val="000000" w:themeColor="text1"/>
                      <w:szCs w:val="24"/>
                    </w:rPr>
                  </w:pPr>
                </w:p>
              </w:tc>
              <w:tc>
                <w:tcPr>
                  <w:tcW w:w="1431" w:type="dxa"/>
                  <w:vMerge w:val="continue"/>
                  <w:tcBorders>
                    <w:top w:val="single" w:color="auto" w:sz="8" w:space="0"/>
                    <w:left w:val="single" w:color="000000" w:sz="8" w:space="0"/>
                    <w:bottom w:val="single" w:color="000000" w:sz="8" w:space="0"/>
                    <w:right w:val="single" w:color="auto" w:sz="8" w:space="0"/>
                  </w:tcBorders>
                  <w:vAlign w:val="center"/>
                </w:tcPr>
                <w:p>
                  <w:pPr>
                    <w:pStyle w:val="33"/>
                    <w:spacing w:line="360" w:lineRule="exact"/>
                    <w:rPr>
                      <w:color w:val="000000" w:themeColor="text1"/>
                      <w:szCs w:val="24"/>
                    </w:rPr>
                  </w:pPr>
                </w:p>
              </w:tc>
              <w:tc>
                <w:tcPr>
                  <w:tcW w:w="1286" w:type="dxa"/>
                  <w:vMerge w:val="continue"/>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m³/d</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m³/a</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m³/d</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m³/a</w:t>
                  </w:r>
                </w:p>
              </w:tc>
            </w:tr>
            <w:tr>
              <w:tblPrEx>
                <w:tblCellMar>
                  <w:top w:w="0" w:type="dxa"/>
                  <w:left w:w="108" w:type="dxa"/>
                  <w:bottom w:w="0" w:type="dxa"/>
                  <w:right w:w="108" w:type="dxa"/>
                </w:tblCellMar>
              </w:tblPrEx>
              <w:trPr>
                <w:trHeight w:val="464" w:hRule="atLeast"/>
                <w:jc w:val="center"/>
              </w:trPr>
              <w:tc>
                <w:tcPr>
                  <w:tcW w:w="875" w:type="dxa"/>
                  <w:tcBorders>
                    <w:top w:val="single" w:color="auto" w:sz="8" w:space="0"/>
                    <w:left w:val="single" w:color="auto" w:sz="8" w:space="0"/>
                    <w:right w:val="single" w:color="auto" w:sz="4" w:space="0"/>
                  </w:tcBorders>
                  <w:vAlign w:val="center"/>
                </w:tcPr>
                <w:p>
                  <w:pPr>
                    <w:pStyle w:val="33"/>
                    <w:spacing w:line="360" w:lineRule="exact"/>
                    <w:rPr>
                      <w:color w:val="000000" w:themeColor="text1"/>
                      <w:szCs w:val="24"/>
                    </w:rPr>
                  </w:pPr>
                  <w:r>
                    <w:rPr>
                      <w:rFonts w:hint="eastAsia"/>
                      <w:color w:val="000000" w:themeColor="text1"/>
                      <w:szCs w:val="24"/>
                    </w:rPr>
                    <w:t>本次建设项目</w:t>
                  </w: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生产用水</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500t/d</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2.77</w:t>
                  </w:r>
                  <w:r>
                    <w:rPr>
                      <w:color w:val="000000" w:themeColor="text1"/>
                      <w:szCs w:val="24"/>
                    </w:rPr>
                    <w:t>m³/t</w:t>
                  </w:r>
                  <w:r>
                    <w:rPr>
                      <w:rFonts w:hint="eastAsia"/>
                      <w:color w:val="000000" w:themeColor="text1"/>
                      <w:szCs w:val="24"/>
                    </w:rPr>
                    <w:t>·氧化锌尾渣</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1385</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457050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1320.54</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435778.2</w:t>
                  </w:r>
                </w:p>
              </w:tc>
            </w:tr>
            <w:tr>
              <w:tblPrEx>
                <w:tblCellMar>
                  <w:top w:w="0" w:type="dxa"/>
                  <w:left w:w="108" w:type="dxa"/>
                  <w:bottom w:w="0" w:type="dxa"/>
                  <w:right w:w="108" w:type="dxa"/>
                </w:tblCellMar>
              </w:tblPrEx>
              <w:trPr>
                <w:trHeight w:val="285" w:hRule="atLeast"/>
                <w:jc w:val="center"/>
              </w:trPr>
              <w:tc>
                <w:tcPr>
                  <w:tcW w:w="875" w:type="dxa"/>
                  <w:vMerge w:val="restart"/>
                  <w:tcBorders>
                    <w:top w:val="single" w:color="auto" w:sz="8" w:space="0"/>
                    <w:left w:val="single" w:color="auto" w:sz="8" w:space="0"/>
                    <w:right w:val="single" w:color="auto" w:sz="4" w:space="0"/>
                  </w:tcBorders>
                  <w:vAlign w:val="center"/>
                </w:tcPr>
                <w:p>
                  <w:pPr>
                    <w:pStyle w:val="33"/>
                    <w:spacing w:line="360" w:lineRule="exact"/>
                    <w:rPr>
                      <w:color w:val="000000" w:themeColor="text1"/>
                      <w:szCs w:val="24"/>
                    </w:rPr>
                  </w:pPr>
                  <w:r>
                    <w:rPr>
                      <w:rFonts w:hint="eastAsia"/>
                      <w:color w:val="000000" w:themeColor="text1"/>
                      <w:szCs w:val="24"/>
                    </w:rPr>
                    <w:t>现有次氧化锌生产线</w:t>
                  </w: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脱硫塔</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color w:val="000000" w:themeColor="text1"/>
                      <w:szCs w:val="24"/>
                    </w:rPr>
                    <w:t>50m³</w:t>
                  </w:r>
                  <w:r>
                    <w:rPr>
                      <w:rFonts w:hint="eastAsia"/>
                      <w:color w:val="000000" w:themeColor="text1"/>
                      <w:szCs w:val="24"/>
                    </w:rPr>
                    <w:t>/d</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50</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16500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r>
            <w:tr>
              <w:tblPrEx>
                <w:tblCellMar>
                  <w:top w:w="0" w:type="dxa"/>
                  <w:left w:w="108" w:type="dxa"/>
                  <w:bottom w:w="0" w:type="dxa"/>
                  <w:right w:w="108" w:type="dxa"/>
                </w:tblCellMar>
              </w:tblPrEx>
              <w:trPr>
                <w:trHeight w:val="285" w:hRule="atLeast"/>
                <w:jc w:val="center"/>
              </w:trPr>
              <w:tc>
                <w:tcPr>
                  <w:tcW w:w="875" w:type="dxa"/>
                  <w:vMerge w:val="continue"/>
                  <w:tcBorders>
                    <w:left w:val="single" w:color="auto" w:sz="8" w:space="0"/>
                    <w:bottom w:val="single" w:color="000000" w:sz="8" w:space="0"/>
                    <w:right w:val="single" w:color="auto" w:sz="4" w:space="0"/>
                  </w:tcBorders>
                  <w:vAlign w:val="center"/>
                </w:tcPr>
                <w:p>
                  <w:pPr>
                    <w:pStyle w:val="33"/>
                    <w:spacing w:line="360" w:lineRule="exact"/>
                    <w:rPr>
                      <w:color w:val="000000" w:themeColor="text1"/>
                      <w:szCs w:val="24"/>
                    </w:rPr>
                  </w:pPr>
                </w:p>
              </w:tc>
              <w:tc>
                <w:tcPr>
                  <w:tcW w:w="1093" w:type="dxa"/>
                  <w:tcBorders>
                    <w:top w:val="single" w:color="auto" w:sz="8" w:space="0"/>
                    <w:left w:val="single" w:color="auto" w:sz="4" w:space="0"/>
                    <w:bottom w:val="single" w:color="000000" w:sz="8" w:space="0"/>
                    <w:right w:val="single" w:color="000000" w:sz="8" w:space="0"/>
                  </w:tcBorders>
                  <w:vAlign w:val="center"/>
                </w:tcPr>
                <w:p>
                  <w:pPr>
                    <w:pStyle w:val="33"/>
                    <w:spacing w:line="360" w:lineRule="exact"/>
                    <w:rPr>
                      <w:color w:val="000000" w:themeColor="text1"/>
                      <w:szCs w:val="24"/>
                    </w:rPr>
                  </w:pPr>
                  <w:r>
                    <w:rPr>
                      <w:rFonts w:hint="eastAsia"/>
                      <w:color w:val="000000" w:themeColor="text1"/>
                      <w:szCs w:val="24"/>
                    </w:rPr>
                    <w:t>初期雨水</w:t>
                  </w:r>
                </w:p>
              </w:tc>
              <w:tc>
                <w:tcPr>
                  <w:tcW w:w="1431"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11256</w:t>
                  </w:r>
                  <w:r>
                    <w:rPr>
                      <w:color w:val="000000" w:themeColor="text1"/>
                      <w:szCs w:val="24"/>
                    </w:rPr>
                    <w:t>m²</w:t>
                  </w:r>
                </w:p>
              </w:tc>
              <w:tc>
                <w:tcPr>
                  <w:tcW w:w="1286" w:type="dxa"/>
                  <w:tcBorders>
                    <w:top w:val="single" w:color="auto" w:sz="8" w:space="0"/>
                    <w:left w:val="single" w:color="auto" w:sz="8" w:space="0"/>
                    <w:bottom w:val="single" w:color="000000" w:sz="8" w:space="0"/>
                    <w:right w:val="single" w:color="auto" w:sz="8" w:space="0"/>
                  </w:tcBorders>
                  <w:vAlign w:val="center"/>
                </w:tcPr>
                <w:p>
                  <w:pPr>
                    <w:pStyle w:val="33"/>
                    <w:spacing w:line="360" w:lineRule="exact"/>
                    <w:rPr>
                      <w:color w:val="000000" w:themeColor="text1"/>
                      <w:szCs w:val="24"/>
                    </w:rPr>
                  </w:pPr>
                  <w:r>
                    <w:rPr>
                      <w:rFonts w:hint="eastAsia"/>
                      <w:color w:val="000000" w:themeColor="text1"/>
                      <w:szCs w:val="24"/>
                    </w:rPr>
                    <w:t>--</w:t>
                  </w:r>
                </w:p>
              </w:tc>
              <w:tc>
                <w:tcPr>
                  <w:tcW w:w="100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858"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0</w:t>
                  </w:r>
                </w:p>
              </w:tc>
              <w:tc>
                <w:tcPr>
                  <w:tcW w:w="100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32.35</w:t>
                  </w:r>
                  <w:r>
                    <w:rPr>
                      <w:color w:val="000000" w:themeColor="text1"/>
                      <w:szCs w:val="24"/>
                    </w:rPr>
                    <w:t>m³/次</w:t>
                  </w:r>
                </w:p>
              </w:tc>
              <w:tc>
                <w:tcPr>
                  <w:tcW w:w="1052"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w:t>
                  </w:r>
                </w:p>
              </w:tc>
            </w:tr>
            <w:tr>
              <w:tblPrEx>
                <w:tblCellMar>
                  <w:top w:w="0" w:type="dxa"/>
                  <w:left w:w="108" w:type="dxa"/>
                  <w:bottom w:w="0" w:type="dxa"/>
                  <w:right w:w="108" w:type="dxa"/>
                </w:tblCellMar>
              </w:tblPrEx>
              <w:trPr>
                <w:trHeight w:val="285" w:hRule="atLeast"/>
                <w:jc w:val="center"/>
              </w:trPr>
              <w:tc>
                <w:tcPr>
                  <w:tcW w:w="875" w:type="dxa"/>
                  <w:vMerge w:val="restart"/>
                  <w:tcBorders>
                    <w:top w:val="single" w:color="auto" w:sz="8" w:space="0"/>
                    <w:left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公共单元</w:t>
                  </w:r>
                </w:p>
              </w:tc>
              <w:tc>
                <w:tcPr>
                  <w:tcW w:w="1093" w:type="dxa"/>
                  <w:vMerge w:val="restart"/>
                  <w:tcBorders>
                    <w:top w:val="single" w:color="auto" w:sz="8" w:space="0"/>
                    <w:left w:val="single" w:color="auto" w:sz="4"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生活用水</w:t>
                  </w:r>
                </w:p>
              </w:tc>
              <w:tc>
                <w:tcPr>
                  <w:tcW w:w="143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食宿30</w:t>
                  </w:r>
                  <w:r>
                    <w:rPr>
                      <w:color w:val="000000" w:themeColor="text1"/>
                      <w:szCs w:val="24"/>
                    </w:rPr>
                    <w:t>人</w:t>
                  </w:r>
                </w:p>
              </w:tc>
              <w:tc>
                <w:tcPr>
                  <w:tcW w:w="128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10</w:t>
                  </w:r>
                  <w:r>
                    <w:rPr>
                      <w:color w:val="000000" w:themeColor="text1"/>
                      <w:szCs w:val="24"/>
                    </w:rPr>
                    <w:t>0L/d·人</w:t>
                  </w:r>
                </w:p>
              </w:tc>
              <w:tc>
                <w:tcPr>
                  <w:tcW w:w="1002"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5.4</w:t>
                  </w:r>
                </w:p>
              </w:tc>
              <w:tc>
                <w:tcPr>
                  <w:tcW w:w="858"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1782</w:t>
                  </w:r>
                </w:p>
              </w:tc>
              <w:tc>
                <w:tcPr>
                  <w:tcW w:w="1001"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4.32</w:t>
                  </w:r>
                </w:p>
              </w:tc>
              <w:tc>
                <w:tcPr>
                  <w:tcW w:w="1052" w:type="dxa"/>
                  <w:vMerge w:val="restart"/>
                  <w:tcBorders>
                    <w:top w:val="nil"/>
                    <w:left w:val="nil"/>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1425.6</w:t>
                  </w:r>
                </w:p>
              </w:tc>
            </w:tr>
            <w:tr>
              <w:tblPrEx>
                <w:tblCellMar>
                  <w:top w:w="0" w:type="dxa"/>
                  <w:left w:w="108" w:type="dxa"/>
                  <w:bottom w:w="0" w:type="dxa"/>
                  <w:right w:w="108" w:type="dxa"/>
                </w:tblCellMar>
              </w:tblPrEx>
              <w:trPr>
                <w:trHeight w:val="285" w:hRule="atLeast"/>
                <w:jc w:val="center"/>
              </w:trPr>
              <w:tc>
                <w:tcPr>
                  <w:tcW w:w="875" w:type="dxa"/>
                  <w:vMerge w:val="continue"/>
                  <w:tcBorders>
                    <w:left w:val="single" w:color="auto" w:sz="8" w:space="0"/>
                    <w:bottom w:val="single" w:color="auto" w:sz="4" w:space="0"/>
                    <w:right w:val="single" w:color="auto" w:sz="4" w:space="0"/>
                  </w:tcBorders>
                  <w:shd w:val="clear" w:color="auto" w:fill="auto"/>
                  <w:vAlign w:val="center"/>
                </w:tcPr>
                <w:p>
                  <w:pPr>
                    <w:pStyle w:val="33"/>
                    <w:spacing w:line="360" w:lineRule="exact"/>
                    <w:rPr>
                      <w:color w:val="000000" w:themeColor="text1"/>
                      <w:szCs w:val="24"/>
                    </w:rPr>
                  </w:pPr>
                </w:p>
              </w:tc>
              <w:tc>
                <w:tcPr>
                  <w:tcW w:w="1093" w:type="dxa"/>
                  <w:vMerge w:val="continue"/>
                  <w:tcBorders>
                    <w:left w:val="single" w:color="auto" w:sz="4" w:space="0"/>
                    <w:bottom w:val="single" w:color="auto" w:sz="4" w:space="0"/>
                    <w:right w:val="single" w:color="000000" w:sz="8" w:space="0"/>
                  </w:tcBorders>
                  <w:shd w:val="clear" w:color="auto" w:fill="auto"/>
                  <w:vAlign w:val="center"/>
                </w:tcPr>
                <w:p>
                  <w:pPr>
                    <w:pStyle w:val="33"/>
                    <w:spacing w:line="360" w:lineRule="exact"/>
                    <w:rPr>
                      <w:color w:val="000000" w:themeColor="text1"/>
                      <w:szCs w:val="24"/>
                    </w:rPr>
                  </w:pPr>
                </w:p>
              </w:tc>
              <w:tc>
                <w:tcPr>
                  <w:tcW w:w="1431"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不住宿40人</w:t>
                  </w:r>
                </w:p>
              </w:tc>
              <w:tc>
                <w:tcPr>
                  <w:tcW w:w="1286" w:type="dxa"/>
                  <w:tcBorders>
                    <w:top w:val="nil"/>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6</w:t>
                  </w:r>
                  <w:r>
                    <w:rPr>
                      <w:color w:val="000000" w:themeColor="text1"/>
                      <w:szCs w:val="24"/>
                    </w:rPr>
                    <w:t>0L/d·人</w:t>
                  </w:r>
                </w:p>
              </w:tc>
              <w:tc>
                <w:tcPr>
                  <w:tcW w:w="1002"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858"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1001"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c>
                <w:tcPr>
                  <w:tcW w:w="1052" w:type="dxa"/>
                  <w:vMerge w:val="continue"/>
                  <w:tcBorders>
                    <w:left w:val="nil"/>
                    <w:bottom w:val="single" w:color="auto" w:sz="4" w:space="0"/>
                    <w:right w:val="single" w:color="auto" w:sz="8" w:space="0"/>
                  </w:tcBorders>
                  <w:shd w:val="clear" w:color="auto" w:fill="auto"/>
                  <w:vAlign w:val="center"/>
                </w:tcPr>
                <w:p>
                  <w:pPr>
                    <w:pStyle w:val="33"/>
                    <w:spacing w:line="360" w:lineRule="exact"/>
                    <w:rPr>
                      <w:color w:val="000000" w:themeColor="text1"/>
                      <w:szCs w:val="24"/>
                    </w:rPr>
                  </w:pPr>
                </w:p>
              </w:tc>
            </w:tr>
            <w:tr>
              <w:tblPrEx>
                <w:tblCellMar>
                  <w:top w:w="0" w:type="dxa"/>
                  <w:left w:w="108" w:type="dxa"/>
                  <w:bottom w:w="0" w:type="dxa"/>
                  <w:right w:w="108" w:type="dxa"/>
                </w:tblCellMar>
              </w:tblPrEx>
              <w:trPr>
                <w:trHeight w:val="330" w:hRule="atLeast"/>
                <w:jc w:val="center"/>
              </w:trPr>
              <w:tc>
                <w:tcPr>
                  <w:tcW w:w="1968"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color w:val="000000" w:themeColor="text1"/>
                      <w:szCs w:val="24"/>
                    </w:rPr>
                    <w:t>合计</w:t>
                  </w:r>
                </w:p>
              </w:tc>
              <w:tc>
                <w:tcPr>
                  <w:tcW w:w="1431"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w:t>
                  </w:r>
                </w:p>
              </w:tc>
              <w:tc>
                <w:tcPr>
                  <w:tcW w:w="1286"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color w:val="000000" w:themeColor="text1"/>
                      <w:szCs w:val="24"/>
                    </w:rPr>
                    <w:t>--</w:t>
                  </w:r>
                </w:p>
              </w:tc>
              <w:tc>
                <w:tcPr>
                  <w:tcW w:w="1002"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1386.6</w:t>
                  </w:r>
                </w:p>
              </w:tc>
              <w:tc>
                <w:tcPr>
                  <w:tcW w:w="858" w:type="dxa"/>
                  <w:tcBorders>
                    <w:top w:val="single" w:color="auto" w:sz="4" w:space="0"/>
                    <w:left w:val="nil"/>
                    <w:bottom w:val="single" w:color="auto" w:sz="8" w:space="0"/>
                    <w:right w:val="single" w:color="auto"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457578</w:t>
                  </w:r>
                </w:p>
              </w:tc>
              <w:tc>
                <w:tcPr>
                  <w:tcW w:w="1001" w:type="dxa"/>
                  <w:tcBorders>
                    <w:top w:val="single" w:color="auto" w:sz="8" w:space="0"/>
                    <w:left w:val="nil"/>
                    <w:bottom w:val="single" w:color="auto" w:sz="8" w:space="0"/>
                    <w:right w:val="single" w:color="auto" w:sz="4"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1321.82</w:t>
                  </w:r>
                </w:p>
              </w:tc>
              <w:tc>
                <w:tcPr>
                  <w:tcW w:w="1052"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3"/>
                    <w:spacing w:line="360" w:lineRule="exact"/>
                    <w:rPr>
                      <w:color w:val="000000" w:themeColor="text1"/>
                      <w:szCs w:val="24"/>
                    </w:rPr>
                  </w:pPr>
                  <w:r>
                    <w:rPr>
                      <w:rFonts w:hint="eastAsia"/>
                      <w:color w:val="000000" w:themeColor="text1"/>
                      <w:szCs w:val="24"/>
                    </w:rPr>
                    <w:t>436200.6</w:t>
                  </w:r>
                </w:p>
              </w:tc>
            </w:tr>
          </w:tbl>
          <w:p>
            <w:pPr>
              <w:pStyle w:val="41"/>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1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⑴</w:t>
            </w:r>
            <w:r>
              <w:rPr>
                <w:rFonts w:hAnsiTheme="minorEastAsia" w:eastAsiaTheme="minorEastAsia"/>
                <w:color w:val="000000" w:themeColor="text1"/>
                <w:szCs w:val="24"/>
              </w:rPr>
              <w:fldChar w:fldCharType="end"/>
            </w:r>
            <w:r>
              <w:rPr>
                <w:rFonts w:hAnsiTheme="minorEastAsia" w:eastAsiaTheme="minorEastAsia"/>
                <w:color w:val="000000" w:themeColor="text1"/>
                <w:szCs w:val="24"/>
              </w:rPr>
              <w:t>本项目</w:t>
            </w:r>
            <w:r>
              <w:rPr>
                <w:rFonts w:hint="eastAsia" w:hAnsiTheme="minorEastAsia" w:eastAsiaTheme="minorEastAsia"/>
                <w:color w:val="000000" w:themeColor="text1"/>
                <w:szCs w:val="24"/>
              </w:rPr>
              <w:t>建成后全厂非雨天</w:t>
            </w:r>
            <w:r>
              <w:rPr>
                <w:rFonts w:hAnsiTheme="minorEastAsia" w:eastAsiaTheme="minorEastAsia"/>
                <w:color w:val="000000" w:themeColor="text1"/>
                <w:szCs w:val="24"/>
              </w:rPr>
              <w:t>水平衡如下图所示。</w:t>
            </w: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spacing w:line="360" w:lineRule="auto"/>
              <w:ind w:firstLine="480" w:firstLineChars="200"/>
              <w:rPr>
                <w:rFonts w:ascii="Times New Roman" w:hAnsi="Times New Roman" w:cs="Times New Roman"/>
                <w:color w:val="000000" w:themeColor="text1"/>
                <w:sz w:val="24"/>
                <w:szCs w:val="24"/>
                <w:highlight w:val="yellow"/>
              </w:rPr>
            </w:pPr>
          </w:p>
          <w:p>
            <w:pPr>
              <w:jc w:val="center"/>
              <w:rPr>
                <w:rFonts w:ascii="Times New Roman" w:cs="Times New Roman" w:hAnsiTheme="minorEastAsia"/>
                <w:b/>
                <w:bCs/>
                <w:color w:val="000000" w:themeColor="text1"/>
                <w:kern w:val="0"/>
              </w:rPr>
            </w:pP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drawing>
                <wp:inline distT="0" distB="0" distL="0" distR="0">
                  <wp:extent cx="5485765" cy="7980680"/>
                  <wp:effectExtent l="19050" t="0" r="63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0"/>
                          <a:srcRect/>
                          <a:stretch>
                            <a:fillRect/>
                          </a:stretch>
                        </pic:blipFill>
                        <pic:spPr>
                          <a:xfrm>
                            <a:off x="0" y="0"/>
                            <a:ext cx="5485765" cy="7980680"/>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图2.6.2-3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建成后全厂非雨天</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m³/d</w:t>
            </w:r>
          </w:p>
          <w:p>
            <w:pPr>
              <w:pStyle w:val="41"/>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2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⑵</w:t>
            </w:r>
            <w:r>
              <w:rPr>
                <w:rFonts w:hAnsiTheme="minorEastAsia" w:eastAsiaTheme="minorEastAsia"/>
                <w:color w:val="000000" w:themeColor="text1"/>
                <w:szCs w:val="24"/>
              </w:rPr>
              <w:fldChar w:fldCharType="end"/>
            </w:r>
            <w:r>
              <w:rPr>
                <w:rFonts w:hAnsiTheme="minorEastAsia" w:eastAsiaTheme="minorEastAsia"/>
                <w:color w:val="000000" w:themeColor="text1"/>
                <w:szCs w:val="24"/>
              </w:rPr>
              <w:t>本项目</w:t>
            </w:r>
            <w:r>
              <w:rPr>
                <w:rFonts w:hint="eastAsia" w:hAnsiTheme="minorEastAsia" w:eastAsiaTheme="minorEastAsia"/>
                <w:color w:val="000000" w:themeColor="text1"/>
                <w:szCs w:val="24"/>
              </w:rPr>
              <w:t>建成后全厂雨天</w:t>
            </w:r>
            <w:r>
              <w:rPr>
                <w:rFonts w:hAnsiTheme="minorEastAsia" w:eastAsiaTheme="minorEastAsia"/>
                <w:color w:val="000000" w:themeColor="text1"/>
                <w:szCs w:val="24"/>
              </w:rPr>
              <w:t>水平衡如下图所示。</w:t>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drawing>
                <wp:inline distT="0" distB="0" distL="0" distR="0">
                  <wp:extent cx="5467350" cy="80232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srcRect/>
                          <a:stretch>
                            <a:fillRect/>
                          </a:stretch>
                        </pic:blipFill>
                        <pic:spPr>
                          <a:xfrm>
                            <a:off x="0" y="0"/>
                            <a:ext cx="5468620" cy="8025275"/>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图2.6.2-4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建成后全厂雨天</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m³/d</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3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建成后全厂全年</w:t>
            </w:r>
            <w:r>
              <w:rPr>
                <w:rFonts w:ascii="Times New Roman" w:hAnsi="Times New Roman" w:cs="Times New Roman"/>
                <w:color w:val="000000" w:themeColor="text1"/>
                <w:sz w:val="24"/>
                <w:szCs w:val="24"/>
              </w:rPr>
              <w:t>水平衡如下图所示。</w:t>
            </w:r>
          </w:p>
          <w:p>
            <w:pPr>
              <w:jc w:val="center"/>
              <w:rPr>
                <w:rFonts w:ascii="Times New Roman" w:cs="Times New Roman" w:hAnsiTheme="minorEastAsia"/>
                <w:b/>
                <w:bCs/>
                <w:color w:val="000000" w:themeColor="text1"/>
                <w:kern w:val="0"/>
              </w:rPr>
            </w:pPr>
          </w:p>
          <w:p>
            <w:pPr>
              <w:jc w:val="center"/>
              <w:rPr>
                <w:rFonts w:ascii="Times New Roman" w:cs="Times New Roman" w:hAnsiTheme="minorEastAsia"/>
                <w:b/>
                <w:bCs/>
                <w:color w:val="000000" w:themeColor="text1"/>
                <w:kern w:val="0"/>
              </w:rPr>
            </w:pPr>
            <w:r>
              <w:rPr>
                <w:rFonts w:ascii="Times New Roman" w:cs="Times New Roman" w:hAnsiTheme="minorEastAsia"/>
                <w:b/>
                <w:bCs/>
                <w:color w:val="000000" w:themeColor="text1"/>
                <w:kern w:val="0"/>
              </w:rPr>
              <w:drawing>
                <wp:inline distT="0" distB="0" distL="0" distR="0">
                  <wp:extent cx="5092700" cy="8223250"/>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12"/>
                          <a:srcRect/>
                          <a:stretch>
                            <a:fillRect/>
                          </a:stretch>
                        </pic:blipFill>
                        <pic:spPr>
                          <a:xfrm>
                            <a:off x="0" y="0"/>
                            <a:ext cx="5092700" cy="8223250"/>
                          </a:xfrm>
                          <a:prstGeom prst="rect">
                            <a:avLst/>
                          </a:prstGeom>
                          <a:noFill/>
                          <a:ln w="9525">
                            <a:noFill/>
                            <a:miter lim="800000"/>
                            <a:headEnd/>
                            <a:tailEnd/>
                          </a:ln>
                        </pic:spPr>
                      </pic:pic>
                    </a:graphicData>
                  </a:graphic>
                </wp:inline>
              </w:drawing>
            </w:r>
          </w:p>
          <w:p>
            <w:pPr>
              <w:jc w:val="center"/>
              <w:rPr>
                <w:rFonts w:ascii="Times New Roman" w:cs="Times New Roman" w:hAnsiTheme="minorEastAsia"/>
                <w:b/>
                <w:bCs/>
                <w:color w:val="000000" w:themeColor="text1"/>
                <w:kern w:val="0"/>
              </w:rPr>
            </w:pPr>
            <w:r>
              <w:rPr>
                <w:rFonts w:hint="eastAsia" w:ascii="Times New Roman" w:cs="Times New Roman" w:hAnsiTheme="minorEastAsia"/>
                <w:b/>
                <w:bCs/>
                <w:color w:val="000000" w:themeColor="text1"/>
                <w:kern w:val="0"/>
              </w:rPr>
              <w:t>图2.6.2-5 本</w:t>
            </w:r>
            <w:r>
              <w:rPr>
                <w:rFonts w:ascii="Times New Roman" w:cs="Times New Roman" w:hAnsiTheme="minorEastAsia"/>
                <w:b/>
                <w:bCs/>
                <w:color w:val="000000" w:themeColor="text1"/>
                <w:kern w:val="0"/>
              </w:rPr>
              <w:t>项目</w:t>
            </w:r>
            <w:r>
              <w:rPr>
                <w:rFonts w:hint="eastAsia" w:ascii="Times New Roman" w:cs="Times New Roman" w:hAnsiTheme="minorEastAsia"/>
                <w:b/>
                <w:bCs/>
                <w:color w:val="000000" w:themeColor="text1"/>
                <w:kern w:val="0"/>
              </w:rPr>
              <w:t>建成后全厂全年</w:t>
            </w:r>
            <w:r>
              <w:rPr>
                <w:rFonts w:ascii="Times New Roman" w:cs="Times New Roman" w:hAnsiTheme="minorEastAsia"/>
                <w:b/>
                <w:bCs/>
                <w:color w:val="000000" w:themeColor="text1"/>
                <w:kern w:val="0"/>
              </w:rPr>
              <w:t>水平衡</w:t>
            </w:r>
            <w:r>
              <w:rPr>
                <w:rFonts w:hint="eastAsia" w:ascii="Times New Roman" w:cs="Times New Roman" w:hAnsiTheme="minorEastAsia"/>
                <w:b/>
                <w:bCs/>
                <w:color w:val="000000" w:themeColor="text1"/>
                <w:kern w:val="0"/>
              </w:rPr>
              <w:t xml:space="preserve">  </w:t>
            </w:r>
            <w:r>
              <w:rPr>
                <w:rFonts w:ascii="Times New Roman" w:hAnsi="Times New Roman" w:cs="Times New Roman"/>
                <w:b/>
                <w:bCs/>
                <w:color w:val="000000" w:themeColor="text1"/>
                <w:kern w:val="0"/>
              </w:rPr>
              <w:t>m³/</w:t>
            </w:r>
            <w:r>
              <w:rPr>
                <w:rFonts w:hint="eastAsia" w:ascii="Times New Roman" w:hAnsi="Times New Roman" w:cs="Times New Roman"/>
                <w:b/>
                <w:bCs/>
                <w:color w:val="000000" w:themeColor="text1"/>
                <w:kern w:val="0"/>
              </w:rPr>
              <w: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本项目拟新增员工20人，均在</w:t>
            </w:r>
            <w:r>
              <w:rPr>
                <w:rFonts w:ascii="Times New Roman" w:hAnsi="Times New Roman" w:cs="Times New Roman"/>
                <w:bCs/>
                <w:color w:val="000000" w:themeColor="text1"/>
                <w:sz w:val="24"/>
                <w:szCs w:val="24"/>
              </w:rPr>
              <w:t>厂区吃饭，但住宿人数约为</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人，其余</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人回家住宿。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年工作330d，实行每天3班制，每班8h。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2.8 </w:t>
            </w:r>
            <w:r>
              <w:rPr>
                <w:rFonts w:ascii="Times New Roman" w:hAnsi="Times New Roman" w:cs="Times New Roman"/>
                <w:b/>
                <w:color w:val="000000" w:themeColor="text1"/>
                <w:sz w:val="24"/>
                <w:szCs w:val="24"/>
              </w:rPr>
              <w:t>项目建设进度</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于2021年初开始建设，属于未批先建项目，2021年5月23日昆明市生态环境局下达《责令改正违法行为决定书》（昆生环改【“绿剑”2021】05-02-02号），要求建设单位立即停止项目建设。建设单位按照管理部门的相关要求停止了项目建设，办理了环评手续，并于</w:t>
            </w:r>
            <w:r>
              <w:rPr>
                <w:rFonts w:ascii="Times New Roman" w:hAnsi="Times New Roman" w:cs="Times New Roman"/>
                <w:color w:val="000000" w:themeColor="text1"/>
                <w:sz w:val="24"/>
                <w:szCs w:val="24"/>
              </w:rPr>
              <w:t>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，建设单位根据新增项目重新申请了排污许可，并于2022年3月8日取得昆明市生态环境局下发的《排污许可证》（证书编号：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项目取得批复后，又立即开工建设，并于2022年3月建设完成。在建设和调试过程中发现项目所在区域未配套设置天然气供应管道，回收碳工艺不成熟，通过重选方式回收氧化锌尾渣（水淬渣）中的碳的效果低于预期，因此拟对其进行调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调整后的建设内容主要为取消回收碳的生产工艺和原环评燃料由天然气变更为生物质燃料，并建设其配套的环保设施，本项目涉及变动的部分建设内容尚未动工，原已建设的</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系统的设备调试已暂停。该建设内容的调整涉及重新报批环评文件，因此后续内容建设主要根据</w:t>
            </w:r>
            <w:r>
              <w:rPr>
                <w:rFonts w:ascii="Times New Roman" w:hAnsi="Times New Roman" w:cs="Times New Roman"/>
                <w:color w:val="000000" w:themeColor="text1"/>
                <w:sz w:val="24"/>
                <w:szCs w:val="24"/>
              </w:rPr>
              <w:t>项目手续办理的实际情况</w:t>
            </w:r>
            <w:r>
              <w:rPr>
                <w:rFonts w:hint="eastAsia" w:ascii="Times New Roman" w:hAnsi="Times New Roman" w:cs="Times New Roman"/>
                <w:color w:val="000000" w:themeColor="text1"/>
                <w:sz w:val="24"/>
                <w:szCs w:val="24"/>
              </w:rPr>
              <w:t>而定</w:t>
            </w:r>
            <w:r>
              <w:rPr>
                <w:rFonts w:ascii="Times New Roman" w:hAnsi="Times New Roman" w:cs="Times New Roman"/>
                <w:color w:val="000000" w:themeColor="text1"/>
                <w:sz w:val="24"/>
                <w:szCs w:val="24"/>
              </w:rPr>
              <w:t>，拟定建设时间为202</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月-202</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年</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月，建设期为</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个月。</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施工期主要为部分生产设施及其配套的环保设施建设。施工期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生产工艺</w:t>
            </w:r>
            <w:r>
              <w:rPr>
                <w:rFonts w:hint="eastAsia" w:ascii="Times New Roman" w:hAnsi="Times New Roman" w:cs="Times New Roman"/>
                <w:b/>
                <w:bCs/>
                <w:color w:val="000000" w:themeColor="text1"/>
                <w:sz w:val="24"/>
                <w:szCs w:val="24"/>
              </w:rPr>
              <w:t>流程图</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w:t>
            </w:r>
            <w:r>
              <w:rPr>
                <w:rFonts w:hint="eastAsia" w:ascii="Times New Roman" w:hAnsi="Times New Roman" w:cs="Times New Roman"/>
                <w:bCs/>
                <w:color w:val="000000" w:themeColor="text1"/>
                <w:sz w:val="24"/>
                <w:szCs w:val="24"/>
              </w:rPr>
              <w:t>项目</w:t>
            </w:r>
            <w:r>
              <w:rPr>
                <w:rFonts w:ascii="Times New Roman" w:hAnsi="Times New Roman" w:cs="Times New Roman"/>
                <w:bCs/>
                <w:color w:val="000000" w:themeColor="text1"/>
                <w:sz w:val="24"/>
                <w:szCs w:val="24"/>
              </w:rPr>
              <w:t>工艺流程如下图所示。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drawing>
                <wp:inline distT="0" distB="0" distL="0" distR="0">
                  <wp:extent cx="5135245" cy="5797550"/>
                  <wp:effectExtent l="19050" t="0" r="7844"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noChangeArrowheads="1"/>
                          </pic:cNvPicPr>
                        </pic:nvPicPr>
                        <pic:blipFill>
                          <a:blip r:embed="rId13"/>
                          <a:srcRect/>
                          <a:stretch>
                            <a:fillRect/>
                          </a:stretch>
                        </pic:blipFill>
                        <pic:spPr>
                          <a:xfrm>
                            <a:off x="0" y="0"/>
                            <a:ext cx="5139833" cy="580261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 xml:space="preserve">-1  </w:t>
            </w:r>
            <w:r>
              <w:rPr>
                <w:rFonts w:hint="eastAsia" w:ascii="Times New Roman" w:hAnsi="Times New Roman" w:eastAsia="宋体" w:cs="Times New Roman"/>
                <w:b/>
                <w:color w:val="000000" w:themeColor="text1"/>
                <w:szCs w:val="24"/>
              </w:rPr>
              <w:t>项目</w:t>
            </w:r>
            <w:r>
              <w:rPr>
                <w:rFonts w:ascii="Times New Roman" w:hAnsi="Times New Roman" w:eastAsia="宋体" w:cs="Times New Roman"/>
                <w:b/>
                <w:color w:val="000000" w:themeColor="text1"/>
                <w:szCs w:val="24"/>
              </w:rPr>
              <w:t>生产工艺及产污流程示意图</w:t>
            </w:r>
          </w:p>
          <w:p>
            <w:pPr>
              <w:spacing w:beforeLines="50" w:line="360" w:lineRule="auto"/>
              <w:ind w:firstLine="361" w:firstLineChars="15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生产工艺简述</w:t>
            </w:r>
          </w:p>
          <w:p>
            <w:pPr>
              <w:spacing w:line="360" w:lineRule="auto"/>
              <w:ind w:firstLine="482" w:firstLineChars="20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①料斗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项目拟进行综合利用的氧化锌尾渣（水淬渣）首先进入1个54m³的料斗，通过料斗进入生产线的球磨I段工序。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项目I段球磨工序配套设置了</w:t>
            </w:r>
            <w:r>
              <w:rPr>
                <w:rFonts w:ascii="Times New Roman" w:hAnsi="Times New Roman" w:cs="Times New Roman"/>
                <w:bCs/>
                <w:color w:val="000000" w:themeColor="text1"/>
                <w:sz w:val="24"/>
                <w:szCs w:val="24"/>
              </w:rPr>
              <w:t>2台MQG1836</w:t>
            </w:r>
            <w:r>
              <w:rPr>
                <w:rFonts w:hint="eastAsia" w:ascii="Times New Roman" w:hAnsi="Times New Roman" w:cs="Times New Roman"/>
                <w:bCs/>
                <w:color w:val="000000" w:themeColor="text1"/>
                <w:sz w:val="24"/>
                <w:szCs w:val="24"/>
              </w:rPr>
              <w:t>型球磨机，对拟综合利用的</w:t>
            </w:r>
            <w:r>
              <w:rPr>
                <w:rFonts w:ascii="Times New Roman" w:hAnsi="Times New Roman" w:cs="Times New Roman"/>
                <w:bCs/>
                <w:color w:val="000000" w:themeColor="text1"/>
                <w:sz w:val="24"/>
                <w:szCs w:val="24"/>
              </w:rPr>
              <w:t>氧化锌尾渣（水淬渣）</w:t>
            </w:r>
            <w:r>
              <w:rPr>
                <w:rFonts w:hint="eastAsia" w:ascii="Times New Roman" w:hAnsi="Times New Roman" w:cs="Times New Roman"/>
                <w:bCs/>
                <w:color w:val="000000" w:themeColor="text1"/>
                <w:sz w:val="24"/>
                <w:szCs w:val="24"/>
              </w:rPr>
              <w:t>进行球磨，球磨过程需添加水，球磨后是水淬渣的粒径小于200目，I段球磨后的物料通过渣浆泵泵至磁选工序。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项目磁选工序设置2台CTB1021型磁选机，对I段球磨后的物料进行磁选，磁选后的尾渣通过渣浆泵泵至尾渣处理系统，而磁选后的含铁物质则通过渣浆泵泵至高频细筛工序。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④高频细筛</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项目拟设置1台1021型高频细筛对磁选后的含铁物质进行分级，其中筛上物（粒度＞100目）进入II段球磨工序；筛下物（粒度≤100目）进入重选。</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⑤</w:t>
            </w:r>
            <w:r>
              <w:rPr>
                <w:rFonts w:hint="eastAsia" w:ascii="Times New Roman" w:hAnsi="Times New Roman" w:cs="Times New Roman"/>
                <w:b/>
                <w:bCs/>
                <w:color w:val="000000" w:themeColor="text1"/>
                <w:sz w:val="24"/>
                <w:szCs w:val="24"/>
              </w:rPr>
              <w:t>II段球磨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项目II段球磨拟设置一台</w:t>
            </w:r>
            <w:r>
              <w:rPr>
                <w:rFonts w:ascii="Times New Roman" w:hAnsi="Times New Roman" w:cs="Times New Roman"/>
                <w:bCs/>
                <w:color w:val="000000" w:themeColor="text1"/>
                <w:sz w:val="24"/>
                <w:szCs w:val="24"/>
              </w:rPr>
              <w:t>MQY1245</w:t>
            </w:r>
            <w:r>
              <w:rPr>
                <w:rFonts w:hint="eastAsia" w:ascii="Times New Roman" w:hAnsi="Times New Roman" w:cs="Times New Roman"/>
                <w:bCs/>
                <w:color w:val="000000" w:themeColor="text1"/>
                <w:sz w:val="24"/>
                <w:szCs w:val="24"/>
              </w:rPr>
              <w:t>溢流型球磨机对筛上物（粒度＞100目）进行II段球磨，球磨后的物质再进入高频细筛机进行再次分级。</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⑥重选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项目重选拟设置</w:t>
            </w:r>
            <w:r>
              <w:rPr>
                <w:rFonts w:ascii="Times New Roman" w:hAnsi="Times New Roman" w:cs="Times New Roman"/>
                <w:bCs/>
                <w:color w:val="000000" w:themeColor="text1"/>
                <w:sz w:val="24"/>
                <w:szCs w:val="24"/>
              </w:rPr>
              <w:t>8</w:t>
            </w:r>
            <w:r>
              <w:rPr>
                <w:rFonts w:hint="eastAsia" w:ascii="Times New Roman" w:hAnsi="Times New Roman" w:cs="Times New Roman"/>
                <w:bCs/>
                <w:color w:val="000000" w:themeColor="text1"/>
                <w:sz w:val="24"/>
                <w:szCs w:val="24"/>
              </w:rPr>
              <w:t>台</w:t>
            </w:r>
            <w:r>
              <w:rPr>
                <w:rFonts w:ascii="Times New Roman" w:hAnsi="Times New Roman" w:cs="Times New Roman"/>
                <w:bCs/>
                <w:color w:val="000000" w:themeColor="text1"/>
                <w:sz w:val="24"/>
                <w:szCs w:val="24"/>
              </w:rPr>
              <w:t>摇床</w:t>
            </w:r>
            <w:r>
              <w:rPr>
                <w:rFonts w:hint="eastAsia" w:ascii="Times New Roman" w:hAnsi="Times New Roman" w:cs="Times New Roman"/>
                <w:bCs/>
                <w:color w:val="000000" w:themeColor="text1"/>
                <w:sz w:val="24"/>
                <w:szCs w:val="24"/>
              </w:rPr>
              <w:t>对高频细筛后的筛下物（粒度≤100目）进行重选，该利用铁单质的密度大于其他含铁氧化物密度的特点，可有效将还原铁粉（单质铁）和次铁粉（含铁氧化物）进行分离。重选后的次铁粉（含铁氧化物）通过渣浆泵泵至次铁粉产品生产工序生产次铁粉产品，而还原铁粉（单质铁）则进入烘干车间生产还原铁粉产品。</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⑦还原铁粉产品生产工序</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经重选分离得到的还原铁粉（单质铁）进入还原铁粉产品生产工序，在该工序内，经过脱水、烘干和包装后得到还原铁粉产品。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脱水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根据建单位原调试阶段（2022年4月2日）对生产工艺产物（未烘干前的单质铁）的化验单，脱水后单质铁</w:t>
            </w:r>
            <w:r>
              <w:rPr>
                <w:rFonts w:ascii="Times New Roman" w:hAnsi="Times New Roman" w:cs="Times New Roman"/>
                <w:color w:val="000000" w:themeColor="text1"/>
                <w:sz w:val="24"/>
                <w:szCs w:val="24"/>
              </w:rPr>
              <w:t>含水率约为15%</w:t>
            </w:r>
            <w:r>
              <w:rPr>
                <w:rFonts w:hint="eastAsia" w:ascii="Times New Roman" w:hAnsi="Times New Roman" w:cs="Times New Roman"/>
                <w:color w:val="000000" w:themeColor="text1"/>
                <w:sz w:val="24"/>
                <w:szCs w:val="24"/>
              </w:rPr>
              <w:t>，还原铁粉产品生产工序配套设置了1台</w:t>
            </w:r>
            <w:r>
              <w:rPr>
                <w:rFonts w:ascii="Times New Roman" w:hAnsi="Times New Roman" w:cs="Times New Roman"/>
                <w:color w:val="000000" w:themeColor="text1"/>
                <w:sz w:val="24"/>
                <w:szCs w:val="24"/>
              </w:rPr>
              <w:t>GW-3</w:t>
            </w:r>
            <w:r>
              <w:rPr>
                <w:rFonts w:hint="eastAsia" w:ascii="Times New Roman" w:hAnsi="Times New Roman" w:cs="Times New Roman"/>
                <w:color w:val="000000" w:themeColor="text1"/>
                <w:sz w:val="24"/>
                <w:szCs w:val="24"/>
              </w:rPr>
              <w:t>过滤机进行脱水，根据设计参数，该脱水设备的评价脱水效率约为93.67%，则可推算出，经重选后的单质铁含水率约为73.6%，该过程会产生一定量的废水，废水进入</w:t>
            </w:r>
            <w:r>
              <w:rPr>
                <w:rFonts w:ascii="Times New Roman" w:hAnsi="Times New Roman" w:cs="Times New Roman"/>
                <w:color w:val="000000" w:themeColor="text1"/>
                <w:sz w:val="24"/>
                <w:szCs w:val="24"/>
              </w:rPr>
              <w:t>废水处理系统</w:t>
            </w:r>
            <w:r>
              <w:rPr>
                <w:rFonts w:hint="eastAsia" w:ascii="Times New Roman" w:hAnsi="Times New Roman" w:cs="Times New Roman"/>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烘干</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脱水后的单质铁含水率约为15%，通过螺旋进料机进入烘干系统进行烘干，烘干系统由1套RFL型圆筒型热风炉、1台</w:t>
            </w:r>
            <w:r>
              <w:rPr>
                <w:rFonts w:ascii="Times New Roman" w:hAnsi="Times New Roman" w:cs="Times New Roman"/>
                <w:bCs/>
                <w:color w:val="000000" w:themeColor="text1"/>
                <w:sz w:val="24"/>
                <w:szCs w:val="24"/>
              </w:rPr>
              <w:t>Φ</w:t>
            </w:r>
            <w:r>
              <w:rPr>
                <w:rFonts w:hint="eastAsia" w:ascii="Times New Roman" w:hAnsi="Times New Roman" w:cs="Times New Roman"/>
                <w:bCs/>
                <w:color w:val="000000" w:themeColor="text1"/>
                <w:sz w:val="24"/>
                <w:szCs w:val="24"/>
              </w:rPr>
              <w:t>1200*21000烘干机和风机组成，洁净热空气与热风炉提供的高温热气（烟气）进行热交换后变为热空气进入烘干机内与单质铁逆流接触进行烘干；使单质铁含水率≤1%。具体烘干系统如下：</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drawing>
                <wp:inline distT="0" distB="0" distL="0" distR="0">
                  <wp:extent cx="5387975" cy="1927225"/>
                  <wp:effectExtent l="19050" t="0" r="2797"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noChangeArrowheads="1"/>
                          </pic:cNvPicPr>
                        </pic:nvPicPr>
                        <pic:blipFill>
                          <a:blip r:embed="rId14"/>
                          <a:srcRect/>
                          <a:stretch>
                            <a:fillRect/>
                          </a:stretch>
                        </pic:blipFill>
                        <pic:spPr>
                          <a:xfrm>
                            <a:off x="0" y="0"/>
                            <a:ext cx="5387919" cy="1927256"/>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2.9.2</w:t>
            </w:r>
            <w:r>
              <w:rPr>
                <w:rFonts w:ascii="Times New Roman" w:hAnsi="Times New Roman" w:eastAsia="宋体" w:cs="Times New Roman"/>
                <w:b/>
                <w:color w:val="000000" w:themeColor="text1"/>
                <w:szCs w:val="24"/>
              </w:rPr>
              <w:t>-</w:t>
            </w:r>
            <w:r>
              <w:rPr>
                <w:rFonts w:hint="eastAsia" w:ascii="Times New Roman" w:hAnsi="Times New Roman" w:eastAsia="宋体" w:cs="Times New Roman"/>
                <w:b/>
                <w:color w:val="000000" w:themeColor="text1"/>
                <w:szCs w:val="24"/>
              </w:rPr>
              <w:t>2</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烘干系统</w:t>
            </w:r>
            <w:r>
              <w:rPr>
                <w:rFonts w:ascii="Times New Roman" w:hAnsi="Times New Roman" w:eastAsia="宋体" w:cs="Times New Roman"/>
                <w:b/>
                <w:color w:val="000000" w:themeColor="text1"/>
                <w:szCs w:val="24"/>
              </w:rPr>
              <w:t>工艺及产污流程示意图</w:t>
            </w:r>
          </w:p>
          <w:p>
            <w:pPr>
              <w:spacing w:beforeLines="50"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RFL型圆筒型热风炉主要由燃烧室和热交换桶组成，首先再燃烧室内投入生物质燃料，并通过风机鼓入空气进行燃烧，燃烧后的高温热气（烟气）进入热交换桶内，再热交换桶内鼓入空气和高温热气（烟气）进行间接热交换，热交换后的洁净热空气进入烘干机进行烘干，烘干工序将产生烘干粉尘（颗粒物），通过旋风除尘+袋式除尘器处理，其中旋风除尘效率为70%，2#布袋除尘除尘效率为98.4%，则综合除尘效率约为99.5%，烘干粉尘经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15</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排气筒（DA004）</w:t>
            </w:r>
            <w:r>
              <w:rPr>
                <w:rFonts w:hint="eastAsia" w:ascii="Times New Roman" w:hAnsi="Times New Roman" w:cs="Times New Roman"/>
                <w:bCs/>
                <w:color w:val="000000" w:themeColor="text1"/>
                <w:sz w:val="24"/>
                <w:szCs w:val="24"/>
              </w:rPr>
              <w:t>外排；而燃烧烟气主要为生物质燃料燃烧产生，其污染物类型包括颗粒物、SO</w:t>
            </w:r>
            <w:r>
              <w:rPr>
                <w:rFonts w:hint="eastAsia" w:ascii="Times New Roman" w:hAnsi="Times New Roman" w:cs="Times New Roman"/>
                <w:bCs/>
                <w:color w:val="000000" w:themeColor="text1"/>
                <w:sz w:val="24"/>
                <w:szCs w:val="24"/>
                <w:vertAlign w:val="subscript"/>
              </w:rPr>
              <w:t>2</w:t>
            </w:r>
            <w:r>
              <w:rPr>
                <w:rFonts w:hint="eastAsia" w:ascii="Times New Roman" w:hAnsi="Times New Roman" w:cs="Times New Roman"/>
                <w:bCs/>
                <w:color w:val="000000" w:themeColor="text1"/>
                <w:sz w:val="24"/>
                <w:szCs w:val="24"/>
              </w:rPr>
              <w:t>、NOx，针对燃烧烟气，项目拟通过低氮燃烧+非催化还原（SNCR）脱硝技术+袋式除尘器处理，其中低氮燃烧+非催化还原（SNCR）脱硝的NOx去除效率为45.4%，1#布袋除尘除尘效率为99.7%，燃烧烟气经处理后通过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0.4</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排气筒（DA003）</w:t>
            </w:r>
            <w:r>
              <w:rPr>
                <w:rFonts w:hint="eastAsia" w:ascii="Times New Roman" w:hAnsi="Times New Roman" w:cs="Times New Roman"/>
                <w:bCs/>
                <w:color w:val="000000" w:themeColor="text1"/>
                <w:sz w:val="24"/>
                <w:szCs w:val="24"/>
              </w:rPr>
              <w:t>外排。</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低氮燃烧+非催化还原（SNCR）脱硝工艺简介如下：</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A：低氮燃烧工艺：项目采用的</w:t>
            </w:r>
            <w:r>
              <w:rPr>
                <w:rFonts w:ascii="Times New Roman" w:hAnsi="Times New Roman" w:cs="Times New Roman"/>
                <w:bCs/>
                <w:color w:val="000000" w:themeColor="text1"/>
                <w:sz w:val="24"/>
                <w:szCs w:val="24"/>
              </w:rPr>
              <w:t>低氮氧化物燃烧技术控制燃烧条件</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以降低燃烧尾气中NOx浓度的各项技术。影响燃烧过程中NOx生成的主要因素是燃烧温度、烟气在高温区的停留时间、烟气中各种组分的浓度以及混合程度</w:t>
            </w:r>
            <w:r>
              <w:rPr>
                <w:rFonts w:hint="eastAsia" w:ascii="Times New Roman" w:hAnsi="Times New Roman" w:cs="Times New Roman"/>
                <w:bCs/>
                <w:color w:val="000000" w:themeColor="text1"/>
                <w:sz w:val="24"/>
                <w:szCs w:val="24"/>
              </w:rPr>
              <w:t>；项目主要采用</w:t>
            </w:r>
            <w:r>
              <w:rPr>
                <w:rFonts w:ascii="Times New Roman" w:hAnsi="Times New Roman" w:cs="Times New Roman"/>
                <w:bCs/>
                <w:color w:val="000000" w:themeColor="text1"/>
                <w:sz w:val="24"/>
                <w:szCs w:val="24"/>
              </w:rPr>
              <w:t>改变空气燃料比、燃烧空气的温度</w:t>
            </w:r>
            <w:r>
              <w:rPr>
                <w:rFonts w:hint="eastAsia" w:ascii="Times New Roman" w:hAnsi="Times New Roman" w:cs="Times New Roman"/>
                <w:bCs/>
                <w:color w:val="000000" w:themeColor="text1"/>
                <w:sz w:val="24"/>
                <w:szCs w:val="24"/>
              </w:rPr>
              <w:t>来</w:t>
            </w:r>
            <w:r>
              <w:rPr>
                <w:rFonts w:ascii="Times New Roman" w:hAnsi="Times New Roman" w:cs="Times New Roman"/>
                <w:bCs/>
                <w:color w:val="000000" w:themeColor="text1"/>
                <w:sz w:val="24"/>
                <w:szCs w:val="24"/>
              </w:rPr>
              <w:t>减少燃烧过程中氮氧化物的生成。</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B：非催化还原（SNCR）脱硝工艺：</w:t>
            </w:r>
            <w:r>
              <w:rPr>
                <w:rFonts w:hint="eastAsia" w:ascii="Times New Roman" w:hAnsi="Times New Roman" w:cs="Times New Roman"/>
                <w:color w:val="000000" w:themeColor="text1"/>
                <w:sz w:val="24"/>
                <w:szCs w:val="24"/>
              </w:rPr>
              <w:t>选择性非催化还原（SNCR）脱硝技术，是烟气NOx的末端处理技术，是把含有氨基的还原剂（尿素）在不使用催化剂的前提下使用脱销喷枪均匀喷入锅炉内，温度范围为800-1100℃的区域选择性的把烟气中的NOx还原为无害的N</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和H</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0，以达到减排NOx的目的。主要化学反应为：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2CO（NH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+4NO+O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4N</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+2CO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+4H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6CO（NH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+8NO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10N</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+6CO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+12H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0</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包装</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根据设计，项目设置2个</w:t>
            </w:r>
            <w:r>
              <w:rPr>
                <w:rFonts w:ascii="Times New Roman" w:hAnsi="Times New Roman" w:cs="Times New Roman"/>
                <w:bCs/>
                <w:color w:val="000000" w:themeColor="text1"/>
                <w:sz w:val="24"/>
                <w:szCs w:val="24"/>
              </w:rPr>
              <w:t>Φ200*</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00</w:t>
            </w:r>
            <w:r>
              <w:rPr>
                <w:rFonts w:hint="eastAsia" w:ascii="Times New Roman" w:hAnsi="Times New Roman" w:cs="Times New Roman"/>
                <w:bCs/>
                <w:color w:val="000000" w:themeColor="text1"/>
                <w:sz w:val="24"/>
                <w:szCs w:val="24"/>
              </w:rPr>
              <w:t>的成品料斗，经烘干后的还原铁粉进入两个成品料斗进行包装入库后外卖。</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⑧次铁粉产品生产工序</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经重选分离得到的次铁粉（含铁氧化物）进入次铁粉产品生产工序，在该工序内，经过弱磁选、浓密和板框压滤后得到次铁粉产品产品。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弱磁选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由于重选分离的次铁粉（含铁氧化物）含有一定量的杂质，因此次铁粉产品生产工序设置1台</w:t>
            </w:r>
            <w:r>
              <w:rPr>
                <w:rFonts w:ascii="Times New Roman" w:hAnsi="Times New Roman" w:cs="Times New Roman"/>
                <w:bCs/>
                <w:color w:val="000000" w:themeColor="text1"/>
                <w:sz w:val="24"/>
                <w:szCs w:val="24"/>
              </w:rPr>
              <w:t>CTB091</w:t>
            </w:r>
            <w:r>
              <w:rPr>
                <w:rFonts w:hint="eastAsia" w:ascii="Times New Roman" w:hAnsi="Times New Roman" w:cs="Times New Roman"/>
                <w:bCs/>
                <w:color w:val="000000" w:themeColor="text1"/>
                <w:sz w:val="24"/>
                <w:szCs w:val="24"/>
              </w:rPr>
              <w:t>8弱磁机对次铁粉进行弱磁选，从而将次铁粉和杂质进行分离，得到的次铁粉进入浓密工序，而弱磁选后的尾渣通过渣浆泵泵至尾渣处理系统。</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根据建单位原调试阶段（2022年4月3日）对生产工艺产物（次铁粉）的化验单，</w:t>
            </w:r>
            <w:r>
              <w:rPr>
                <w:rFonts w:ascii="Times New Roman" w:hAnsi="Times New Roman" w:cs="Times New Roman"/>
                <w:color w:val="000000" w:themeColor="text1"/>
                <w:sz w:val="24"/>
                <w:szCs w:val="24"/>
              </w:rPr>
              <w:t>次铁粉含水率约为10%</w:t>
            </w:r>
            <w:r>
              <w:rPr>
                <w:rFonts w:hint="eastAsia" w:ascii="Times New Roman" w:hAnsi="Times New Roman" w:cs="Times New Roman"/>
                <w:color w:val="000000" w:themeColor="text1"/>
                <w:sz w:val="24"/>
                <w:szCs w:val="24"/>
              </w:rPr>
              <w:t>，项目针对弱磁选后得到的次铁粉，设置1台FNX-10斜管浓密箱对其进行浓密，并进行板框压滤，根据设计参数，该浓密箱的平均脱水效率约为58.28%，板框压滤的平均脱水效率约为86.58%，则可推算出弱磁选后的次铁粉含水率约66.5%，浓密后的次铁粉含水率约为45.3%，进入压滤工序；浓密废水进入</w:t>
            </w:r>
            <w:r>
              <w:rPr>
                <w:rFonts w:ascii="Times New Roman" w:hAnsi="Times New Roman" w:cs="Times New Roman"/>
                <w:color w:val="000000" w:themeColor="text1"/>
                <w:sz w:val="24"/>
                <w:szCs w:val="24"/>
              </w:rPr>
              <w:t>废水处理系统</w:t>
            </w:r>
            <w:r>
              <w:rPr>
                <w:rFonts w:hint="eastAsia" w:ascii="Times New Roman" w:hAnsi="Times New Roman" w:cs="Times New Roman"/>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板框压滤</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浓密后的次铁粉含水率约为45.3%，项目设置了2台50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的板框压滤机对经浓密后的次铁粉进行压滤，压滤后得到次铁粉产品。压滤废水进入</w:t>
            </w:r>
            <w:r>
              <w:rPr>
                <w:rFonts w:ascii="Times New Roman" w:hAnsi="Times New Roman" w:cs="Times New Roman"/>
                <w:color w:val="000000" w:themeColor="text1"/>
                <w:sz w:val="24"/>
                <w:szCs w:val="24"/>
              </w:rPr>
              <w:t>废水处理系统</w:t>
            </w:r>
            <w:r>
              <w:rPr>
                <w:rFonts w:hint="eastAsia" w:ascii="Times New Roman" w:hAnsi="Times New Roman" w:cs="Times New Roman"/>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⑨</w:t>
            </w:r>
            <w:r>
              <w:rPr>
                <w:rFonts w:hint="eastAsia" w:ascii="Times New Roman" w:hAnsi="Times New Roman" w:cs="Times New Roman"/>
                <w:b/>
                <w:bCs/>
                <w:color w:val="000000" w:themeColor="text1"/>
                <w:sz w:val="24"/>
                <w:szCs w:val="24"/>
              </w:rPr>
              <w:t>尾渣处理系统</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项目磁选和弱磁选工序产生的尾渣，项目拟设置尾渣处理系统对其进行处理，尾渣处理系统包括浓密+真空过滤工艺，具体如下：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项目设置5个FNX-10浓密机对磁选和弱磁选工序产生的尾渣进行浓密，浓密后的尾渣进入过滤工序；浓密废水进入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真空过滤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项目设置了1台GP-30-6盘式过滤机对经浓密后的尾渣进行过滤，经过滤后的废渣，运输至废渣暂存库暂存后，委托四方地工业园区弃渣场处置。过滤废水进入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 xml:space="preserve">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施工期主要为部分生产设施及其配套的环保设施建设。施工期</w:t>
            </w:r>
            <w:r>
              <w:rPr>
                <w:rFonts w:ascii="Times New Roman" w:hAnsi="Times New Roman" w:cs="Times New Roman"/>
                <w:bCs/>
                <w:color w:val="000000" w:themeColor="text1"/>
                <w:sz w:val="24"/>
                <w:szCs w:val="24"/>
              </w:rPr>
              <w:t>主要</w:t>
            </w:r>
            <w:r>
              <w:rPr>
                <w:rFonts w:hint="eastAsia" w:ascii="Times New Roman" w:hAnsi="Times New Roman" w:cs="Times New Roman"/>
                <w:bCs/>
                <w:color w:val="000000" w:themeColor="text1"/>
                <w:sz w:val="24"/>
                <w:szCs w:val="24"/>
              </w:rPr>
              <w:t>污染物</w:t>
            </w:r>
            <w:r>
              <w:rPr>
                <w:rFonts w:ascii="Times New Roman" w:hAnsi="Times New Roman" w:cs="Times New Roman"/>
                <w:bCs/>
                <w:color w:val="000000" w:themeColor="text1"/>
                <w:sz w:val="24"/>
                <w:szCs w:val="24"/>
              </w:rPr>
              <w:t>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360" w:firstLineChars="1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本项目用水环节主要为生产用水和生活用水，而废水产生环节主要为生产废水、生活污水。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根据项目工程内容及生产工艺，本项目产生的固体废物包括：</w:t>
            </w:r>
            <w:r>
              <w:rPr>
                <w:rFonts w:hint="eastAsia" w:ascii="Times New Roman" w:hAnsi="Times New Roman" w:cs="Times New Roman"/>
                <w:color w:val="000000" w:themeColor="text1"/>
                <w:sz w:val="24"/>
                <w:szCs w:val="24"/>
              </w:rPr>
              <w:t>项目对氧化锌尾渣（水淬渣）利用后剩余的废渣、袋式除尘器收集烟尘、</w:t>
            </w:r>
            <w:r>
              <w:rPr>
                <w:rFonts w:ascii="Times New Roman" w:hAnsi="Times New Roman" w:cs="Times New Roman"/>
                <w:color w:val="000000" w:themeColor="text1"/>
                <w:sz w:val="24"/>
                <w:szCs w:val="24"/>
              </w:rPr>
              <w:t>旋风除尘器</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袋式除尘器收集粉尘、</w:t>
            </w:r>
            <w:r>
              <w:rPr>
                <w:rFonts w:hint="eastAsia" w:ascii="Times New Roman" w:hAnsi="Times New Roman" w:cs="Times New Roman"/>
                <w:color w:val="000000" w:themeColor="text1"/>
                <w:sz w:val="24"/>
                <w:szCs w:val="24"/>
              </w:rPr>
              <w:t>热风炉燃烧产生的灰渣、</w:t>
            </w:r>
            <w:r>
              <w:rPr>
                <w:rFonts w:ascii="Times New Roman" w:hAnsi="Times New Roman" w:cs="Times New Roman"/>
                <w:color w:val="000000" w:themeColor="text1"/>
                <w:sz w:val="24"/>
                <w:szCs w:val="24"/>
              </w:rPr>
              <w:t>设备维修产生的废机油及废弃沾油抹布、生活垃圾。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本项目选址位于</w:t>
            </w:r>
            <w:r>
              <w:rPr>
                <w:rFonts w:ascii="Times New Roman" w:hAnsi="Times New Roman" w:cs="Times New Roman"/>
                <w:color w:val="000000" w:themeColor="text1"/>
                <w:sz w:val="24"/>
                <w:szCs w:val="24"/>
              </w:rPr>
              <w:t>昆明合旺有色金属有限公司厂区内</w:t>
            </w:r>
            <w:r>
              <w:rPr>
                <w:rFonts w:hint="eastAsia" w:ascii="Times New Roman" w:hAnsi="Times New Roman" w:cs="Times New Roman"/>
                <w:color w:val="000000" w:themeColor="text1"/>
                <w:sz w:val="24"/>
                <w:szCs w:val="24"/>
              </w:rPr>
              <w:t>，主要对昆明合旺有色金属有限公司生产线产生的氧化锌尾渣（水淬渣）进行综合利用，其原料来源于</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次氧化锌生产线及其拟扩建线产生的氧化锌尾渣（水淬渣）。与本项目有关的各生产线的基本情况如下：</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11</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现有次氧化锌生产线基本情况</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2.11.1 现有次氧化锌生产线环保手续办理情况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有次氧化锌生产线名称为“昆明合旺有色金属有限公司炼铅废渣的综合回收项目”，该生产线项目委托昆明理工大学于2007年12月编制完成了《昆明合旺有色金属有限公司炼铅废渣的综合回收项目环境影响报告书》，并于2008年1月14日取得昆明市东川区环境保护局（现昆明市生态环境局东川分局）《关于对昆明合旺有色金属有限公司炼铅废渣的综合回收项目环境影响报告书的批复》（东环保【2008】2号）；项目取得批复后开工建设，2009年2月建设完成，2009年7月10日通过昆明市东川区环境保护局（现昆明市生态环境局东川分局）主持的竣工验收，取得排污许可证（老证），后建设单位又按照排污许可证申请与核发技术规范的要求申领新排污许可证，并于2021年5月28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），后应排污许可证与现场存在不符情况，2021年10月20日进行了一次排污许可证变更；建设单位主持编制完成了《</w:t>
            </w:r>
            <w:r>
              <w:rPr>
                <w:rFonts w:ascii="Times New Roman" w:hAnsi="Times New Roman" w:cs="Times New Roman"/>
                <w:color w:val="000000" w:themeColor="text1"/>
                <w:sz w:val="24"/>
                <w:szCs w:val="24"/>
              </w:rPr>
              <w:t>昆明合旺有色金属有限公司炼铅废渣的综合回收项目</w:t>
            </w:r>
            <w:r>
              <w:rPr>
                <w:rFonts w:hint="eastAsia" w:ascii="Times New Roman" w:hAnsi="Times New Roman" w:cs="Times New Roman"/>
                <w:color w:val="000000" w:themeColor="text1"/>
                <w:sz w:val="24"/>
                <w:szCs w:val="24"/>
              </w:rPr>
              <w:t>突发环境事件应急预案》，并于2021年6月11日进行了备案。该生产线环保手续齐全。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2.11.2 现有次氧化锌生产线工程内容及规模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昆明合旺有色金属有限公司炼铅废渣的综合回收项目厂区的总占地20亩，厂区内建设了1条次氧化锌生产线，年生产6000吨。</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2.11.3</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现有次氧化锌生产线</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w:t>
            </w:r>
            <w:r>
              <w:rPr>
                <w:rFonts w:ascii="Times New Roman" w:hAnsi="Times New Roman" w:cs="Times New Roman"/>
                <w:color w:val="000000" w:themeColor="text1"/>
                <w:sz w:val="24"/>
                <w:szCs w:val="24"/>
              </w:rPr>
              <w:t>主要生产单元、主要工艺、生产设施及设施参数如下表所示。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2.11.3</w:t>
            </w:r>
            <w:r>
              <w:rPr>
                <w:rFonts w:ascii="Times New Roman" w:hAnsi="Times New Roman" w:eastAsia="宋体" w:cs="Times New Roman"/>
                <w:b/>
                <w:color w:val="000000" w:themeColor="text1"/>
                <w:szCs w:val="24"/>
              </w:rPr>
              <w:t xml:space="preserve">-1 </w:t>
            </w:r>
            <w:r>
              <w:rPr>
                <w:rFonts w:hint="eastAsia" w:ascii="Times New Roman" w:hAnsi="Times New Roman" w:eastAsia="宋体" w:cs="Times New Roman"/>
                <w:b/>
                <w:color w:val="000000" w:themeColor="text1"/>
                <w:szCs w:val="24"/>
              </w:rPr>
              <w:t>现有次氧化锌生产线</w:t>
            </w:r>
            <w:r>
              <w:rPr>
                <w:rFonts w:ascii="Times New Roman" w:hAnsi="Times New Roman" w:eastAsia="宋体" w:cs="Times New Roman"/>
                <w:b/>
                <w:color w:val="000000" w:themeColor="text1"/>
                <w:szCs w:val="24"/>
              </w:rPr>
              <w:t>主要生产单元、主要工艺、生产设施及设施参数表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582"/>
              <w:gridCol w:w="3096"/>
              <w:gridCol w:w="1843"/>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tcBorders>
                    <w:top w:val="single" w:color="auto" w:sz="4" w:space="0"/>
                    <w:righ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主要生产单元</w:t>
                  </w:r>
                </w:p>
              </w:tc>
              <w:tc>
                <w:tcPr>
                  <w:tcW w:w="1582"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主要工艺</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生产设施</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设施参数</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次氧化锌生产线</w:t>
                  </w: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配料车间</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上料机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10t/h</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皮带输送机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4.5×2kw</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破碎机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10kw</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焙烧段</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挥发回转窑</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w:t>
                  </w:r>
                  <w:r>
                    <w:rPr>
                      <w:rFonts w:hint="eastAsia" w:ascii="Times New Roman" w:hAnsi="Times New Roman" w:eastAsia="宋体" w:cs="Times New Roman"/>
                      <w:color w:val="000000" w:themeColor="text1"/>
                      <w:kern w:val="32"/>
                    </w:rPr>
                    <w:t>2.2×34m</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冷却及收尘段</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表冷收尘器</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布袋收尘器</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2826</w:t>
                  </w:r>
                  <w:r>
                    <w:rPr>
                      <w:rFonts w:ascii="Times New Roman" w:hAnsi="Times New Roman" w:eastAsia="宋体" w:cs="Times New Roman"/>
                      <w:color w:val="000000" w:themeColor="text1"/>
                      <w:kern w:val="32"/>
                    </w:rPr>
                    <w:t>m²</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其他</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离心引风机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Y8-39-10D</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1021"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1582" w:type="dxa"/>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罗茨鼓风机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RM364</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2603" w:type="dxa"/>
                  <w:gridSpan w:val="2"/>
                  <w:vMerge w:val="restart"/>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 w:hRule="atLeast"/>
                <w:jc w:val="center"/>
              </w:trPr>
              <w:tc>
                <w:tcPr>
                  <w:tcW w:w="2603" w:type="dxa"/>
                  <w:gridSpan w:val="2"/>
                  <w:vMerge w:val="continue"/>
                  <w:vAlign w:val="center"/>
                </w:tcPr>
                <w:p>
                  <w:pPr>
                    <w:spacing w:line="360" w:lineRule="exact"/>
                    <w:jc w:val="center"/>
                    <w:rPr>
                      <w:rFonts w:ascii="Times New Roman" w:hAnsi="Times New Roman" w:eastAsia="宋体" w:cs="Times New Roman"/>
                      <w:color w:val="000000" w:themeColor="text1"/>
                      <w:kern w:val="32"/>
                    </w:rPr>
                  </w:pPr>
                </w:p>
              </w:tc>
              <w:tc>
                <w:tcPr>
                  <w:tcW w:w="309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1843"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066"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2.11.4 现有次氧化锌生产线生产工艺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根据调查，现有次氧化锌生产线工艺流程及产物节点如下图所示。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drawing>
                <wp:inline distT="0" distB="0" distL="0" distR="0">
                  <wp:extent cx="4868545" cy="4822825"/>
                  <wp:effectExtent l="19050" t="0" r="8106"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5"/>
                          <a:srcRect/>
                          <a:stretch>
                            <a:fillRect/>
                          </a:stretch>
                        </pic:blipFill>
                        <pic:spPr>
                          <a:xfrm>
                            <a:off x="0" y="0"/>
                            <a:ext cx="4868694" cy="4823012"/>
                          </a:xfrm>
                          <a:prstGeom prst="rect">
                            <a:avLst/>
                          </a:prstGeom>
                          <a:noFill/>
                          <a:ln w="9525">
                            <a:noFill/>
                            <a:miter lim="800000"/>
                            <a:headEnd/>
                            <a:tailEnd/>
                          </a:ln>
                        </pic:spPr>
                      </pic:pic>
                    </a:graphicData>
                  </a:graphic>
                </wp:inline>
              </w:drawing>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图2.11.4-1 现有次氧化锌生产线工艺流程及产物节点图</w:t>
            </w:r>
          </w:p>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2.11.5 现有次氧化锌生产线污染物排放情况</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（1）现有次氧化锌生产线废气污染源产排情况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产生的废气污染物主要包括：原料堆场装卸扬尘、氧化锌矿破碎粉尘、配料粉尘、</w:t>
            </w:r>
            <w:r>
              <w:rPr>
                <w:rFonts w:ascii="Times New Roman" w:hAnsi="Times New Roman" w:cs="Times New Roman"/>
                <w:color w:val="000000" w:themeColor="text1"/>
                <w:sz w:val="24"/>
                <w:szCs w:val="24"/>
              </w:rPr>
              <w:t>回转窑焙烧</w:t>
            </w:r>
            <w:r>
              <w:rPr>
                <w:rFonts w:hint="eastAsia" w:ascii="Times New Roman" w:hAnsi="Times New Roman" w:cs="Times New Roman"/>
                <w:color w:val="000000" w:themeColor="text1"/>
                <w:sz w:val="24"/>
                <w:szCs w:val="24"/>
              </w:rPr>
              <w:t>烟气（包括</w:t>
            </w:r>
            <w:r>
              <w:rPr>
                <w:rFonts w:ascii="Times New Roman" w:hAnsi="Times New Roman" w:cs="Times New Roman"/>
                <w:color w:val="000000" w:themeColor="text1"/>
                <w:sz w:val="24"/>
                <w:szCs w:val="24"/>
              </w:rPr>
              <w:t>颗粒物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汞及其化合物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铅及其化合物</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林格曼黑度</w:t>
            </w:r>
            <w:r>
              <w:rPr>
                <w:rFonts w:hint="eastAsia" w:ascii="Times New Roman" w:hAnsi="Times New Roman" w:cs="Times New Roman"/>
                <w:color w:val="000000" w:themeColor="text1"/>
                <w:sz w:val="24"/>
                <w:szCs w:val="24"/>
              </w:rPr>
              <w:t>）、炉窑泄料粉尘。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根据《污染源源强核算技术指南 准则》（HJ884-2018），现有工程污染源源强的核算应优先采用实测法，环评期间收集了</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2023年第一、二、三季度的手工监测数据，以及满负荷运营期间2023年9月27日-10月8日有效的自动监测数据，环评采用收集数据的平均值对污染现有污染源排放量进行核算，现有污染源产生量按照物料衡算法进行核算，</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废气污染源强核算结果如下表所示。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表2.11.5-1 废气污染源强核算结果及相关参数一览表</w:t>
            </w:r>
          </w:p>
          <w:tbl>
            <w:tblPr>
              <w:tblStyle w:val="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639"/>
              <w:gridCol w:w="652"/>
              <w:gridCol w:w="709"/>
              <w:gridCol w:w="708"/>
              <w:gridCol w:w="142"/>
              <w:gridCol w:w="709"/>
              <w:gridCol w:w="2410"/>
              <w:gridCol w:w="586"/>
              <w:gridCol w:w="122"/>
              <w:gridCol w:w="70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工序/生产线</w:t>
                  </w:r>
                </w:p>
              </w:tc>
              <w:tc>
                <w:tcPr>
                  <w:tcW w:w="63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装置</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污染源</w:t>
                  </w:r>
                </w:p>
              </w:tc>
              <w:tc>
                <w:tcPr>
                  <w:tcW w:w="70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w:t>
                  </w:r>
                </w:p>
              </w:tc>
              <w:tc>
                <w:tcPr>
                  <w:tcW w:w="1559" w:type="dxa"/>
                  <w:gridSpan w:val="3"/>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污染物产生</w:t>
                  </w:r>
                </w:p>
              </w:tc>
              <w:tc>
                <w:tcPr>
                  <w:tcW w:w="2410" w:type="dxa"/>
                  <w:vMerge w:val="restart"/>
                  <w:tcBorders>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治理措施</w:t>
                  </w:r>
                </w:p>
              </w:tc>
              <w:tc>
                <w:tcPr>
                  <w:tcW w:w="1417" w:type="dxa"/>
                  <w:gridSpan w:val="3"/>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污染物排放</w:t>
                  </w:r>
                </w:p>
              </w:tc>
              <w:tc>
                <w:tcPr>
                  <w:tcW w:w="64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排放标准mg/m³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Merge w:val="continue"/>
                  <w:vAlign w:val="center"/>
                </w:tcPr>
                <w:p>
                  <w:pPr>
                    <w:pStyle w:val="33"/>
                    <w:spacing w:line="360" w:lineRule="exact"/>
                    <w:rPr>
                      <w:rFonts w:eastAsiaTheme="minorEastAsia"/>
                      <w:snapToGrid/>
                      <w:color w:val="000000" w:themeColor="text1"/>
                      <w:szCs w:val="21"/>
                    </w:rPr>
                  </w:pP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产生浓度mg/m³</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产生量t/a</w:t>
                  </w:r>
                </w:p>
              </w:tc>
              <w:tc>
                <w:tcPr>
                  <w:tcW w:w="2410" w:type="dxa"/>
                  <w:vMerge w:val="continue"/>
                  <w:tcBorders>
                    <w:right w:val="single" w:color="auto" w:sz="4" w:space="0"/>
                  </w:tcBorders>
                  <w:vAlign w:val="center"/>
                </w:tcPr>
                <w:p>
                  <w:pPr>
                    <w:pStyle w:val="33"/>
                    <w:spacing w:line="360" w:lineRule="exact"/>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排放浓度mg/m³</w:t>
                  </w:r>
                </w:p>
              </w:tc>
              <w:tc>
                <w:tcPr>
                  <w:tcW w:w="709" w:type="dxa"/>
                  <w:tcBorders>
                    <w:lef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排放量t/a</w:t>
                  </w:r>
                </w:p>
              </w:tc>
              <w:tc>
                <w:tcPr>
                  <w:tcW w:w="641" w:type="dxa"/>
                  <w:vMerge w:val="continue"/>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原料堆场</w:t>
                  </w: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装卸</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无组织</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709"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2410" w:type="dxa"/>
                  <w:tcBorders>
                    <w:right w:val="single" w:color="auto" w:sz="4" w:space="0"/>
                  </w:tcBorders>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项目针对原料车间扬尘，已对原料车间设置全封闭的顶棚及围挡，并采取了洒水抑尘设施。</w:t>
                  </w:r>
                </w:p>
              </w:tc>
              <w:tc>
                <w:tcPr>
                  <w:tcW w:w="708" w:type="dxa"/>
                  <w:gridSpan w:val="2"/>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0.409</w:t>
                  </w:r>
                </w:p>
              </w:tc>
              <w:tc>
                <w:tcPr>
                  <w:tcW w:w="709"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641" w:type="dxa"/>
                  <w:vMerge w:val="restart"/>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1"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现有次氧化锌生产线</w:t>
                  </w: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破碎</w:t>
                  </w: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2410" w:type="dxa"/>
                  <w:vMerge w:val="restart"/>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项目针对破碎及配料粉尘，项目已对破碎设备及配料进料口进行了封闭。</w:t>
                  </w:r>
                </w:p>
              </w:tc>
              <w:tc>
                <w:tcPr>
                  <w:tcW w:w="708"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641"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配料</w:t>
                  </w: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709"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c>
                <w:tcPr>
                  <w:tcW w:w="641" w:type="dxa"/>
                  <w:vMerge w:val="continue"/>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回转窑焙烧</w:t>
                  </w:r>
                </w:p>
              </w:tc>
              <w:tc>
                <w:tcPr>
                  <w:tcW w:w="652" w:type="dxa"/>
                  <w:vMerge w:val="restart"/>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DA001</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59</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6.47</w:t>
                  </w:r>
                </w:p>
              </w:tc>
              <w:tc>
                <w:tcPr>
                  <w:tcW w:w="2410" w:type="dxa"/>
                  <w:vMerge w:val="restart"/>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项目针对挥发回转窑烟气设置1套不锈钢脱硫塔，脱硫塔的型号为Φ3000×14000×4，该脱硫塔采用双碱脱硫工艺；烟尘去除效率为95%，SO</w:t>
                  </w:r>
                  <w:r>
                    <w:rPr>
                      <w:rFonts w:eastAsiaTheme="minorEastAsia"/>
                      <w:snapToGrid/>
                      <w:color w:val="000000" w:themeColor="text1"/>
                      <w:szCs w:val="21"/>
                      <w:vertAlign w:val="subscript"/>
                    </w:rPr>
                    <w:t>2</w:t>
                  </w:r>
                  <w:r>
                    <w:rPr>
                      <w:rFonts w:eastAsiaTheme="minorEastAsia"/>
                      <w:snapToGrid/>
                      <w:color w:val="000000" w:themeColor="text1"/>
                      <w:szCs w:val="21"/>
                    </w:rPr>
                    <w:t>去除效率不低于80%，汞及其化合物去除效率为90%，铅及其化合物除效率为90%；处理后的废气通过1根高28m、Φ1.0m的排气筒</w:t>
                  </w:r>
                  <w:r>
                    <w:rPr>
                      <w:rFonts w:hint="eastAsia" w:eastAsiaTheme="minorEastAsia"/>
                      <w:snapToGrid/>
                      <w:color w:val="000000" w:themeColor="text1"/>
                      <w:szCs w:val="21"/>
                    </w:rPr>
                    <w:t>（</w:t>
                  </w:r>
                  <w:r>
                    <w:rPr>
                      <w:rFonts w:eastAsiaTheme="minorEastAsia"/>
                      <w:snapToGrid/>
                      <w:color w:val="000000" w:themeColor="text1"/>
                      <w:szCs w:val="21"/>
                    </w:rPr>
                    <w:t>DA001</w:t>
                  </w:r>
                  <w:r>
                    <w:rPr>
                      <w:rFonts w:hint="eastAsia" w:eastAsiaTheme="minorEastAsia"/>
                      <w:snapToGrid/>
                      <w:color w:val="000000" w:themeColor="text1"/>
                      <w:szCs w:val="21"/>
                    </w:rPr>
                    <w:t>）</w:t>
                  </w:r>
                  <w:r>
                    <w:rPr>
                      <w:rFonts w:eastAsiaTheme="minorEastAsia"/>
                      <w:snapToGrid/>
                      <w:color w:val="000000" w:themeColor="text1"/>
                      <w:szCs w:val="21"/>
                    </w:rPr>
                    <w:t>排放。</w:t>
                  </w: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2.95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0.323</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SO</w:t>
                  </w:r>
                  <w:r>
                    <w:rPr>
                      <w:rFonts w:eastAsiaTheme="minorEastAsia"/>
                      <w:snapToGrid/>
                      <w:color w:val="000000" w:themeColor="text1"/>
                      <w:szCs w:val="21"/>
                      <w:vertAlign w:val="subscript"/>
                    </w:rPr>
                    <w:t>2</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41.75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4.58</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8.35</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0.916</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汞及其化合物</w:t>
                  </w:r>
                </w:p>
              </w:tc>
              <w:tc>
                <w:tcPr>
                  <w:tcW w:w="850"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0.456</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0.05</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0.0456</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0.005</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铅及其化合物</w:t>
                  </w:r>
                </w:p>
              </w:tc>
              <w:tc>
                <w:tcPr>
                  <w:tcW w:w="850" w:type="dxa"/>
                  <w:gridSpan w:val="2"/>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0.857</w:t>
                  </w:r>
                </w:p>
              </w:tc>
              <w:tc>
                <w:tcPr>
                  <w:tcW w:w="709" w:type="dxa"/>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0.09</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708"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0.0857</w:t>
                  </w:r>
                </w:p>
              </w:tc>
              <w:tc>
                <w:tcPr>
                  <w:tcW w:w="709"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0.009</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Merge w:val="continue"/>
                  <w:vAlign w:val="center"/>
                </w:tcPr>
                <w:p>
                  <w:pPr>
                    <w:pStyle w:val="33"/>
                    <w:spacing w:line="360" w:lineRule="exact"/>
                    <w:rPr>
                      <w:rFonts w:eastAsiaTheme="minorEastAsia"/>
                      <w:snapToGrid/>
                      <w:color w:val="000000" w:themeColor="text1"/>
                      <w:szCs w:val="21"/>
                    </w:rPr>
                  </w:pPr>
                </w:p>
              </w:tc>
              <w:tc>
                <w:tcPr>
                  <w:tcW w:w="652" w:type="dxa"/>
                  <w:vMerge w:val="continue"/>
                  <w:vAlign w:val="center"/>
                </w:tcPr>
                <w:p>
                  <w:pPr>
                    <w:pStyle w:val="33"/>
                    <w:spacing w:line="360" w:lineRule="exact"/>
                    <w:rPr>
                      <w:rFonts w:eastAsiaTheme="minorEastAsia"/>
                      <w:snapToGrid/>
                      <w:color w:val="000000" w:themeColor="text1"/>
                      <w:szCs w:val="21"/>
                    </w:rPr>
                  </w:pP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林格曼黑度</w:t>
                  </w:r>
                </w:p>
              </w:tc>
              <w:tc>
                <w:tcPr>
                  <w:tcW w:w="1559" w:type="dxa"/>
                  <w:gridSpan w:val="3"/>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c>
                <w:tcPr>
                  <w:tcW w:w="2410" w:type="dxa"/>
                  <w:vMerge w:val="continue"/>
                  <w:vAlign w:val="center"/>
                </w:tcPr>
                <w:p>
                  <w:pPr>
                    <w:pStyle w:val="33"/>
                    <w:spacing w:line="360" w:lineRule="exact"/>
                    <w:ind w:firstLine="210" w:firstLineChars="100"/>
                    <w:jc w:val="both"/>
                    <w:rPr>
                      <w:rFonts w:eastAsiaTheme="minorEastAsia"/>
                      <w:snapToGrid/>
                      <w:color w:val="000000" w:themeColor="text1"/>
                      <w:szCs w:val="21"/>
                    </w:rPr>
                  </w:pPr>
                </w:p>
              </w:tc>
              <w:tc>
                <w:tcPr>
                  <w:tcW w:w="1417" w:type="dxa"/>
                  <w:gridSpan w:val="3"/>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 w:type="dxa"/>
                  <w:vMerge w:val="continue"/>
                  <w:vAlign w:val="center"/>
                </w:tcPr>
                <w:p>
                  <w:pPr>
                    <w:pStyle w:val="33"/>
                    <w:spacing w:line="360" w:lineRule="exact"/>
                    <w:rPr>
                      <w:rFonts w:eastAsiaTheme="minorEastAsia"/>
                      <w:snapToGrid/>
                      <w:color w:val="000000" w:themeColor="text1"/>
                      <w:szCs w:val="21"/>
                    </w:rPr>
                  </w:pPr>
                </w:p>
              </w:tc>
              <w:tc>
                <w:tcPr>
                  <w:tcW w:w="63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回转窑窑头</w:t>
                  </w:r>
                </w:p>
              </w:tc>
              <w:tc>
                <w:tcPr>
                  <w:tcW w:w="652"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DA002</w:t>
                  </w:r>
                </w:p>
              </w:tc>
              <w:tc>
                <w:tcPr>
                  <w:tcW w:w="709" w:type="dxa"/>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颗粒物</w:t>
                  </w:r>
                </w:p>
              </w:tc>
              <w:tc>
                <w:tcPr>
                  <w:tcW w:w="708" w:type="dxa"/>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400</w:t>
                  </w:r>
                </w:p>
              </w:tc>
              <w:tc>
                <w:tcPr>
                  <w:tcW w:w="851" w:type="dxa"/>
                  <w:gridSpan w:val="2"/>
                  <w:tcBorders>
                    <w:left w:val="single" w:color="auto" w:sz="4" w:space="0"/>
                    <w:right w:val="single" w:color="auto" w:sz="4" w:space="0"/>
                  </w:tcBorders>
                  <w:vAlign w:val="center"/>
                </w:tcPr>
                <w:p>
                  <w:pPr>
                    <w:widowControl/>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11.28</w:t>
                  </w:r>
                </w:p>
              </w:tc>
              <w:tc>
                <w:tcPr>
                  <w:tcW w:w="2410" w:type="dxa"/>
                  <w:vAlign w:val="center"/>
                </w:tcPr>
                <w:p>
                  <w:pPr>
                    <w:pStyle w:val="33"/>
                    <w:spacing w:line="360" w:lineRule="exact"/>
                    <w:ind w:firstLine="210" w:firstLineChars="100"/>
                    <w:jc w:val="both"/>
                    <w:rPr>
                      <w:rFonts w:eastAsiaTheme="minorEastAsia"/>
                      <w:snapToGrid/>
                      <w:color w:val="000000" w:themeColor="text1"/>
                      <w:szCs w:val="21"/>
                    </w:rPr>
                  </w:pPr>
                  <w:r>
                    <w:rPr>
                      <w:rFonts w:eastAsiaTheme="minorEastAsia"/>
                      <w:snapToGrid/>
                      <w:color w:val="000000" w:themeColor="text1"/>
                      <w:szCs w:val="21"/>
                    </w:rPr>
                    <w:t>针对炉窑泄料粉尘，项目设置了1套布袋除尘器对其进行处理，处理效率为96%，处理后通过1根高15m、Φ0.6m的排气筒（DA002）外排。</w:t>
                  </w:r>
                </w:p>
              </w:tc>
              <w:tc>
                <w:tcPr>
                  <w:tcW w:w="586"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16</w:t>
                  </w:r>
                </w:p>
              </w:tc>
              <w:tc>
                <w:tcPr>
                  <w:tcW w:w="831" w:type="dxa"/>
                  <w:gridSpan w:val="2"/>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0.451</w:t>
                  </w:r>
                </w:p>
              </w:tc>
              <w:tc>
                <w:tcPr>
                  <w:tcW w:w="641" w:type="dxa"/>
                  <w:tcBorders>
                    <w:left w:val="single" w:color="auto" w:sz="4" w:space="0"/>
                    <w:right w:val="single" w:color="auto" w:sz="4" w:space="0"/>
                  </w:tcBorders>
                  <w:vAlign w:val="center"/>
                </w:tcPr>
                <w:p>
                  <w:pPr>
                    <w:pStyle w:val="33"/>
                    <w:spacing w:line="360" w:lineRule="exact"/>
                    <w:rPr>
                      <w:rFonts w:eastAsiaTheme="minorEastAsia"/>
                      <w:snapToGrid/>
                      <w:color w:val="000000" w:themeColor="text1"/>
                      <w:szCs w:val="21"/>
                    </w:rPr>
                  </w:pPr>
                  <w:r>
                    <w:rPr>
                      <w:rFonts w:eastAsiaTheme="minorEastAsia"/>
                      <w:snapToGrid/>
                      <w:color w:val="000000" w:themeColor="text1"/>
                      <w:szCs w:val="21"/>
                    </w:rPr>
                    <w:t>80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有组织污染物及无组织污染物排放均可达到《铅、锌工业污染物排放标准》（GB25466-2010）及其修改单标准限值要求。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（2）现有次氧化锌生产线废水污染源产排情况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产生的废水污染物主要包括：脱硫废水、厂区初期雨水和生活污水。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①脱硫废水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根据调查，现有次氧化锌生产线正常生产期间，脱硫塔用水量为脱硫塔用水量为</w:t>
            </w:r>
            <w:r>
              <w:rPr>
                <w:rFonts w:ascii="Times New Roman" w:hAnsi="Times New Roman" w:cs="Times New Roman"/>
                <w:color w:val="000000" w:themeColor="text1"/>
                <w:sz w:val="24"/>
                <w:szCs w:val="24"/>
              </w:rPr>
              <w:t>50m³</w:t>
            </w:r>
            <w:r>
              <w:rPr>
                <w:rFonts w:hint="eastAsia"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，配套设置4个容积</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为50m³/个脱硫碱水循环池，</w:t>
            </w:r>
            <w:r>
              <w:rPr>
                <w:rFonts w:hint="eastAsia" w:ascii="Times New Roman" w:hAnsi="Times New Roman" w:cs="Times New Roman"/>
                <w:color w:val="000000" w:themeColor="text1"/>
                <w:sz w:val="24"/>
                <w:szCs w:val="24"/>
              </w:rPr>
              <w:t>脱硫废水循环使用不外排，并定期向系统内补充损失水量，补充量约为2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d，无废水外排。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②初期雨水</w:t>
            </w:r>
          </w:p>
          <w:p>
            <w:pPr>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现有厂区内</w:t>
            </w:r>
            <w:r>
              <w:rPr>
                <w:rFonts w:ascii="Times New Roman" w:hAnsi="Times New Roman"/>
                <w:color w:val="000000" w:themeColor="text1"/>
                <w:sz w:val="24"/>
                <w:szCs w:val="24"/>
              </w:rPr>
              <w:t>初期雨水产生量</w:t>
            </w:r>
            <w:r>
              <w:rPr>
                <w:rFonts w:hint="eastAsia" w:ascii="Times New Roman" w:hAnsi="Times New Roman"/>
                <w:color w:val="000000" w:themeColor="text1"/>
                <w:sz w:val="24"/>
                <w:szCs w:val="24"/>
              </w:rPr>
              <w:t>根据《高原湖泊城市河道初期雨水拦截技术规范》（DB53/T950-2019）给出的初期雨水径流污染物控制量计算公式进行计算，具体如下：</w:t>
            </w:r>
          </w:p>
          <w:p>
            <w:pPr>
              <w:spacing w:line="360" w:lineRule="auto"/>
              <w:jc w:val="center"/>
              <w:rPr>
                <w:rFonts w:ascii="Times New Roman" w:hAnsi="Times New Roman"/>
                <w:bCs/>
                <w:color w:val="000000" w:themeColor="text1"/>
                <w:sz w:val="24"/>
                <w:szCs w:val="24"/>
              </w:rPr>
            </w:pPr>
            <w:r>
              <w:rPr>
                <w:rFonts w:hint="eastAsia" w:ascii="Times New Roman" w:hAnsi="Times New Roman"/>
                <w:bCs/>
                <w:color w:val="000000" w:themeColor="text1"/>
                <w:sz w:val="24"/>
                <w:szCs w:val="24"/>
              </w:rPr>
              <w:t>W</w:t>
            </w:r>
            <w:r>
              <w:rPr>
                <w:rFonts w:ascii="Times New Roman" w:hAnsi="Times New Roman"/>
                <w:bCs/>
                <w:color w:val="000000" w:themeColor="text1"/>
                <w:sz w:val="24"/>
                <w:szCs w:val="24"/>
              </w:rPr>
              <w:t>=</w:t>
            </w:r>
            <w:r>
              <w:rPr>
                <w:rFonts w:hint="eastAsia" w:ascii="Times New Roman" w:hAnsi="Times New Roman"/>
                <w:bCs/>
                <w:color w:val="000000" w:themeColor="text1"/>
                <w:sz w:val="24"/>
                <w:szCs w:val="24"/>
              </w:rPr>
              <w:t>10</w:t>
            </w:r>
            <w:r>
              <w:rPr>
                <w:rFonts w:ascii="Times New Roman" w:hAnsi="Times New Roman"/>
                <w:bCs/>
                <w:color w:val="000000" w:themeColor="text1"/>
                <w:sz w:val="24"/>
                <w:szCs w:val="24"/>
              </w:rPr>
              <w:t>·Hm·Ψ</w:t>
            </w:r>
            <w:r>
              <w:rPr>
                <w:rFonts w:hint="eastAsia" w:ascii="Times New Roman" w:hAnsi="Times New Roman"/>
                <w:bCs/>
                <w:color w:val="000000" w:themeColor="text1"/>
                <w:sz w:val="24"/>
                <w:szCs w:val="24"/>
              </w:rPr>
              <w:t>c</w:t>
            </w:r>
            <w:r>
              <w:rPr>
                <w:rFonts w:ascii="Times New Roman" w:hAnsi="Times New Roman"/>
                <w:bCs/>
                <w:color w:val="000000" w:themeColor="text1"/>
                <w:sz w:val="24"/>
                <w:szCs w:val="24"/>
              </w:rPr>
              <w:t>·F</w:t>
            </w:r>
          </w:p>
          <w:p>
            <w:pPr>
              <w:spacing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式中：</w:t>
            </w:r>
            <w:r>
              <w:rPr>
                <w:rFonts w:hint="eastAsia" w:ascii="Times New Roman" w:hAnsi="Times New Roman"/>
                <w:bCs/>
                <w:color w:val="000000" w:themeColor="text1"/>
                <w:sz w:val="24"/>
                <w:szCs w:val="24"/>
              </w:rPr>
              <w:t>W</w:t>
            </w:r>
            <w:r>
              <w:rPr>
                <w:rFonts w:ascii="Times New Roman" w:hAnsi="Times New Roman"/>
                <w:color w:val="000000" w:themeColor="text1"/>
                <w:sz w:val="24"/>
                <w:szCs w:val="24"/>
              </w:rPr>
              <w:t>：</w:t>
            </w:r>
            <w:r>
              <w:rPr>
                <w:rFonts w:hint="eastAsia" w:ascii="Times New Roman" w:hAnsi="Times New Roman"/>
                <w:color w:val="000000" w:themeColor="text1"/>
                <w:sz w:val="24"/>
                <w:szCs w:val="24"/>
              </w:rPr>
              <w:t>初期雨水径流污染控制</w:t>
            </w:r>
            <w:r>
              <w:rPr>
                <w:rFonts w:ascii="Times New Roman" w:hAnsi="Times New Roman"/>
                <w:color w:val="000000" w:themeColor="text1"/>
                <w:sz w:val="24"/>
                <w:szCs w:val="24"/>
              </w:rPr>
              <w:t>量（m³）；</w:t>
            </w:r>
          </w:p>
          <w:p>
            <w:pPr>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 xml:space="preserve">      </w:t>
            </w:r>
            <w:r>
              <w:rPr>
                <w:rFonts w:ascii="Times New Roman" w:hAnsi="Times New Roman"/>
                <w:color w:val="000000" w:themeColor="text1"/>
                <w:sz w:val="24"/>
                <w:szCs w:val="24"/>
              </w:rPr>
              <w:t>Hm：</w:t>
            </w:r>
            <w:r>
              <w:rPr>
                <w:rFonts w:hint="eastAsia" w:ascii="Times New Roman" w:hAnsi="Times New Roman"/>
                <w:color w:val="000000" w:themeColor="text1"/>
                <w:sz w:val="24"/>
                <w:szCs w:val="24"/>
              </w:rPr>
              <w:t>设计控制</w:t>
            </w:r>
            <w:r>
              <w:rPr>
                <w:rFonts w:ascii="Times New Roman" w:hAnsi="Times New Roman"/>
                <w:color w:val="000000" w:themeColor="text1"/>
                <w:sz w:val="24"/>
                <w:szCs w:val="24"/>
              </w:rPr>
              <w:t>降雨</w:t>
            </w:r>
            <w:r>
              <w:rPr>
                <w:rFonts w:hint="eastAsia" w:ascii="Times New Roman" w:hAnsi="Times New Roman"/>
                <w:color w:val="000000" w:themeColor="text1"/>
                <w:sz w:val="24"/>
                <w:szCs w:val="24"/>
              </w:rPr>
              <w:t>厚度</w:t>
            </w:r>
            <w:r>
              <w:rPr>
                <w:rFonts w:ascii="Times New Roman" w:hAnsi="Times New Roman"/>
                <w:color w:val="000000" w:themeColor="text1"/>
                <w:sz w:val="24"/>
                <w:szCs w:val="24"/>
              </w:rPr>
              <w:t>（mm）；</w:t>
            </w:r>
          </w:p>
          <w:p>
            <w:pPr>
              <w:spacing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 xml:space="preserve">      </w:t>
            </w:r>
            <w:r>
              <w:rPr>
                <w:rFonts w:ascii="Times New Roman" w:hAnsi="Times New Roman"/>
                <w:color w:val="000000" w:themeColor="text1"/>
                <w:sz w:val="24"/>
                <w:szCs w:val="24"/>
              </w:rPr>
              <w:t>Ψ</w:t>
            </w:r>
            <w:r>
              <w:rPr>
                <w:rFonts w:hint="eastAsia" w:ascii="Times New Roman" w:hAnsi="Times New Roman"/>
                <w:color w:val="000000" w:themeColor="text1"/>
                <w:sz w:val="24"/>
                <w:szCs w:val="24"/>
              </w:rPr>
              <w:t>c</w:t>
            </w:r>
            <w:r>
              <w:rPr>
                <w:rFonts w:ascii="Times New Roman" w:hAnsi="Times New Roman"/>
                <w:color w:val="000000" w:themeColor="text1"/>
                <w:sz w:val="24"/>
                <w:szCs w:val="24"/>
              </w:rPr>
              <w:t>：</w:t>
            </w:r>
            <w:r>
              <w:rPr>
                <w:rFonts w:hint="eastAsia" w:ascii="Times New Roman" w:hAnsi="Times New Roman"/>
                <w:color w:val="000000" w:themeColor="text1"/>
                <w:sz w:val="24"/>
                <w:szCs w:val="24"/>
              </w:rPr>
              <w:t>雨量</w:t>
            </w:r>
            <w:r>
              <w:rPr>
                <w:rFonts w:ascii="Times New Roman" w:hAnsi="Times New Roman"/>
                <w:color w:val="000000" w:themeColor="text1"/>
                <w:sz w:val="24"/>
                <w:szCs w:val="24"/>
              </w:rPr>
              <w:t>径流系数，取0.</w:t>
            </w:r>
            <w:r>
              <w:rPr>
                <w:rFonts w:hint="eastAsia" w:ascii="Times New Roman" w:hAnsi="Times New Roman"/>
                <w:color w:val="000000" w:themeColor="text1"/>
                <w:sz w:val="24"/>
                <w:szCs w:val="24"/>
              </w:rPr>
              <w:t>9</w:t>
            </w:r>
            <w:r>
              <w:rPr>
                <w:rFonts w:ascii="Times New Roman" w:hAnsi="Times New Roman"/>
                <w:color w:val="000000" w:themeColor="text1"/>
                <w:sz w:val="24"/>
                <w:szCs w:val="24"/>
              </w:rPr>
              <w:t>；</w:t>
            </w:r>
          </w:p>
          <w:p>
            <w:pPr>
              <w:spacing w:line="360" w:lineRule="auto"/>
              <w:ind w:firstLine="480" w:firstLineChars="200"/>
              <w:rPr>
                <w:rFonts w:ascii="Times New Roman" w:hAnsi="Times New Roman"/>
                <w:bCs/>
                <w:color w:val="000000" w:themeColor="text1"/>
                <w:sz w:val="24"/>
                <w:szCs w:val="24"/>
              </w:rPr>
            </w:pPr>
            <w:r>
              <w:rPr>
                <w:rFonts w:hint="eastAsia" w:ascii="Times New Roman" w:hAnsi="Times New Roman"/>
                <w:color w:val="000000" w:themeColor="text1"/>
                <w:sz w:val="24"/>
                <w:szCs w:val="24"/>
              </w:rPr>
              <w:t xml:space="preserve">      </w:t>
            </w:r>
            <w:r>
              <w:rPr>
                <w:rFonts w:ascii="Times New Roman" w:hAnsi="Times New Roman"/>
                <w:color w:val="000000" w:themeColor="text1"/>
                <w:sz w:val="24"/>
                <w:szCs w:val="24"/>
              </w:rPr>
              <w:t>F：汇水面积（</w:t>
            </w:r>
            <w:r>
              <w:rPr>
                <w:rFonts w:hint="eastAsia" w:ascii="Times New Roman" w:hAnsi="Times New Roman"/>
                <w:color w:val="000000" w:themeColor="text1"/>
                <w:sz w:val="24"/>
                <w:szCs w:val="24"/>
              </w:rPr>
              <w:t>h</w:t>
            </w:r>
            <w:r>
              <w:rPr>
                <w:rFonts w:ascii="Times New Roman" w:hAnsi="Times New Roman"/>
                <w:color w:val="000000" w:themeColor="text1"/>
                <w:sz w:val="24"/>
                <w:szCs w:val="24"/>
              </w:rPr>
              <w:t>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汇水面积取雨水直接落到地面上的占地面积，</w:t>
            </w:r>
            <w:r>
              <w:rPr>
                <w:rFonts w:hint="eastAsia" w:ascii="Times New Roman" w:hAnsi="Times New Roman" w:cs="Times New Roman"/>
                <w:color w:val="000000" w:themeColor="text1"/>
                <w:sz w:val="24"/>
              </w:rPr>
              <w:t>现有厂区内</w:t>
            </w:r>
            <w:r>
              <w:rPr>
                <w:rFonts w:hint="eastAsia" w:ascii="Times New Roman" w:hAnsi="Times New Roman" w:cs="Times New Roman"/>
                <w:color w:val="000000" w:themeColor="text1"/>
                <w:sz w:val="24"/>
                <w:szCs w:val="24"/>
              </w:rPr>
              <w:t>厂区总</w:t>
            </w:r>
            <w:r>
              <w:rPr>
                <w:rFonts w:ascii="Times New Roman" w:hAnsi="Times New Roman" w:cs="Times New Roman"/>
                <w:color w:val="000000" w:themeColor="text1"/>
                <w:sz w:val="24"/>
                <w:szCs w:val="24"/>
              </w:rPr>
              <w:t>占地面积约为13333.3m²，</w:t>
            </w:r>
            <w:r>
              <w:rPr>
                <w:rFonts w:hint="eastAsia" w:ascii="Times New Roman" w:hAnsi="Times New Roman" w:cs="Times New Roman"/>
                <w:color w:val="000000" w:themeColor="text1"/>
                <w:sz w:val="24"/>
                <w:szCs w:val="24"/>
              </w:rPr>
              <w:t>其中</w:t>
            </w:r>
            <w:r>
              <w:rPr>
                <w:rFonts w:ascii="Times New Roman" w:hAnsi="Times New Roman" w:cs="Times New Roman"/>
                <w:color w:val="000000" w:themeColor="text1"/>
                <w:sz w:val="24"/>
                <w:szCs w:val="24"/>
              </w:rPr>
              <w:t>可能受污染区的占地面积约</w:t>
            </w:r>
            <w:r>
              <w:rPr>
                <w:rFonts w:hint="eastAsia" w:ascii="Times New Roman" w:hAnsi="Times New Roman" w:cs="Times New Roman"/>
                <w:color w:val="000000" w:themeColor="text1"/>
                <w:sz w:val="24"/>
                <w:szCs w:val="24"/>
              </w:rPr>
              <w:t>11256</w:t>
            </w:r>
            <w:r>
              <w:rPr>
                <w:rFonts w:ascii="Times New Roman" w:hAnsi="Times New Roman" w:cs="Times New Roman"/>
                <w:color w:val="000000" w:themeColor="text1"/>
                <w:sz w:val="24"/>
                <w:szCs w:val="24"/>
              </w:rPr>
              <w:t>m²，考虑到项目区场地的硬化程度，</w:t>
            </w:r>
            <w:r>
              <w:rPr>
                <w:rFonts w:hint="eastAsia" w:ascii="Times New Roman" w:hAnsi="Times New Roman"/>
                <w:color w:val="000000" w:themeColor="text1"/>
                <w:sz w:val="24"/>
                <w:szCs w:val="24"/>
              </w:rPr>
              <w:t>雨量</w:t>
            </w:r>
            <w:r>
              <w:rPr>
                <w:rFonts w:ascii="Times New Roman" w:hAnsi="Times New Roman" w:cs="Times New Roman"/>
                <w:color w:val="000000" w:themeColor="text1"/>
                <w:sz w:val="24"/>
                <w:szCs w:val="24"/>
              </w:rPr>
              <w:t>径流系数取0.</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。该区30年一遇最大日降雨量153.3mm，经计算项目区最大日雨水量为</w:t>
            </w:r>
            <w:r>
              <w:rPr>
                <w:rFonts w:hint="eastAsia" w:ascii="Times New Roman" w:hAnsi="Times New Roman" w:cs="Times New Roman"/>
                <w:color w:val="000000" w:themeColor="text1"/>
                <w:sz w:val="24"/>
                <w:szCs w:val="24"/>
              </w:rPr>
              <w:t>1552.09</w:t>
            </w:r>
            <w:r>
              <w:rPr>
                <w:rFonts w:ascii="Times New Roman" w:hAnsi="Times New Roman" w:cs="Times New Roman"/>
                <w:color w:val="000000" w:themeColor="text1"/>
                <w:sz w:val="24"/>
                <w:szCs w:val="24"/>
              </w:rPr>
              <w:t>m³，初期雨水主要产生于暴雨前</w:t>
            </w:r>
            <w:r>
              <w:rPr>
                <w:rFonts w:hint="eastAsia"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min，经计算，</w:t>
            </w:r>
            <w:r>
              <w:rPr>
                <w:rFonts w:hint="eastAsia" w:ascii="Times New Roman" w:hAnsi="Times New Roman" w:cs="Times New Roman"/>
                <w:color w:val="000000" w:themeColor="text1"/>
                <w:sz w:val="24"/>
              </w:rPr>
              <w:t>现有厂区内</w:t>
            </w:r>
            <w:r>
              <w:rPr>
                <w:rFonts w:ascii="Times New Roman" w:hAnsi="Times New Roman" w:cs="Times New Roman"/>
                <w:color w:val="000000" w:themeColor="text1"/>
                <w:sz w:val="24"/>
                <w:szCs w:val="24"/>
              </w:rPr>
              <w:t>初期雨水产生量约为</w:t>
            </w:r>
            <w:r>
              <w:rPr>
                <w:rFonts w:hint="eastAsia" w:ascii="Times New Roman" w:hAnsi="Times New Roman" w:cs="Times New Roman"/>
                <w:color w:val="000000" w:themeColor="text1"/>
                <w:sz w:val="24"/>
                <w:szCs w:val="24"/>
              </w:rPr>
              <w:t>32.35</w:t>
            </w:r>
            <w:r>
              <w:rPr>
                <w:rFonts w:ascii="Times New Roman" w:hAnsi="Times New Roman" w:cs="Times New Roman"/>
                <w:color w:val="000000" w:themeColor="text1"/>
                <w:sz w:val="24"/>
                <w:szCs w:val="24"/>
              </w:rPr>
              <w:t>m³/次。根据调查，现有厂区已设置了1个有效容积为150m³的1#初期雨水收集池和1个50.8m³的2#初期雨水收集池对其收集</w:t>
            </w:r>
            <w:r>
              <w:rPr>
                <w:rFonts w:hint="eastAsia" w:ascii="Times New Roman" w:hAnsi="Times New Roman" w:cs="Times New Roman"/>
                <w:color w:val="000000" w:themeColor="text1"/>
                <w:sz w:val="24"/>
                <w:szCs w:val="24"/>
              </w:rPr>
              <w:t>；整改后，拟再在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低</w:t>
            </w:r>
            <w:r>
              <w:rPr>
                <w:rFonts w:ascii="Times New Roman" w:hAnsi="Times New Roman" w:cs="Times New Roman"/>
                <w:color w:val="000000" w:themeColor="text1"/>
                <w:sz w:val="24"/>
                <w:szCs w:val="24"/>
              </w:rPr>
              <w:t>处建设一个有效容积为5m³的</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初期雨水收集池</w:t>
            </w:r>
            <w:r>
              <w:rPr>
                <w:rFonts w:hint="eastAsia" w:ascii="Times New Roman" w:hAnsi="Times New Roman" w:cs="Times New Roman"/>
                <w:color w:val="000000" w:themeColor="text1"/>
                <w:sz w:val="24"/>
                <w:szCs w:val="24"/>
              </w:rPr>
              <w:t>，初期雨水经</w:t>
            </w:r>
            <w:r>
              <w:rPr>
                <w:rFonts w:ascii="Times New Roman" w:hAnsi="Times New Roman" w:cs="Times New Roman"/>
                <w:color w:val="000000" w:themeColor="text1"/>
                <w:sz w:val="24"/>
                <w:szCs w:val="24"/>
              </w:rPr>
              <w:t>收集后，</w:t>
            </w:r>
            <w:r>
              <w:rPr>
                <w:rFonts w:hint="eastAsia" w:ascii="Times New Roman" w:hAnsi="Times New Roman" w:cs="Times New Roman"/>
                <w:color w:val="000000" w:themeColor="text1"/>
                <w:sz w:val="24"/>
                <w:szCs w:val="24"/>
              </w:rPr>
              <w:t>用于次氧化锌生产线</w:t>
            </w:r>
            <w:r>
              <w:rPr>
                <w:rFonts w:ascii="Times New Roman" w:hAnsi="Times New Roman" w:cs="Times New Roman"/>
                <w:color w:val="000000" w:themeColor="text1"/>
                <w:sz w:val="24"/>
                <w:szCs w:val="24"/>
              </w:rPr>
              <w:t>原料堆场</w:t>
            </w:r>
            <w:r>
              <w:rPr>
                <w:rFonts w:hint="eastAsia" w:ascii="Times New Roman" w:hAnsi="Times New Roman" w:cs="Times New Roman"/>
                <w:color w:val="000000" w:themeColor="text1"/>
                <w:sz w:val="24"/>
                <w:szCs w:val="24"/>
              </w:rPr>
              <w:t>、厂区道路等区域进行洒水抑尘，不外排。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根据调查，现有次氧化锌生产线现有员工50人，均在</w:t>
            </w:r>
            <w:r>
              <w:rPr>
                <w:rFonts w:ascii="Times New Roman" w:hAnsi="Times New Roman" w:cs="Times New Roman"/>
                <w:color w:val="000000" w:themeColor="text1"/>
                <w:sz w:val="24"/>
                <w:szCs w:val="24"/>
              </w:rPr>
              <w:t>厂区吃饭，</w:t>
            </w:r>
            <w:r>
              <w:rPr>
                <w:rFonts w:hint="eastAsia" w:ascii="Times New Roman" w:hAnsi="Times New Roman" w:cs="Times New Roman"/>
                <w:color w:val="000000" w:themeColor="text1"/>
                <w:sz w:val="24"/>
                <w:szCs w:val="24"/>
              </w:rPr>
              <w:t>厂区</w:t>
            </w:r>
            <w:r>
              <w:rPr>
                <w:rFonts w:ascii="Times New Roman" w:hAnsi="Times New Roman" w:cs="Times New Roman"/>
                <w:color w:val="000000" w:themeColor="text1"/>
                <w:sz w:val="24"/>
                <w:szCs w:val="24"/>
              </w:rPr>
              <w:t>住宿人数为</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人，</w:t>
            </w:r>
            <w:r>
              <w:rPr>
                <w:rFonts w:hint="eastAsia" w:ascii="Times New Roman" w:hAnsi="Times New Roman" w:cs="Times New Roman"/>
                <w:color w:val="000000" w:themeColor="text1"/>
                <w:sz w:val="24"/>
                <w:szCs w:val="24"/>
              </w:rPr>
              <w:t>其余30</w:t>
            </w:r>
            <w:r>
              <w:rPr>
                <w:rFonts w:ascii="Times New Roman" w:hAnsi="Times New Roman" w:cs="Times New Roman"/>
                <w:color w:val="000000" w:themeColor="text1"/>
                <w:sz w:val="24"/>
                <w:szCs w:val="24"/>
              </w:rPr>
              <w:t>人回家住宿。</w:t>
            </w:r>
            <w:r>
              <w:rPr>
                <w:rFonts w:hint="eastAsia" w:ascii="Times New Roman" w:hAnsi="Times New Roman" w:cs="Times New Roman"/>
                <w:color w:val="000000" w:themeColor="text1"/>
                <w:sz w:val="24"/>
                <w:szCs w:val="24"/>
              </w:rPr>
              <w:t>按照</w:t>
            </w:r>
            <w:r>
              <w:rPr>
                <w:rFonts w:ascii="Times New Roman" w:hAnsi="Times New Roman" w:cs="Times New Roman"/>
                <w:color w:val="000000" w:themeColor="text1"/>
                <w:sz w:val="24"/>
                <w:szCs w:val="24"/>
              </w:rPr>
              <w:t>《云南省地方标准用水定额》（DB53/T168-2019），在项目食宿员工用水量取100L/d·人，不在项目区住宿的员工用水量取60L/d·人，则生活用水量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（1254</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；废水率按80%计，则废水量为</w:t>
            </w:r>
            <w:r>
              <w:rPr>
                <w:rFonts w:hint="eastAsia" w:ascii="Times New Roman" w:hAnsi="Times New Roman" w:cs="Times New Roman"/>
                <w:color w:val="000000" w:themeColor="text1"/>
                <w:sz w:val="24"/>
                <w:szCs w:val="24"/>
              </w:rPr>
              <w:t>3.04</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（1003.2</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；其中食堂废水约为则废水量为</w:t>
            </w:r>
            <w:r>
              <w:rPr>
                <w:rFonts w:hint="eastAsia" w:ascii="Times New Roman" w:hAnsi="Times New Roman" w:cs="Times New Roman"/>
                <w:color w:val="000000" w:themeColor="text1"/>
                <w:sz w:val="24"/>
                <w:szCs w:val="24"/>
              </w:rPr>
              <w:t>1.52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（501.6</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针对生活污水设置了1个1m³的隔油池、1个有效容积为20m³的化粪池对其进行处理</w:t>
            </w:r>
            <w:r>
              <w:rPr>
                <w:rFonts w:hint="eastAsia" w:ascii="Times New Roman" w:hAnsi="Times New Roman" w:cs="Times New Roman"/>
                <w:color w:val="000000" w:themeColor="text1"/>
                <w:sz w:val="24"/>
                <w:szCs w:val="24"/>
              </w:rPr>
              <w:t>，本项目现有《</w:t>
            </w:r>
            <w:r>
              <w:rPr>
                <w:rFonts w:ascii="Times New Roman" w:hAnsi="Times New Roman" w:cs="Times New Roman"/>
                <w:color w:val="000000" w:themeColor="text1"/>
                <w:sz w:val="24"/>
                <w:szCs w:val="24"/>
              </w:rPr>
              <w:t>排污许可证</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证书编号：</w:t>
            </w:r>
            <w:r>
              <w:rPr>
                <w:rFonts w:hint="eastAsia"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6655174504001V）未要求对生活污水进行自行监测，根据</w:t>
            </w:r>
            <w:r>
              <w:rPr>
                <w:rFonts w:ascii="Times New Roman" w:hAnsi="Times New Roman" w:cs="Times New Roman"/>
                <w:color w:val="000000" w:themeColor="text1"/>
                <w:sz w:val="24"/>
                <w:szCs w:val="24"/>
              </w:rPr>
              <w:t>《排放源统计调查产排污核算方法和系数手册》中</w:t>
            </w:r>
            <w:r>
              <w:rPr>
                <w:rFonts w:hint="eastAsia" w:ascii="Times New Roman" w:hAnsi="Times New Roman" w:cs="Times New Roman"/>
                <w:color w:val="000000" w:themeColor="text1"/>
                <w:sz w:val="24"/>
                <w:szCs w:val="24"/>
              </w:rPr>
              <w:t>“生活污染源产排系数手册”，昆明市生活污水污染物产生源强如下表所示。</w:t>
            </w:r>
          </w:p>
          <w:p>
            <w:pPr>
              <w:jc w:val="center"/>
              <w:rPr>
                <w:rFonts w:ascii="Times New Roman" w:hAnsi="Times New Roman" w:eastAsia="宋体" w:cs="Times New Roman"/>
                <w:b/>
                <w:color w:val="000000" w:themeColor="text1"/>
              </w:rPr>
            </w:pPr>
            <w:r>
              <w:rPr>
                <w:rFonts w:hint="eastAsia" w:ascii="Times New Roman" w:hAnsi="Times New Roman" w:eastAsia="宋体" w:cs="Times New Roman"/>
                <w:b/>
                <w:color w:val="000000" w:themeColor="text1"/>
              </w:rPr>
              <w:t>表2.11.5-2  昆明市生活污水污染物产生源强</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42"/>
              <w:gridCol w:w="1902"/>
              <w:gridCol w:w="1721"/>
              <w:gridCol w:w="1721"/>
              <w:gridCol w:w="1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行政区划名称</w:t>
                  </w:r>
                </w:p>
              </w:tc>
              <w:tc>
                <w:tcPr>
                  <w:tcW w:w="1883"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化学需氧量产污强度（克/人·天）</w:t>
                  </w:r>
                </w:p>
              </w:tc>
              <w:tc>
                <w:tcPr>
                  <w:tcW w:w="1704"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氨氮产污强度（克/人·天）</w:t>
                  </w:r>
                </w:p>
              </w:tc>
              <w:tc>
                <w:tcPr>
                  <w:tcW w:w="1704"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总氮产污强度（克/人·天）</w:t>
                  </w:r>
                </w:p>
              </w:tc>
              <w:tc>
                <w:tcPr>
                  <w:tcW w:w="1705"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总磷产污强度（克/人·天）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昆明市</w:t>
                  </w:r>
                </w:p>
              </w:tc>
              <w:tc>
                <w:tcPr>
                  <w:tcW w:w="1883"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25.40</w:t>
                  </w:r>
                </w:p>
              </w:tc>
              <w:tc>
                <w:tcPr>
                  <w:tcW w:w="1704"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1.00</w:t>
                  </w:r>
                </w:p>
              </w:tc>
              <w:tc>
                <w:tcPr>
                  <w:tcW w:w="1704"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1.75</w:t>
                  </w:r>
                </w:p>
              </w:tc>
              <w:tc>
                <w:tcPr>
                  <w:tcW w:w="1705"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0.16</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排放源统计调查中为提供的数据，本环评参考</w:t>
            </w:r>
            <w:r>
              <w:rPr>
                <w:rFonts w:ascii="Times New Roman" w:hAnsi="Times New Roman" w:cs="Times New Roman"/>
                <w:color w:val="000000" w:themeColor="text1"/>
                <w:sz w:val="24"/>
                <w:szCs w:val="24"/>
              </w:rPr>
              <w:t>昆明市东川区城市污水处理厂</w:t>
            </w:r>
            <w:r>
              <w:rPr>
                <w:rFonts w:hint="eastAsia" w:ascii="Times New Roman" w:hAnsi="Times New Roman" w:cs="Times New Roman"/>
                <w:color w:val="000000" w:themeColor="text1"/>
                <w:sz w:val="24"/>
                <w:szCs w:val="24"/>
              </w:rPr>
              <w:t>提供的生活污水处理前的浓度（即为生活污水经化粪池预处理后的浓度）进行计算，具体如下表所示。</w:t>
            </w:r>
          </w:p>
          <w:p>
            <w:pPr>
              <w:jc w:val="center"/>
              <w:rPr>
                <w:rFonts w:ascii="Times New Roman" w:hAnsi="Times New Roman" w:eastAsia="宋体" w:cs="Times New Roman"/>
                <w:b/>
                <w:color w:val="000000" w:themeColor="text1"/>
              </w:rPr>
            </w:pPr>
            <w:r>
              <w:rPr>
                <w:rFonts w:hint="eastAsia" w:ascii="Times New Roman" w:hAnsi="Times New Roman" w:eastAsia="宋体" w:cs="Times New Roman"/>
                <w:b/>
                <w:color w:val="000000" w:themeColor="text1"/>
              </w:rPr>
              <w:t xml:space="preserve">表2.11.5-3 </w:t>
            </w:r>
            <w:r>
              <w:rPr>
                <w:rFonts w:ascii="Times New Roman" w:hAnsi="Times New Roman" w:eastAsia="宋体" w:cs="Times New Roman"/>
                <w:b/>
                <w:color w:val="000000" w:themeColor="text1"/>
              </w:rPr>
              <w:t>昆明市东川区城市污水处理厂</w:t>
            </w:r>
            <w:r>
              <w:rPr>
                <w:rFonts w:hint="eastAsia" w:ascii="Times New Roman" w:hAnsi="Times New Roman" w:eastAsia="宋体" w:cs="Times New Roman"/>
                <w:b/>
                <w:color w:val="000000" w:themeColor="text1"/>
              </w:rPr>
              <w:t>提供的生活污水处理前的浓度一览表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5"/>
              <w:gridCol w:w="1276"/>
              <w:gridCol w:w="992"/>
              <w:gridCol w:w="1134"/>
              <w:gridCol w:w="1822"/>
              <w:gridCol w:w="871"/>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项目</w:t>
                  </w:r>
                </w:p>
              </w:tc>
              <w:tc>
                <w:tcPr>
                  <w:tcW w:w="1276"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pH</w:t>
                  </w:r>
                </w:p>
              </w:tc>
              <w:tc>
                <w:tcPr>
                  <w:tcW w:w="992"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BOD5</w:t>
                  </w:r>
                </w:p>
              </w:tc>
              <w:tc>
                <w:tcPr>
                  <w:tcW w:w="1134"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动植物油</w:t>
                  </w:r>
                </w:p>
              </w:tc>
              <w:tc>
                <w:tcPr>
                  <w:tcW w:w="1822"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阴离子表面活性剂</w:t>
                  </w:r>
                </w:p>
              </w:tc>
              <w:tc>
                <w:tcPr>
                  <w:tcW w:w="871"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SS</w:t>
                  </w:r>
                </w:p>
              </w:tc>
              <w:tc>
                <w:tcPr>
                  <w:tcW w:w="1208"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5" w:type="dxa"/>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生活污水</w:t>
                  </w:r>
                </w:p>
              </w:tc>
              <w:tc>
                <w:tcPr>
                  <w:tcW w:w="1276" w:type="dxa"/>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7.38-7.40</w:t>
                  </w:r>
                </w:p>
              </w:tc>
              <w:tc>
                <w:tcPr>
                  <w:tcW w:w="992" w:type="dxa"/>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182</w:t>
                  </w:r>
                </w:p>
              </w:tc>
              <w:tc>
                <w:tcPr>
                  <w:tcW w:w="1134" w:type="dxa"/>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4.13</w:t>
                  </w:r>
                </w:p>
              </w:tc>
              <w:tc>
                <w:tcPr>
                  <w:tcW w:w="1822"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871"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52</w:t>
                  </w:r>
                </w:p>
              </w:tc>
              <w:tc>
                <w:tcPr>
                  <w:tcW w:w="1208"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24000</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根据上述两表的数据推算，现有次氧化锌生产线生活污水产排情况如下表所示。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2.11.5-4 现有次氧化锌生产线生活污水</w:t>
            </w:r>
            <w:r>
              <w:rPr>
                <w:rFonts w:ascii="Times New Roman" w:hAnsi="Times New Roman" w:eastAsia="宋体" w:cs="Times New Roman"/>
                <w:b/>
                <w:color w:val="000000" w:themeColor="text1"/>
              </w:rPr>
              <w:t>污染物排放源产排量及达标情况一览表</w:t>
            </w:r>
          </w:p>
          <w:tbl>
            <w:tblPr>
              <w:tblStyle w:val="22"/>
              <w:tblW w:w="5000" w:type="pct"/>
              <w:jc w:val="center"/>
              <w:tblLayout w:type="fixed"/>
              <w:tblCellMar>
                <w:top w:w="0" w:type="dxa"/>
                <w:left w:w="108" w:type="dxa"/>
                <w:bottom w:w="0" w:type="dxa"/>
                <w:right w:w="108" w:type="dxa"/>
              </w:tblCellMar>
            </w:tblPr>
            <w:tblGrid>
              <w:gridCol w:w="740"/>
              <w:gridCol w:w="564"/>
              <w:gridCol w:w="1419"/>
              <w:gridCol w:w="1135"/>
              <w:gridCol w:w="855"/>
              <w:gridCol w:w="1135"/>
              <w:gridCol w:w="994"/>
              <w:gridCol w:w="855"/>
              <w:gridCol w:w="921"/>
            </w:tblGrid>
            <w:tr>
              <w:tblPrEx>
                <w:tblCellMar>
                  <w:top w:w="0" w:type="dxa"/>
                  <w:left w:w="108" w:type="dxa"/>
                  <w:bottom w:w="0" w:type="dxa"/>
                  <w:right w:w="108" w:type="dxa"/>
                </w:tblCellMar>
              </w:tblPrEx>
              <w:trPr>
                <w:jc w:val="center"/>
              </w:trPr>
              <w:tc>
                <w:tcPr>
                  <w:tcW w:w="7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4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24"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853" w:type="dxa"/>
                  <w:vMerge w:val="restart"/>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排放标准</w:t>
                  </w:r>
                </w:p>
              </w:tc>
              <w:tc>
                <w:tcPr>
                  <w:tcW w:w="9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13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853"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13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排放浓度</w:t>
                  </w:r>
                  <w:r>
                    <w:rPr>
                      <w:rFonts w:eastAsiaTheme="minorEastAsia"/>
                      <w:color w:val="000000" w:themeColor="text1"/>
                      <w:szCs w:val="21"/>
                    </w:rPr>
                    <w:t>mg/m³</w:t>
                  </w:r>
                </w:p>
              </w:tc>
              <w:tc>
                <w:tcPr>
                  <w:tcW w:w="992" w:type="dxa"/>
                  <w:tcBorders>
                    <w:top w:val="single" w:color="000000" w:sz="8" w:space="0"/>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排放量t</w:t>
                  </w:r>
                  <w:r>
                    <w:rPr>
                      <w:rFonts w:eastAsiaTheme="minorEastAsia"/>
                      <w:color w:val="000000" w:themeColor="text1"/>
                      <w:szCs w:val="21"/>
                    </w:rPr>
                    <w:t>/a</w:t>
                  </w:r>
                </w:p>
              </w:tc>
              <w:tc>
                <w:tcPr>
                  <w:tcW w:w="853" w:type="dxa"/>
                  <w:vMerge w:val="continue"/>
                  <w:tcBorders>
                    <w:top w:val="single" w:color="000000" w:sz="8" w:space="0"/>
                    <w:left w:val="nil"/>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19"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8"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563"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1254</w:t>
                  </w:r>
                  <w:r>
                    <w:rPr>
                      <w:rFonts w:eastAsiaTheme="minorEastAsia"/>
                      <w:color w:val="000000" w:themeColor="text1"/>
                      <w:szCs w:val="21"/>
                    </w:rPr>
                    <w:t>m³/a</w:t>
                  </w:r>
                </w:p>
              </w:tc>
              <w:tc>
                <w:tcPr>
                  <w:tcW w:w="2124" w:type="dxa"/>
                  <w:gridSpan w:val="2"/>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1254</w:t>
                  </w:r>
                  <w:r>
                    <w:rPr>
                      <w:rFonts w:eastAsiaTheme="minorEastAsia"/>
                      <w:color w:val="000000" w:themeColor="text1"/>
                      <w:szCs w:val="21"/>
                    </w:rPr>
                    <w:t>m³/a</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color w:val="000000" w:themeColor="text1"/>
                      <w:kern w:val="0"/>
                      <w:szCs w:val="21"/>
                    </w:rPr>
                    <w:t>7.38-7.40</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color w:val="000000" w:themeColor="text1"/>
                      <w:kern w:val="0"/>
                      <w:szCs w:val="21"/>
                    </w:rPr>
                    <w:t>7.38-7.40</w:t>
                  </w:r>
                </w:p>
              </w:tc>
              <w:tc>
                <w:tcPr>
                  <w:tcW w:w="992"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6-9</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335</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0.42</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268</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0.34</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500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227.5</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0.29</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182</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0.23</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15.95</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12.76</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45</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65</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0.07</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2.39</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1.912</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0.002</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23.92</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19.136</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5.16</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4.13</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4.3</w:t>
                  </w:r>
                  <w:r>
                    <w:rPr>
                      <w:rFonts w:hint="eastAsia" w:eastAsiaTheme="minorEastAsia"/>
                      <w:color w:val="000000" w:themeColor="text1"/>
                      <w:szCs w:val="21"/>
                    </w:rPr>
                    <w:t>8</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3.5</w:t>
                  </w:r>
                </w:p>
              </w:tc>
              <w:tc>
                <w:tcPr>
                  <w:tcW w:w="992"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0.004</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20</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563"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16"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24000</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1132" w:type="dxa"/>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24000</w:t>
                  </w:r>
                </w:p>
              </w:tc>
              <w:tc>
                <w:tcPr>
                  <w:tcW w:w="992" w:type="dxa"/>
                  <w:tcBorders>
                    <w:top w:val="nil"/>
                    <w:left w:val="nil"/>
                    <w:bottom w:val="single" w:color="000000"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w:t>
                  </w:r>
                </w:p>
              </w:tc>
              <w:tc>
                <w:tcPr>
                  <w:tcW w:w="853"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达标</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由上表可知，经隔油池和化粪池处理</w:t>
            </w:r>
            <w:r>
              <w:rPr>
                <w:rFonts w:ascii="Times New Roman" w:hAnsi="Times New Roman" w:cs="Times New Roman"/>
                <w:color w:val="000000" w:themeColor="text1"/>
                <w:sz w:val="24"/>
                <w:szCs w:val="24"/>
              </w:rPr>
              <w:t>后</w:t>
            </w:r>
            <w:r>
              <w:rPr>
                <w:rFonts w:hint="eastAsia" w:ascii="Times New Roman" w:hAnsi="Times New Roman" w:cs="Times New Roman"/>
                <w:color w:val="000000" w:themeColor="text1"/>
                <w:sz w:val="24"/>
                <w:szCs w:val="24"/>
              </w:rPr>
              <w:t>的生活污水</w:t>
            </w:r>
            <w:r>
              <w:rPr>
                <w:rFonts w:ascii="Times New Roman" w:hAnsi="Times New Roman" w:cs="Times New Roman"/>
                <w:color w:val="000000" w:themeColor="text1"/>
                <w:sz w:val="24"/>
                <w:szCs w:val="24"/>
              </w:rPr>
              <w:t>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-2015）的B等级标准，通过提升泵泵至厂区东侧小邓段公路污水管网进入四方地与碧谷园区污水处理厂处理。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④现有次氧化锌生产线水平衡</w:t>
            </w:r>
          </w:p>
          <w:p>
            <w:pPr>
              <w:pStyle w:val="41"/>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1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⑴</w:t>
            </w:r>
            <w:r>
              <w:rPr>
                <w:rFonts w:hAnsiTheme="minorEastAsia" w:eastAsiaTheme="minorEastAsia"/>
                <w:color w:val="000000" w:themeColor="text1"/>
                <w:szCs w:val="24"/>
              </w:rPr>
              <w:fldChar w:fldCharType="end"/>
            </w:r>
            <w:r>
              <w:rPr>
                <w:rFonts w:hint="eastAsia" w:hAnsiTheme="minorEastAsia" w:eastAsiaTheme="minorEastAsia"/>
                <w:color w:val="000000" w:themeColor="text1"/>
                <w:szCs w:val="24"/>
              </w:rPr>
              <w:t>现有次氧化锌生产线</w:t>
            </w:r>
            <w:r>
              <w:rPr>
                <w:rFonts w:hAnsiTheme="minorEastAsia"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4686935" cy="223202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16"/>
                          <a:srcRect/>
                          <a:stretch>
                            <a:fillRect/>
                          </a:stretch>
                        </pic:blipFill>
                        <pic:spPr>
                          <a:xfrm>
                            <a:off x="0" y="0"/>
                            <a:ext cx="4695112" cy="2235874"/>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w:t>
            </w:r>
            <w:r>
              <w:rPr>
                <w:rFonts w:hint="eastAsia" w:ascii="Times New Roman" w:hAnsi="Times New Roman" w:cs="Times New Roman"/>
                <w:b/>
                <w:bCs/>
                <w:color w:val="000000" w:themeColor="text1"/>
                <w:kern w:val="0"/>
              </w:rPr>
              <w:t>2.11.5-1</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现有次氧化锌生产线</w:t>
            </w:r>
            <w:r>
              <w:rPr>
                <w:rFonts w:ascii="Times New Roman" w:hAnsi="Times New Roman" w:cs="Times New Roman"/>
                <w:b/>
                <w:bCs/>
                <w:color w:val="000000" w:themeColor="text1"/>
                <w:kern w:val="0"/>
              </w:rPr>
              <w:t>非雨天水水平衡图 m³/d</w:t>
            </w:r>
          </w:p>
          <w:p>
            <w:pPr>
              <w:pStyle w:val="41"/>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fldChar w:fldCharType="begin"/>
            </w:r>
            <w:r>
              <w:rPr>
                <w:rFonts w:hAnsiTheme="minorEastAsia" w:eastAsiaTheme="minorEastAsia"/>
                <w:color w:val="000000" w:themeColor="text1"/>
                <w:szCs w:val="24"/>
              </w:rPr>
              <w:instrText xml:space="preserve"> </w:instrText>
            </w:r>
            <w:r>
              <w:rPr>
                <w:rFonts w:hint="eastAsia" w:hAnsiTheme="minorEastAsia" w:eastAsiaTheme="minorEastAsia"/>
                <w:color w:val="000000" w:themeColor="text1"/>
                <w:szCs w:val="24"/>
              </w:rPr>
              <w:instrText xml:space="preserve">= 2 \* GB2</w:instrText>
            </w:r>
            <w:r>
              <w:rPr>
                <w:rFonts w:hAnsiTheme="minorEastAsia" w:eastAsiaTheme="minorEastAsia"/>
                <w:color w:val="000000" w:themeColor="text1"/>
                <w:szCs w:val="24"/>
              </w:rPr>
              <w:instrText xml:space="preserve"> </w:instrText>
            </w:r>
            <w:r>
              <w:rPr>
                <w:rFonts w:hAnsiTheme="minorEastAsia" w:eastAsiaTheme="minorEastAsia"/>
                <w:color w:val="000000" w:themeColor="text1"/>
                <w:szCs w:val="24"/>
              </w:rPr>
              <w:fldChar w:fldCharType="separate"/>
            </w:r>
            <w:r>
              <w:rPr>
                <w:rFonts w:hint="eastAsia" w:hAnsiTheme="minorEastAsia" w:eastAsiaTheme="minorEastAsia"/>
                <w:color w:val="000000" w:themeColor="text1"/>
                <w:szCs w:val="24"/>
              </w:rPr>
              <w:t>⑵</w:t>
            </w:r>
            <w:r>
              <w:rPr>
                <w:rFonts w:hAnsiTheme="minorEastAsia" w:eastAsiaTheme="minorEastAsia"/>
                <w:color w:val="000000" w:themeColor="text1"/>
                <w:szCs w:val="24"/>
              </w:rPr>
              <w:fldChar w:fldCharType="end"/>
            </w:r>
            <w:r>
              <w:rPr>
                <w:rFonts w:hint="eastAsia" w:hAnsiTheme="minorEastAsia" w:eastAsiaTheme="minorEastAsia"/>
                <w:color w:val="000000" w:themeColor="text1"/>
                <w:szCs w:val="24"/>
              </w:rPr>
              <w:t>现有次氧化锌生产线</w:t>
            </w:r>
            <w:r>
              <w:rPr>
                <w:rFonts w:hAnsiTheme="minorEastAsia" w:eastAsiaTheme="minorEastAsia"/>
                <w:color w:val="000000" w:themeColor="text1"/>
                <w:szCs w:val="24"/>
              </w:rPr>
              <w:t>雨天水平衡如下图所示。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drawing>
                <wp:inline distT="0" distB="0" distL="0" distR="0">
                  <wp:extent cx="4857750" cy="354076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7"/>
                          <a:srcRect/>
                          <a:stretch>
                            <a:fillRect/>
                          </a:stretch>
                        </pic:blipFill>
                        <pic:spPr>
                          <a:xfrm>
                            <a:off x="0" y="0"/>
                            <a:ext cx="4863298" cy="3545103"/>
                          </a:xfrm>
                          <a:prstGeom prst="rect">
                            <a:avLst/>
                          </a:prstGeom>
                          <a:noFill/>
                          <a:ln w="9525">
                            <a:noFill/>
                            <a:miter lim="800000"/>
                            <a:headEnd/>
                            <a:tailEnd/>
                          </a:ln>
                        </pic:spPr>
                      </pic:pic>
                    </a:graphicData>
                  </a:graphic>
                </wp:inline>
              </w:drawing>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w:t>
            </w:r>
            <w:r>
              <w:rPr>
                <w:rFonts w:hint="eastAsia" w:ascii="Times New Roman" w:hAnsi="Times New Roman" w:cs="Times New Roman"/>
                <w:b/>
                <w:bCs/>
                <w:color w:val="000000" w:themeColor="text1"/>
                <w:kern w:val="0"/>
              </w:rPr>
              <w:t>2.11.5-2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现有次氧化锌生产线</w:t>
            </w:r>
            <w:r>
              <w:rPr>
                <w:rFonts w:ascii="Times New Roman" w:hAnsi="Times New Roman" w:cs="Times New Roman"/>
                <w:b/>
                <w:bCs/>
                <w:color w:val="000000" w:themeColor="text1"/>
                <w:kern w:val="0"/>
              </w:rPr>
              <w:t>雨天水水平衡图 m³/d</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（3）现有次氧化锌生产线噪声污染源产排情况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现有次氧化锌生产线噪声主要为设备噪声，各噪声源强约为80-100</w:t>
            </w:r>
            <w:r>
              <w:rPr>
                <w:rFonts w:ascii="Times New Roman" w:hAnsi="Times New Roman" w:cs="Times New Roman"/>
                <w:color w:val="000000" w:themeColor="text1"/>
                <w:sz w:val="24"/>
                <w:szCs w:val="24"/>
              </w:rPr>
              <w:t>dB（A）</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2023年第一、二、三季度的自行监测报告。自行监测期间，现有次氧化锌生产线均满负荷运营，具体如下表所示。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表2.11.5-5 噪声检测结果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820"/>
              <w:gridCol w:w="1443"/>
              <w:gridCol w:w="1371"/>
              <w:gridCol w:w="1386"/>
              <w:gridCol w:w="134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983" w:type="dxa"/>
                  <w:gridSpan w:val="2"/>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监测时间</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厂界东</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厂界南</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厂界西</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厂界北</w:t>
                  </w:r>
                </w:p>
              </w:tc>
              <w:tc>
                <w:tcPr>
                  <w:tcW w:w="108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2023/3/30</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56</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2023/4/18</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58</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59</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44</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42</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45</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2023/9/27</w:t>
                  </w: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昼</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58</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59</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57</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rFonts w:eastAsiaTheme="minorEastAsia"/>
                      <w:color w:val="000000" w:themeColor="text1"/>
                      <w:szCs w:val="21"/>
                    </w:rPr>
                  </w:pPr>
                </w:p>
              </w:tc>
              <w:tc>
                <w:tcPr>
                  <w:tcW w:w="82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夜</w:t>
                  </w:r>
                </w:p>
              </w:tc>
              <w:tc>
                <w:tcPr>
                  <w:tcW w:w="14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46</w:t>
                  </w:r>
                </w:p>
              </w:tc>
              <w:tc>
                <w:tcPr>
                  <w:tcW w:w="137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48</w:t>
                  </w:r>
                </w:p>
              </w:tc>
              <w:tc>
                <w:tcPr>
                  <w:tcW w:w="138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49</w:t>
                  </w:r>
                </w:p>
              </w:tc>
              <w:tc>
                <w:tcPr>
                  <w:tcW w:w="134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47</w:t>
                  </w:r>
                </w:p>
              </w:tc>
              <w:tc>
                <w:tcPr>
                  <w:tcW w:w="108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55</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由上表可知，现有次氧化锌生产线厂界噪声可达到</w:t>
            </w:r>
            <w:r>
              <w:rPr>
                <w:rFonts w:ascii="Times New Roman" w:hAnsi="Times New Roman" w:cs="Times New Roman"/>
                <w:color w:val="000000" w:themeColor="text1"/>
                <w:sz w:val="24"/>
                <w:szCs w:val="24"/>
              </w:rPr>
              <w:t>《工业企业厂界环境噪声排放标准》（GB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类标准</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（4）现有次氧化锌生产线固废污染源产排情况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根据项目环评、竣工验收报告及排污许可证等相关材料，</w:t>
            </w:r>
            <w:r>
              <w:rPr>
                <w:rFonts w:ascii="Times New Roman" w:hAnsi="Times New Roman" w:cs="Times New Roman"/>
                <w:color w:val="000000" w:themeColor="text1"/>
                <w:sz w:val="24"/>
                <w:szCs w:val="24"/>
              </w:rPr>
              <w:t>现有次氧化锌生产线</w:t>
            </w:r>
            <w:r>
              <w:rPr>
                <w:rFonts w:hint="eastAsia" w:ascii="Times New Roman" w:hAnsi="Times New Roman" w:cs="Times New Roman"/>
                <w:color w:val="000000" w:themeColor="text1"/>
                <w:sz w:val="24"/>
                <w:szCs w:val="24"/>
              </w:rPr>
              <w:t>产生的固体废物主要包括：氧化锌尾渣（水淬渣）、脱硫渣、废机油、</w:t>
            </w:r>
            <w:r>
              <w:rPr>
                <w:rFonts w:ascii="Times New Roman" w:hAnsi="Times New Roman" w:cs="Times New Roman"/>
                <w:color w:val="000000" w:themeColor="text1"/>
                <w:sz w:val="24"/>
                <w:szCs w:val="24"/>
              </w:rPr>
              <w:t>废弃沾油抹布</w:t>
            </w:r>
            <w:r>
              <w:rPr>
                <w:rFonts w:hint="eastAsia" w:ascii="Times New Roman" w:hAnsi="Times New Roman" w:cs="Times New Roman"/>
                <w:color w:val="000000" w:themeColor="text1"/>
                <w:sz w:val="24"/>
                <w:szCs w:val="24"/>
              </w:rPr>
              <w:t>和生活垃圾。根据建设单位的实际运行情况，现有次氧化锌生产线固体废物排放情况如下表所示。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2.11.5-6</w:t>
            </w:r>
            <w:r>
              <w:rPr>
                <w:rFonts w:ascii="Times New Roman" w:hAnsi="Times New Roman" w:eastAsia="宋体" w:cs="Times New Roman"/>
                <w:b/>
                <w:color w:val="000000" w:themeColor="text1"/>
                <w:szCs w:val="24"/>
              </w:rPr>
              <w:t xml:space="preserve">  </w:t>
            </w:r>
            <w:r>
              <w:rPr>
                <w:rFonts w:hint="eastAsia" w:ascii="Times New Roman" w:hAnsi="Times New Roman" w:eastAsia="宋体" w:cs="Times New Roman"/>
                <w:b/>
                <w:color w:val="000000" w:themeColor="text1"/>
                <w:szCs w:val="24"/>
              </w:rPr>
              <w:t>现有次氧化锌生产线</w:t>
            </w:r>
            <w:r>
              <w:rPr>
                <w:rFonts w:ascii="Times New Roman" w:hAnsi="Times New Roman" w:eastAsia="宋体" w:cs="Times New Roman"/>
                <w:b/>
                <w:color w:val="000000" w:themeColor="text1"/>
                <w:szCs w:val="24"/>
              </w:rPr>
              <w:t>固体废物环境影响和保护措施分析一览表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1276"/>
              <w:gridCol w:w="850"/>
              <w:gridCol w:w="1134"/>
              <w:gridCol w:w="3842"/>
              <w:gridCol w:w="9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序号</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名称</w:t>
                  </w:r>
                </w:p>
              </w:tc>
              <w:tc>
                <w:tcPr>
                  <w:tcW w:w="85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属性</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w:t>
                  </w:r>
                </w:p>
              </w:tc>
              <w:tc>
                <w:tcPr>
                  <w:tcW w:w="3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1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处置率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color w:val="000000" w:themeColor="text1"/>
                      <w:szCs w:val="24"/>
                    </w:rPr>
                  </w:pPr>
                  <w:r>
                    <w:rPr>
                      <w:color w:val="000000" w:themeColor="text1"/>
                      <w:szCs w:val="24"/>
                    </w:rPr>
                    <w:t>1</w:t>
                  </w:r>
                </w:p>
              </w:tc>
              <w:tc>
                <w:tcPr>
                  <w:tcW w:w="1276" w:type="dxa"/>
                  <w:vAlign w:val="center"/>
                </w:tcPr>
                <w:p>
                  <w:pPr>
                    <w:pStyle w:val="33"/>
                    <w:spacing w:line="360" w:lineRule="exact"/>
                    <w:rPr>
                      <w:color w:val="000000" w:themeColor="text1"/>
                      <w:szCs w:val="24"/>
                    </w:rPr>
                  </w:pPr>
                  <w:r>
                    <w:rPr>
                      <w:color w:val="000000" w:themeColor="text1"/>
                      <w:szCs w:val="24"/>
                    </w:rPr>
                    <w:t>氧化锌尾渣（水淬渣）</w:t>
                  </w:r>
                </w:p>
              </w:tc>
              <w:tc>
                <w:tcPr>
                  <w:tcW w:w="850" w:type="dxa"/>
                  <w:vAlign w:val="center"/>
                </w:tcPr>
                <w:p>
                  <w:pPr>
                    <w:pStyle w:val="33"/>
                    <w:spacing w:line="360" w:lineRule="exact"/>
                    <w:rPr>
                      <w:color w:val="000000" w:themeColor="text1"/>
                      <w:szCs w:val="24"/>
                    </w:rPr>
                  </w:pPr>
                  <w:r>
                    <w:rPr>
                      <w:color w:val="000000" w:themeColor="text1"/>
                      <w:szCs w:val="24"/>
                    </w:rPr>
                    <w:t>一般工业固废</w:t>
                  </w:r>
                </w:p>
              </w:tc>
              <w:tc>
                <w:tcPr>
                  <w:tcW w:w="1134" w:type="dxa"/>
                  <w:vAlign w:val="center"/>
                </w:tcPr>
                <w:p>
                  <w:pPr>
                    <w:pStyle w:val="33"/>
                    <w:spacing w:line="360" w:lineRule="exact"/>
                    <w:rPr>
                      <w:color w:val="000000" w:themeColor="text1"/>
                      <w:szCs w:val="24"/>
                    </w:rPr>
                  </w:pPr>
                  <w:r>
                    <w:rPr>
                      <w:rFonts w:hint="eastAsia"/>
                      <w:color w:val="000000" w:themeColor="text1"/>
                      <w:szCs w:val="24"/>
                    </w:rPr>
                    <w:t>7.7</w:t>
                  </w:r>
                  <w:r>
                    <w:rPr>
                      <w:color w:val="000000" w:themeColor="text1"/>
                      <w:szCs w:val="24"/>
                    </w:rPr>
                    <w:t>万t/a</w:t>
                  </w:r>
                </w:p>
              </w:tc>
              <w:tc>
                <w:tcPr>
                  <w:tcW w:w="3842"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外售成都众轶金属材料有限公司作为生产原料利用。</w:t>
                  </w:r>
                </w:p>
              </w:tc>
              <w:tc>
                <w:tcPr>
                  <w:tcW w:w="91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w:t>
                  </w:r>
                </w:p>
              </w:tc>
              <w:tc>
                <w:tcPr>
                  <w:tcW w:w="1276" w:type="dxa"/>
                  <w:vAlign w:val="center"/>
                </w:tcPr>
                <w:p>
                  <w:pPr>
                    <w:pStyle w:val="33"/>
                    <w:spacing w:line="360" w:lineRule="exact"/>
                    <w:rPr>
                      <w:rFonts w:eastAsiaTheme="minorEastAsia"/>
                      <w:color w:val="000000" w:themeColor="text1"/>
                      <w:szCs w:val="21"/>
                    </w:rPr>
                  </w:pPr>
                  <w:r>
                    <w:rPr>
                      <w:color w:val="000000" w:themeColor="text1"/>
                      <w:szCs w:val="24"/>
                    </w:rPr>
                    <w:t>脱硫渣</w:t>
                  </w:r>
                </w:p>
              </w:tc>
              <w:tc>
                <w:tcPr>
                  <w:tcW w:w="850" w:type="dxa"/>
                  <w:vAlign w:val="center"/>
                </w:tcPr>
                <w:p>
                  <w:pPr>
                    <w:pStyle w:val="33"/>
                    <w:spacing w:line="360" w:lineRule="exact"/>
                    <w:rPr>
                      <w:rFonts w:eastAsiaTheme="minorEastAsia"/>
                      <w:color w:val="000000" w:themeColor="text1"/>
                      <w:szCs w:val="21"/>
                    </w:rPr>
                  </w:pPr>
                  <w:r>
                    <w:rPr>
                      <w:color w:val="000000" w:themeColor="text1"/>
                      <w:szCs w:val="24"/>
                    </w:rPr>
                    <w:t>一般工业固废</w:t>
                  </w:r>
                </w:p>
              </w:tc>
              <w:tc>
                <w:tcPr>
                  <w:tcW w:w="1134" w:type="dxa"/>
                  <w:vAlign w:val="center"/>
                </w:tcPr>
                <w:p>
                  <w:pPr>
                    <w:pStyle w:val="33"/>
                    <w:spacing w:line="360" w:lineRule="exact"/>
                    <w:rPr>
                      <w:rFonts w:eastAsiaTheme="minorEastAsia"/>
                      <w:color w:val="000000" w:themeColor="text1"/>
                      <w:szCs w:val="21"/>
                    </w:rPr>
                  </w:pPr>
                  <w:r>
                    <w:rPr>
                      <w:color w:val="000000" w:themeColor="text1"/>
                      <w:szCs w:val="24"/>
                    </w:rPr>
                    <w:t>15.7t/a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运输至四方地工业园区弃渣场堆放处理。</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850"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现有次氧化锌生产线产生的</w:t>
                  </w:r>
                  <w:r>
                    <w:rPr>
                      <w:rFonts w:eastAsiaTheme="minorEastAsia"/>
                      <w:color w:val="000000" w:themeColor="text1"/>
                      <w:szCs w:val="24"/>
                    </w:rPr>
                    <w:t>废机油委托云南大地丰源环保有限公司处置。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0" w:type="dxa"/>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现有次氧化锌生产线产生的</w:t>
                  </w:r>
                  <w:r>
                    <w:rPr>
                      <w:rFonts w:eastAsiaTheme="minorEastAsia"/>
                      <w:color w:val="000000" w:themeColor="text1"/>
                      <w:szCs w:val="24"/>
                    </w:rPr>
                    <w:t>废弃沾油抹布未单独收集，混入生活垃圾委托环卫部门定期清运处置。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w:t>
                  </w:r>
                </w:p>
              </w:tc>
              <w:tc>
                <w:tcPr>
                  <w:tcW w:w="1276"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85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生活固废</w:t>
                  </w: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16.5t/a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w:t>
                  </w:r>
                </w:p>
              </w:tc>
              <w:tc>
                <w:tcPr>
                  <w:tcW w:w="1276" w:type="dxa"/>
                  <w:tcBorders>
                    <w:top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餐厨废物</w:t>
                  </w:r>
                </w:p>
              </w:tc>
              <w:tc>
                <w:tcPr>
                  <w:tcW w:w="850" w:type="dxa"/>
                  <w:vMerge w:val="continue"/>
                  <w:vAlign w:val="center"/>
                </w:tcPr>
                <w:p>
                  <w:pPr>
                    <w:pStyle w:val="33"/>
                    <w:spacing w:line="360" w:lineRule="exact"/>
                    <w:rPr>
                      <w:rFonts w:eastAsiaTheme="minorEastAsia"/>
                      <w:color w:val="000000" w:themeColor="text1"/>
                      <w:szCs w:val="21"/>
                    </w:rPr>
                  </w:pPr>
                </w:p>
              </w:tc>
              <w:tc>
                <w:tcPr>
                  <w:tcW w:w="113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2.1t/a</w:t>
                  </w:r>
                </w:p>
              </w:tc>
              <w:tc>
                <w:tcPr>
                  <w:tcW w:w="384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10" w:type="dxa"/>
                  <w:vMerge w:val="continue"/>
                  <w:vAlign w:val="center"/>
                </w:tcPr>
                <w:p>
                  <w:pPr>
                    <w:pStyle w:val="33"/>
                    <w:spacing w:line="360" w:lineRule="exact"/>
                    <w:rPr>
                      <w:rFonts w:eastAsiaTheme="minorEastAsia"/>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综上，现有次氧化锌生产线固体废物处置率为100%。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 拟扩建次氧化锌生产线基本情况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根据调查，目前拟扩建的次氧化锌生产线还在设计过程，</w:t>
            </w:r>
            <w:r>
              <w:rPr>
                <w:rFonts w:ascii="Times New Roman" w:hAnsi="Times New Roman" w:cs="Times New Roman"/>
                <w:color w:val="000000" w:themeColor="text1"/>
                <w:sz w:val="24"/>
                <w:szCs w:val="24"/>
              </w:rPr>
              <w:t>预计2024年初完成初步设计，2024年初至2025年底完成环评审批手续，2025年底至2026年底完成项目建设并投入生产；该扩建生产线建设规模为年产次氧化锌7000吨，扩建生产线部分产生的氧化锌尾渣（水淬渣）量约为8.8万t/a；扩建完成后，厂区内氧化锌尾渣（水淬渣）总产生量约为16.5万t/a。</w:t>
            </w:r>
            <w:r>
              <w:rPr>
                <w:rFonts w:hint="eastAsia" w:ascii="Times New Roman" w:hAnsi="Times New Roman" w:cs="Times New Roman"/>
                <w:color w:val="000000" w:themeColor="text1"/>
                <w:sz w:val="24"/>
                <w:szCs w:val="24"/>
              </w:rPr>
              <w:t>待扩建完成后可满足本项目原料供应。</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2.13 本次建设项目原有概况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次建设项目于2021年初开始建设，属于未批先建项目，2021年5月23日昆明市生态环境局下达《责令改正违法行为决定书》（昆生环改【“绿剑”2021】05-02-02号），要求建设单位立即停止项目建设。建设单位按照管理部门的相关要求停止了项目建设，办理了环评手续，并于</w:t>
            </w:r>
            <w:r>
              <w:rPr>
                <w:rFonts w:ascii="Times New Roman" w:hAnsi="Times New Roman" w:cs="Times New Roman"/>
                <w:color w:val="000000" w:themeColor="text1"/>
                <w:sz w:val="24"/>
                <w:szCs w:val="24"/>
              </w:rPr>
              <w:t>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szCs w:val="24"/>
              </w:rPr>
              <w:t>，建设单位根据新增项目重新申请了排污许可，并于2022年3月8日取得昆明市生态环境局下发的《排污许可证》（证书编号：</w:t>
            </w:r>
            <w:r>
              <w:rPr>
                <w:rFonts w:ascii="Times New Roman" w:hAnsi="Times New Roman" w:cs="Times New Roman"/>
                <w:color w:val="000000" w:themeColor="text1"/>
                <w:sz w:val="24"/>
                <w:szCs w:val="24"/>
              </w:rPr>
              <w:t>91</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6655174504001V</w:t>
            </w:r>
            <w:r>
              <w:rPr>
                <w:rFonts w:hint="eastAsia" w:ascii="Times New Roman" w:hAnsi="Times New Roman" w:cs="Times New Roman"/>
                <w:color w:val="000000" w:themeColor="text1"/>
                <w:sz w:val="24"/>
                <w:szCs w:val="24"/>
              </w:rPr>
              <w:t>），项目取得批复后，又立即开工建设，并于2022年3月建设完成。在建设和调试过程中发现项目所在区域未配套设置天然气供应管道，回收碳工艺不成熟，通过重选方式回收氧化锌尾渣（水淬渣）中的碳的效果低于预期，因此拟对其进行调整。</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2.14 与原有项目有关的主要环境问题及整改措施</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2.14.1 存在的主要问题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本项目为项目通过审批后发生重大变动重新报批项目</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本项目于2021年编制完成《昆明合旺有色金属有限公司固体废物综合利用项目环境影响报告表》，于2021年11月24日取得昆明市生态环境局东川分局关于对《昆明合旺有色金属有限公司固体废物综合利用项目环境影响报告表的批复》（昆生环（东）复【2021】32号）。</w:t>
            </w:r>
            <w:r>
              <w:rPr>
                <w:rFonts w:hint="eastAsia" w:ascii="Times New Roman" w:hAnsi="Times New Roman" w:cs="Times New Roman"/>
                <w:color w:val="000000" w:themeColor="text1"/>
                <w:sz w:val="24"/>
              </w:rPr>
              <w:t>项目已建成了</w:t>
            </w:r>
            <w:r>
              <w:rPr>
                <w:rFonts w:ascii="Times New Roman" w:hAnsi="Times New Roman" w:cs="Times New Roman"/>
                <w:color w:val="000000" w:themeColor="text1"/>
                <w:sz w:val="24"/>
              </w:rPr>
              <w:t>厂房</w:t>
            </w:r>
            <w:r>
              <w:rPr>
                <w:rFonts w:hint="eastAsia" w:ascii="Times New Roman" w:hAnsi="Times New Roman" w:cs="Times New Roman"/>
                <w:color w:val="000000" w:themeColor="text1"/>
                <w:sz w:val="24"/>
              </w:rPr>
              <w:t>、水淬渣暂存库、</w:t>
            </w:r>
            <w:r>
              <w:rPr>
                <w:rFonts w:ascii="Times New Roman" w:hAnsi="Times New Roman" w:cs="Times New Roman"/>
                <w:color w:val="000000" w:themeColor="text1"/>
                <w:sz w:val="24"/>
              </w:rPr>
              <w:t>废渣暂存库、</w:t>
            </w:r>
            <w:r>
              <w:rPr>
                <w:rFonts w:hint="eastAsia" w:ascii="Times New Roman" w:hAnsi="Times New Roman" w:cs="Times New Roman"/>
                <w:color w:val="000000" w:themeColor="text1"/>
                <w:sz w:val="24"/>
              </w:rPr>
              <w:t>部分生产设施、部分环保设施，由于项目建设方案发生变动，</w:t>
            </w:r>
            <w:r>
              <w:rPr>
                <w:rFonts w:hint="eastAsia" w:ascii="Times New Roman" w:hAnsi="Times New Roman" w:cs="Times New Roman"/>
                <w:color w:val="000000" w:themeColor="text1"/>
                <w:sz w:val="24"/>
                <w:szCs w:val="24"/>
              </w:rPr>
              <w:t>本项目涉及变动的部分建设内容尚未动工，原已建设的</w:t>
            </w:r>
            <w:r>
              <w:rPr>
                <w:rFonts w:ascii="Times New Roman" w:hAnsi="Times New Roman" w:cs="Times New Roman"/>
                <w:color w:val="000000" w:themeColor="text1"/>
                <w:sz w:val="24"/>
                <w:szCs w:val="24"/>
              </w:rPr>
              <w:t>球磨分级系统</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选别</w:t>
            </w:r>
            <w:r>
              <w:rPr>
                <w:rFonts w:hint="eastAsia" w:ascii="Times New Roman" w:hAnsi="Times New Roman" w:cs="Times New Roman"/>
                <w:color w:val="000000" w:themeColor="text1"/>
                <w:sz w:val="24"/>
                <w:szCs w:val="24"/>
              </w:rPr>
              <w:t>系统的设备调试已暂停。建设单位待本次环评批复后方继续建设。根据调查，项目存在的主要环境问题如下：</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①根据调查，厂区现有的废渣暂存库设有顶棚和三面围挡，但围挡与顶棚之间存在空隙，未完全封闭。</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②</w:t>
            </w:r>
            <w:r>
              <w:rPr>
                <w:rFonts w:ascii="Times New Roman" w:hAnsi="Times New Roman" w:cs="Times New Roman"/>
                <w:color w:val="000000" w:themeColor="text1"/>
                <w:sz w:val="24"/>
              </w:rPr>
              <w:t>根据调查，厂区已设置的两个初期雨水收集池容积可满足收集区域，但其设置位置无法将厂区</w:t>
            </w:r>
            <w:r>
              <w:rPr>
                <w:rFonts w:hint="eastAsia" w:ascii="Times New Roman" w:hAnsi="Times New Roman" w:cs="Times New Roman"/>
                <w:color w:val="000000" w:themeColor="text1"/>
                <w:sz w:val="24"/>
              </w:rPr>
              <w:t>下游部分道路区</w:t>
            </w:r>
            <w:r>
              <w:rPr>
                <w:rFonts w:ascii="Times New Roman" w:hAnsi="Times New Roman" w:cs="Times New Roman"/>
                <w:color w:val="000000" w:themeColor="text1"/>
                <w:sz w:val="24"/>
              </w:rPr>
              <w:t>的初期雨水进行收集</w:t>
            </w:r>
            <w:r>
              <w:rPr>
                <w:rFonts w:hint="eastAsia"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2.14.2 整改措施</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①针对厂区现有的废渣暂存库围挡与顶棚之间存在空隙，未完全封闭，存在无组织排放的问题，应加高围挡进行封闭，应对其进行修善。</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②</w:t>
            </w:r>
            <w:r>
              <w:rPr>
                <w:rFonts w:ascii="Times New Roman" w:hAnsi="Times New Roman" w:cs="Times New Roman"/>
                <w:color w:val="000000" w:themeColor="text1"/>
                <w:sz w:val="24"/>
              </w:rPr>
              <w:t>环评提出拟在厂区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处再建设一个有效容积为5m³的初期雨水收集池</w:t>
            </w:r>
            <w:r>
              <w:rPr>
                <w:rFonts w:hint="eastAsia" w:ascii="Times New Roman" w:hAnsi="Times New Roman" w:cs="Times New Roman"/>
                <w:color w:val="000000" w:themeColor="text1"/>
                <w:sz w:val="24"/>
              </w:rPr>
              <w:t>（编号为3#）将</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下游部分道路区的初期雨水进行收集。</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tc>
      </w:tr>
    </w:tbl>
    <w:p>
      <w:pPr>
        <w:spacing w:line="360" w:lineRule="auto"/>
        <w:jc w:val="left"/>
        <w:outlineLvl w:val="0"/>
        <w:rPr>
          <w:rFonts w:ascii="Times New Roman" w:hAnsi="Times New Roman" w:cs="Times New Roman"/>
          <w:b/>
          <w:color w:val="000000" w:themeColor="text1"/>
          <w:sz w:val="28"/>
          <w:szCs w:val="20"/>
        </w:rPr>
      </w:pPr>
      <w:bookmarkStart w:id="8" w:name="_Toc151133520"/>
      <w:r>
        <w:rPr>
          <w:rFonts w:ascii="Times New Roman" w:hAnsi="Times New Roman" w:cs="Times New Roman"/>
          <w:b/>
          <w:color w:val="000000" w:themeColor="text1"/>
          <w:sz w:val="28"/>
          <w:szCs w:val="20"/>
        </w:rPr>
        <w:t>三、区域环境质量现状、环境保护目标及评价标准</w:t>
      </w:r>
      <w:bookmarkEnd w:id="8"/>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1"/>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41"/>
              <w:ind w:firstLine="480"/>
              <w:rPr>
                <w:color w:val="000000" w:themeColor="text1"/>
                <w:szCs w:val="24"/>
              </w:rPr>
            </w:pPr>
            <w:r>
              <w:rPr>
                <w:rFonts w:hint="eastAsia"/>
                <w:color w:val="000000" w:themeColor="text1"/>
                <w:szCs w:val="24"/>
              </w:rPr>
              <w:t>本项目位于</w:t>
            </w:r>
            <w:r>
              <w:rPr>
                <w:color w:val="000000" w:themeColor="text1"/>
                <w:szCs w:val="24"/>
              </w:rPr>
              <w:t>云南东川产业园区四方地片区昆明合旺有色金属有限公司厂区内</w:t>
            </w:r>
            <w:r>
              <w:rPr>
                <w:rFonts w:hint="eastAsia"/>
                <w:color w:val="000000" w:themeColor="text1"/>
                <w:szCs w:val="24"/>
              </w:rPr>
              <w:t>，</w:t>
            </w:r>
            <w:r>
              <w:rPr>
                <w:color w:val="000000" w:themeColor="text1"/>
                <w:szCs w:val="24"/>
              </w:rPr>
              <w:t>属于环境空气二类区，执行《环境空气质量标准》（GB</w:t>
            </w:r>
            <w:r>
              <w:rPr>
                <w:rFonts w:hint="eastAsia"/>
                <w:color w:val="000000" w:themeColor="text1"/>
                <w:szCs w:val="24"/>
                <w:lang w:eastAsia="zh-CN"/>
              </w:rPr>
              <w:t>****</w:t>
            </w:r>
            <w:r>
              <w:rPr>
                <w:color w:val="000000" w:themeColor="text1"/>
                <w:szCs w:val="24"/>
              </w:rPr>
              <w:t>-2012）二级标准</w:t>
            </w:r>
            <w:r>
              <w:rPr>
                <w:rFonts w:hint="eastAsia"/>
                <w:color w:val="000000" w:themeColor="text1"/>
                <w:szCs w:val="24"/>
              </w:rPr>
              <w:t>；</w:t>
            </w:r>
            <w:r>
              <w:rPr>
                <w:color w:val="000000" w:themeColor="text1"/>
                <w:szCs w:val="24"/>
              </w:rPr>
              <w:t>根据《202</w:t>
            </w:r>
            <w:r>
              <w:rPr>
                <w:rFonts w:hint="eastAsia"/>
                <w:color w:val="000000" w:themeColor="text1"/>
                <w:szCs w:val="24"/>
              </w:rPr>
              <w:t>2</w:t>
            </w:r>
            <w:r>
              <w:rPr>
                <w:color w:val="000000" w:themeColor="text1"/>
                <w:szCs w:val="24"/>
              </w:rPr>
              <w:t>年度昆明市生态环境状况公报》，</w:t>
            </w:r>
            <w:r>
              <w:rPr>
                <w:rFonts w:hint="eastAsia"/>
                <w:color w:val="000000" w:themeColor="text1"/>
                <w:szCs w:val="24"/>
              </w:rPr>
              <w:t>各县（市）区环境空气质量总体保持良好。与2021年相比，东川区环境空气综合污染指数有所上升。</w:t>
            </w:r>
            <w:r>
              <w:rPr>
                <w:color w:val="000000" w:themeColor="text1"/>
                <w:szCs w:val="24"/>
              </w:rPr>
              <w:t>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1"/>
              <w:ind w:firstLine="480"/>
              <w:rPr>
                <w:rFonts w:eastAsiaTheme="minorEastAsia"/>
                <w:color w:val="000000" w:themeColor="text1"/>
                <w:szCs w:val="24"/>
              </w:rPr>
            </w:pPr>
            <w:r>
              <w:rPr>
                <w:rFonts w:eastAsiaTheme="minorEastAsia"/>
                <w:color w:val="000000" w:themeColor="text1"/>
                <w:szCs w:val="24"/>
              </w:rPr>
              <w:t>根据项目特点，本项目排放的特征污染物为</w:t>
            </w:r>
            <w:r>
              <w:rPr>
                <w:rFonts w:hint="eastAsia" w:eastAsiaTheme="minorEastAsia"/>
                <w:color w:val="000000" w:themeColor="text1"/>
                <w:szCs w:val="24"/>
              </w:rPr>
              <w:t>颗粒物和NOx</w:t>
            </w:r>
            <w:r>
              <w:rPr>
                <w:rFonts w:eastAsiaTheme="minorEastAsia"/>
                <w:color w:val="000000" w:themeColor="text1"/>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w:t>
            </w:r>
            <w:r>
              <w:rPr>
                <w:rFonts w:hint="eastAsia" w:eastAsiaTheme="minorEastAsia"/>
                <w:color w:val="000000" w:themeColor="text1"/>
                <w:szCs w:val="24"/>
              </w:rPr>
              <w:t>根据调查，</w:t>
            </w:r>
            <w:r>
              <w:rPr>
                <w:rFonts w:eastAsiaTheme="minorEastAsia"/>
                <w:color w:val="000000" w:themeColor="text1"/>
                <w:szCs w:val="24"/>
              </w:rPr>
              <w:t>昆明龙凤锌业开发有限公司</w:t>
            </w:r>
            <w:r>
              <w:rPr>
                <w:rFonts w:hint="eastAsia" w:eastAsiaTheme="minorEastAsia"/>
                <w:color w:val="000000" w:themeColor="text1"/>
                <w:szCs w:val="24"/>
              </w:rPr>
              <w:t>在组织编制</w:t>
            </w:r>
            <w:r>
              <w:rPr>
                <w:rFonts w:eastAsiaTheme="minorEastAsia"/>
                <w:color w:val="000000" w:themeColor="text1"/>
                <w:szCs w:val="24"/>
              </w:rPr>
              <w:t>《昆明龙凤锌业开发有限公司生产工艺改造项目环境影响报告书》</w:t>
            </w:r>
            <w:r>
              <w:rPr>
                <w:rFonts w:hint="eastAsia" w:eastAsiaTheme="minorEastAsia"/>
                <w:color w:val="000000" w:themeColor="text1"/>
                <w:szCs w:val="24"/>
              </w:rPr>
              <w:t>时，委托</w:t>
            </w:r>
            <w:r>
              <w:rPr>
                <w:rFonts w:eastAsiaTheme="minorEastAsia"/>
                <w:color w:val="000000" w:themeColor="text1"/>
                <w:szCs w:val="24"/>
              </w:rPr>
              <w:t>云南华都生态环境监测有限公司</w:t>
            </w:r>
            <w:r>
              <w:rPr>
                <w:rFonts w:hint="eastAsia" w:eastAsiaTheme="minorEastAsia"/>
                <w:color w:val="000000" w:themeColor="text1"/>
                <w:szCs w:val="24"/>
              </w:rPr>
              <w:t>于</w:t>
            </w:r>
            <w:r>
              <w:rPr>
                <w:rFonts w:eastAsiaTheme="minorEastAsia"/>
                <w:color w:val="000000" w:themeColor="text1"/>
                <w:szCs w:val="24"/>
              </w:rPr>
              <w:t>2022年5月4日</w:t>
            </w:r>
            <w:r>
              <w:rPr>
                <w:rFonts w:hint="eastAsia" w:eastAsiaTheme="minorEastAsia"/>
                <w:color w:val="000000" w:themeColor="text1"/>
                <w:szCs w:val="24"/>
              </w:rPr>
              <w:t>-</w:t>
            </w:r>
            <w:r>
              <w:rPr>
                <w:rFonts w:eastAsiaTheme="minorEastAsia"/>
                <w:color w:val="000000" w:themeColor="text1"/>
                <w:szCs w:val="24"/>
              </w:rPr>
              <w:t>2022年5月11日</w:t>
            </w:r>
            <w:r>
              <w:rPr>
                <w:rFonts w:hint="eastAsia" w:eastAsiaTheme="minorEastAsia"/>
                <w:color w:val="000000" w:themeColor="text1"/>
                <w:szCs w:val="24"/>
              </w:rPr>
              <w:t>对区域TSP、NOx于进行了连续7天的现状监测，该监测点位位于本次建设项目东侧约400m处，可满足引用要求，</w:t>
            </w:r>
            <w:r>
              <w:rPr>
                <w:rFonts w:eastAsiaTheme="minorEastAsia"/>
                <w:color w:val="000000" w:themeColor="text1"/>
                <w:szCs w:val="24"/>
              </w:rPr>
              <w:t>具体如下。</w:t>
            </w:r>
          </w:p>
          <w:p>
            <w:pPr>
              <w:pStyle w:val="41"/>
              <w:ind w:firstLine="482"/>
              <w:rPr>
                <w:rFonts w:eastAsiaTheme="minorEastAsia"/>
                <w:b/>
                <w:color w:val="000000" w:themeColor="text1"/>
                <w:szCs w:val="24"/>
              </w:rPr>
            </w:pPr>
            <w:r>
              <w:rPr>
                <w:rFonts w:eastAsiaTheme="minorEastAsia"/>
                <w:b/>
                <w:color w:val="000000" w:themeColor="text1"/>
                <w:szCs w:val="24"/>
              </w:rPr>
              <w:t>①</w:t>
            </w:r>
            <w:r>
              <w:rPr>
                <w:rFonts w:hint="eastAsia" w:eastAsiaTheme="minorEastAsia"/>
                <w:b/>
                <w:color w:val="000000" w:themeColor="text1"/>
                <w:szCs w:val="24"/>
              </w:rPr>
              <w:t>引用</w:t>
            </w:r>
            <w:r>
              <w:rPr>
                <w:rFonts w:eastAsiaTheme="minorEastAsia"/>
                <w:b/>
                <w:color w:val="000000" w:themeColor="text1"/>
                <w:szCs w:val="24"/>
              </w:rPr>
              <w:t>环境空气现状监测参数设置</w:t>
            </w:r>
          </w:p>
          <w:p>
            <w:pPr>
              <w:pStyle w:val="41"/>
              <w:ind w:firstLine="480"/>
              <w:rPr>
                <w:rFonts w:eastAsiaTheme="minorEastAsia"/>
                <w:color w:val="000000" w:themeColor="text1"/>
                <w:szCs w:val="24"/>
              </w:rPr>
            </w:pPr>
            <w:r>
              <w:rPr>
                <w:rFonts w:hint="eastAsia" w:eastAsiaTheme="minorEastAsia"/>
                <w:color w:val="000000" w:themeColor="text1"/>
                <w:szCs w:val="24"/>
              </w:rPr>
              <w:t>引用</w:t>
            </w:r>
            <w:r>
              <w:rPr>
                <w:rFonts w:eastAsiaTheme="minorEastAsia"/>
                <w:color w:val="000000" w:themeColor="text1"/>
                <w:szCs w:val="24"/>
              </w:rPr>
              <w:t>监测参数如下表所示。</w:t>
            </w:r>
          </w:p>
          <w:p>
            <w:pPr>
              <w:jc w:val="center"/>
              <w:rPr>
                <w:rFonts w:asci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b/>
                <w:color w:val="000000" w:themeColor="text1"/>
                <w:szCs w:val="24"/>
              </w:rPr>
              <w:t>监测参数一览表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2"/>
              <w:gridCol w:w="1353"/>
              <w:gridCol w:w="66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序号</w:t>
                  </w:r>
                </w:p>
              </w:tc>
              <w:tc>
                <w:tcPr>
                  <w:tcW w:w="1417" w:type="dxa"/>
                  <w:vAlign w:val="center"/>
                </w:tcPr>
                <w:p>
                  <w:pPr>
                    <w:pStyle w:val="33"/>
                    <w:spacing w:line="360" w:lineRule="exact"/>
                    <w:rPr>
                      <w:color w:val="000000" w:themeColor="text1"/>
                    </w:rPr>
                  </w:pPr>
                  <w:r>
                    <w:rPr>
                      <w:color w:val="000000" w:themeColor="text1"/>
                    </w:rPr>
                    <w:t>项目</w:t>
                  </w:r>
                </w:p>
              </w:tc>
              <w:tc>
                <w:tcPr>
                  <w:tcW w:w="6988" w:type="dxa"/>
                  <w:vAlign w:val="center"/>
                </w:tcPr>
                <w:p>
                  <w:pPr>
                    <w:pStyle w:val="33"/>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1</w:t>
                  </w:r>
                </w:p>
              </w:tc>
              <w:tc>
                <w:tcPr>
                  <w:tcW w:w="1417" w:type="dxa"/>
                  <w:vAlign w:val="center"/>
                </w:tcPr>
                <w:p>
                  <w:pPr>
                    <w:pStyle w:val="33"/>
                    <w:spacing w:line="360" w:lineRule="exact"/>
                    <w:rPr>
                      <w:color w:val="000000" w:themeColor="text1"/>
                    </w:rPr>
                  </w:pPr>
                  <w:r>
                    <w:rPr>
                      <w:color w:val="000000" w:themeColor="text1"/>
                    </w:rPr>
                    <w:t>监测点位</w:t>
                  </w:r>
                </w:p>
              </w:tc>
              <w:tc>
                <w:tcPr>
                  <w:tcW w:w="6988" w:type="dxa"/>
                  <w:vAlign w:val="center"/>
                </w:tcPr>
                <w:p>
                  <w:pPr>
                    <w:pStyle w:val="33"/>
                    <w:spacing w:line="360" w:lineRule="exact"/>
                    <w:ind w:firstLine="210" w:firstLineChars="100"/>
                    <w:jc w:val="both"/>
                    <w:rPr>
                      <w:color w:val="000000" w:themeColor="text1"/>
                    </w:rPr>
                  </w:pPr>
                  <w:r>
                    <w:rPr>
                      <w:color w:val="000000" w:themeColor="text1"/>
                    </w:rPr>
                    <w:t>昆明龙凤锌业开发有限公司办公室</w:t>
                  </w:r>
                  <w:r>
                    <w:rPr>
                      <w:rFonts w:hint="eastAsia"/>
                      <w:color w:val="000000" w:themeColor="text1"/>
                    </w:rPr>
                    <w:t>（项目东侧约400m处）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2</w:t>
                  </w:r>
                </w:p>
              </w:tc>
              <w:tc>
                <w:tcPr>
                  <w:tcW w:w="1417" w:type="dxa"/>
                  <w:vAlign w:val="center"/>
                </w:tcPr>
                <w:p>
                  <w:pPr>
                    <w:pStyle w:val="33"/>
                    <w:spacing w:line="360" w:lineRule="exact"/>
                    <w:rPr>
                      <w:color w:val="000000" w:themeColor="text1"/>
                    </w:rPr>
                  </w:pPr>
                  <w:r>
                    <w:rPr>
                      <w:color w:val="000000" w:themeColor="text1"/>
                    </w:rPr>
                    <w:t>监测项目</w:t>
                  </w:r>
                </w:p>
              </w:tc>
              <w:tc>
                <w:tcPr>
                  <w:tcW w:w="6988" w:type="dxa"/>
                  <w:vAlign w:val="center"/>
                </w:tcPr>
                <w:p>
                  <w:pPr>
                    <w:pStyle w:val="33"/>
                    <w:spacing w:line="360" w:lineRule="exact"/>
                    <w:ind w:firstLine="210" w:firstLineChars="100"/>
                    <w:jc w:val="both"/>
                    <w:rPr>
                      <w:color w:val="000000" w:themeColor="text1"/>
                    </w:rPr>
                  </w:pPr>
                  <w:r>
                    <w:rPr>
                      <w:color w:val="000000" w:themeColor="text1"/>
                    </w:rPr>
                    <w:t>TSP、</w:t>
                  </w:r>
                  <w:r>
                    <w:rPr>
                      <w:rFonts w:hint="eastAsia"/>
                      <w:color w:val="000000" w:themeColor="text1"/>
                    </w:rPr>
                    <w:t>NOx</w:t>
                  </w:r>
                  <w:r>
                    <w:rPr>
                      <w:color w:val="000000" w:themeColor="text1"/>
                    </w:rPr>
                    <w:t>，共2项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3</w:t>
                  </w:r>
                </w:p>
              </w:tc>
              <w:tc>
                <w:tcPr>
                  <w:tcW w:w="1417" w:type="dxa"/>
                  <w:vAlign w:val="center"/>
                </w:tcPr>
                <w:p>
                  <w:pPr>
                    <w:pStyle w:val="33"/>
                    <w:spacing w:line="360" w:lineRule="exact"/>
                    <w:rPr>
                      <w:color w:val="000000" w:themeColor="text1"/>
                    </w:rPr>
                  </w:pPr>
                  <w:r>
                    <w:rPr>
                      <w:color w:val="000000" w:themeColor="text1"/>
                    </w:rPr>
                    <w:t>监测频次</w:t>
                  </w:r>
                </w:p>
              </w:tc>
              <w:tc>
                <w:tcPr>
                  <w:tcW w:w="6988" w:type="dxa"/>
                  <w:vAlign w:val="center"/>
                </w:tcPr>
                <w:p>
                  <w:pPr>
                    <w:pStyle w:val="33"/>
                    <w:spacing w:line="360" w:lineRule="exact"/>
                    <w:ind w:firstLine="210" w:firstLineChars="100"/>
                    <w:jc w:val="both"/>
                    <w:rPr>
                      <w:color w:val="000000" w:themeColor="text1"/>
                    </w:rPr>
                  </w:pPr>
                  <w:r>
                    <w:rPr>
                      <w:color w:val="000000" w:themeColor="text1"/>
                    </w:rPr>
                    <w:t>连续检测7天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4</w:t>
                  </w:r>
                </w:p>
              </w:tc>
              <w:tc>
                <w:tcPr>
                  <w:tcW w:w="1417" w:type="dxa"/>
                  <w:vAlign w:val="center"/>
                </w:tcPr>
                <w:p>
                  <w:pPr>
                    <w:pStyle w:val="33"/>
                    <w:spacing w:line="360" w:lineRule="exact"/>
                    <w:rPr>
                      <w:color w:val="000000" w:themeColor="text1"/>
                    </w:rPr>
                  </w:pPr>
                  <w:r>
                    <w:rPr>
                      <w:color w:val="000000" w:themeColor="text1"/>
                    </w:rPr>
                    <w:t>采样时间</w:t>
                  </w:r>
                </w:p>
              </w:tc>
              <w:tc>
                <w:tcPr>
                  <w:tcW w:w="6988" w:type="dxa"/>
                  <w:vAlign w:val="center"/>
                </w:tcPr>
                <w:p>
                  <w:pPr>
                    <w:pStyle w:val="33"/>
                    <w:spacing w:line="360" w:lineRule="exact"/>
                    <w:ind w:firstLine="210" w:firstLineChars="100"/>
                    <w:jc w:val="both"/>
                    <w:rPr>
                      <w:color w:val="000000" w:themeColor="text1"/>
                    </w:rPr>
                  </w:pPr>
                  <w:r>
                    <w:rPr>
                      <w:color w:val="000000" w:themeColor="text1"/>
                    </w:rPr>
                    <w:t>2022年5月4日</w:t>
                  </w:r>
                  <w:r>
                    <w:rPr>
                      <w:rFonts w:hint="eastAsia"/>
                      <w:color w:val="000000" w:themeColor="text1"/>
                    </w:rPr>
                    <w:t>-</w:t>
                  </w:r>
                  <w:r>
                    <w:rPr>
                      <w:color w:val="000000" w:themeColor="text1"/>
                    </w:rPr>
                    <w:t>2022年5月11日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rPr>
                  </w:pPr>
                  <w:r>
                    <w:rPr>
                      <w:color w:val="000000" w:themeColor="text1"/>
                    </w:rPr>
                    <w:t>5</w:t>
                  </w:r>
                </w:p>
              </w:tc>
              <w:tc>
                <w:tcPr>
                  <w:tcW w:w="1417" w:type="dxa"/>
                  <w:vAlign w:val="center"/>
                </w:tcPr>
                <w:p>
                  <w:pPr>
                    <w:pStyle w:val="33"/>
                    <w:spacing w:line="360" w:lineRule="exact"/>
                    <w:rPr>
                      <w:color w:val="000000" w:themeColor="text1"/>
                    </w:rPr>
                  </w:pPr>
                  <w:r>
                    <w:rPr>
                      <w:color w:val="000000" w:themeColor="text1"/>
                    </w:rPr>
                    <w:t>监测方法</w:t>
                  </w:r>
                </w:p>
              </w:tc>
              <w:tc>
                <w:tcPr>
                  <w:tcW w:w="6988" w:type="dxa"/>
                  <w:vAlign w:val="center"/>
                </w:tcPr>
                <w:p>
                  <w:pPr>
                    <w:pStyle w:val="33"/>
                    <w:spacing w:line="360" w:lineRule="exact"/>
                    <w:ind w:firstLine="210" w:firstLineChars="100"/>
                    <w:jc w:val="both"/>
                    <w:rPr>
                      <w:color w:val="000000" w:themeColor="text1"/>
                    </w:rPr>
                  </w:pPr>
                  <w:r>
                    <w:rPr>
                      <w:color w:val="000000" w:themeColor="text1"/>
                    </w:rPr>
                    <w:t>按照国家相关要求进行</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②</w:t>
            </w:r>
            <w:r>
              <w:rPr>
                <w:rFonts w:hint="eastAsia" w:eastAsiaTheme="minorEastAsia"/>
                <w:b/>
                <w:color w:val="000000" w:themeColor="text1"/>
                <w:szCs w:val="24"/>
              </w:rPr>
              <w:t>引用</w:t>
            </w:r>
            <w:r>
              <w:rPr>
                <w:rFonts w:eastAsiaTheme="minorEastAsia"/>
                <w:b/>
                <w:color w:val="000000" w:themeColor="text1"/>
                <w:szCs w:val="24"/>
              </w:rPr>
              <w:t>环境空气监测结果</w:t>
            </w:r>
          </w:p>
          <w:p>
            <w:pPr>
              <w:pStyle w:val="41"/>
              <w:ind w:firstLine="480"/>
              <w:rPr>
                <w:rFonts w:eastAsiaTheme="minorEastAsia"/>
                <w:color w:val="000000" w:themeColor="text1"/>
                <w:szCs w:val="24"/>
              </w:rPr>
            </w:pPr>
            <w:r>
              <w:rPr>
                <w:rFonts w:hint="eastAsia" w:eastAsiaTheme="minorEastAsia"/>
                <w:color w:val="000000" w:themeColor="text1"/>
                <w:szCs w:val="24"/>
              </w:rPr>
              <w:t>引用</w:t>
            </w:r>
            <w:r>
              <w:rPr>
                <w:rFonts w:eastAsiaTheme="minorEastAsia"/>
                <w:color w:val="000000" w:themeColor="text1"/>
                <w:szCs w:val="24"/>
              </w:rPr>
              <w:t>环境空气监测结果如下表所示。</w:t>
            </w:r>
          </w:p>
          <w:p>
            <w:pPr>
              <w:pStyle w:val="41"/>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 xml:space="preserve">3.1.1-2 </w:t>
            </w:r>
            <w:r>
              <w:rPr>
                <w:rFonts w:ascii="Times New Roman" w:cs="Times New Roman"/>
                <w:b/>
                <w:color w:val="000000" w:themeColor="text1"/>
                <w:szCs w:val="24"/>
              </w:rPr>
              <w:t>项目区域</w:t>
            </w:r>
            <w:r>
              <w:rPr>
                <w:rFonts w:hint="eastAsia" w:ascii="Times New Roman" w:hAnsi="Times New Roman" w:cs="Times New Roman"/>
                <w:b/>
                <w:color w:val="000000" w:themeColor="text1"/>
                <w:szCs w:val="24"/>
              </w:rPr>
              <w:t>引用</w:t>
            </w:r>
            <w:r>
              <w:rPr>
                <w:rFonts w:ascii="Times New Roman" w:cs="Times New Roman"/>
                <w:b/>
                <w:color w:val="000000" w:themeColor="text1"/>
                <w:szCs w:val="24"/>
              </w:rPr>
              <w:t>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5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8"/>
              <w:gridCol w:w="749"/>
              <w:gridCol w:w="1662"/>
              <w:gridCol w:w="933"/>
              <w:gridCol w:w="1845"/>
              <w:gridCol w:w="992"/>
              <w:gridCol w:w="784"/>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80" w:type="dxa"/>
                  <w:vAlign w:val="center"/>
                </w:tcPr>
                <w:p>
                  <w:pPr>
                    <w:pStyle w:val="33"/>
                    <w:spacing w:line="360" w:lineRule="exact"/>
                    <w:rPr>
                      <w:color w:val="000000" w:themeColor="text1"/>
                      <w:sz w:val="21"/>
                      <w:lang w:eastAsia="zh-CN"/>
                    </w:rPr>
                  </w:pPr>
                  <w:r>
                    <w:rPr>
                      <w:color w:val="000000" w:themeColor="text1"/>
                      <w:sz w:val="21"/>
                      <w:lang w:eastAsia="zh-CN"/>
                    </w:rPr>
                    <w:t>监测点</w:t>
                  </w:r>
                </w:p>
              </w:tc>
              <w:tc>
                <w:tcPr>
                  <w:tcW w:w="750" w:type="dxa"/>
                  <w:vAlign w:val="center"/>
                </w:tcPr>
                <w:p>
                  <w:pPr>
                    <w:pStyle w:val="33"/>
                    <w:spacing w:line="360" w:lineRule="exact"/>
                    <w:rPr>
                      <w:color w:val="000000" w:themeColor="text1"/>
                      <w:sz w:val="21"/>
                      <w:lang w:eastAsia="zh-CN"/>
                    </w:rPr>
                  </w:pPr>
                  <w:r>
                    <w:rPr>
                      <w:color w:val="000000" w:themeColor="text1"/>
                      <w:sz w:val="21"/>
                      <w:lang w:eastAsia="zh-CN"/>
                    </w:rPr>
                    <w:t>污染物</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监测时间</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标准值</w:t>
                  </w:r>
                </w:p>
                <w:p>
                  <w:pPr>
                    <w:pStyle w:val="33"/>
                    <w:spacing w:line="360" w:lineRule="exact"/>
                    <w:rPr>
                      <w:color w:val="000000" w:themeColor="text1"/>
                      <w:sz w:val="21"/>
                      <w:lang w:eastAsia="zh-CN"/>
                    </w:rPr>
                  </w:pPr>
                  <w:r>
                    <w:rPr>
                      <w:color w:val="000000" w:themeColor="text1"/>
                      <w:sz w:val="21"/>
                      <w:lang w:eastAsia="zh-CN"/>
                    </w:rPr>
                    <w:t>（μg/m³）</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监测浓度范围</w:t>
                  </w:r>
                </w:p>
                <w:p>
                  <w:pPr>
                    <w:pStyle w:val="33"/>
                    <w:spacing w:line="360" w:lineRule="exact"/>
                    <w:rPr>
                      <w:color w:val="000000" w:themeColor="text1"/>
                      <w:sz w:val="21"/>
                      <w:lang w:eastAsia="zh-CN"/>
                    </w:rPr>
                  </w:pPr>
                  <w:r>
                    <w:rPr>
                      <w:color w:val="000000" w:themeColor="text1"/>
                      <w:sz w:val="21"/>
                      <w:lang w:eastAsia="zh-CN"/>
                    </w:rPr>
                    <w:t>（μg/m³）</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最大浓度占标率</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超标率</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80" w:type="dxa"/>
                  <w:vMerge w:val="restart"/>
                  <w:vAlign w:val="center"/>
                </w:tcPr>
                <w:p>
                  <w:pPr>
                    <w:pStyle w:val="33"/>
                    <w:spacing w:line="360" w:lineRule="exact"/>
                    <w:rPr>
                      <w:color w:val="000000" w:themeColor="text1"/>
                      <w:sz w:val="21"/>
                      <w:lang w:eastAsia="zh-CN"/>
                    </w:rPr>
                  </w:pPr>
                  <w:r>
                    <w:rPr>
                      <w:color w:val="000000" w:themeColor="text1"/>
                      <w:sz w:val="21"/>
                      <w:lang w:eastAsia="zh-CN"/>
                    </w:rPr>
                    <w:t>昆明龙凤锌业开发有限公司办公室</w:t>
                  </w:r>
                </w:p>
              </w:tc>
              <w:tc>
                <w:tcPr>
                  <w:tcW w:w="750" w:type="dxa"/>
                  <w:vMerge w:val="restart"/>
                  <w:vAlign w:val="center"/>
                </w:tcPr>
                <w:p>
                  <w:pPr>
                    <w:pStyle w:val="33"/>
                    <w:spacing w:line="360" w:lineRule="exact"/>
                    <w:rPr>
                      <w:color w:val="000000" w:themeColor="text1"/>
                      <w:sz w:val="21"/>
                      <w:lang w:eastAsia="zh-CN"/>
                    </w:rPr>
                  </w:pPr>
                  <w:r>
                    <w:rPr>
                      <w:color w:val="000000" w:themeColor="text1"/>
                      <w:sz w:val="21"/>
                      <w:lang w:eastAsia="zh-CN"/>
                    </w:rPr>
                    <w:t>NOx</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1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250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19-27</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10.80%</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80" w:type="dxa"/>
                  <w:vMerge w:val="continue"/>
                  <w:tcBorders>
                    <w:top w:val="nil"/>
                  </w:tcBorders>
                  <w:vAlign w:val="center"/>
                </w:tcPr>
                <w:p>
                  <w:pPr>
                    <w:pStyle w:val="33"/>
                    <w:spacing w:line="360" w:lineRule="exact"/>
                    <w:rPr>
                      <w:color w:val="000000" w:themeColor="text1"/>
                      <w:sz w:val="21"/>
                      <w:lang w:eastAsia="zh-CN"/>
                    </w:rPr>
                  </w:pPr>
                </w:p>
              </w:tc>
              <w:tc>
                <w:tcPr>
                  <w:tcW w:w="750" w:type="dxa"/>
                  <w:vMerge w:val="continue"/>
                  <w:tcBorders>
                    <w:top w:val="nil"/>
                  </w:tcBorders>
                  <w:vAlign w:val="center"/>
                </w:tcPr>
                <w:p>
                  <w:pPr>
                    <w:pStyle w:val="33"/>
                    <w:spacing w:line="360" w:lineRule="exact"/>
                    <w:rPr>
                      <w:color w:val="000000" w:themeColor="text1"/>
                      <w:sz w:val="21"/>
                      <w:lang w:eastAsia="zh-CN"/>
                    </w:rPr>
                  </w:pP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24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100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0.006</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6.00%</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80" w:type="dxa"/>
                  <w:vMerge w:val="continue"/>
                  <w:tcBorders>
                    <w:top w:val="nil"/>
                  </w:tcBorders>
                  <w:vAlign w:val="center"/>
                </w:tcPr>
                <w:p>
                  <w:pPr>
                    <w:pStyle w:val="33"/>
                    <w:spacing w:line="360" w:lineRule="exact"/>
                    <w:rPr>
                      <w:color w:val="000000" w:themeColor="text1"/>
                      <w:sz w:val="21"/>
                      <w:lang w:eastAsia="zh-CN"/>
                    </w:rPr>
                  </w:pPr>
                </w:p>
              </w:tc>
              <w:tc>
                <w:tcPr>
                  <w:tcW w:w="750" w:type="dxa"/>
                  <w:vAlign w:val="center"/>
                </w:tcPr>
                <w:p>
                  <w:pPr>
                    <w:pStyle w:val="33"/>
                    <w:spacing w:line="360" w:lineRule="exact"/>
                    <w:rPr>
                      <w:color w:val="000000" w:themeColor="text1"/>
                      <w:sz w:val="21"/>
                      <w:lang w:eastAsia="zh-CN"/>
                    </w:rPr>
                  </w:pPr>
                  <w:r>
                    <w:rPr>
                      <w:color w:val="000000" w:themeColor="text1"/>
                      <w:sz w:val="21"/>
                      <w:lang w:eastAsia="zh-CN"/>
                    </w:rPr>
                    <w:t>TSP</w:t>
                  </w:r>
                </w:p>
              </w:tc>
              <w:tc>
                <w:tcPr>
                  <w:tcW w:w="1667" w:type="dxa"/>
                  <w:vAlign w:val="center"/>
                </w:tcPr>
                <w:p>
                  <w:pPr>
                    <w:pStyle w:val="33"/>
                    <w:spacing w:line="360" w:lineRule="exact"/>
                    <w:rPr>
                      <w:color w:val="000000" w:themeColor="text1"/>
                      <w:sz w:val="21"/>
                      <w:lang w:eastAsia="zh-CN"/>
                    </w:rPr>
                  </w:pPr>
                  <w:r>
                    <w:rPr>
                      <w:color w:val="000000" w:themeColor="text1"/>
                      <w:sz w:val="21"/>
                      <w:lang w:eastAsia="zh-CN"/>
                    </w:rPr>
                    <w:t>24 小时均值</w:t>
                  </w:r>
                </w:p>
              </w:tc>
              <w:tc>
                <w:tcPr>
                  <w:tcW w:w="917" w:type="dxa"/>
                  <w:vAlign w:val="center"/>
                </w:tcPr>
                <w:p>
                  <w:pPr>
                    <w:pStyle w:val="33"/>
                    <w:spacing w:line="360" w:lineRule="exact"/>
                    <w:rPr>
                      <w:color w:val="000000" w:themeColor="text1"/>
                      <w:sz w:val="21"/>
                      <w:lang w:eastAsia="zh-CN"/>
                    </w:rPr>
                  </w:pPr>
                  <w:r>
                    <w:rPr>
                      <w:color w:val="000000" w:themeColor="text1"/>
                      <w:sz w:val="21"/>
                      <w:lang w:eastAsia="zh-CN"/>
                    </w:rPr>
                    <w:t>300</w:t>
                  </w:r>
                </w:p>
              </w:tc>
              <w:tc>
                <w:tcPr>
                  <w:tcW w:w="1848" w:type="dxa"/>
                  <w:vAlign w:val="center"/>
                </w:tcPr>
                <w:p>
                  <w:pPr>
                    <w:pStyle w:val="33"/>
                    <w:spacing w:line="360" w:lineRule="exact"/>
                    <w:rPr>
                      <w:color w:val="000000" w:themeColor="text1"/>
                      <w:sz w:val="21"/>
                      <w:lang w:eastAsia="zh-CN"/>
                    </w:rPr>
                  </w:pPr>
                  <w:r>
                    <w:rPr>
                      <w:color w:val="000000" w:themeColor="text1"/>
                      <w:sz w:val="21"/>
                      <w:lang w:eastAsia="zh-CN"/>
                    </w:rPr>
                    <w:t>235</w:t>
                  </w:r>
                  <w:r>
                    <w:rPr>
                      <w:rFonts w:hint="eastAsia"/>
                      <w:color w:val="000000" w:themeColor="text1"/>
                      <w:sz w:val="21"/>
                      <w:lang w:eastAsia="zh-CN"/>
                    </w:rPr>
                    <w:t>-</w:t>
                  </w:r>
                  <w:r>
                    <w:rPr>
                      <w:color w:val="000000" w:themeColor="text1"/>
                      <w:sz w:val="21"/>
                      <w:lang w:eastAsia="zh-CN"/>
                    </w:rPr>
                    <w:t>241</w:t>
                  </w:r>
                </w:p>
              </w:tc>
              <w:tc>
                <w:tcPr>
                  <w:tcW w:w="993" w:type="dxa"/>
                  <w:vAlign w:val="center"/>
                </w:tcPr>
                <w:p>
                  <w:pPr>
                    <w:pStyle w:val="33"/>
                    <w:spacing w:line="360" w:lineRule="exact"/>
                    <w:rPr>
                      <w:color w:val="000000" w:themeColor="text1"/>
                      <w:sz w:val="21"/>
                      <w:lang w:eastAsia="zh-CN"/>
                    </w:rPr>
                  </w:pPr>
                  <w:r>
                    <w:rPr>
                      <w:color w:val="000000" w:themeColor="text1"/>
                      <w:sz w:val="21"/>
                      <w:lang w:eastAsia="zh-CN"/>
                    </w:rPr>
                    <w:t>80.33%</w:t>
                  </w:r>
                </w:p>
              </w:tc>
              <w:tc>
                <w:tcPr>
                  <w:tcW w:w="786" w:type="dxa"/>
                  <w:vAlign w:val="center"/>
                </w:tcPr>
                <w:p>
                  <w:pPr>
                    <w:pStyle w:val="33"/>
                    <w:spacing w:line="360" w:lineRule="exact"/>
                    <w:rPr>
                      <w:color w:val="000000" w:themeColor="text1"/>
                      <w:sz w:val="21"/>
                      <w:lang w:eastAsia="zh-CN"/>
                    </w:rPr>
                  </w:pPr>
                  <w:r>
                    <w:rPr>
                      <w:color w:val="000000" w:themeColor="text1"/>
                      <w:sz w:val="21"/>
                      <w:lang w:eastAsia="zh-CN"/>
                    </w:rPr>
                    <w:t>0%</w:t>
                  </w:r>
                </w:p>
              </w:tc>
              <w:tc>
                <w:tcPr>
                  <w:tcW w:w="767" w:type="dxa"/>
                  <w:vAlign w:val="center"/>
                </w:tcPr>
                <w:p>
                  <w:pPr>
                    <w:pStyle w:val="33"/>
                    <w:spacing w:line="360" w:lineRule="exact"/>
                    <w:rPr>
                      <w:color w:val="000000" w:themeColor="text1"/>
                      <w:sz w:val="21"/>
                      <w:lang w:eastAsia="zh-CN"/>
                    </w:rPr>
                  </w:pPr>
                  <w:r>
                    <w:rPr>
                      <w:color w:val="000000" w:themeColor="text1"/>
                      <w:sz w:val="21"/>
                      <w:lang w:eastAsia="zh-CN"/>
                    </w:rPr>
                    <w:t>达标</w:t>
                  </w:r>
                </w:p>
              </w:tc>
            </w:tr>
          </w:tbl>
          <w:p>
            <w:pPr>
              <w:pStyle w:val="41"/>
              <w:spacing w:beforeLines="50"/>
              <w:ind w:firstLine="480"/>
              <w:rPr>
                <w:color w:val="000000" w:themeColor="text1"/>
                <w:szCs w:val="24"/>
              </w:rPr>
            </w:pPr>
            <w:r>
              <w:rPr>
                <w:color w:val="000000" w:themeColor="text1"/>
                <w:szCs w:val="24"/>
              </w:rPr>
              <w:t>根据以上监测结果可知，项目评价范围内TSP</w:t>
            </w:r>
            <w:r>
              <w:rPr>
                <w:rFonts w:hint="eastAsia"/>
                <w:color w:val="000000" w:themeColor="text1"/>
                <w:szCs w:val="24"/>
              </w:rPr>
              <w:t>、NOx</w:t>
            </w:r>
            <w:r>
              <w:rPr>
                <w:color w:val="000000" w:themeColor="text1"/>
                <w:szCs w:val="24"/>
              </w:rPr>
              <w:t>可达到《环境空气质量标准》（GB</w:t>
            </w:r>
            <w:r>
              <w:rPr>
                <w:rFonts w:hint="eastAsia"/>
                <w:color w:val="000000" w:themeColor="text1"/>
                <w:szCs w:val="24"/>
                <w:lang w:eastAsia="zh-CN"/>
              </w:rPr>
              <w:t>****</w:t>
            </w:r>
            <w:r>
              <w:rPr>
                <w:color w:val="000000" w:themeColor="text1"/>
                <w:szCs w:val="24"/>
              </w:rPr>
              <w:t>-2012）二级标准限值要求。</w:t>
            </w:r>
          </w:p>
          <w:p>
            <w:pPr>
              <w:pStyle w:val="41"/>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1"/>
              <w:ind w:firstLine="480"/>
              <w:rPr>
                <w:color w:val="000000" w:themeColor="text1"/>
                <w:szCs w:val="24"/>
              </w:rPr>
            </w:pPr>
            <w:r>
              <w:rPr>
                <w:color w:val="000000" w:themeColor="text1"/>
                <w:szCs w:val="24"/>
              </w:rPr>
              <w:t>本项目区属于小江的汇水范围，小江位于项目区西南侧1085m。</w:t>
            </w:r>
            <w:r>
              <w:rPr>
                <w:rFonts w:hint="eastAsia"/>
                <w:color w:val="000000" w:themeColor="text1"/>
                <w:szCs w:val="24"/>
              </w:rPr>
              <w:t>根据云南省水利厅发布的《云南省水功能区划》（2014版），小江（清水海-入金沙江口段）到2030年的水质目标为III类水体，</w:t>
            </w:r>
            <w:r>
              <w:rPr>
                <w:color w:val="000000" w:themeColor="text1"/>
                <w:szCs w:val="24"/>
              </w:rPr>
              <w:t>执行《地表水环境质量标准》（GB</w:t>
            </w:r>
            <w:r>
              <w:rPr>
                <w:rFonts w:hint="eastAsia"/>
                <w:color w:val="000000" w:themeColor="text1"/>
                <w:szCs w:val="24"/>
                <w:lang w:eastAsia="zh-CN"/>
              </w:rPr>
              <w:t>****</w:t>
            </w:r>
            <w:r>
              <w:rPr>
                <w:color w:val="000000" w:themeColor="text1"/>
                <w:szCs w:val="24"/>
              </w:rPr>
              <w:t>-2002）I</w:t>
            </w:r>
            <w:r>
              <w:rPr>
                <w:rFonts w:hint="eastAsia"/>
                <w:color w:val="000000" w:themeColor="text1"/>
                <w:szCs w:val="24"/>
              </w:rPr>
              <w:t>II</w:t>
            </w:r>
            <w:r>
              <w:rPr>
                <w:color w:val="000000" w:themeColor="text1"/>
                <w:szCs w:val="24"/>
              </w:rPr>
              <w:t>类水标准。</w:t>
            </w:r>
          </w:p>
          <w:p>
            <w:pPr>
              <w:pStyle w:val="41"/>
              <w:ind w:firstLine="480"/>
              <w:rPr>
                <w:color w:val="000000" w:themeColor="text1"/>
                <w:szCs w:val="24"/>
              </w:rPr>
            </w:pPr>
            <w:r>
              <w:rPr>
                <w:color w:val="000000" w:themeColor="text1"/>
                <w:szCs w:val="24"/>
              </w:rPr>
              <w:t>在评价期间，</w:t>
            </w:r>
            <w:r>
              <w:rPr>
                <w:rFonts w:hint="eastAsia"/>
                <w:color w:val="000000" w:themeColor="text1"/>
                <w:szCs w:val="24"/>
              </w:rPr>
              <w:t>收集了</w:t>
            </w:r>
            <w:r>
              <w:rPr>
                <w:color w:val="000000" w:themeColor="text1"/>
                <w:szCs w:val="24"/>
              </w:rPr>
              <w:t>2021年《昆明市东川区环境质量报告书》的</w:t>
            </w:r>
            <w:r>
              <w:rPr>
                <w:rFonts w:hint="eastAsia"/>
                <w:color w:val="000000" w:themeColor="text1"/>
                <w:szCs w:val="24"/>
              </w:rPr>
              <w:t>小江</w:t>
            </w:r>
            <w:r>
              <w:rPr>
                <w:color w:val="000000" w:themeColor="text1"/>
                <w:szCs w:val="24"/>
              </w:rPr>
              <w:t>板河口断面水质监测结果，</w:t>
            </w:r>
            <w:r>
              <w:rPr>
                <w:rFonts w:hint="eastAsia"/>
                <w:color w:val="000000" w:themeColor="text1"/>
                <w:szCs w:val="24"/>
              </w:rPr>
              <w:t>具体如下表所示。</w:t>
            </w:r>
            <w:r>
              <w:rPr>
                <w:color w:val="000000" w:themeColor="text1"/>
                <w:szCs w:val="24"/>
              </w:rPr>
              <w:t xml:space="preserve"> </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22"/>
              <w:tblW w:w="5000" w:type="pct"/>
              <w:tblInd w:w="0" w:type="dxa"/>
              <w:tblLayout w:type="autofit"/>
              <w:tblCellMar>
                <w:top w:w="0" w:type="dxa"/>
                <w:left w:w="108" w:type="dxa"/>
                <w:bottom w:w="0" w:type="dxa"/>
                <w:right w:w="108" w:type="dxa"/>
              </w:tblCellMar>
            </w:tblPr>
            <w:tblGrid>
              <w:gridCol w:w="1076"/>
              <w:gridCol w:w="2370"/>
              <w:gridCol w:w="1786"/>
              <w:gridCol w:w="1459"/>
              <w:gridCol w:w="1927"/>
            </w:tblGrid>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148"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w:t>
                  </w:r>
                </w:p>
              </w:tc>
              <w:tc>
                <w:tcPr>
                  <w:tcW w:w="236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pH（无量纲）</w:t>
                  </w:r>
                </w:p>
              </w:tc>
              <w:tc>
                <w:tcPr>
                  <w:tcW w:w="1784"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8.16-8.52</w:t>
                  </w:r>
                </w:p>
              </w:tc>
              <w:tc>
                <w:tcPr>
                  <w:tcW w:w="1457"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6-9</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2</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CODcr</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7</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20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BOD</w:t>
                  </w:r>
                  <w:r>
                    <w:rPr>
                      <w:rFonts w:hAnsiTheme="minorEastAsia" w:eastAsiaTheme="minorEastAsia"/>
                      <w:color w:val="000000" w:themeColor="text1"/>
                      <w:sz w:val="20"/>
                      <w:szCs w:val="21"/>
                      <w:vertAlign w:val="subscript"/>
                    </w:rPr>
                    <w:t>5</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4</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氨氮</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0.23</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6</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总磷</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0.12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砷</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0.032</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8</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氟化物</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0.30</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1.0</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nil"/>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9</w:t>
                  </w:r>
                </w:p>
              </w:tc>
              <w:tc>
                <w:tcPr>
                  <w:tcW w:w="236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挥发酚</w:t>
                  </w:r>
                </w:p>
              </w:tc>
              <w:tc>
                <w:tcPr>
                  <w:tcW w:w="1784"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0.0003L</w:t>
                  </w:r>
                </w:p>
              </w:tc>
              <w:tc>
                <w:tcPr>
                  <w:tcW w:w="1457" w:type="dxa"/>
                  <w:tcBorders>
                    <w:top w:val="nil"/>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0.005</w:t>
                  </w:r>
                </w:p>
              </w:tc>
              <w:tc>
                <w:tcPr>
                  <w:tcW w:w="1925" w:type="dxa"/>
                  <w:tcBorders>
                    <w:top w:val="nil"/>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10</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氰化物</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0.2</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11</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总汞</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0.0001</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12</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六价铬</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0.004L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13</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铅</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0.002L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243"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14</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镉</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0.0001L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int="eastAsia" w:eastAsiaTheme="minorEastAsia"/>
                      <w:color w:val="000000" w:themeColor="text1"/>
                      <w:szCs w:val="21"/>
                    </w:rPr>
                    <w:t>15</w:t>
                  </w:r>
                </w:p>
              </w:tc>
              <w:tc>
                <w:tcPr>
                  <w:tcW w:w="236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石油类</w:t>
                  </w:r>
                </w:p>
              </w:tc>
              <w:tc>
                <w:tcPr>
                  <w:tcW w:w="1784"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0.01L</w:t>
                  </w:r>
                </w:p>
              </w:tc>
              <w:tc>
                <w:tcPr>
                  <w:tcW w:w="1457" w:type="dxa"/>
                  <w:tcBorders>
                    <w:top w:val="single" w:color="auto" w:sz="4" w:space="0"/>
                    <w:left w:val="nil"/>
                    <w:bottom w:val="single" w:color="auto" w:sz="4" w:space="0"/>
                    <w:right w:val="single" w:color="auto" w:sz="4" w:space="0"/>
                  </w:tcBorders>
                  <w:shd w:val="clear" w:color="auto" w:fill="auto"/>
                </w:tcPr>
                <w:p>
                  <w:pPr>
                    <w:pStyle w:val="33"/>
                    <w:spacing w:line="360" w:lineRule="exact"/>
                    <w:ind w:left="11"/>
                    <w:rPr>
                      <w:rFonts w:hAnsiTheme="minorEastAsia" w:eastAsiaTheme="minorEastAsia"/>
                      <w:color w:val="000000" w:themeColor="text1"/>
                      <w:sz w:val="20"/>
                      <w:szCs w:val="21"/>
                    </w:rPr>
                  </w:pPr>
                  <w:r>
                    <w:rPr>
                      <w:rFonts w:hAnsiTheme="minorEastAsia" w:eastAsiaTheme="minorEastAsia"/>
                      <w:color w:val="000000" w:themeColor="text1"/>
                      <w:sz w:val="20"/>
                      <w:szCs w:val="21"/>
                    </w:rPr>
                    <w:t>0.05</w:t>
                  </w:r>
                </w:p>
              </w:tc>
              <w:tc>
                <w:tcPr>
                  <w:tcW w:w="1925" w:type="dxa"/>
                  <w:tcBorders>
                    <w:top w:val="single" w:color="auto" w:sz="4" w:space="0"/>
                    <w:left w:val="nil"/>
                    <w:bottom w:val="single" w:color="auto" w:sz="4" w:space="0"/>
                    <w:right w:val="single" w:color="auto" w:sz="4" w:space="0"/>
                  </w:tcBorders>
                  <w:shd w:val="clear" w:color="auto" w:fill="auto"/>
                  <w:vAlign w:val="center"/>
                </w:tcPr>
                <w:p>
                  <w:pPr>
                    <w:pStyle w:val="33"/>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pStyle w:val="41"/>
              <w:spacing w:beforeLines="50"/>
              <w:ind w:firstLine="480"/>
              <w:rPr>
                <w:color w:val="000000" w:themeColor="text1"/>
                <w:szCs w:val="24"/>
              </w:rPr>
            </w:pPr>
            <w:r>
              <w:rPr>
                <w:color w:val="000000" w:themeColor="text1"/>
                <w:szCs w:val="24"/>
              </w:rPr>
              <w:t>根据以上监测结果可知，本项目地表水小江</w:t>
            </w:r>
            <w:r>
              <w:rPr>
                <w:rFonts w:hint="eastAsia"/>
                <w:color w:val="000000" w:themeColor="text1"/>
                <w:szCs w:val="24"/>
              </w:rPr>
              <w:t>板河口断面上述指标</w:t>
            </w:r>
            <w:r>
              <w:rPr>
                <w:color w:val="000000" w:themeColor="text1"/>
                <w:szCs w:val="24"/>
              </w:rPr>
              <w:t>水质可达到《地表水环境质量标准》（GB</w:t>
            </w:r>
            <w:r>
              <w:rPr>
                <w:rFonts w:hint="eastAsia"/>
                <w:color w:val="000000" w:themeColor="text1"/>
                <w:szCs w:val="24"/>
                <w:lang w:eastAsia="zh-CN"/>
              </w:rPr>
              <w:t>****</w:t>
            </w:r>
            <w:r>
              <w:rPr>
                <w:color w:val="000000" w:themeColor="text1"/>
                <w:szCs w:val="24"/>
              </w:rPr>
              <w:t>-2002）I</w:t>
            </w:r>
            <w:r>
              <w:rPr>
                <w:rFonts w:hint="eastAsia"/>
                <w:color w:val="000000" w:themeColor="text1"/>
                <w:szCs w:val="24"/>
              </w:rPr>
              <w:t>II</w:t>
            </w:r>
            <w:r>
              <w:rPr>
                <w:color w:val="000000" w:themeColor="text1"/>
                <w:szCs w:val="24"/>
              </w:rPr>
              <w:t>类标准。</w:t>
            </w:r>
          </w:p>
          <w:p>
            <w:pPr>
              <w:pStyle w:val="41"/>
              <w:ind w:firstLine="482"/>
              <w:rPr>
                <w:rFonts w:eastAsiaTheme="minorEastAsia"/>
                <w:b/>
                <w:color w:val="000000" w:themeColor="text1"/>
                <w:szCs w:val="24"/>
              </w:rPr>
            </w:pPr>
            <w:r>
              <w:rPr>
                <w:rFonts w:eastAsiaTheme="minorEastAsia"/>
                <w:b/>
                <w:color w:val="000000" w:themeColor="text1"/>
                <w:szCs w:val="24"/>
              </w:rPr>
              <w:t>3.1.3 声环境质量现状</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w:t>
            </w:r>
            <w:r>
              <w:rPr>
                <w:rFonts w:hint="eastAsia"/>
                <w:color w:val="000000" w:themeColor="text1"/>
                <w:szCs w:val="24"/>
              </w:rPr>
              <w:t>根据</w:t>
            </w:r>
            <w:r>
              <w:rPr>
                <w:color w:val="000000" w:themeColor="text1"/>
                <w:szCs w:val="24"/>
              </w:rPr>
              <w:t>《云南东川产业园区总体规划修编（2021-2035）环境影响报告书》</w:t>
            </w:r>
            <w:r>
              <w:rPr>
                <w:rFonts w:hint="eastAsia"/>
                <w:color w:val="000000" w:themeColor="text1"/>
                <w:szCs w:val="24"/>
              </w:rPr>
              <w:t>，</w:t>
            </w:r>
            <w:r>
              <w:rPr>
                <w:rFonts w:eastAsiaTheme="minorEastAsia"/>
                <w:color w:val="000000" w:themeColor="text1"/>
                <w:szCs w:val="24"/>
              </w:rPr>
              <w:t>项目区域为3类区。在项目区50m范围内无声环境保护目标；根据《建设项目环境影响报告表编制技术指南》（污染影响类）（试行）的要求，可不进行声环境质量现状调查。</w:t>
            </w:r>
          </w:p>
          <w:p>
            <w:pPr>
              <w:pStyle w:val="41"/>
              <w:ind w:firstLine="482"/>
              <w:rPr>
                <w:rFonts w:eastAsiaTheme="minorEastAsia"/>
                <w:b/>
                <w:color w:val="000000" w:themeColor="text1"/>
                <w:szCs w:val="24"/>
              </w:rPr>
            </w:pPr>
            <w:bookmarkStart w:id="9" w:name="_Toc248077256"/>
            <w:r>
              <w:rPr>
                <w:rFonts w:eastAsiaTheme="minorEastAsia"/>
                <w:b/>
                <w:color w:val="000000" w:themeColor="text1"/>
                <w:szCs w:val="24"/>
              </w:rPr>
              <w:t>3.1.4 生态环境质量现状</w:t>
            </w:r>
            <w:bookmarkEnd w:id="9"/>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现场调查，厂区范围主要为人工生态系统，该区域的天然植被已较少，总体来说该区域地表植被种类较少，生物多样性较差，生态环境自身调控能力较低。</w:t>
            </w:r>
            <w:r>
              <w:rPr>
                <w:rFonts w:hint="eastAsia" w:eastAsiaTheme="minorEastAsia"/>
                <w:color w:val="000000" w:themeColor="text1"/>
                <w:szCs w:val="24"/>
              </w:rPr>
              <w:t>项目区无国家级和省级保护物种分布，无珍稀濒危物种，无当地特有物种，无古树名木分布。</w:t>
            </w:r>
          </w:p>
          <w:p>
            <w:pPr>
              <w:pStyle w:val="41"/>
              <w:ind w:firstLine="482"/>
              <w:rPr>
                <w:rFonts w:eastAsiaTheme="minorEastAsia"/>
                <w:b/>
                <w:color w:val="000000" w:themeColor="text1"/>
                <w:szCs w:val="24"/>
              </w:rPr>
            </w:pPr>
            <w:r>
              <w:rPr>
                <w:rFonts w:eastAsiaTheme="minorEastAsia"/>
                <w:b/>
                <w:color w:val="000000" w:themeColor="text1"/>
                <w:szCs w:val="24"/>
              </w:rPr>
              <w:t>3.1.5 地下水、土壤环境</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（1）地下水质量现状</w:t>
            </w:r>
          </w:p>
          <w:p>
            <w:pPr>
              <w:pStyle w:val="41"/>
              <w:ind w:firstLine="480"/>
              <w:rPr>
                <w:color w:val="000000" w:themeColor="text1"/>
                <w:szCs w:val="24"/>
              </w:rPr>
            </w:pPr>
            <w:r>
              <w:rPr>
                <w:rFonts w:eastAsiaTheme="minorEastAsia"/>
                <w:color w:val="000000" w:themeColor="text1"/>
                <w:szCs w:val="24"/>
              </w:rPr>
              <w:t>本项目为“</w:t>
            </w:r>
            <w:r>
              <w:rPr>
                <w:rFonts w:hint="eastAsia" w:eastAsiaTheme="minorEastAsia"/>
                <w:color w:val="000000" w:themeColor="text1"/>
                <w:szCs w:val="24"/>
              </w:rPr>
              <w:t>一般工业固体废物（含污水处理污泥）综合利用</w:t>
            </w:r>
            <w:r>
              <w:rPr>
                <w:rFonts w:eastAsiaTheme="minorEastAsia"/>
                <w:color w:val="000000" w:themeColor="text1"/>
                <w:szCs w:val="24"/>
              </w:rPr>
              <w:t>”类项目，</w:t>
            </w:r>
            <w:r>
              <w:rPr>
                <w:rFonts w:hint="eastAsia" w:eastAsiaTheme="minorEastAsia"/>
                <w:color w:val="000000" w:themeColor="text1"/>
                <w:szCs w:val="24"/>
              </w:rPr>
              <w:t>属于《环境影响评价技术导则 地下水环境》（</w:t>
            </w:r>
            <w:r>
              <w:rPr>
                <w:rFonts w:eastAsiaTheme="minorEastAsia"/>
                <w:color w:val="000000" w:themeColor="text1"/>
                <w:szCs w:val="24"/>
              </w:rPr>
              <w:t>HJ610-2016</w:t>
            </w:r>
            <w:r>
              <w:rPr>
                <w:rFonts w:hint="eastAsia" w:eastAsiaTheme="minorEastAsia"/>
                <w:color w:val="000000" w:themeColor="text1"/>
                <w:szCs w:val="24"/>
              </w:rPr>
              <w:t>）行业分类表中的III类项目，因此</w:t>
            </w:r>
            <w:r>
              <w:rPr>
                <w:rFonts w:eastAsiaTheme="minorEastAsia"/>
                <w:color w:val="000000" w:themeColor="text1"/>
                <w:szCs w:val="24"/>
              </w:rPr>
              <w:t>存在地下水环境污染途径，</w:t>
            </w:r>
            <w:r>
              <w:rPr>
                <w:rFonts w:hint="eastAsia" w:eastAsiaTheme="minorEastAsia"/>
                <w:color w:val="000000" w:themeColor="text1"/>
                <w:szCs w:val="24"/>
              </w:rPr>
              <w:t>主要途径</w:t>
            </w:r>
            <w:r>
              <w:rPr>
                <w:rFonts w:hint="eastAsia"/>
                <w:color w:val="000000" w:themeColor="text1"/>
                <w:szCs w:val="24"/>
              </w:rPr>
              <w:t>为氧化锌尾渣（水淬渣）、废渣和废机油贮存不当，废水处理系统渗漏等污染地下水水质。</w:t>
            </w:r>
            <w:r>
              <w:rPr>
                <w:rFonts w:hint="eastAsia" w:eastAsiaTheme="minorEastAsia"/>
                <w:color w:val="000000" w:themeColor="text1"/>
                <w:szCs w:val="24"/>
              </w:rPr>
              <w:t>但根据调查，</w:t>
            </w:r>
            <w:r>
              <w:rPr>
                <w:rFonts w:eastAsiaTheme="minorEastAsia"/>
                <w:color w:val="000000" w:themeColor="text1"/>
                <w:szCs w:val="24"/>
              </w:rPr>
              <w:t>厂界外500m范围内不涉及集中式饮用水水源和热水、矿泉水、温泉等特殊地下水资源，</w:t>
            </w:r>
            <w:r>
              <w:rPr>
                <w:rFonts w:hint="eastAsia" w:eastAsiaTheme="minorEastAsia"/>
                <w:color w:val="000000" w:themeColor="text1"/>
                <w:szCs w:val="24"/>
              </w:rPr>
              <w:t>因此环评引用项目区下游地下水监测数据对其进行评价。</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调查，项目所在区域的地下水主要功能为工农业用水，属于地下水质量III类。根据项目区域水文地质概况，区域地下水流向为由东北方向流向西北方向。根据项目区水文地质图，凉水井村位于项目区东北侧</w:t>
            </w:r>
            <w:r>
              <w:rPr>
                <w:rFonts w:hint="eastAsia" w:eastAsiaTheme="minorEastAsia"/>
                <w:color w:val="000000" w:themeColor="text1"/>
                <w:szCs w:val="24"/>
              </w:rPr>
              <w:t>796</w:t>
            </w:r>
            <w:r>
              <w:rPr>
                <w:rFonts w:eastAsiaTheme="minorEastAsia"/>
                <w:color w:val="000000" w:themeColor="text1"/>
                <w:szCs w:val="24"/>
              </w:rPr>
              <w:t>m处</w:t>
            </w:r>
            <w:r>
              <w:rPr>
                <w:rFonts w:hint="eastAsia" w:eastAsiaTheme="minorEastAsia"/>
                <w:color w:val="000000" w:themeColor="text1"/>
                <w:szCs w:val="24"/>
              </w:rPr>
              <w:t>（位于项目区上游）</w:t>
            </w:r>
            <w:r>
              <w:rPr>
                <w:rFonts w:eastAsiaTheme="minorEastAsia"/>
                <w:color w:val="000000" w:themeColor="text1"/>
                <w:szCs w:val="24"/>
              </w:rPr>
              <w:t>，其村庄内有一个泉点和本次建设项目位于同一水文地址单元内，因此本环评拟采用《云南东川产业园区总体规划修编（2021-2035）环境影响报告书》编制过程中委托云南中科检测技术有限公司于2022年3月3日-4日连续2天对凉水井泉点的监测数据对区域地下水进行评价。</w:t>
            </w:r>
          </w:p>
          <w:p>
            <w:pPr>
              <w:spacing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①地下水现状监测参数设置</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监测数据中监测参数如下表所示。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.1.5-1  监测参数一览表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5"/>
              <w:gridCol w:w="1259"/>
              <w:gridCol w:w="6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序号</w:t>
                  </w:r>
                </w:p>
              </w:tc>
              <w:tc>
                <w:tcPr>
                  <w:tcW w:w="1259" w:type="dxa"/>
                  <w:vAlign w:val="center"/>
                </w:tcPr>
                <w:p>
                  <w:pPr>
                    <w:pStyle w:val="33"/>
                    <w:spacing w:line="360" w:lineRule="exact"/>
                    <w:rPr>
                      <w:color w:val="000000" w:themeColor="text1"/>
                      <w:szCs w:val="21"/>
                    </w:rPr>
                  </w:pPr>
                  <w:r>
                    <w:rPr>
                      <w:color w:val="000000" w:themeColor="text1"/>
                      <w:szCs w:val="21"/>
                    </w:rPr>
                    <w:t>项目</w:t>
                  </w:r>
                </w:p>
              </w:tc>
              <w:tc>
                <w:tcPr>
                  <w:tcW w:w="6611" w:type="dxa"/>
                  <w:vAlign w:val="center"/>
                </w:tcPr>
                <w:p>
                  <w:pPr>
                    <w:pStyle w:val="33"/>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1</w:t>
                  </w:r>
                </w:p>
              </w:tc>
              <w:tc>
                <w:tcPr>
                  <w:tcW w:w="1259" w:type="dxa"/>
                  <w:vAlign w:val="center"/>
                </w:tcPr>
                <w:p>
                  <w:pPr>
                    <w:pStyle w:val="33"/>
                    <w:spacing w:line="360" w:lineRule="exact"/>
                    <w:rPr>
                      <w:color w:val="000000" w:themeColor="text1"/>
                      <w:szCs w:val="21"/>
                    </w:rPr>
                  </w:pPr>
                  <w:r>
                    <w:rPr>
                      <w:color w:val="000000" w:themeColor="text1"/>
                      <w:szCs w:val="21"/>
                    </w:rPr>
                    <w:t>监测点位</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凉水井泉点，凉水井村位于项目区东北侧</w:t>
                  </w:r>
                  <w:r>
                    <w:rPr>
                      <w:rFonts w:hint="eastAsia" w:eastAsiaTheme="minorEastAsia"/>
                      <w:color w:val="000000" w:themeColor="text1"/>
                      <w:szCs w:val="24"/>
                    </w:rPr>
                    <w:t>796</w:t>
                  </w:r>
                  <w:r>
                    <w:rPr>
                      <w:rFonts w:eastAsiaTheme="minorEastAsia"/>
                      <w:color w:val="000000" w:themeColor="text1"/>
                      <w:szCs w:val="24"/>
                    </w:rPr>
                    <w:t>m处，泉点位于项目区东北侧约</w:t>
                  </w:r>
                  <w:r>
                    <w:rPr>
                      <w:rFonts w:hint="eastAsia" w:eastAsiaTheme="minorEastAsia"/>
                      <w:color w:val="000000" w:themeColor="text1"/>
                      <w:szCs w:val="24"/>
                    </w:rPr>
                    <w:t>896</w:t>
                  </w:r>
                  <w:r>
                    <w:rPr>
                      <w:rFonts w:eastAsiaTheme="minorEastAsia"/>
                      <w:color w:val="000000" w:themeColor="text1"/>
                      <w:szCs w:val="24"/>
                    </w:rPr>
                    <w:t>m处。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2</w:t>
                  </w:r>
                </w:p>
              </w:tc>
              <w:tc>
                <w:tcPr>
                  <w:tcW w:w="1259" w:type="dxa"/>
                  <w:vAlign w:val="center"/>
                </w:tcPr>
                <w:p>
                  <w:pPr>
                    <w:pStyle w:val="33"/>
                    <w:spacing w:line="360" w:lineRule="exact"/>
                    <w:rPr>
                      <w:color w:val="000000" w:themeColor="text1"/>
                      <w:szCs w:val="21"/>
                    </w:rPr>
                  </w:pPr>
                  <w:r>
                    <w:rPr>
                      <w:color w:val="000000" w:themeColor="text1"/>
                      <w:szCs w:val="21"/>
                    </w:rPr>
                    <w:t>监测项目</w:t>
                  </w:r>
                </w:p>
              </w:tc>
              <w:tc>
                <w:tcPr>
                  <w:tcW w:w="6611" w:type="dxa"/>
                  <w:vAlign w:val="center"/>
                </w:tcPr>
                <w:p>
                  <w:pPr>
                    <w:pStyle w:val="33"/>
                    <w:spacing w:line="360" w:lineRule="exact"/>
                    <w:ind w:firstLine="210" w:firstLineChars="100"/>
                    <w:jc w:val="both"/>
                    <w:rPr>
                      <w:color w:val="000000" w:themeColor="text1"/>
                      <w:szCs w:val="21"/>
                    </w:rPr>
                  </w:pPr>
                  <w:r>
                    <w:rPr>
                      <w:color w:val="000000" w:themeColor="text1"/>
                      <w:szCs w:val="21"/>
                    </w:rPr>
                    <w:t>K</w:t>
                  </w:r>
                  <w:r>
                    <w:rPr>
                      <w:color w:val="000000" w:themeColor="text1"/>
                      <w:szCs w:val="21"/>
                      <w:vertAlign w:val="superscript"/>
                    </w:rPr>
                    <w:t>+</w:t>
                  </w:r>
                  <w:r>
                    <w:rPr>
                      <w:color w:val="000000" w:themeColor="text1"/>
                      <w:szCs w:val="21"/>
                    </w:rPr>
                    <w:t>、Na</w:t>
                  </w:r>
                  <w:r>
                    <w:rPr>
                      <w:color w:val="000000" w:themeColor="text1"/>
                      <w:szCs w:val="21"/>
                      <w:vertAlign w:val="superscript"/>
                    </w:rPr>
                    <w:t>+</w:t>
                  </w:r>
                  <w:r>
                    <w:rPr>
                      <w:color w:val="000000" w:themeColor="text1"/>
                      <w:szCs w:val="21"/>
                    </w:rPr>
                    <w:t>、Ca</w:t>
                  </w:r>
                  <w:r>
                    <w:rPr>
                      <w:color w:val="000000" w:themeColor="text1"/>
                      <w:szCs w:val="21"/>
                      <w:vertAlign w:val="superscript"/>
                    </w:rPr>
                    <w:t>2+</w:t>
                  </w:r>
                  <w:r>
                    <w:rPr>
                      <w:color w:val="000000" w:themeColor="text1"/>
                      <w:szCs w:val="21"/>
                    </w:rPr>
                    <w:t>、Mg</w:t>
                  </w:r>
                  <w:r>
                    <w:rPr>
                      <w:color w:val="000000" w:themeColor="text1"/>
                      <w:szCs w:val="21"/>
                      <w:vertAlign w:val="superscript"/>
                    </w:rPr>
                    <w:t>2+</w:t>
                  </w:r>
                  <w:r>
                    <w:rPr>
                      <w:color w:val="000000" w:themeColor="text1"/>
                      <w:szCs w:val="21"/>
                    </w:rPr>
                    <w:t>、CO</w:t>
                  </w:r>
                  <w:r>
                    <w:rPr>
                      <w:color w:val="000000" w:themeColor="text1"/>
                      <w:szCs w:val="21"/>
                      <w:vertAlign w:val="subscript"/>
                    </w:rPr>
                    <w:t>3</w:t>
                  </w:r>
                  <w:r>
                    <w:rPr>
                      <w:color w:val="000000" w:themeColor="text1"/>
                      <w:szCs w:val="21"/>
                      <w:vertAlign w:val="superscript"/>
                    </w:rPr>
                    <w:t>2-</w:t>
                  </w:r>
                  <w:r>
                    <w:rPr>
                      <w:color w:val="000000" w:themeColor="text1"/>
                      <w:szCs w:val="21"/>
                    </w:rPr>
                    <w:t>、Cl</w:t>
                  </w:r>
                  <w:r>
                    <w:rPr>
                      <w:color w:val="000000" w:themeColor="text1"/>
                      <w:szCs w:val="21"/>
                      <w:vertAlign w:val="superscript"/>
                    </w:rPr>
                    <w:t>-</w:t>
                  </w:r>
                  <w:r>
                    <w:rPr>
                      <w:color w:val="000000" w:themeColor="text1"/>
                      <w:szCs w:val="21"/>
                    </w:rPr>
                    <w:t>、SO</w:t>
                  </w:r>
                  <w:r>
                    <w:rPr>
                      <w:color w:val="000000" w:themeColor="text1"/>
                      <w:szCs w:val="21"/>
                      <w:vertAlign w:val="subscript"/>
                    </w:rPr>
                    <w:t>4</w:t>
                  </w:r>
                  <w:r>
                    <w:rPr>
                      <w:color w:val="000000" w:themeColor="text1"/>
                      <w:szCs w:val="21"/>
                      <w:vertAlign w:val="superscript"/>
                    </w:rPr>
                    <w:t>2-</w:t>
                  </w:r>
                  <w:r>
                    <w:rPr>
                      <w:color w:val="000000" w:themeColor="text1"/>
                      <w:szCs w:val="21"/>
                    </w:rPr>
                    <w:t>、pH、水温、色度、嗅和味、肉眼可见物、总硬度、溶解性总固体、硫酸盐、氯化物、铁、锰、铜、锌、挥发酚类、阴离子表面活性剂、耗氧量、氨氮、硫化物、总大肠菌群、菌落总数、亚硝酸盐氮、硝酸盐氮、氰化物、氟化物、汞、砷、镉、铬（六价）、铅、镍、、总磷、溶解氧，共39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3</w:t>
                  </w:r>
                </w:p>
              </w:tc>
              <w:tc>
                <w:tcPr>
                  <w:tcW w:w="1259" w:type="dxa"/>
                  <w:vAlign w:val="center"/>
                </w:tcPr>
                <w:p>
                  <w:pPr>
                    <w:pStyle w:val="33"/>
                    <w:spacing w:line="360" w:lineRule="exact"/>
                    <w:rPr>
                      <w:color w:val="000000" w:themeColor="text1"/>
                      <w:szCs w:val="21"/>
                    </w:rPr>
                  </w:pPr>
                  <w:r>
                    <w:rPr>
                      <w:color w:val="000000" w:themeColor="text1"/>
                      <w:szCs w:val="21"/>
                    </w:rPr>
                    <w:t>监测频次</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检测2天，每天检测1次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4</w:t>
                  </w:r>
                </w:p>
              </w:tc>
              <w:tc>
                <w:tcPr>
                  <w:tcW w:w="1259" w:type="dxa"/>
                  <w:vAlign w:val="center"/>
                </w:tcPr>
                <w:p>
                  <w:pPr>
                    <w:pStyle w:val="33"/>
                    <w:spacing w:line="360" w:lineRule="exact"/>
                    <w:rPr>
                      <w:color w:val="000000" w:themeColor="text1"/>
                      <w:szCs w:val="21"/>
                    </w:rPr>
                  </w:pPr>
                  <w:r>
                    <w:rPr>
                      <w:color w:val="000000" w:themeColor="text1"/>
                      <w:szCs w:val="21"/>
                    </w:rPr>
                    <w:t>采样时间</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2022年3月3日-4日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Align w:val="center"/>
                </w:tcPr>
                <w:p>
                  <w:pPr>
                    <w:pStyle w:val="33"/>
                    <w:spacing w:line="360" w:lineRule="exact"/>
                    <w:rPr>
                      <w:color w:val="000000" w:themeColor="text1"/>
                      <w:szCs w:val="21"/>
                    </w:rPr>
                  </w:pPr>
                  <w:r>
                    <w:rPr>
                      <w:color w:val="000000" w:themeColor="text1"/>
                      <w:szCs w:val="21"/>
                    </w:rPr>
                    <w:t>5</w:t>
                  </w:r>
                </w:p>
              </w:tc>
              <w:tc>
                <w:tcPr>
                  <w:tcW w:w="1259" w:type="dxa"/>
                  <w:vAlign w:val="center"/>
                </w:tcPr>
                <w:p>
                  <w:pPr>
                    <w:pStyle w:val="33"/>
                    <w:spacing w:line="360" w:lineRule="exact"/>
                    <w:rPr>
                      <w:color w:val="000000" w:themeColor="text1"/>
                      <w:szCs w:val="21"/>
                    </w:rPr>
                  </w:pPr>
                  <w:r>
                    <w:rPr>
                      <w:color w:val="000000" w:themeColor="text1"/>
                      <w:szCs w:val="21"/>
                    </w:rPr>
                    <w:t>监测方法</w:t>
                  </w:r>
                </w:p>
              </w:tc>
              <w:tc>
                <w:tcPr>
                  <w:tcW w:w="6611"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按照国家相关要求进行。</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②地下水监测结果</w:t>
            </w:r>
          </w:p>
          <w:p>
            <w:pPr>
              <w:spacing w:line="360" w:lineRule="auto"/>
              <w:ind w:firstLine="480" w:firstLineChars="200"/>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地下水主要监测结果见下表。</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表3.1.5-2 项目区域地下水质检测结果一览表单位：mg/L</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704"/>
              <w:gridCol w:w="1704"/>
              <w:gridCol w:w="1419"/>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31" w:type="dxa"/>
                  <w:vMerge w:val="restart"/>
                  <w:tcBorders>
                    <w:top w:val="single" w:color="auto" w:sz="8" w:space="0"/>
                    <w:left w:val="single" w:color="auto" w:sz="8" w:space="0"/>
                    <w:tl2br w:val="single" w:color="auto" w:sz="8" w:space="0"/>
                  </w:tcBorders>
                  <w:vAlign w:val="center"/>
                </w:tcPr>
                <w:p>
                  <w:pPr>
                    <w:pStyle w:val="33"/>
                    <w:spacing w:line="360" w:lineRule="exact"/>
                    <w:rPr>
                      <w:color w:val="000000" w:themeColor="text1"/>
                      <w:szCs w:val="21"/>
                    </w:rPr>
                  </w:pPr>
                  <w:r>
                    <w:rPr>
                      <w:color w:val="000000" w:themeColor="text1"/>
                      <w:szCs w:val="21"/>
                    </w:rPr>
                    <w:t xml:space="preserve">          时间/点位</w:t>
                  </w:r>
                </w:p>
                <w:p>
                  <w:pPr>
                    <w:pStyle w:val="33"/>
                    <w:spacing w:line="360" w:lineRule="exact"/>
                    <w:jc w:val="left"/>
                    <w:rPr>
                      <w:color w:val="000000" w:themeColor="text1"/>
                      <w:szCs w:val="21"/>
                    </w:rPr>
                  </w:pPr>
                  <w:r>
                    <w:rPr>
                      <w:color w:val="000000" w:themeColor="text1"/>
                      <w:szCs w:val="21"/>
                    </w:rPr>
                    <w:t>检测项目</w:t>
                  </w:r>
                </w:p>
              </w:tc>
              <w:tc>
                <w:tcPr>
                  <w:tcW w:w="3402" w:type="dxa"/>
                  <w:gridSpan w:val="2"/>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凉水井泉点</w:t>
                  </w:r>
                </w:p>
              </w:tc>
              <w:tc>
                <w:tcPr>
                  <w:tcW w:w="1417" w:type="dxa"/>
                  <w:vMerge w:val="restart"/>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标准值</w:t>
                  </w:r>
                </w:p>
              </w:tc>
              <w:tc>
                <w:tcPr>
                  <w:tcW w:w="1345" w:type="dxa"/>
                  <w:vMerge w:val="restart"/>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431" w:type="dxa"/>
                  <w:vMerge w:val="continue"/>
                  <w:tcBorders>
                    <w:left w:val="single" w:color="auto" w:sz="8" w:space="0"/>
                    <w:tl2br w:val="single" w:color="auto" w:sz="8" w:space="0"/>
                  </w:tcBorders>
                  <w:vAlign w:val="center"/>
                </w:tcPr>
                <w:p>
                  <w:pPr>
                    <w:pStyle w:val="33"/>
                    <w:spacing w:line="360" w:lineRule="exact"/>
                    <w:rPr>
                      <w:color w:val="000000" w:themeColor="text1"/>
                      <w:szCs w:val="21"/>
                    </w:rPr>
                  </w:pP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监测均值</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标准指数</w:t>
                  </w:r>
                </w:p>
              </w:tc>
              <w:tc>
                <w:tcPr>
                  <w:tcW w:w="1417" w:type="dxa"/>
                  <w:vMerge w:val="continue"/>
                  <w:tcBorders>
                    <w:left w:val="single" w:color="auto" w:sz="4" w:space="0"/>
                    <w:right w:val="single" w:color="auto" w:sz="4" w:space="0"/>
                  </w:tcBorders>
                  <w:vAlign w:val="center"/>
                </w:tcPr>
                <w:p>
                  <w:pPr>
                    <w:pStyle w:val="33"/>
                    <w:spacing w:line="360" w:lineRule="exact"/>
                    <w:rPr>
                      <w:color w:val="000000" w:themeColor="text1"/>
                      <w:szCs w:val="21"/>
                    </w:rPr>
                  </w:pPr>
                </w:p>
              </w:tc>
              <w:tc>
                <w:tcPr>
                  <w:tcW w:w="1345" w:type="dxa"/>
                  <w:vMerge w:val="continue"/>
                  <w:tcBorders>
                    <w:left w:val="single" w:color="auto" w:sz="4" w:space="0"/>
                    <w:right w:val="single" w:color="auto" w:sz="8"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pH（无量纲）</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6.5~8.5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水温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13.2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色度（度）</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0.33</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浑浊度（NTU）</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嗅和味</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肉眼可见物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无</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总硬度</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304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450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0.67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溶解性总固体</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469</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0.47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硫酸盐</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0.22</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氯化物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18.6</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250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铁</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0.03L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锰</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铜</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锌</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6.7×10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挥发酚类</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阴离子表面活性剂</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0.050L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0.17</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耗氧量</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0.25</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氨氮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硫化物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总大肠菌群（MPNb/100mL）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菌落总数（CFU/mL）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93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0.93</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亚硝酸盐氮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0.037</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硝酸盐氮</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10.0</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20</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0.50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氰化物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0.002L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0.04</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氟化物</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0.20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汞</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1×10</w:t>
                  </w:r>
                  <w:r>
                    <w:rPr>
                      <w:color w:val="000000" w:themeColor="text1"/>
                      <w:szCs w:val="21"/>
                      <w:vertAlign w:val="superscript"/>
                    </w:rPr>
                    <w:t>-4</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0.10</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砷</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1.5×10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0.15</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镉</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7.5×10</w:t>
                  </w:r>
                  <w:r>
                    <w:rPr>
                      <w:color w:val="000000" w:themeColor="text1"/>
                      <w:szCs w:val="21"/>
                      <w:vertAlign w:val="superscript"/>
                    </w:rPr>
                    <w:t>-5</w:t>
                  </w:r>
                  <w:r>
                    <w:rPr>
                      <w:color w:val="000000" w:themeColor="text1"/>
                      <w:szCs w:val="21"/>
                    </w:rPr>
                    <w:t>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铬（六价）（mg/L）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0.004L</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0.05</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0.08</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铅</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1.4×10</w:t>
                  </w:r>
                  <w:r>
                    <w:rPr>
                      <w:color w:val="000000" w:themeColor="text1"/>
                      <w:szCs w:val="21"/>
                      <w:vertAlign w:val="superscript"/>
                    </w:rPr>
                    <w:t>-4</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0.01</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镍</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3.72×10</w:t>
                  </w:r>
                  <w:r>
                    <w:rPr>
                      <w:color w:val="000000" w:themeColor="text1"/>
                      <w:szCs w:val="21"/>
                      <w:vertAlign w:val="superscript"/>
                    </w:rPr>
                    <w:t>-3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0.02</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0.19</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K</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1.23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Na</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8.51</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Ca</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94.9</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Mg</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30.1</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CO</w:t>
                  </w:r>
                  <w:r>
                    <w:rPr>
                      <w:color w:val="000000" w:themeColor="text1"/>
                      <w:szCs w:val="21"/>
                      <w:vertAlign w:val="subscript"/>
                    </w:rPr>
                    <w:t>3</w:t>
                  </w:r>
                  <w:r>
                    <w:rPr>
                      <w:color w:val="000000" w:themeColor="text1"/>
                      <w:szCs w:val="21"/>
                      <w:vertAlign w:val="superscript"/>
                    </w:rPr>
                    <w:t>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未检出</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HCO</w:t>
                  </w:r>
                  <w:r>
                    <w:rPr>
                      <w:color w:val="000000" w:themeColor="text1"/>
                      <w:szCs w:val="21"/>
                      <w:vertAlign w:val="subscript"/>
                    </w:rPr>
                    <w:t>3</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372</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Cl</w:t>
                  </w:r>
                  <w:r>
                    <w:rPr>
                      <w:color w:val="000000" w:themeColor="text1"/>
                      <w:szCs w:val="21"/>
                      <w:vertAlign w:val="superscript"/>
                    </w:rPr>
                    <w:t>-</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16.3</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33"/>
                    <w:spacing w:line="360" w:lineRule="exact"/>
                    <w:rPr>
                      <w:color w:val="000000" w:themeColor="text1"/>
                      <w:szCs w:val="21"/>
                    </w:rPr>
                  </w:pPr>
                  <w:r>
                    <w:rPr>
                      <w:color w:val="000000" w:themeColor="text1"/>
                      <w:szCs w:val="21"/>
                    </w:rPr>
                    <w:t>SO</w:t>
                  </w:r>
                  <w:r>
                    <w:rPr>
                      <w:color w:val="000000" w:themeColor="text1"/>
                      <w:szCs w:val="21"/>
                      <w:vertAlign w:val="subscript"/>
                    </w:rPr>
                    <w:t>4</w:t>
                  </w:r>
                  <w:r>
                    <w:rPr>
                      <w:color w:val="000000" w:themeColor="text1"/>
                      <w:szCs w:val="21"/>
                      <w:vertAlign w:val="superscript"/>
                    </w:rPr>
                    <w:t>2-</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52.9</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bottom w:val="single" w:color="auto" w:sz="8" w:space="0"/>
                  </w:tcBorders>
                  <w:vAlign w:val="center"/>
                </w:tcPr>
                <w:p>
                  <w:pPr>
                    <w:pStyle w:val="33"/>
                    <w:spacing w:line="360" w:lineRule="exact"/>
                    <w:rPr>
                      <w:color w:val="000000" w:themeColor="text1"/>
                      <w:szCs w:val="21"/>
                    </w:rPr>
                  </w:pPr>
                  <w:r>
                    <w:rPr>
                      <w:color w:val="000000" w:themeColor="text1"/>
                      <w:szCs w:val="21"/>
                    </w:rPr>
                    <w:t>总磷</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0.06L</w:t>
                  </w:r>
                </w:p>
              </w:tc>
              <w:tc>
                <w:tcPr>
                  <w:tcW w:w="1701" w:type="dxa"/>
                  <w:tcBorders>
                    <w:top w:val="single" w:color="auto" w:sz="8"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bottom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bottom w:val="single" w:color="auto" w:sz="8"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431" w:type="dxa"/>
                  <w:tcBorders>
                    <w:top w:val="single" w:color="auto" w:sz="8" w:space="0"/>
                    <w:left w:val="single" w:color="auto" w:sz="8" w:space="0"/>
                  </w:tcBorders>
                  <w:vAlign w:val="center"/>
                </w:tcPr>
                <w:p>
                  <w:pPr>
                    <w:pStyle w:val="33"/>
                    <w:spacing w:line="360" w:lineRule="exact"/>
                    <w:rPr>
                      <w:color w:val="000000" w:themeColor="text1"/>
                      <w:szCs w:val="21"/>
                    </w:rPr>
                  </w:pPr>
                  <w:r>
                    <w:rPr>
                      <w:color w:val="000000" w:themeColor="text1"/>
                      <w:szCs w:val="21"/>
                    </w:rPr>
                    <w:t>溶解氧</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7.8</w:t>
                  </w:r>
                </w:p>
              </w:tc>
              <w:tc>
                <w:tcPr>
                  <w:tcW w:w="1701" w:type="dxa"/>
                  <w:tcBorders>
                    <w:top w:val="single" w:color="auto" w:sz="8"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417" w:type="dxa"/>
                  <w:tcBorders>
                    <w:top w:val="single" w:color="auto" w:sz="8"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w:t>
                  </w:r>
                </w:p>
              </w:tc>
              <w:tc>
                <w:tcPr>
                  <w:tcW w:w="1345" w:type="dxa"/>
                  <w:tcBorders>
                    <w:top w:val="single" w:color="auto" w:sz="8" w:space="0"/>
                    <w:left w:val="single" w:color="auto" w:sz="4" w:space="0"/>
                    <w:right w:val="single" w:color="auto" w:sz="8" w:space="0"/>
                  </w:tcBorders>
                  <w:vAlign w:val="center"/>
                </w:tcPr>
                <w:p>
                  <w:pPr>
                    <w:pStyle w:val="33"/>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③地下水监测结果及地下水现状分析</w:t>
            </w:r>
          </w:p>
          <w:p>
            <w:pPr>
              <w:pStyle w:val="41"/>
              <w:ind w:firstLine="480"/>
              <w:rPr>
                <w:rFonts w:eastAsiaTheme="minorEastAsia"/>
                <w:color w:val="000000" w:themeColor="text1"/>
                <w:szCs w:val="24"/>
              </w:rPr>
            </w:pPr>
            <w:r>
              <w:rPr>
                <w:rFonts w:eastAsiaTheme="minorEastAsia"/>
                <w:color w:val="000000" w:themeColor="text1"/>
                <w:szCs w:val="24"/>
              </w:rPr>
              <w:t>根据以上监测结果可知，评价区域的上述监测因子均达到《地下水质量标准》（GB/T</w:t>
            </w:r>
            <w:r>
              <w:rPr>
                <w:rFonts w:hint="eastAsia" w:eastAsiaTheme="minorEastAsia"/>
                <w:color w:val="000000" w:themeColor="text1"/>
                <w:szCs w:val="24"/>
                <w:lang w:eastAsia="zh-CN"/>
              </w:rPr>
              <w:t>*****</w:t>
            </w:r>
            <w:r>
              <w:rPr>
                <w:rFonts w:eastAsiaTheme="minorEastAsia"/>
                <w:color w:val="000000" w:themeColor="text1"/>
                <w:szCs w:val="24"/>
              </w:rPr>
              <w:t>-2017）III类标准。</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（2）土壤环境质量现状</w:t>
            </w:r>
          </w:p>
          <w:p>
            <w:pPr>
              <w:pStyle w:val="41"/>
              <w:ind w:firstLine="480"/>
              <w:rPr>
                <w:color w:val="000000" w:themeColor="text1"/>
                <w:szCs w:val="32"/>
              </w:rPr>
            </w:pPr>
            <w:r>
              <w:rPr>
                <w:color w:val="000000" w:themeColor="text1"/>
                <w:szCs w:val="32"/>
              </w:rPr>
              <w:t>本项目为“一般工业固体废物（含污水处理污泥）综合利用”类项目，</w:t>
            </w:r>
            <w:r>
              <w:rPr>
                <w:rFonts w:hint="eastAsia"/>
                <w:color w:val="000000" w:themeColor="text1"/>
                <w:szCs w:val="32"/>
              </w:rPr>
              <w:t>属于《环境影响评价技术导则 土壤环境（试行）》（HJ964-2018）项目类别中的II类项目，因此</w:t>
            </w:r>
            <w:r>
              <w:rPr>
                <w:color w:val="000000" w:themeColor="text1"/>
                <w:szCs w:val="32"/>
              </w:rPr>
              <w:t>存在土壤环境污染途径，</w:t>
            </w:r>
            <w:r>
              <w:rPr>
                <w:rFonts w:hint="eastAsia" w:eastAsiaTheme="minorEastAsia"/>
                <w:color w:val="000000" w:themeColor="text1"/>
                <w:szCs w:val="24"/>
              </w:rPr>
              <w:t>主要途径</w:t>
            </w:r>
            <w:r>
              <w:rPr>
                <w:rFonts w:hint="eastAsia"/>
                <w:color w:val="000000" w:themeColor="text1"/>
                <w:szCs w:val="24"/>
              </w:rPr>
              <w:t>为氧化锌尾渣（水淬渣）、废渣和废机油贮存不当，废水处理系统渗漏等污染土壤。</w:t>
            </w:r>
            <w:r>
              <w:rPr>
                <w:color w:val="000000" w:themeColor="text1"/>
                <w:szCs w:val="32"/>
              </w:rPr>
              <w:t>本项目存在土壤环境污染途径的，拟在昆明合旺有色金属有限公司厂区内开展现状调查以留作背景值。为此建设单位委托云南环普检测科技有限公司对项目区域土壤进行了环境质量现状监测，具体监测情况如下。</w:t>
            </w:r>
          </w:p>
          <w:p>
            <w:pPr>
              <w:pStyle w:val="41"/>
              <w:ind w:firstLine="482"/>
              <w:rPr>
                <w:b/>
                <w:color w:val="000000" w:themeColor="text1"/>
                <w:szCs w:val="32"/>
              </w:rPr>
            </w:pPr>
            <w:r>
              <w:rPr>
                <w:rFonts w:hint="eastAsia"/>
                <w:b/>
                <w:color w:val="000000" w:themeColor="text1"/>
                <w:szCs w:val="32"/>
              </w:rPr>
              <w:t>①</w:t>
            </w:r>
            <w:r>
              <w:rPr>
                <w:b/>
                <w:color w:val="000000" w:themeColor="text1"/>
                <w:szCs w:val="32"/>
              </w:rPr>
              <w:t>监测参数设置</w:t>
            </w:r>
          </w:p>
          <w:p>
            <w:pPr>
              <w:pStyle w:val="41"/>
              <w:ind w:firstLine="480"/>
              <w:rPr>
                <w:color w:val="000000" w:themeColor="text1"/>
                <w:szCs w:val="32"/>
              </w:rPr>
            </w:pPr>
            <w:r>
              <w:rPr>
                <w:color w:val="000000" w:themeColor="text1"/>
                <w:szCs w:val="32"/>
              </w:rPr>
              <w:t>监测参数如下表所示。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表3.1.5-3 土壤质量现状监测情况一览表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84"/>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33"/>
                    <w:spacing w:line="360" w:lineRule="exact"/>
                    <w:rPr>
                      <w:color w:val="000000" w:themeColor="text1"/>
                      <w:szCs w:val="21"/>
                    </w:rPr>
                  </w:pPr>
                  <w:r>
                    <w:rPr>
                      <w:color w:val="000000" w:themeColor="text1"/>
                      <w:szCs w:val="21"/>
                    </w:rPr>
                    <w:t>--</w:t>
                  </w:r>
                </w:p>
              </w:tc>
              <w:tc>
                <w:tcPr>
                  <w:tcW w:w="1134" w:type="dxa"/>
                  <w:vAlign w:val="center"/>
                </w:tcPr>
                <w:p>
                  <w:pPr>
                    <w:pStyle w:val="33"/>
                    <w:spacing w:line="360" w:lineRule="exact"/>
                    <w:rPr>
                      <w:color w:val="000000" w:themeColor="text1"/>
                      <w:szCs w:val="21"/>
                    </w:rPr>
                  </w:pPr>
                  <w:r>
                    <w:rPr>
                      <w:color w:val="000000" w:themeColor="text1"/>
                      <w:szCs w:val="21"/>
                    </w:rPr>
                    <w:t>项目</w:t>
                  </w:r>
                </w:p>
              </w:tc>
              <w:tc>
                <w:tcPr>
                  <w:tcW w:w="7271" w:type="dxa"/>
                  <w:vAlign w:val="center"/>
                </w:tcPr>
                <w:p>
                  <w:pPr>
                    <w:pStyle w:val="33"/>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33"/>
                    <w:spacing w:line="360" w:lineRule="exact"/>
                    <w:rPr>
                      <w:color w:val="000000" w:themeColor="text1"/>
                      <w:szCs w:val="21"/>
                    </w:rPr>
                  </w:pPr>
                  <w:r>
                    <w:rPr>
                      <w:color w:val="000000" w:themeColor="text1"/>
                      <w:szCs w:val="21"/>
                    </w:rPr>
                    <w:t>土壤</w:t>
                  </w:r>
                </w:p>
              </w:tc>
              <w:tc>
                <w:tcPr>
                  <w:tcW w:w="1134" w:type="dxa"/>
                  <w:vAlign w:val="center"/>
                </w:tcPr>
                <w:p>
                  <w:pPr>
                    <w:pStyle w:val="33"/>
                    <w:spacing w:line="360" w:lineRule="exact"/>
                    <w:rPr>
                      <w:color w:val="000000" w:themeColor="text1"/>
                      <w:szCs w:val="21"/>
                    </w:rPr>
                  </w:pPr>
                  <w:r>
                    <w:rPr>
                      <w:color w:val="000000" w:themeColor="text1"/>
                      <w:szCs w:val="21"/>
                    </w:rPr>
                    <w:t>监测项目</w:t>
                  </w:r>
                </w:p>
              </w:tc>
              <w:tc>
                <w:tcPr>
                  <w:tcW w:w="7271" w:type="dxa"/>
                  <w:vAlign w:val="center"/>
                </w:tcPr>
                <w:p>
                  <w:pPr>
                    <w:pStyle w:val="33"/>
                    <w:spacing w:line="360" w:lineRule="exact"/>
                    <w:ind w:firstLine="210" w:firstLineChars="100"/>
                    <w:jc w:val="both"/>
                    <w:rPr>
                      <w:color w:val="000000" w:themeColor="text1"/>
                      <w:szCs w:val="21"/>
                    </w:rPr>
                  </w:pPr>
                  <w:r>
                    <w:rPr>
                      <w:color w:val="000000" w:themeColor="text1"/>
                      <w:szCs w:val="21"/>
                    </w:rPr>
                    <w:t>四氯化碳、氯仿、氯甲烷、1,1-二氯乙烷、1,2-二氯乙烷、1,1-二氯乙烯、顺式-1,2-二氯乙烯、反式-1,2-二氯乙烯、二氯甲烷、1,2-二氯丙烷、1,1,1,2-四氯乙烷、1,1,2,2-四氯乙烷、四氯乙烯、1,1,1-三氯乙烷、1,1,2-三氯乙烷、三氯乙烯、1,2,3-三氯丙烷、氯乙烯、苯、氯苯、1,2-二氯苯、1,4-二氯苯、乙苯、苯乙烯、甲苯、间二甲苯+对二甲苯、邻二甲苯、硝基苯、苯胺、2-氯苯酚、苯并[a]蒽、苯并[a]芘、苯并[b]荧蒽、苯并[k]荧蒽、䓛、二苯并[a,h]蒽、茚并[1,2,3-cd]芘、萘、pH、阳离子交换量、氧化还原电位、饱和导水率、土壤容重、孔隙度、砷、镉、六价铬、铜、铅、汞、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tabs>
                      <w:tab w:val="center" w:pos="540"/>
                    </w:tabs>
                    <w:spacing w:line="360" w:lineRule="exact"/>
                    <w:rPr>
                      <w:color w:val="000000" w:themeColor="text1"/>
                      <w:szCs w:val="21"/>
                    </w:rPr>
                  </w:pPr>
                  <w:r>
                    <w:rPr>
                      <w:color w:val="000000" w:themeColor="text1"/>
                      <w:szCs w:val="21"/>
                    </w:rPr>
                    <w:t>采样频率</w:t>
                  </w:r>
                </w:p>
              </w:tc>
              <w:tc>
                <w:tcPr>
                  <w:tcW w:w="7271" w:type="dxa"/>
                  <w:vAlign w:val="center"/>
                </w:tcPr>
                <w:p>
                  <w:pPr>
                    <w:pStyle w:val="33"/>
                    <w:spacing w:line="360" w:lineRule="exact"/>
                    <w:ind w:firstLine="210" w:firstLineChars="100"/>
                    <w:jc w:val="left"/>
                    <w:rPr>
                      <w:color w:val="000000" w:themeColor="text1"/>
                      <w:szCs w:val="21"/>
                    </w:rPr>
                  </w:pPr>
                  <w:r>
                    <w:rPr>
                      <w:color w:val="000000" w:themeColor="text1"/>
                      <w:szCs w:val="21"/>
                    </w:rPr>
                    <w:t>取样1次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tabs>
                      <w:tab w:val="center" w:pos="540"/>
                    </w:tabs>
                    <w:spacing w:line="360" w:lineRule="exact"/>
                    <w:rPr>
                      <w:color w:val="000000" w:themeColor="text1"/>
                      <w:szCs w:val="21"/>
                    </w:rPr>
                  </w:pPr>
                  <w:r>
                    <w:rPr>
                      <w:rFonts w:hint="eastAsia"/>
                      <w:color w:val="000000" w:themeColor="text1"/>
                      <w:szCs w:val="21"/>
                    </w:rPr>
                    <w:t>监测日期</w:t>
                  </w:r>
                </w:p>
              </w:tc>
              <w:tc>
                <w:tcPr>
                  <w:tcW w:w="7271"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2023年9月15日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33"/>
                    <w:spacing w:line="360" w:lineRule="exact"/>
                    <w:rPr>
                      <w:color w:val="000000" w:themeColor="text1"/>
                      <w:szCs w:val="21"/>
                    </w:rPr>
                  </w:pPr>
                </w:p>
              </w:tc>
              <w:tc>
                <w:tcPr>
                  <w:tcW w:w="1134" w:type="dxa"/>
                  <w:vAlign w:val="center"/>
                </w:tcPr>
                <w:p>
                  <w:pPr>
                    <w:pStyle w:val="33"/>
                    <w:spacing w:line="360" w:lineRule="exact"/>
                    <w:rPr>
                      <w:color w:val="000000" w:themeColor="text1"/>
                      <w:szCs w:val="21"/>
                    </w:rPr>
                  </w:pPr>
                  <w:r>
                    <w:rPr>
                      <w:color w:val="000000" w:themeColor="text1"/>
                      <w:szCs w:val="21"/>
                    </w:rPr>
                    <w:t>采样地点</w:t>
                  </w:r>
                </w:p>
              </w:tc>
              <w:tc>
                <w:tcPr>
                  <w:tcW w:w="7271" w:type="dxa"/>
                  <w:vAlign w:val="center"/>
                </w:tcPr>
                <w:p>
                  <w:pPr>
                    <w:pStyle w:val="33"/>
                    <w:spacing w:line="360" w:lineRule="exact"/>
                    <w:ind w:firstLine="210" w:firstLineChars="100"/>
                    <w:jc w:val="left"/>
                    <w:rPr>
                      <w:color w:val="000000" w:themeColor="text1"/>
                      <w:szCs w:val="21"/>
                    </w:rPr>
                  </w:pPr>
                  <w:r>
                    <w:rPr>
                      <w:color w:val="000000" w:themeColor="text1"/>
                      <w:szCs w:val="21"/>
                    </w:rPr>
                    <w:t>昆明合旺有色金属有限公司厂区内</w:t>
                  </w:r>
                  <w:r>
                    <w:rPr>
                      <w:rFonts w:hint="eastAsia"/>
                      <w:color w:val="000000" w:themeColor="text1"/>
                      <w:szCs w:val="21"/>
                    </w:rPr>
                    <w:t>南侧未利用地</w:t>
                  </w:r>
                  <w:r>
                    <w:rPr>
                      <w:color w:val="000000" w:themeColor="text1"/>
                      <w:szCs w:val="21"/>
                    </w:rPr>
                    <w:t>设置1个点</w:t>
                  </w:r>
                  <w:r>
                    <w:rPr>
                      <w:rFonts w:hint="eastAsia"/>
                      <w:color w:val="000000" w:themeColor="text1"/>
                      <w:szCs w:val="21"/>
                    </w:rPr>
                    <w:t>，点位坐标为</w:t>
                  </w:r>
                  <w:r>
                    <w:rPr>
                      <w:color w:val="000000" w:themeColor="text1"/>
                      <w:szCs w:val="21"/>
                    </w:rPr>
                    <w:t>E:103.1244250  N:26.1777445</w:t>
                  </w:r>
                  <w:r>
                    <w:rPr>
                      <w:rFonts w:hint="eastAsia"/>
                      <w:color w:val="000000" w:themeColor="text1"/>
                      <w:szCs w:val="21"/>
                    </w:rPr>
                    <w:t>，土壤为红棕壤</w:t>
                  </w:r>
                  <w:r>
                    <w:rPr>
                      <w:color w:val="000000" w:themeColor="text1"/>
                      <w:szCs w:val="21"/>
                    </w:rPr>
                    <w:t>。</w:t>
                  </w:r>
                </w:p>
              </w:tc>
            </w:tr>
          </w:tbl>
          <w:p>
            <w:pPr>
              <w:pStyle w:val="41"/>
              <w:spacing w:beforeLines="50"/>
              <w:ind w:firstLine="482"/>
              <w:rPr>
                <w:b/>
                <w:color w:val="000000" w:themeColor="text1"/>
                <w:szCs w:val="32"/>
              </w:rPr>
            </w:pPr>
            <w:r>
              <w:rPr>
                <w:b/>
                <w:color w:val="000000" w:themeColor="text1"/>
                <w:szCs w:val="32"/>
              </w:rPr>
              <w:t>②土壤监测结果</w:t>
            </w:r>
          </w:p>
          <w:p>
            <w:pPr>
              <w:pStyle w:val="41"/>
              <w:ind w:firstLine="480"/>
              <w:rPr>
                <w:color w:val="000000" w:themeColor="text1"/>
                <w:szCs w:val="32"/>
              </w:rPr>
            </w:pPr>
            <w:r>
              <w:rPr>
                <w:color w:val="000000" w:themeColor="text1"/>
                <w:szCs w:val="32"/>
              </w:rPr>
              <w:t>土壤理化性质如下表所示。</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表3.1.5-4 土壤理化性质检测结果一览表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864"/>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采样日期</w:t>
                  </w:r>
                </w:p>
              </w:tc>
              <w:tc>
                <w:tcPr>
                  <w:tcW w:w="4586" w:type="dxa"/>
                  <w:vAlign w:val="center"/>
                </w:tcPr>
                <w:p>
                  <w:pPr>
                    <w:pStyle w:val="33"/>
                    <w:spacing w:line="360" w:lineRule="exact"/>
                    <w:rPr>
                      <w:color w:val="000000" w:themeColor="text1"/>
                      <w:szCs w:val="21"/>
                    </w:rPr>
                  </w:pPr>
                  <w:r>
                    <w:rPr>
                      <w:color w:val="000000" w:themeColor="text1"/>
                      <w:szCs w:val="21"/>
                    </w:rPr>
                    <w:t>2023.09.15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监测点位</w:t>
                  </w:r>
                </w:p>
              </w:tc>
              <w:tc>
                <w:tcPr>
                  <w:tcW w:w="4586" w:type="dxa"/>
                  <w:vAlign w:val="center"/>
                </w:tcPr>
                <w:p>
                  <w:pPr>
                    <w:pStyle w:val="33"/>
                    <w:spacing w:line="360" w:lineRule="exact"/>
                    <w:rPr>
                      <w:color w:val="000000" w:themeColor="text1"/>
                      <w:szCs w:val="21"/>
                    </w:rPr>
                  </w:pPr>
                  <w:r>
                    <w:rPr>
                      <w:color w:val="000000" w:themeColor="text1"/>
                      <w:szCs w:val="21"/>
                    </w:rPr>
                    <w:t>昆明合旺有色金属有限公司厂区内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经纬度</w:t>
                  </w:r>
                </w:p>
              </w:tc>
              <w:tc>
                <w:tcPr>
                  <w:tcW w:w="4586" w:type="dxa"/>
                  <w:vAlign w:val="center"/>
                </w:tcPr>
                <w:p>
                  <w:pPr>
                    <w:pStyle w:val="33"/>
                    <w:spacing w:line="360" w:lineRule="exact"/>
                    <w:rPr>
                      <w:color w:val="000000" w:themeColor="text1"/>
                      <w:szCs w:val="21"/>
                    </w:rPr>
                  </w:pPr>
                  <w:r>
                    <w:rPr>
                      <w:color w:val="000000" w:themeColor="text1"/>
                      <w:szCs w:val="21"/>
                    </w:rPr>
                    <w:t>E:103.1244250  N:26.1777445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取样深度</w:t>
                  </w:r>
                </w:p>
              </w:tc>
              <w:tc>
                <w:tcPr>
                  <w:tcW w:w="4586" w:type="dxa"/>
                  <w:vAlign w:val="center"/>
                </w:tcPr>
                <w:p>
                  <w:pPr>
                    <w:pStyle w:val="33"/>
                    <w:spacing w:line="360" w:lineRule="exact"/>
                    <w:rPr>
                      <w:color w:val="000000" w:themeColor="text1"/>
                      <w:szCs w:val="21"/>
                    </w:rPr>
                  </w:pPr>
                  <w:r>
                    <w:rPr>
                      <w:color w:val="000000" w:themeColor="text1"/>
                      <w:szCs w:val="21"/>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936" w:type="dxa"/>
                  <w:gridSpan w:val="2"/>
                  <w:vAlign w:val="center"/>
                </w:tcPr>
                <w:p>
                  <w:pPr>
                    <w:pStyle w:val="33"/>
                    <w:spacing w:line="360" w:lineRule="exact"/>
                    <w:rPr>
                      <w:color w:val="000000" w:themeColor="text1"/>
                      <w:szCs w:val="21"/>
                    </w:rPr>
                  </w:pPr>
                  <w:r>
                    <w:rPr>
                      <w:color w:val="000000" w:themeColor="text1"/>
                      <w:szCs w:val="21"/>
                    </w:rPr>
                    <w:t>样品编号</w:t>
                  </w:r>
                </w:p>
              </w:tc>
              <w:tc>
                <w:tcPr>
                  <w:tcW w:w="4586" w:type="dxa"/>
                  <w:vAlign w:val="center"/>
                </w:tcPr>
                <w:p>
                  <w:pPr>
                    <w:pStyle w:val="33"/>
                    <w:spacing w:line="360" w:lineRule="exact"/>
                    <w:rPr>
                      <w:color w:val="000000" w:themeColor="text1"/>
                      <w:szCs w:val="21"/>
                    </w:rPr>
                  </w:pPr>
                  <w:r>
                    <w:rPr>
                      <w:color w:val="000000" w:themeColor="text1"/>
                      <w:szCs w:val="21"/>
                    </w:rPr>
                    <w:t>23091306F101-3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33"/>
                    <w:spacing w:line="360" w:lineRule="exact"/>
                    <w:rPr>
                      <w:color w:val="000000" w:themeColor="text1"/>
                      <w:szCs w:val="21"/>
                    </w:rPr>
                  </w:pPr>
                  <w:r>
                    <w:rPr>
                      <w:color w:val="000000" w:themeColor="text1"/>
                      <w:szCs w:val="21"/>
                    </w:rPr>
                    <w:t>现场记录</w:t>
                  </w:r>
                </w:p>
              </w:tc>
              <w:tc>
                <w:tcPr>
                  <w:tcW w:w="2835" w:type="dxa"/>
                  <w:vAlign w:val="center"/>
                </w:tcPr>
                <w:p>
                  <w:pPr>
                    <w:pStyle w:val="33"/>
                    <w:spacing w:line="360" w:lineRule="exact"/>
                    <w:rPr>
                      <w:color w:val="000000" w:themeColor="text1"/>
                      <w:szCs w:val="21"/>
                    </w:rPr>
                  </w:pPr>
                  <w:r>
                    <w:rPr>
                      <w:color w:val="000000" w:themeColor="text1"/>
                      <w:szCs w:val="21"/>
                    </w:rPr>
                    <w:t>颜色</w:t>
                  </w:r>
                </w:p>
              </w:tc>
              <w:tc>
                <w:tcPr>
                  <w:tcW w:w="4586" w:type="dxa"/>
                  <w:vAlign w:val="center"/>
                </w:tcPr>
                <w:p>
                  <w:pPr>
                    <w:pStyle w:val="33"/>
                    <w:spacing w:line="360" w:lineRule="exact"/>
                    <w:rPr>
                      <w:color w:val="000000" w:themeColor="text1"/>
                      <w:szCs w:val="21"/>
                    </w:rPr>
                  </w:pPr>
                  <w:r>
                    <w:rPr>
                      <w:color w:val="000000" w:themeColor="text1"/>
                      <w:szCs w:val="21"/>
                    </w:rPr>
                    <w:t>红棕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质地</w:t>
                  </w:r>
                </w:p>
              </w:tc>
              <w:tc>
                <w:tcPr>
                  <w:tcW w:w="4586" w:type="dxa"/>
                  <w:vAlign w:val="center"/>
                </w:tcPr>
                <w:p>
                  <w:pPr>
                    <w:pStyle w:val="33"/>
                    <w:spacing w:line="360" w:lineRule="exact"/>
                    <w:rPr>
                      <w:color w:val="000000" w:themeColor="text1"/>
                      <w:szCs w:val="21"/>
                    </w:rPr>
                  </w:pPr>
                  <w:r>
                    <w:rPr>
                      <w:color w:val="000000" w:themeColor="text1"/>
                      <w:szCs w:val="21"/>
                    </w:rPr>
                    <w:t>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砂砾含量</w:t>
                  </w:r>
                </w:p>
              </w:tc>
              <w:tc>
                <w:tcPr>
                  <w:tcW w:w="4586"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restart"/>
                  <w:vAlign w:val="center"/>
                </w:tcPr>
                <w:p>
                  <w:pPr>
                    <w:pStyle w:val="33"/>
                    <w:spacing w:line="360" w:lineRule="exact"/>
                    <w:rPr>
                      <w:color w:val="000000" w:themeColor="text1"/>
                      <w:szCs w:val="21"/>
                    </w:rPr>
                  </w:pPr>
                  <w:r>
                    <w:rPr>
                      <w:color w:val="000000" w:themeColor="text1"/>
                      <w:szCs w:val="21"/>
                    </w:rPr>
                    <w:t>实验室测定</w:t>
                  </w:r>
                </w:p>
              </w:tc>
              <w:tc>
                <w:tcPr>
                  <w:tcW w:w="2835" w:type="dxa"/>
                  <w:vAlign w:val="center"/>
                </w:tcPr>
                <w:p>
                  <w:pPr>
                    <w:pStyle w:val="33"/>
                    <w:spacing w:line="360" w:lineRule="exact"/>
                    <w:rPr>
                      <w:color w:val="000000" w:themeColor="text1"/>
                      <w:szCs w:val="21"/>
                    </w:rPr>
                  </w:pPr>
                  <w:r>
                    <w:rPr>
                      <w:color w:val="000000" w:themeColor="text1"/>
                      <w:szCs w:val="21"/>
                    </w:rPr>
                    <w:t>pH值（无量纲）</w:t>
                  </w:r>
                </w:p>
              </w:tc>
              <w:tc>
                <w:tcPr>
                  <w:tcW w:w="4586" w:type="dxa"/>
                  <w:vAlign w:val="center"/>
                </w:tcPr>
                <w:p>
                  <w:pPr>
                    <w:pStyle w:val="33"/>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阳离子交换量（cmol/kg)</w:t>
                  </w:r>
                </w:p>
              </w:tc>
              <w:tc>
                <w:tcPr>
                  <w:tcW w:w="4586" w:type="dxa"/>
                  <w:vAlign w:val="center"/>
                </w:tcPr>
                <w:p>
                  <w:pPr>
                    <w:pStyle w:val="33"/>
                    <w:spacing w:line="360" w:lineRule="exact"/>
                    <w:rPr>
                      <w:color w:val="000000" w:themeColor="text1"/>
                      <w:szCs w:val="21"/>
                    </w:rPr>
                  </w:pPr>
                  <w:r>
                    <w:rPr>
                      <w:color w:val="000000" w:themeColor="text1"/>
                      <w:szCs w:val="21"/>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孔隙度（%）</w:t>
                  </w:r>
                </w:p>
              </w:tc>
              <w:tc>
                <w:tcPr>
                  <w:tcW w:w="4586" w:type="dxa"/>
                  <w:vAlign w:val="center"/>
                </w:tcPr>
                <w:p>
                  <w:pPr>
                    <w:pStyle w:val="33"/>
                    <w:spacing w:line="360" w:lineRule="exact"/>
                    <w:rPr>
                      <w:color w:val="000000" w:themeColor="text1"/>
                      <w:szCs w:val="21"/>
                    </w:rPr>
                  </w:pPr>
                  <w:r>
                    <w:rPr>
                      <w:color w:val="000000" w:themeColor="text1"/>
                      <w:szCs w:val="21"/>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饱和导水率（mm/min）</w:t>
                  </w:r>
                </w:p>
              </w:tc>
              <w:tc>
                <w:tcPr>
                  <w:tcW w:w="4586" w:type="dxa"/>
                  <w:vAlign w:val="center"/>
                </w:tcPr>
                <w:p>
                  <w:pPr>
                    <w:pStyle w:val="33"/>
                    <w:spacing w:line="360" w:lineRule="exact"/>
                    <w:rPr>
                      <w:color w:val="000000" w:themeColor="text1"/>
                      <w:szCs w:val="21"/>
                    </w:rPr>
                  </w:pPr>
                  <w:r>
                    <w:rPr>
                      <w:color w:val="000000" w:themeColor="text1"/>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容重（g/cm3）</w:t>
                  </w:r>
                </w:p>
              </w:tc>
              <w:tc>
                <w:tcPr>
                  <w:tcW w:w="4586" w:type="dxa"/>
                  <w:vAlign w:val="center"/>
                </w:tcPr>
                <w:p>
                  <w:pPr>
                    <w:pStyle w:val="33"/>
                    <w:spacing w:line="360" w:lineRule="exact"/>
                    <w:rPr>
                      <w:color w:val="000000" w:themeColor="text1"/>
                      <w:szCs w:val="21"/>
                    </w:rPr>
                  </w:pPr>
                  <w:r>
                    <w:rPr>
                      <w:color w:val="000000" w:themeColor="text1"/>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01" w:type="dxa"/>
                  <w:vMerge w:val="continue"/>
                  <w:vAlign w:val="center"/>
                </w:tcPr>
                <w:p>
                  <w:pPr>
                    <w:pStyle w:val="33"/>
                    <w:spacing w:line="360" w:lineRule="exact"/>
                    <w:rPr>
                      <w:color w:val="000000" w:themeColor="text1"/>
                      <w:szCs w:val="21"/>
                    </w:rPr>
                  </w:pPr>
                </w:p>
              </w:tc>
              <w:tc>
                <w:tcPr>
                  <w:tcW w:w="2835" w:type="dxa"/>
                  <w:vAlign w:val="center"/>
                </w:tcPr>
                <w:p>
                  <w:pPr>
                    <w:pStyle w:val="33"/>
                    <w:spacing w:line="360" w:lineRule="exact"/>
                    <w:rPr>
                      <w:color w:val="000000" w:themeColor="text1"/>
                      <w:szCs w:val="21"/>
                    </w:rPr>
                  </w:pPr>
                  <w:r>
                    <w:rPr>
                      <w:color w:val="000000" w:themeColor="text1"/>
                      <w:szCs w:val="21"/>
                    </w:rPr>
                    <w:t>氧化还原电位（mV）</w:t>
                  </w:r>
                </w:p>
              </w:tc>
              <w:tc>
                <w:tcPr>
                  <w:tcW w:w="4586" w:type="dxa"/>
                  <w:vAlign w:val="center"/>
                </w:tcPr>
                <w:p>
                  <w:pPr>
                    <w:pStyle w:val="33"/>
                    <w:spacing w:line="360" w:lineRule="exact"/>
                    <w:rPr>
                      <w:color w:val="000000" w:themeColor="text1"/>
                      <w:szCs w:val="21"/>
                    </w:rPr>
                  </w:pPr>
                  <w:r>
                    <w:rPr>
                      <w:color w:val="000000" w:themeColor="text1"/>
                      <w:szCs w:val="21"/>
                    </w:rPr>
                    <w:t>438</w:t>
                  </w:r>
                </w:p>
              </w:tc>
            </w:tr>
          </w:tbl>
          <w:p>
            <w:pPr>
              <w:pStyle w:val="41"/>
              <w:spacing w:beforeLines="50"/>
              <w:ind w:firstLine="480"/>
              <w:rPr>
                <w:color w:val="000000" w:themeColor="text1"/>
                <w:szCs w:val="32"/>
              </w:rPr>
            </w:pPr>
            <w:r>
              <w:rPr>
                <w:color w:val="000000" w:themeColor="text1"/>
                <w:szCs w:val="32"/>
              </w:rPr>
              <w:t>土壤监测结果见下表。</w:t>
            </w:r>
          </w:p>
          <w:p>
            <w:pPr>
              <w:pStyle w:val="35"/>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表3.1.5-</w:t>
            </w:r>
            <w:r>
              <w:rPr>
                <w:rFonts w:hint="eastAsia" w:hAnsi="Times New Roman" w:eastAsia="宋体"/>
                <w:bCs/>
                <w:snapToGrid w:val="0"/>
                <w:color w:val="000000" w:themeColor="text1"/>
                <w:sz w:val="21"/>
                <w:szCs w:val="21"/>
              </w:rPr>
              <w:t>5</w:t>
            </w:r>
            <w:r>
              <w:rPr>
                <w:rFonts w:hAnsi="Times New Roman" w:eastAsia="宋体"/>
                <w:bCs/>
                <w:snapToGrid w:val="0"/>
                <w:color w:val="000000" w:themeColor="text1"/>
                <w:sz w:val="21"/>
                <w:szCs w:val="21"/>
              </w:rPr>
              <w:t xml:space="preserve">  土壤监测结果表 单位：mg/kg</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3101"/>
              <w:gridCol w:w="2278"/>
              <w:gridCol w:w="156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603" w:type="dxa"/>
                  <w:vAlign w:val="center"/>
                </w:tcPr>
                <w:p>
                  <w:pPr>
                    <w:pStyle w:val="33"/>
                    <w:spacing w:line="360" w:lineRule="exact"/>
                    <w:rPr>
                      <w:color w:val="000000" w:themeColor="text1"/>
                      <w:szCs w:val="21"/>
                    </w:rPr>
                  </w:pPr>
                  <w:r>
                    <w:rPr>
                      <w:color w:val="000000" w:themeColor="text1"/>
                      <w:szCs w:val="21"/>
                    </w:rPr>
                    <w:t>序号</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检测值</w:t>
                  </w:r>
                </w:p>
                <w:p>
                  <w:pPr>
                    <w:pStyle w:val="33"/>
                    <w:spacing w:line="360" w:lineRule="exact"/>
                    <w:rPr>
                      <w:rFonts w:eastAsiaTheme="minorEastAsia"/>
                      <w:color w:val="000000" w:themeColor="text1"/>
                      <w:szCs w:val="21"/>
                    </w:rPr>
                  </w:pPr>
                  <w:r>
                    <w:rPr>
                      <w:rFonts w:eastAsiaTheme="minorEastAsia"/>
                      <w:color w:val="000000" w:themeColor="text1"/>
                      <w:szCs w:val="21"/>
                    </w:rPr>
                    <w:t>分析指标</w:t>
                  </w:r>
                </w:p>
              </w:tc>
              <w:tc>
                <w:tcPr>
                  <w:tcW w:w="22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昆明合旺有色金属有限公司厂区内</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第二类用地筛选值</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1</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砷（mg/kg）</w:t>
                  </w:r>
                </w:p>
              </w:tc>
              <w:tc>
                <w:tcPr>
                  <w:tcW w:w="22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51.1</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2</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镉（mg/kg）</w:t>
                  </w:r>
                </w:p>
              </w:tc>
              <w:tc>
                <w:tcPr>
                  <w:tcW w:w="22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7.26</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65</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 w:hRule="atLeast"/>
                <w:jc w:val="center"/>
              </w:trPr>
              <w:tc>
                <w:tcPr>
                  <w:tcW w:w="603" w:type="dxa"/>
                  <w:vAlign w:val="center"/>
                </w:tcPr>
                <w:p>
                  <w:pPr>
                    <w:pStyle w:val="33"/>
                    <w:spacing w:line="360" w:lineRule="exact"/>
                    <w:rPr>
                      <w:color w:val="000000" w:themeColor="text1"/>
                      <w:szCs w:val="21"/>
                    </w:rPr>
                  </w:pPr>
                  <w:r>
                    <w:rPr>
                      <w:color w:val="000000" w:themeColor="text1"/>
                      <w:szCs w:val="21"/>
                    </w:rPr>
                    <w:t>3</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六价铬（mg/kg）</w:t>
                  </w:r>
                </w:p>
              </w:tc>
              <w:tc>
                <w:tcPr>
                  <w:tcW w:w="2201" w:type="dxa"/>
                  <w:vAlign w:val="center"/>
                </w:tcPr>
                <w:p>
                  <w:pPr>
                    <w:pStyle w:val="33"/>
                    <w:spacing w:line="360" w:lineRule="exact"/>
                    <w:rPr>
                      <w:color w:val="000000" w:themeColor="text1"/>
                      <w:szCs w:val="21"/>
                    </w:rPr>
                  </w:pPr>
                  <w:r>
                    <w:rPr>
                      <w:color w:val="000000" w:themeColor="text1"/>
                      <w:szCs w:val="21"/>
                    </w:rPr>
                    <w:t>0.5L</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5.7</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铜（mg/kg）</w:t>
                  </w:r>
                </w:p>
              </w:tc>
              <w:tc>
                <w:tcPr>
                  <w:tcW w:w="2201" w:type="dxa"/>
                  <w:vAlign w:val="center"/>
                </w:tcPr>
                <w:p>
                  <w:pPr>
                    <w:pStyle w:val="33"/>
                    <w:spacing w:line="360" w:lineRule="exact"/>
                    <w:rPr>
                      <w:color w:val="000000" w:themeColor="text1"/>
                      <w:szCs w:val="21"/>
                    </w:rPr>
                  </w:pPr>
                  <w:r>
                    <w:rPr>
                      <w:color w:val="000000" w:themeColor="text1"/>
                      <w:szCs w:val="21"/>
                    </w:rPr>
                    <w:t>530</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18000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5</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铅（mg/kg）</w:t>
                  </w:r>
                </w:p>
              </w:tc>
              <w:tc>
                <w:tcPr>
                  <w:tcW w:w="2201" w:type="dxa"/>
                  <w:vAlign w:val="center"/>
                </w:tcPr>
                <w:p>
                  <w:pPr>
                    <w:pStyle w:val="33"/>
                    <w:spacing w:line="360" w:lineRule="exact"/>
                    <w:rPr>
                      <w:color w:val="000000" w:themeColor="text1"/>
                      <w:szCs w:val="21"/>
                    </w:rPr>
                  </w:pPr>
                  <w:r>
                    <w:rPr>
                      <w:color w:val="000000" w:themeColor="text1"/>
                      <w:szCs w:val="21"/>
                    </w:rPr>
                    <w:t>332</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6</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汞（mg/kg）</w:t>
                  </w:r>
                </w:p>
              </w:tc>
              <w:tc>
                <w:tcPr>
                  <w:tcW w:w="2201" w:type="dxa"/>
                  <w:vAlign w:val="center"/>
                </w:tcPr>
                <w:p>
                  <w:pPr>
                    <w:pStyle w:val="33"/>
                    <w:spacing w:line="360" w:lineRule="exact"/>
                    <w:rPr>
                      <w:color w:val="000000" w:themeColor="text1"/>
                      <w:szCs w:val="21"/>
                    </w:rPr>
                  </w:pPr>
                  <w:r>
                    <w:rPr>
                      <w:color w:val="000000" w:themeColor="text1"/>
                      <w:szCs w:val="21"/>
                    </w:rPr>
                    <w:t>0.586</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38</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7</w:t>
                  </w:r>
                </w:p>
              </w:tc>
              <w:tc>
                <w:tcPr>
                  <w:tcW w:w="299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镍（mg/kg）</w:t>
                  </w:r>
                </w:p>
              </w:tc>
              <w:tc>
                <w:tcPr>
                  <w:tcW w:w="2201" w:type="dxa"/>
                  <w:vAlign w:val="center"/>
                </w:tcPr>
                <w:p>
                  <w:pPr>
                    <w:pStyle w:val="33"/>
                    <w:spacing w:line="360" w:lineRule="exact"/>
                    <w:rPr>
                      <w:color w:val="000000" w:themeColor="text1"/>
                      <w:szCs w:val="21"/>
                    </w:rPr>
                  </w:pPr>
                  <w:r>
                    <w:rPr>
                      <w:color w:val="000000" w:themeColor="text1"/>
                      <w:szCs w:val="21"/>
                    </w:rPr>
                    <w:t>78</w:t>
                  </w:r>
                </w:p>
              </w:tc>
              <w:tc>
                <w:tcPr>
                  <w:tcW w:w="151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900</w:t>
                  </w:r>
                </w:p>
              </w:tc>
              <w:tc>
                <w:tcPr>
                  <w:tcW w:w="100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8</w:t>
                  </w:r>
                </w:p>
              </w:tc>
              <w:tc>
                <w:tcPr>
                  <w:tcW w:w="2996" w:type="dxa"/>
                  <w:vAlign w:val="center"/>
                </w:tcPr>
                <w:p>
                  <w:pPr>
                    <w:pStyle w:val="33"/>
                    <w:spacing w:line="360" w:lineRule="exact"/>
                    <w:rPr>
                      <w:color w:val="000000" w:themeColor="text1"/>
                      <w:szCs w:val="21"/>
                    </w:rPr>
                  </w:pPr>
                  <w:r>
                    <w:rPr>
                      <w:color w:val="000000" w:themeColor="text1"/>
                      <w:szCs w:val="21"/>
                    </w:rPr>
                    <w:t>四氯化碳（μg/kg）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9</w:t>
                  </w:r>
                </w:p>
              </w:tc>
              <w:tc>
                <w:tcPr>
                  <w:tcW w:w="2996" w:type="dxa"/>
                  <w:vAlign w:val="center"/>
                </w:tcPr>
                <w:p>
                  <w:pPr>
                    <w:pStyle w:val="33"/>
                    <w:spacing w:line="360" w:lineRule="exact"/>
                    <w:rPr>
                      <w:color w:val="000000" w:themeColor="text1"/>
                      <w:szCs w:val="21"/>
                    </w:rPr>
                  </w:pPr>
                  <w:r>
                    <w:rPr>
                      <w:color w:val="000000" w:themeColor="text1"/>
                      <w:szCs w:val="21"/>
                    </w:rPr>
                    <w:t>氯仿（μg/kg）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0.9</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10</w:t>
                  </w:r>
                </w:p>
              </w:tc>
              <w:tc>
                <w:tcPr>
                  <w:tcW w:w="2996" w:type="dxa"/>
                  <w:vAlign w:val="center"/>
                </w:tcPr>
                <w:p>
                  <w:pPr>
                    <w:pStyle w:val="33"/>
                    <w:spacing w:line="360" w:lineRule="exact"/>
                    <w:rPr>
                      <w:color w:val="000000" w:themeColor="text1"/>
                      <w:szCs w:val="21"/>
                    </w:rPr>
                  </w:pPr>
                  <w:r>
                    <w:rPr>
                      <w:color w:val="000000" w:themeColor="text1"/>
                      <w:szCs w:val="21"/>
                    </w:rPr>
                    <w:t>氯甲烷（μg/kg）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37</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11</w:t>
                  </w:r>
                </w:p>
              </w:tc>
              <w:tc>
                <w:tcPr>
                  <w:tcW w:w="2996" w:type="dxa"/>
                  <w:vAlign w:val="center"/>
                </w:tcPr>
                <w:p>
                  <w:pPr>
                    <w:pStyle w:val="33"/>
                    <w:spacing w:line="360" w:lineRule="exact"/>
                    <w:rPr>
                      <w:color w:val="000000" w:themeColor="text1"/>
                      <w:szCs w:val="21"/>
                    </w:rPr>
                  </w:pPr>
                  <w:r>
                    <w:rPr>
                      <w:color w:val="000000" w:themeColor="text1"/>
                      <w:szCs w:val="21"/>
                    </w:rPr>
                    <w:t>1,1-二氯乙烷（μg/kg）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9</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12</w:t>
                  </w:r>
                </w:p>
              </w:tc>
              <w:tc>
                <w:tcPr>
                  <w:tcW w:w="2996" w:type="dxa"/>
                  <w:vAlign w:val="center"/>
                </w:tcPr>
                <w:p>
                  <w:pPr>
                    <w:pStyle w:val="33"/>
                    <w:spacing w:line="360" w:lineRule="exact"/>
                    <w:rPr>
                      <w:color w:val="000000" w:themeColor="text1"/>
                      <w:szCs w:val="21"/>
                    </w:rPr>
                  </w:pPr>
                  <w:r>
                    <w:rPr>
                      <w:color w:val="000000" w:themeColor="text1"/>
                      <w:szCs w:val="21"/>
                    </w:rPr>
                    <w:t>1,2-二氯乙烷（μg/kg）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13</w:t>
                  </w:r>
                </w:p>
              </w:tc>
              <w:tc>
                <w:tcPr>
                  <w:tcW w:w="2996" w:type="dxa"/>
                  <w:vAlign w:val="center"/>
                </w:tcPr>
                <w:p>
                  <w:pPr>
                    <w:pStyle w:val="33"/>
                    <w:spacing w:line="360" w:lineRule="exact"/>
                    <w:rPr>
                      <w:color w:val="000000" w:themeColor="text1"/>
                      <w:szCs w:val="21"/>
                    </w:rPr>
                  </w:pPr>
                  <w:r>
                    <w:rPr>
                      <w:color w:val="000000" w:themeColor="text1"/>
                      <w:szCs w:val="21"/>
                    </w:rPr>
                    <w:t>1,1-二氯乙烯（ug/kg）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14</w:t>
                  </w:r>
                </w:p>
              </w:tc>
              <w:tc>
                <w:tcPr>
                  <w:tcW w:w="2996" w:type="dxa"/>
                  <w:vAlign w:val="center"/>
                </w:tcPr>
                <w:p>
                  <w:pPr>
                    <w:pStyle w:val="33"/>
                    <w:spacing w:line="360" w:lineRule="exact"/>
                    <w:rPr>
                      <w:color w:val="000000" w:themeColor="text1"/>
                      <w:szCs w:val="21"/>
                    </w:rPr>
                  </w:pPr>
                  <w:r>
                    <w:rPr>
                      <w:color w:val="000000" w:themeColor="text1"/>
                      <w:szCs w:val="21"/>
                    </w:rPr>
                    <w:t>顺式-1,2-二氯乙烯（ug/kg）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596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15</w:t>
                  </w:r>
                </w:p>
              </w:tc>
              <w:tc>
                <w:tcPr>
                  <w:tcW w:w="2996" w:type="dxa"/>
                  <w:vAlign w:val="center"/>
                </w:tcPr>
                <w:p>
                  <w:pPr>
                    <w:pStyle w:val="33"/>
                    <w:spacing w:line="360" w:lineRule="exact"/>
                    <w:rPr>
                      <w:color w:val="000000" w:themeColor="text1"/>
                      <w:szCs w:val="21"/>
                    </w:rPr>
                  </w:pPr>
                  <w:r>
                    <w:rPr>
                      <w:color w:val="000000" w:themeColor="text1"/>
                      <w:szCs w:val="21"/>
                    </w:rPr>
                    <w:t>反式-1,2-二氯乙烯（ug/kg）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54</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16</w:t>
                  </w:r>
                </w:p>
              </w:tc>
              <w:tc>
                <w:tcPr>
                  <w:tcW w:w="2996" w:type="dxa"/>
                  <w:vAlign w:val="center"/>
                </w:tcPr>
                <w:p>
                  <w:pPr>
                    <w:pStyle w:val="33"/>
                    <w:spacing w:line="360" w:lineRule="exact"/>
                    <w:rPr>
                      <w:color w:val="000000" w:themeColor="text1"/>
                      <w:szCs w:val="21"/>
                    </w:rPr>
                  </w:pPr>
                  <w:r>
                    <w:rPr>
                      <w:color w:val="000000" w:themeColor="text1"/>
                      <w:szCs w:val="21"/>
                    </w:rPr>
                    <w:t>二氯甲烷（ug/kg）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616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17</w:t>
                  </w:r>
                </w:p>
              </w:tc>
              <w:tc>
                <w:tcPr>
                  <w:tcW w:w="2996" w:type="dxa"/>
                  <w:vAlign w:val="center"/>
                </w:tcPr>
                <w:p>
                  <w:pPr>
                    <w:pStyle w:val="33"/>
                    <w:spacing w:line="360" w:lineRule="exact"/>
                    <w:rPr>
                      <w:color w:val="000000" w:themeColor="text1"/>
                      <w:szCs w:val="21"/>
                    </w:rPr>
                  </w:pPr>
                  <w:r>
                    <w:rPr>
                      <w:color w:val="000000" w:themeColor="text1"/>
                      <w:szCs w:val="21"/>
                    </w:rPr>
                    <w:t>1,2-二氯丙烷（ug/kg）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18</w:t>
                  </w:r>
                </w:p>
              </w:tc>
              <w:tc>
                <w:tcPr>
                  <w:tcW w:w="2996" w:type="dxa"/>
                  <w:vAlign w:val="center"/>
                </w:tcPr>
                <w:p>
                  <w:pPr>
                    <w:pStyle w:val="33"/>
                    <w:spacing w:line="360" w:lineRule="exact"/>
                    <w:rPr>
                      <w:color w:val="000000" w:themeColor="text1"/>
                      <w:szCs w:val="21"/>
                    </w:rPr>
                  </w:pPr>
                  <w:r>
                    <w:rPr>
                      <w:color w:val="000000" w:themeColor="text1"/>
                      <w:szCs w:val="21"/>
                    </w:rPr>
                    <w:t>1,1,1,2-四氯乙烷（ug/kg）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19</w:t>
                  </w:r>
                </w:p>
              </w:tc>
              <w:tc>
                <w:tcPr>
                  <w:tcW w:w="2996" w:type="dxa"/>
                  <w:vAlign w:val="center"/>
                </w:tcPr>
                <w:p>
                  <w:pPr>
                    <w:pStyle w:val="33"/>
                    <w:spacing w:line="360" w:lineRule="exact"/>
                    <w:rPr>
                      <w:color w:val="000000" w:themeColor="text1"/>
                      <w:szCs w:val="21"/>
                    </w:rPr>
                  </w:pPr>
                  <w:r>
                    <w:rPr>
                      <w:color w:val="000000" w:themeColor="text1"/>
                      <w:szCs w:val="21"/>
                    </w:rPr>
                    <w:t>1,1,2,2-四氯乙烷（ug/kg）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20</w:t>
                  </w:r>
                </w:p>
              </w:tc>
              <w:tc>
                <w:tcPr>
                  <w:tcW w:w="2996" w:type="dxa"/>
                  <w:vAlign w:val="center"/>
                </w:tcPr>
                <w:p>
                  <w:pPr>
                    <w:pStyle w:val="33"/>
                    <w:spacing w:line="360" w:lineRule="exact"/>
                    <w:rPr>
                      <w:color w:val="000000" w:themeColor="text1"/>
                      <w:szCs w:val="21"/>
                    </w:rPr>
                  </w:pPr>
                  <w:r>
                    <w:rPr>
                      <w:color w:val="000000" w:themeColor="text1"/>
                      <w:szCs w:val="21"/>
                    </w:rPr>
                    <w:t>四氯乙烯（ug/kg）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21</w:t>
                  </w:r>
                </w:p>
              </w:tc>
              <w:tc>
                <w:tcPr>
                  <w:tcW w:w="2996" w:type="dxa"/>
                  <w:vAlign w:val="center"/>
                </w:tcPr>
                <w:p>
                  <w:pPr>
                    <w:pStyle w:val="33"/>
                    <w:spacing w:line="360" w:lineRule="exact"/>
                    <w:rPr>
                      <w:color w:val="000000" w:themeColor="text1"/>
                      <w:szCs w:val="21"/>
                    </w:rPr>
                  </w:pPr>
                  <w:r>
                    <w:rPr>
                      <w:color w:val="000000" w:themeColor="text1"/>
                      <w:szCs w:val="21"/>
                    </w:rPr>
                    <w:t>1,1,1-三氯乙烷（ug/kg）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840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22</w:t>
                  </w:r>
                </w:p>
              </w:tc>
              <w:tc>
                <w:tcPr>
                  <w:tcW w:w="2996" w:type="dxa"/>
                  <w:vAlign w:val="center"/>
                </w:tcPr>
                <w:p>
                  <w:pPr>
                    <w:pStyle w:val="33"/>
                    <w:spacing w:line="360" w:lineRule="exact"/>
                    <w:rPr>
                      <w:color w:val="000000" w:themeColor="text1"/>
                      <w:szCs w:val="21"/>
                    </w:rPr>
                  </w:pPr>
                  <w:r>
                    <w:rPr>
                      <w:color w:val="000000" w:themeColor="text1"/>
                      <w:szCs w:val="21"/>
                    </w:rPr>
                    <w:t>1,1,2-三氯乙烷（ug/kg）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23</w:t>
                  </w:r>
                </w:p>
              </w:tc>
              <w:tc>
                <w:tcPr>
                  <w:tcW w:w="2996" w:type="dxa"/>
                  <w:vAlign w:val="center"/>
                </w:tcPr>
                <w:p>
                  <w:pPr>
                    <w:pStyle w:val="33"/>
                    <w:spacing w:line="360" w:lineRule="exact"/>
                    <w:rPr>
                      <w:color w:val="000000" w:themeColor="text1"/>
                      <w:szCs w:val="21"/>
                    </w:rPr>
                  </w:pPr>
                  <w:r>
                    <w:rPr>
                      <w:color w:val="000000" w:themeColor="text1"/>
                      <w:szCs w:val="21"/>
                    </w:rPr>
                    <w:t>三氯乙烯（ug/kg）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24</w:t>
                  </w:r>
                </w:p>
              </w:tc>
              <w:tc>
                <w:tcPr>
                  <w:tcW w:w="2996" w:type="dxa"/>
                  <w:vAlign w:val="center"/>
                </w:tcPr>
                <w:p>
                  <w:pPr>
                    <w:pStyle w:val="33"/>
                    <w:spacing w:line="360" w:lineRule="exact"/>
                    <w:rPr>
                      <w:color w:val="000000" w:themeColor="text1"/>
                      <w:szCs w:val="21"/>
                    </w:rPr>
                  </w:pPr>
                  <w:r>
                    <w:rPr>
                      <w:color w:val="000000" w:themeColor="text1"/>
                      <w:szCs w:val="21"/>
                    </w:rPr>
                    <w:t>1,2,3-三氯丙烷（ug/kg）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25</w:t>
                  </w:r>
                </w:p>
              </w:tc>
              <w:tc>
                <w:tcPr>
                  <w:tcW w:w="2996" w:type="dxa"/>
                  <w:vAlign w:val="center"/>
                </w:tcPr>
                <w:p>
                  <w:pPr>
                    <w:pStyle w:val="33"/>
                    <w:spacing w:line="360" w:lineRule="exact"/>
                    <w:rPr>
                      <w:color w:val="000000" w:themeColor="text1"/>
                      <w:szCs w:val="21"/>
                    </w:rPr>
                  </w:pPr>
                  <w:r>
                    <w:rPr>
                      <w:color w:val="000000" w:themeColor="text1"/>
                      <w:szCs w:val="21"/>
                    </w:rPr>
                    <w:t>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0.43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26</w:t>
                  </w:r>
                </w:p>
              </w:tc>
              <w:tc>
                <w:tcPr>
                  <w:tcW w:w="2996" w:type="dxa"/>
                  <w:vAlign w:val="center"/>
                </w:tcPr>
                <w:p>
                  <w:pPr>
                    <w:pStyle w:val="33"/>
                    <w:spacing w:line="360" w:lineRule="exact"/>
                    <w:rPr>
                      <w:color w:val="000000" w:themeColor="text1"/>
                      <w:szCs w:val="21"/>
                    </w:rPr>
                  </w:pPr>
                  <w:r>
                    <w:rPr>
                      <w:color w:val="000000" w:themeColor="text1"/>
                      <w:szCs w:val="21"/>
                    </w:rPr>
                    <w:t>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4</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27</w:t>
                  </w:r>
                </w:p>
              </w:tc>
              <w:tc>
                <w:tcPr>
                  <w:tcW w:w="2996" w:type="dxa"/>
                  <w:vAlign w:val="center"/>
                </w:tcPr>
                <w:p>
                  <w:pPr>
                    <w:pStyle w:val="33"/>
                    <w:spacing w:line="360" w:lineRule="exact"/>
                    <w:rPr>
                      <w:color w:val="000000" w:themeColor="text1"/>
                      <w:szCs w:val="21"/>
                    </w:rPr>
                  </w:pPr>
                  <w:r>
                    <w:rPr>
                      <w:color w:val="000000" w:themeColor="text1"/>
                      <w:szCs w:val="21"/>
                    </w:rPr>
                    <w:t>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270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28</w:t>
                  </w:r>
                </w:p>
              </w:tc>
              <w:tc>
                <w:tcPr>
                  <w:tcW w:w="2996" w:type="dxa"/>
                  <w:vAlign w:val="center"/>
                </w:tcPr>
                <w:p>
                  <w:pPr>
                    <w:pStyle w:val="33"/>
                    <w:spacing w:line="360" w:lineRule="exact"/>
                    <w:rPr>
                      <w:color w:val="000000" w:themeColor="text1"/>
                      <w:szCs w:val="21"/>
                    </w:rPr>
                  </w:pPr>
                  <w:r>
                    <w:rPr>
                      <w:color w:val="000000" w:themeColor="text1"/>
                      <w:szCs w:val="21"/>
                    </w:rPr>
                    <w:t>1,2-二氯苯（ug/kg）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560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29</w:t>
                  </w:r>
                </w:p>
              </w:tc>
              <w:tc>
                <w:tcPr>
                  <w:tcW w:w="2996" w:type="dxa"/>
                  <w:vAlign w:val="center"/>
                </w:tcPr>
                <w:p>
                  <w:pPr>
                    <w:pStyle w:val="33"/>
                    <w:spacing w:line="360" w:lineRule="exact"/>
                    <w:rPr>
                      <w:color w:val="000000" w:themeColor="text1"/>
                      <w:szCs w:val="21"/>
                    </w:rPr>
                  </w:pPr>
                  <w:r>
                    <w:rPr>
                      <w:color w:val="000000" w:themeColor="text1"/>
                      <w:szCs w:val="21"/>
                    </w:rPr>
                    <w:t>1,4-二氯苯（ug/kg）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30</w:t>
                  </w:r>
                </w:p>
              </w:tc>
              <w:tc>
                <w:tcPr>
                  <w:tcW w:w="2996" w:type="dxa"/>
                  <w:vAlign w:val="center"/>
                </w:tcPr>
                <w:p>
                  <w:pPr>
                    <w:pStyle w:val="33"/>
                    <w:spacing w:line="360" w:lineRule="exact"/>
                    <w:rPr>
                      <w:color w:val="000000" w:themeColor="text1"/>
                      <w:szCs w:val="21"/>
                    </w:rPr>
                  </w:pPr>
                  <w:r>
                    <w:rPr>
                      <w:color w:val="000000" w:themeColor="text1"/>
                      <w:szCs w:val="21"/>
                    </w:rPr>
                    <w:t>乙苯（ug/kg）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28</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31</w:t>
                  </w:r>
                </w:p>
              </w:tc>
              <w:tc>
                <w:tcPr>
                  <w:tcW w:w="2996" w:type="dxa"/>
                  <w:vAlign w:val="center"/>
                </w:tcPr>
                <w:p>
                  <w:pPr>
                    <w:pStyle w:val="33"/>
                    <w:spacing w:line="360" w:lineRule="exact"/>
                    <w:rPr>
                      <w:color w:val="000000" w:themeColor="text1"/>
                      <w:szCs w:val="21"/>
                    </w:rPr>
                  </w:pPr>
                  <w:r>
                    <w:rPr>
                      <w:color w:val="000000" w:themeColor="text1"/>
                      <w:szCs w:val="21"/>
                    </w:rPr>
                    <w:t>苯乙烯（ug/kg）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1290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32</w:t>
                  </w:r>
                </w:p>
              </w:tc>
              <w:tc>
                <w:tcPr>
                  <w:tcW w:w="2996" w:type="dxa"/>
                  <w:vAlign w:val="center"/>
                </w:tcPr>
                <w:p>
                  <w:pPr>
                    <w:pStyle w:val="33"/>
                    <w:spacing w:line="360" w:lineRule="exact"/>
                    <w:rPr>
                      <w:color w:val="000000" w:themeColor="text1"/>
                      <w:szCs w:val="21"/>
                    </w:rPr>
                  </w:pPr>
                  <w:r>
                    <w:rPr>
                      <w:color w:val="000000" w:themeColor="text1"/>
                      <w:szCs w:val="21"/>
                    </w:rPr>
                    <w:t>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1200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33</w:t>
                  </w:r>
                </w:p>
              </w:tc>
              <w:tc>
                <w:tcPr>
                  <w:tcW w:w="2996" w:type="dxa"/>
                  <w:vAlign w:val="center"/>
                </w:tcPr>
                <w:p>
                  <w:pPr>
                    <w:pStyle w:val="33"/>
                    <w:spacing w:line="360" w:lineRule="exact"/>
                    <w:rPr>
                      <w:color w:val="000000" w:themeColor="text1"/>
                      <w:szCs w:val="21"/>
                    </w:rPr>
                  </w:pPr>
                  <w:r>
                    <w:rPr>
                      <w:color w:val="000000" w:themeColor="text1"/>
                      <w:szCs w:val="21"/>
                    </w:rPr>
                    <w:t>间二甲苯+对二甲苯（ug/kg）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570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34</w:t>
                  </w:r>
                </w:p>
              </w:tc>
              <w:tc>
                <w:tcPr>
                  <w:tcW w:w="2996" w:type="dxa"/>
                  <w:vAlign w:val="center"/>
                </w:tcPr>
                <w:p>
                  <w:pPr>
                    <w:pStyle w:val="33"/>
                    <w:spacing w:line="360" w:lineRule="exact"/>
                    <w:rPr>
                      <w:color w:val="000000" w:themeColor="text1"/>
                      <w:szCs w:val="21"/>
                    </w:rPr>
                  </w:pPr>
                  <w:r>
                    <w:rPr>
                      <w:color w:val="000000" w:themeColor="text1"/>
                      <w:szCs w:val="21"/>
                    </w:rPr>
                    <w:t>邻-二甲苯（ug/kg）</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640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35</w:t>
                  </w:r>
                </w:p>
              </w:tc>
              <w:tc>
                <w:tcPr>
                  <w:tcW w:w="2996" w:type="dxa"/>
                  <w:vAlign w:val="center"/>
                </w:tcPr>
                <w:p>
                  <w:pPr>
                    <w:pStyle w:val="33"/>
                    <w:spacing w:line="360" w:lineRule="exact"/>
                    <w:rPr>
                      <w:color w:val="000000" w:themeColor="text1"/>
                      <w:szCs w:val="21"/>
                    </w:rPr>
                  </w:pPr>
                  <w:r>
                    <w:rPr>
                      <w:color w:val="000000" w:themeColor="text1"/>
                      <w:szCs w:val="21"/>
                    </w:rPr>
                    <w:t>硝基苯</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76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36</w:t>
                  </w:r>
                </w:p>
              </w:tc>
              <w:tc>
                <w:tcPr>
                  <w:tcW w:w="2996" w:type="dxa"/>
                  <w:vAlign w:val="center"/>
                </w:tcPr>
                <w:p>
                  <w:pPr>
                    <w:pStyle w:val="33"/>
                    <w:spacing w:line="360" w:lineRule="exact"/>
                    <w:rPr>
                      <w:color w:val="000000" w:themeColor="text1"/>
                      <w:szCs w:val="21"/>
                    </w:rPr>
                  </w:pPr>
                  <w:r>
                    <w:rPr>
                      <w:color w:val="000000" w:themeColor="text1"/>
                      <w:szCs w:val="21"/>
                    </w:rPr>
                    <w:t>苯胺</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260</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37</w:t>
                  </w:r>
                </w:p>
              </w:tc>
              <w:tc>
                <w:tcPr>
                  <w:tcW w:w="2996" w:type="dxa"/>
                  <w:vAlign w:val="center"/>
                </w:tcPr>
                <w:p>
                  <w:pPr>
                    <w:pStyle w:val="33"/>
                    <w:spacing w:line="360" w:lineRule="exact"/>
                    <w:rPr>
                      <w:color w:val="000000" w:themeColor="text1"/>
                      <w:szCs w:val="21"/>
                    </w:rPr>
                  </w:pPr>
                  <w:r>
                    <w:rPr>
                      <w:color w:val="000000" w:themeColor="text1"/>
                      <w:szCs w:val="21"/>
                    </w:rPr>
                    <w:t>2-氯酚</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2256</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38</w:t>
                  </w:r>
                </w:p>
              </w:tc>
              <w:tc>
                <w:tcPr>
                  <w:tcW w:w="2996" w:type="dxa"/>
                  <w:vAlign w:val="center"/>
                </w:tcPr>
                <w:p>
                  <w:pPr>
                    <w:pStyle w:val="33"/>
                    <w:spacing w:line="360" w:lineRule="exact"/>
                    <w:rPr>
                      <w:color w:val="000000" w:themeColor="text1"/>
                      <w:szCs w:val="21"/>
                    </w:rPr>
                  </w:pPr>
                  <w:r>
                    <w:rPr>
                      <w:color w:val="000000" w:themeColor="text1"/>
                      <w:szCs w:val="21"/>
                    </w:rPr>
                    <w:t>苯并[a]蒽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39</w:t>
                  </w:r>
                </w:p>
              </w:tc>
              <w:tc>
                <w:tcPr>
                  <w:tcW w:w="2996" w:type="dxa"/>
                  <w:vAlign w:val="center"/>
                </w:tcPr>
                <w:p>
                  <w:pPr>
                    <w:pStyle w:val="33"/>
                    <w:spacing w:line="360" w:lineRule="exact"/>
                    <w:rPr>
                      <w:color w:val="000000" w:themeColor="text1"/>
                      <w:szCs w:val="21"/>
                    </w:rPr>
                  </w:pPr>
                  <w:r>
                    <w:rPr>
                      <w:color w:val="000000" w:themeColor="text1"/>
                      <w:szCs w:val="21"/>
                    </w:rPr>
                    <w:t>苯并[a]芘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40</w:t>
                  </w:r>
                </w:p>
              </w:tc>
              <w:tc>
                <w:tcPr>
                  <w:tcW w:w="2996" w:type="dxa"/>
                  <w:vAlign w:val="center"/>
                </w:tcPr>
                <w:p>
                  <w:pPr>
                    <w:pStyle w:val="33"/>
                    <w:spacing w:line="360" w:lineRule="exact"/>
                    <w:rPr>
                      <w:color w:val="000000" w:themeColor="text1"/>
                      <w:szCs w:val="21"/>
                    </w:rPr>
                  </w:pPr>
                  <w:r>
                    <w:rPr>
                      <w:color w:val="000000" w:themeColor="text1"/>
                      <w:szCs w:val="21"/>
                    </w:rPr>
                    <w:t>苯并[b]荧蒽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41</w:t>
                  </w:r>
                </w:p>
              </w:tc>
              <w:tc>
                <w:tcPr>
                  <w:tcW w:w="2996" w:type="dxa"/>
                  <w:vAlign w:val="center"/>
                </w:tcPr>
                <w:p>
                  <w:pPr>
                    <w:pStyle w:val="33"/>
                    <w:spacing w:line="360" w:lineRule="exact"/>
                    <w:rPr>
                      <w:color w:val="000000" w:themeColor="text1"/>
                      <w:szCs w:val="21"/>
                    </w:rPr>
                  </w:pPr>
                  <w:r>
                    <w:rPr>
                      <w:color w:val="000000" w:themeColor="text1"/>
                      <w:szCs w:val="21"/>
                    </w:rPr>
                    <w:t>苯并[k]荧蒽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151</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42</w:t>
                  </w:r>
                </w:p>
              </w:tc>
              <w:tc>
                <w:tcPr>
                  <w:tcW w:w="2996" w:type="dxa"/>
                  <w:vAlign w:val="center"/>
                </w:tcPr>
                <w:p>
                  <w:pPr>
                    <w:pStyle w:val="33"/>
                    <w:spacing w:line="360" w:lineRule="exact"/>
                    <w:rPr>
                      <w:color w:val="000000" w:themeColor="text1"/>
                      <w:szCs w:val="21"/>
                    </w:rPr>
                  </w:pPr>
                  <w:r>
                    <w:rPr>
                      <w:color w:val="000000" w:themeColor="text1"/>
                      <w:szCs w:val="21"/>
                    </w:rPr>
                    <w:t>䓛</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1293</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43</w:t>
                  </w:r>
                </w:p>
              </w:tc>
              <w:tc>
                <w:tcPr>
                  <w:tcW w:w="2996" w:type="dxa"/>
                  <w:vAlign w:val="center"/>
                </w:tcPr>
                <w:p>
                  <w:pPr>
                    <w:pStyle w:val="33"/>
                    <w:spacing w:line="360" w:lineRule="exact"/>
                    <w:rPr>
                      <w:color w:val="000000" w:themeColor="text1"/>
                      <w:szCs w:val="21"/>
                    </w:rPr>
                  </w:pPr>
                  <w:r>
                    <w:rPr>
                      <w:color w:val="000000" w:themeColor="text1"/>
                      <w:szCs w:val="21"/>
                    </w:rPr>
                    <w:t>二苯并[a,h]蒽</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44</w:t>
                  </w:r>
                </w:p>
              </w:tc>
              <w:tc>
                <w:tcPr>
                  <w:tcW w:w="2996" w:type="dxa"/>
                  <w:vAlign w:val="center"/>
                </w:tcPr>
                <w:p>
                  <w:pPr>
                    <w:pStyle w:val="33"/>
                    <w:spacing w:line="360" w:lineRule="exact"/>
                    <w:rPr>
                      <w:color w:val="000000" w:themeColor="text1"/>
                      <w:szCs w:val="21"/>
                    </w:rPr>
                  </w:pPr>
                  <w:r>
                    <w:rPr>
                      <w:color w:val="000000" w:themeColor="text1"/>
                      <w:szCs w:val="21"/>
                    </w:rPr>
                    <w:t>茚并[1,2,3-cd]芘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15</w:t>
                  </w:r>
                </w:p>
              </w:tc>
              <w:tc>
                <w:tcPr>
                  <w:tcW w:w="1003"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3" w:type="dxa"/>
                  <w:vAlign w:val="center"/>
                </w:tcPr>
                <w:p>
                  <w:pPr>
                    <w:pStyle w:val="33"/>
                    <w:spacing w:line="360" w:lineRule="exact"/>
                    <w:rPr>
                      <w:color w:val="000000" w:themeColor="text1"/>
                      <w:szCs w:val="21"/>
                    </w:rPr>
                  </w:pPr>
                  <w:r>
                    <w:rPr>
                      <w:color w:val="000000" w:themeColor="text1"/>
                      <w:szCs w:val="21"/>
                    </w:rPr>
                    <w:t>45</w:t>
                  </w:r>
                </w:p>
              </w:tc>
              <w:tc>
                <w:tcPr>
                  <w:tcW w:w="2996" w:type="dxa"/>
                  <w:vAlign w:val="center"/>
                </w:tcPr>
                <w:p>
                  <w:pPr>
                    <w:pStyle w:val="33"/>
                    <w:spacing w:line="360" w:lineRule="exact"/>
                    <w:rPr>
                      <w:color w:val="000000" w:themeColor="text1"/>
                      <w:szCs w:val="21"/>
                    </w:rPr>
                  </w:pPr>
                  <w:r>
                    <w:rPr>
                      <w:color w:val="000000" w:themeColor="text1"/>
                      <w:szCs w:val="21"/>
                    </w:rPr>
                    <w:t>萘</w:t>
                  </w:r>
                </w:p>
              </w:tc>
              <w:tc>
                <w:tcPr>
                  <w:tcW w:w="2201" w:type="dxa"/>
                  <w:vAlign w:val="center"/>
                </w:tcPr>
                <w:p>
                  <w:pPr>
                    <w:pStyle w:val="33"/>
                    <w:spacing w:line="360" w:lineRule="exact"/>
                    <w:rPr>
                      <w:color w:val="000000" w:themeColor="text1"/>
                      <w:szCs w:val="21"/>
                    </w:rPr>
                  </w:pPr>
                  <w:r>
                    <w:rPr>
                      <w:color w:val="000000" w:themeColor="text1"/>
                      <w:szCs w:val="21"/>
                    </w:rPr>
                    <w:t>未检出</w:t>
                  </w:r>
                </w:p>
              </w:tc>
              <w:tc>
                <w:tcPr>
                  <w:tcW w:w="1513" w:type="dxa"/>
                  <w:vAlign w:val="center"/>
                </w:tcPr>
                <w:p>
                  <w:pPr>
                    <w:pStyle w:val="33"/>
                    <w:spacing w:line="360" w:lineRule="exact"/>
                    <w:rPr>
                      <w:color w:val="000000" w:themeColor="text1"/>
                      <w:szCs w:val="21"/>
                    </w:rPr>
                  </w:pPr>
                  <w:r>
                    <w:rPr>
                      <w:color w:val="000000" w:themeColor="text1"/>
                      <w:szCs w:val="21"/>
                    </w:rPr>
                    <w:t>70</w:t>
                  </w:r>
                </w:p>
              </w:tc>
              <w:tc>
                <w:tcPr>
                  <w:tcW w:w="1003" w:type="dxa"/>
                  <w:vAlign w:val="center"/>
                </w:tcPr>
                <w:p>
                  <w:pPr>
                    <w:pStyle w:val="33"/>
                    <w:spacing w:line="360" w:lineRule="exact"/>
                    <w:rPr>
                      <w:color w:val="000000" w:themeColor="text1"/>
                      <w:szCs w:val="21"/>
                    </w:rPr>
                  </w:pPr>
                  <w:r>
                    <w:rPr>
                      <w:color w:val="000000" w:themeColor="text1"/>
                      <w:szCs w:val="21"/>
                    </w:rPr>
                    <w:t>达标</w:t>
                  </w:r>
                </w:p>
              </w:tc>
            </w:tr>
          </w:tbl>
          <w:p>
            <w:pPr>
              <w:pStyle w:val="41"/>
              <w:spacing w:beforeLines="50"/>
              <w:ind w:firstLine="480"/>
              <w:rPr>
                <w:color w:val="000000" w:themeColor="text1"/>
                <w:szCs w:val="32"/>
              </w:rPr>
            </w:pPr>
            <w:r>
              <w:rPr>
                <w:color w:val="000000" w:themeColor="text1"/>
                <w:szCs w:val="32"/>
              </w:rPr>
              <w:t>由上表可知，本项目昆明合旺有色金属有限公司厂区内土壤上述污染因子可达到《土壤环境质量 建设用地土壤污染风险管控质量标准（试行）》（GB</w:t>
            </w:r>
            <w:r>
              <w:rPr>
                <w:rFonts w:hint="eastAsia"/>
                <w:color w:val="000000" w:themeColor="text1"/>
                <w:szCs w:val="32"/>
                <w:lang w:eastAsia="zh-CN"/>
              </w:rPr>
              <w:t>*****</w:t>
            </w:r>
            <w:r>
              <w:rPr>
                <w:color w:val="000000" w:themeColor="text1"/>
                <w:szCs w:val="32"/>
              </w:rPr>
              <w:t>-2018）表1中建设用地（第二类用地）筛选值要求。</w:t>
            </w:r>
          </w:p>
          <w:p>
            <w:pPr>
              <w:pStyle w:val="41"/>
              <w:ind w:firstLine="480"/>
              <w:rPr>
                <w:rFonts w:eastAsiaTheme="minorEastAsia"/>
                <w:color w:val="000000" w:themeColor="text1"/>
                <w:szCs w:val="24"/>
              </w:rPr>
            </w:pPr>
            <w:r>
              <w:rPr>
                <w:rFonts w:hint="eastAsia" w:eastAsiaTheme="minorEastAsia"/>
                <w:color w:val="000000" w:themeColor="text1"/>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41"/>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1"/>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1"/>
              <w:ind w:firstLine="480"/>
              <w:rPr>
                <w:rFonts w:eastAsiaTheme="minorEastAsia"/>
                <w:color w:val="000000" w:themeColor="text1"/>
                <w:szCs w:val="24"/>
              </w:rPr>
            </w:pPr>
            <w:r>
              <w:rPr>
                <w:rFonts w:eastAsiaTheme="minorEastAsia"/>
                <w:color w:val="000000" w:themeColor="text1"/>
                <w:szCs w:val="24"/>
              </w:rPr>
              <w:t>本项目位于云南东川产业园区四方地片区昆明合旺有色金属有限公司厂区内，根据调查，本项目厂界外500m范围内</w:t>
            </w:r>
            <w:r>
              <w:rPr>
                <w:rFonts w:hint="eastAsia" w:eastAsiaTheme="minorEastAsia"/>
                <w:color w:val="000000" w:themeColor="text1"/>
                <w:szCs w:val="24"/>
              </w:rPr>
              <w:t>无大气环境保护目标。</w:t>
            </w:r>
          </w:p>
          <w:p>
            <w:pPr>
              <w:pStyle w:val="41"/>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根据《建设项目环境影响报告表编制技术指南》（污染影响类）（试行）的要求，未要求设施地表水环境保护目标；根据调查，但项目所在区域属于</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eastAsiaTheme="minorEastAsia"/>
                <w:color w:val="000000" w:themeColor="text1"/>
                <w:szCs w:val="24"/>
              </w:rPr>
              <w:t>小江</w:t>
            </w:r>
            <w:r>
              <w:rPr>
                <w:rFonts w:eastAsiaTheme="minorEastAsia"/>
                <w:color w:val="000000" w:themeColor="text1"/>
                <w:szCs w:val="24"/>
              </w:rPr>
              <w:t>列入本项目水环境保护目标。具体如下表所示。</w:t>
            </w:r>
          </w:p>
          <w:p>
            <w:pPr>
              <w:pStyle w:val="41"/>
              <w:ind w:firstLine="480"/>
              <w:rPr>
                <w:rFonts w:eastAsiaTheme="minorEastAsia"/>
                <w:color w:val="000000" w:themeColor="text1"/>
                <w:szCs w:val="24"/>
              </w:rPr>
            </w:pPr>
          </w:p>
          <w:p>
            <w:pPr>
              <w:pStyle w:val="41"/>
              <w:ind w:firstLine="480"/>
              <w:rPr>
                <w:rFonts w:eastAsiaTheme="minorEastAsia"/>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992"/>
              <w:gridCol w:w="2693"/>
              <w:gridCol w:w="1276"/>
              <w:gridCol w:w="85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8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保护目标</w:t>
                  </w:r>
                </w:p>
              </w:tc>
              <w:tc>
                <w:tcPr>
                  <w:tcW w:w="2693"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坐标</w:t>
                  </w:r>
                </w:p>
              </w:tc>
              <w:tc>
                <w:tcPr>
                  <w:tcW w:w="1276"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与项目区的方位及距离</w:t>
                  </w: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0" w:type="dxa"/>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地表水</w:t>
                  </w:r>
                </w:p>
              </w:tc>
              <w:tc>
                <w:tcPr>
                  <w:tcW w:w="992" w:type="dxa"/>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bCs w:val="0"/>
                      <w:color w:val="000000" w:themeColor="text1"/>
                      <w:szCs w:val="24"/>
                    </w:rPr>
                    <w:t>小江</w:t>
                  </w:r>
                </w:p>
              </w:tc>
              <w:tc>
                <w:tcPr>
                  <w:tcW w:w="2693" w:type="dxa"/>
                  <w:tcBorders>
                    <w:top w:val="single" w:color="auto" w:sz="4" w:space="0"/>
                    <w:left w:val="single" w:color="auto" w:sz="4" w:space="0"/>
                    <w:right w:val="single" w:color="auto" w:sz="4" w:space="0"/>
                  </w:tcBorders>
                  <w:vAlign w:val="center"/>
                </w:tcPr>
                <w:p>
                  <w:pPr>
                    <w:pStyle w:val="33"/>
                    <w:spacing w:line="360" w:lineRule="exact"/>
                    <w:ind w:firstLine="210" w:firstLineChars="100"/>
                    <w:jc w:val="left"/>
                    <w:rPr>
                      <w:color w:val="000000" w:themeColor="text1"/>
                      <w:szCs w:val="21"/>
                    </w:rPr>
                  </w:pPr>
                  <w:r>
                    <w:rPr>
                      <w:color w:val="000000" w:themeColor="text1"/>
                      <w:szCs w:val="21"/>
                    </w:rPr>
                    <w:t>起点：东经103°0</w:t>
                  </w:r>
                  <w:r>
                    <w:rPr>
                      <w:rFonts w:hint="eastAsia"/>
                      <w:color w:val="000000" w:themeColor="text1"/>
                      <w:szCs w:val="21"/>
                    </w:rPr>
                    <w:t>7</w:t>
                  </w:r>
                  <w:r>
                    <w:rPr>
                      <w:color w:val="000000" w:themeColor="text1"/>
                      <w:szCs w:val="21"/>
                    </w:rPr>
                    <w:t>′</w:t>
                  </w:r>
                  <w:r>
                    <w:rPr>
                      <w:rFonts w:hint="eastAsia"/>
                      <w:color w:val="000000" w:themeColor="text1"/>
                      <w:szCs w:val="21"/>
                    </w:rPr>
                    <w:t>6.56</w:t>
                  </w:r>
                  <w:r>
                    <w:rPr>
                      <w:color w:val="000000" w:themeColor="text1"/>
                      <w:szCs w:val="21"/>
                    </w:rPr>
                    <w:t>″，北纬26°0</w:t>
                  </w:r>
                  <w:r>
                    <w:rPr>
                      <w:rFonts w:hint="eastAsia"/>
                      <w:color w:val="000000" w:themeColor="text1"/>
                      <w:szCs w:val="21"/>
                    </w:rPr>
                    <w:t>9</w:t>
                  </w:r>
                  <w:r>
                    <w:rPr>
                      <w:color w:val="000000" w:themeColor="text1"/>
                      <w:szCs w:val="21"/>
                    </w:rPr>
                    <w:t>′</w:t>
                  </w:r>
                  <w:r>
                    <w:rPr>
                      <w:rFonts w:hint="eastAsia"/>
                      <w:color w:val="000000" w:themeColor="text1"/>
                      <w:szCs w:val="21"/>
                    </w:rPr>
                    <w:t>58.83</w:t>
                  </w:r>
                  <w:r>
                    <w:rPr>
                      <w:color w:val="000000" w:themeColor="text1"/>
                      <w:szCs w:val="21"/>
                    </w:rPr>
                    <w:t>″；</w:t>
                  </w:r>
                </w:p>
                <w:p>
                  <w:pPr>
                    <w:pStyle w:val="33"/>
                    <w:spacing w:line="360" w:lineRule="exact"/>
                    <w:ind w:firstLine="210" w:firstLineChars="100"/>
                    <w:jc w:val="left"/>
                    <w:rPr>
                      <w:color w:val="000000" w:themeColor="text1"/>
                      <w:szCs w:val="21"/>
                    </w:rPr>
                  </w:pPr>
                  <w:r>
                    <w:rPr>
                      <w:color w:val="000000" w:themeColor="text1"/>
                      <w:szCs w:val="21"/>
                    </w:rPr>
                    <w:t>终点：东经103°06′</w:t>
                  </w:r>
                  <w:r>
                    <w:rPr>
                      <w:rFonts w:hint="eastAsia"/>
                      <w:color w:val="000000" w:themeColor="text1"/>
                      <w:szCs w:val="21"/>
                    </w:rPr>
                    <w:t>5.69</w:t>
                  </w:r>
                  <w:r>
                    <w:rPr>
                      <w:color w:val="000000" w:themeColor="text1"/>
                      <w:szCs w:val="21"/>
                    </w:rPr>
                    <w:t>″，北纬26°10′</w:t>
                  </w:r>
                  <w:r>
                    <w:rPr>
                      <w:rFonts w:hint="eastAsia"/>
                      <w:color w:val="000000" w:themeColor="text1"/>
                      <w:szCs w:val="21"/>
                    </w:rPr>
                    <w:t>59.86</w:t>
                  </w:r>
                  <w:r>
                    <w:rPr>
                      <w:color w:val="000000" w:themeColor="text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bCs w:val="0"/>
                      <w:color w:val="000000" w:themeColor="text1"/>
                      <w:szCs w:val="24"/>
                    </w:rPr>
                    <w:t>西南侧1085m</w:t>
                  </w:r>
                </w:p>
              </w:tc>
              <w:tc>
                <w:tcPr>
                  <w:tcW w:w="8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415</w:t>
                  </w:r>
                  <w:r>
                    <w:rPr>
                      <w:color w:val="000000" w:themeColor="text1"/>
                      <w:szCs w:val="21"/>
                    </w:rPr>
                    <w:t>m</w:t>
                  </w:r>
                </w:p>
              </w:tc>
              <w:tc>
                <w:tcPr>
                  <w:tcW w:w="1917" w:type="dxa"/>
                  <w:tcBorders>
                    <w:top w:val="single" w:color="auto" w:sz="4" w:space="0"/>
                    <w:left w:val="single" w:color="auto" w:sz="4" w:space="0"/>
                    <w:right w:val="single" w:color="auto" w:sz="4" w:space="0"/>
                  </w:tcBorders>
                  <w:vAlign w:val="center"/>
                </w:tcPr>
                <w:p>
                  <w:pPr>
                    <w:pStyle w:val="33"/>
                    <w:spacing w:line="360" w:lineRule="exact"/>
                    <w:ind w:firstLine="210" w:firstLineChars="100"/>
                    <w:jc w:val="left"/>
                    <w:rPr>
                      <w:color w:val="000000" w:themeColor="text1"/>
                      <w:szCs w:val="21"/>
                    </w:rPr>
                  </w:pPr>
                  <w:r>
                    <w:rPr>
                      <w:color w:val="000000" w:themeColor="text1"/>
                      <w:szCs w:val="21"/>
                    </w:rPr>
                    <w:t>《地表水环境质量标准》（GB</w:t>
                  </w:r>
                  <w:r>
                    <w:rPr>
                      <w:rFonts w:hint="eastAsia"/>
                      <w:color w:val="000000" w:themeColor="text1"/>
                      <w:szCs w:val="21"/>
                      <w:lang w:eastAsia="zh-CN"/>
                    </w:rPr>
                    <w:t>****</w:t>
                  </w:r>
                  <w:r>
                    <w:rPr>
                      <w:color w:val="000000" w:themeColor="text1"/>
                      <w:szCs w:val="21"/>
                    </w:rPr>
                    <w:t>-2002）I</w:t>
                  </w:r>
                  <w:r>
                    <w:rPr>
                      <w:rFonts w:hint="eastAsia"/>
                      <w:color w:val="000000" w:themeColor="text1"/>
                      <w:szCs w:val="21"/>
                    </w:rPr>
                    <w:t>II</w:t>
                  </w:r>
                  <w:r>
                    <w:rPr>
                      <w:color w:val="000000" w:themeColor="text1"/>
                      <w:szCs w:val="21"/>
                    </w:rPr>
                    <w:t>类标准</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云南东川产业园区四方地片区昆明合旺有色金属有限公司厂区内，本项目选址不涉及到地下水集中式饮用水水源和热水、矿泉水、温泉等特殊地下水资源。</w:t>
            </w:r>
          </w:p>
          <w:p>
            <w:pPr>
              <w:pStyle w:val="41"/>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41"/>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1"/>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东川产业园区四方地片区昆明合旺有色金属有限公司厂区内，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41"/>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w:t>
            </w:r>
            <w:r>
              <w:rPr>
                <w:rFonts w:hint="eastAsia" w:eastAsiaTheme="minorEastAsia"/>
                <w:color w:val="000000" w:themeColor="text1"/>
                <w:szCs w:val="24"/>
              </w:rPr>
              <w:t>仅</w:t>
            </w:r>
            <w:r>
              <w:rPr>
                <w:rFonts w:eastAsiaTheme="minorEastAsia"/>
                <w:color w:val="000000" w:themeColor="text1"/>
                <w:szCs w:val="24"/>
              </w:rPr>
              <w:t>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污染物排放控制标准</w:t>
            </w:r>
          </w:p>
          <w:p>
            <w:pPr>
              <w:pStyle w:val="41"/>
              <w:ind w:firstLine="482"/>
              <w:rPr>
                <w:rFonts w:eastAsiaTheme="minorEastAsia"/>
                <w:b/>
                <w:color w:val="000000" w:themeColor="text1"/>
                <w:szCs w:val="24"/>
              </w:rPr>
            </w:pPr>
            <w:r>
              <w:rPr>
                <w:rFonts w:eastAsiaTheme="minorEastAsia"/>
                <w:b/>
                <w:color w:val="000000" w:themeColor="text1"/>
                <w:szCs w:val="24"/>
              </w:rPr>
              <w:t>3.3.1 废气排放标准</w:t>
            </w:r>
          </w:p>
          <w:p>
            <w:pPr>
              <w:pStyle w:val="41"/>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-1996）表2中无组织排放浓度排放限值。标准值如下表所示。</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39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33"/>
                    <w:spacing w:line="360" w:lineRule="exact"/>
                    <w:rPr>
                      <w:color w:val="000000" w:themeColor="text1"/>
                      <w:szCs w:val="21"/>
                    </w:rPr>
                  </w:pPr>
                  <w:r>
                    <w:rPr>
                      <w:color w:val="000000" w:themeColor="text1"/>
                      <w:szCs w:val="21"/>
                    </w:rPr>
                    <w:t>污染物</w:t>
                  </w:r>
                </w:p>
              </w:tc>
              <w:tc>
                <w:tcPr>
                  <w:tcW w:w="3577" w:type="dxa"/>
                </w:tcPr>
                <w:p>
                  <w:pPr>
                    <w:pStyle w:val="33"/>
                    <w:spacing w:line="360" w:lineRule="exact"/>
                    <w:rPr>
                      <w:color w:val="000000" w:themeColor="text1"/>
                      <w:szCs w:val="21"/>
                    </w:rPr>
                  </w:pPr>
                  <w:r>
                    <w:rPr>
                      <w:color w:val="000000" w:themeColor="text1"/>
                      <w:szCs w:val="21"/>
                    </w:rPr>
                    <w:t>最高允许排放浓度</w:t>
                  </w:r>
                </w:p>
              </w:tc>
              <w:tc>
                <w:tcPr>
                  <w:tcW w:w="3291" w:type="dxa"/>
                </w:tcPr>
                <w:p>
                  <w:pPr>
                    <w:pStyle w:val="33"/>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3"/>
                    <w:spacing w:line="360" w:lineRule="exact"/>
                    <w:rPr>
                      <w:color w:val="000000" w:themeColor="text1"/>
                      <w:szCs w:val="21"/>
                    </w:rPr>
                  </w:pPr>
                  <w:r>
                    <w:rPr>
                      <w:color w:val="000000" w:themeColor="text1"/>
                      <w:szCs w:val="21"/>
                    </w:rPr>
                    <w:t>颗粒物</w:t>
                  </w:r>
                </w:p>
              </w:tc>
              <w:tc>
                <w:tcPr>
                  <w:tcW w:w="3577" w:type="dxa"/>
                </w:tcPr>
                <w:p>
                  <w:pPr>
                    <w:pStyle w:val="33"/>
                    <w:spacing w:line="360" w:lineRule="exact"/>
                    <w:rPr>
                      <w:color w:val="000000" w:themeColor="text1"/>
                      <w:szCs w:val="21"/>
                    </w:rPr>
                  </w:pPr>
                  <w:r>
                    <w:rPr>
                      <w:color w:val="000000" w:themeColor="text1"/>
                      <w:szCs w:val="21"/>
                    </w:rPr>
                    <w:t>--</w:t>
                  </w:r>
                </w:p>
              </w:tc>
              <w:tc>
                <w:tcPr>
                  <w:tcW w:w="3291" w:type="dxa"/>
                </w:tcPr>
                <w:p>
                  <w:pPr>
                    <w:pStyle w:val="33"/>
                    <w:spacing w:line="360" w:lineRule="exact"/>
                    <w:rPr>
                      <w:color w:val="000000" w:themeColor="text1"/>
                      <w:szCs w:val="21"/>
                    </w:rPr>
                  </w:pPr>
                  <w:r>
                    <w:rPr>
                      <w:color w:val="000000" w:themeColor="text1"/>
                      <w:szCs w:val="21"/>
                    </w:rPr>
                    <w:t>1.0</w:t>
                  </w:r>
                </w:p>
              </w:tc>
            </w:tr>
          </w:tbl>
          <w:p>
            <w:pPr>
              <w:pStyle w:val="41"/>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根据调查，本项目产生的废气包括烘干机生物质燃料燃烧产生的燃烧烟气、烘干线烘干过程产生的烘干粉尘和水淬渣暂存库和废渣暂存库扬尘。具体执行标准如下。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①燃烧烟气执行标准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根据设计，本项目烘干系统设置了1套RFL型圆筒型热风炉，使用生物质燃料提供高温热气（烟气）间接加热空气介质，热交换后的洁净热空气进入烘干机内与单质铁逆流接触进行烘干。</w:t>
            </w:r>
            <w:r>
              <w:rPr>
                <w:rFonts w:hint="eastAsia" w:ascii="Times New Roman" w:hAnsi="Times New Roman" w:cs="Times New Roman"/>
                <w:color w:val="000000" w:themeColor="text1"/>
                <w:sz w:val="24"/>
                <w:szCs w:val="24"/>
              </w:rPr>
              <w:t>燃烧烟气主要为生物质燃料燃烧产生，其污染物类型包括颗粒物、SO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、NOx，针对燃烧烟气，项目拟设置1套燃烧烟气处理系统对其进行处理，该系统由低氮燃烧+非催化还原（SNCR）脱硝技术+袋式除尘器组成，燃烧烟气经低氮燃烧+非催化还原（SNCR）脱硝技术+袋式除尘器处理后通过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w:t>
            </w:r>
            <w:r>
              <w:rPr>
                <w:rFonts w:hint="eastAsia" w:ascii="Times New Roman" w:hAnsi="Times New Roman" w:cs="Times New Roman"/>
                <w:bCs/>
                <w:color w:val="000000" w:themeColor="text1"/>
                <w:sz w:val="24"/>
                <w:szCs w:val="24"/>
              </w:rPr>
              <w:t>项目设置的RFL型圆筒型热风炉的工作原理和锅炉工作原理一致，因此执行《锅炉大气污染物排放标准》（GB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-2014）表2标准限值。</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新建锅炉大气污染物排放浓度</w:t>
            </w:r>
            <w:r>
              <w:rPr>
                <w:rFonts w:ascii="Times New Roman" w:hAnsi="Times New Roman" w:cs="Times New Roman"/>
                <w:b/>
                <w:color w:val="000000" w:themeColor="text1"/>
                <w:szCs w:val="24"/>
              </w:rPr>
              <w:t>限值  单位：mg/m³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148"/>
              <w:gridCol w:w="2835"/>
              <w:gridCol w:w="26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污染物项目</w:t>
                  </w:r>
                </w:p>
              </w:tc>
              <w:tc>
                <w:tcPr>
                  <w:tcW w:w="2835" w:type="dxa"/>
                  <w:vAlign w:val="center"/>
                </w:tcPr>
                <w:p>
                  <w:pPr>
                    <w:pStyle w:val="33"/>
                    <w:spacing w:line="360" w:lineRule="exact"/>
                    <w:rPr>
                      <w:color w:val="000000" w:themeColor="text1"/>
                      <w:szCs w:val="21"/>
                    </w:rPr>
                  </w:pPr>
                  <w:r>
                    <w:rPr>
                      <w:rFonts w:hint="eastAsia"/>
                      <w:color w:val="000000" w:themeColor="text1"/>
                      <w:szCs w:val="21"/>
                    </w:rPr>
                    <w:t>燃煤锅炉限值</w:t>
                  </w:r>
                </w:p>
              </w:tc>
              <w:tc>
                <w:tcPr>
                  <w:tcW w:w="2625" w:type="dxa"/>
                  <w:vAlign w:val="center"/>
                </w:tcPr>
                <w:p>
                  <w:pPr>
                    <w:pStyle w:val="33"/>
                    <w:spacing w:line="360" w:lineRule="exact"/>
                    <w:rPr>
                      <w:color w:val="000000" w:themeColor="text1"/>
                      <w:szCs w:val="21"/>
                    </w:rPr>
                  </w:pPr>
                  <w:r>
                    <w:rPr>
                      <w:rFonts w:hint="eastAsia"/>
                      <w:color w:val="000000" w:themeColor="text1"/>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颗粒物</w:t>
                  </w:r>
                </w:p>
              </w:tc>
              <w:tc>
                <w:tcPr>
                  <w:tcW w:w="2835" w:type="dxa"/>
                  <w:vAlign w:val="center"/>
                </w:tcPr>
                <w:p>
                  <w:pPr>
                    <w:pStyle w:val="33"/>
                    <w:spacing w:line="360" w:lineRule="exact"/>
                    <w:rPr>
                      <w:color w:val="000000" w:themeColor="text1"/>
                      <w:szCs w:val="21"/>
                    </w:rPr>
                  </w:pPr>
                  <w:r>
                    <w:rPr>
                      <w:rFonts w:hint="eastAsia"/>
                      <w:color w:val="000000" w:themeColor="text1"/>
                      <w:szCs w:val="21"/>
                    </w:rPr>
                    <w:t>50</w:t>
                  </w:r>
                </w:p>
              </w:tc>
              <w:tc>
                <w:tcPr>
                  <w:tcW w:w="2625" w:type="dxa"/>
                  <w:vMerge w:val="restart"/>
                  <w:vAlign w:val="center"/>
                </w:tcPr>
                <w:p>
                  <w:pPr>
                    <w:pStyle w:val="33"/>
                    <w:spacing w:line="360" w:lineRule="exact"/>
                    <w:rPr>
                      <w:color w:val="000000" w:themeColor="text1"/>
                      <w:szCs w:val="21"/>
                    </w:rPr>
                  </w:pPr>
                  <w:r>
                    <w:rPr>
                      <w:rFonts w:hint="eastAsia"/>
                      <w:color w:val="000000" w:themeColor="text1"/>
                      <w:szCs w:val="21"/>
                    </w:rPr>
                    <w:t>烟囱或烟道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二氧化硫</w:t>
                  </w:r>
                </w:p>
              </w:tc>
              <w:tc>
                <w:tcPr>
                  <w:tcW w:w="2835" w:type="dxa"/>
                  <w:vAlign w:val="center"/>
                </w:tcPr>
                <w:p>
                  <w:pPr>
                    <w:pStyle w:val="33"/>
                    <w:spacing w:line="360" w:lineRule="exact"/>
                    <w:rPr>
                      <w:color w:val="000000" w:themeColor="text1"/>
                      <w:szCs w:val="21"/>
                    </w:rPr>
                  </w:pPr>
                  <w:r>
                    <w:rPr>
                      <w:rFonts w:hint="eastAsia"/>
                      <w:color w:val="000000" w:themeColor="text1"/>
                      <w:szCs w:val="21"/>
                    </w:rPr>
                    <w:t>300</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氮氧化物</w:t>
                  </w:r>
                </w:p>
              </w:tc>
              <w:tc>
                <w:tcPr>
                  <w:tcW w:w="2835" w:type="dxa"/>
                  <w:vAlign w:val="center"/>
                </w:tcPr>
                <w:p>
                  <w:pPr>
                    <w:pStyle w:val="33"/>
                    <w:spacing w:line="360" w:lineRule="exact"/>
                    <w:rPr>
                      <w:color w:val="000000" w:themeColor="text1"/>
                      <w:szCs w:val="21"/>
                    </w:rPr>
                  </w:pPr>
                  <w:r>
                    <w:rPr>
                      <w:rFonts w:hint="eastAsia"/>
                      <w:color w:val="000000" w:themeColor="text1"/>
                      <w:szCs w:val="21"/>
                    </w:rPr>
                    <w:t>300</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汞及其化合物</w:t>
                  </w:r>
                </w:p>
              </w:tc>
              <w:tc>
                <w:tcPr>
                  <w:tcW w:w="2835" w:type="dxa"/>
                  <w:vAlign w:val="center"/>
                </w:tcPr>
                <w:p>
                  <w:pPr>
                    <w:pStyle w:val="33"/>
                    <w:spacing w:line="360" w:lineRule="exact"/>
                    <w:rPr>
                      <w:color w:val="000000" w:themeColor="text1"/>
                      <w:szCs w:val="21"/>
                    </w:rPr>
                  </w:pPr>
                  <w:r>
                    <w:rPr>
                      <w:rFonts w:hint="eastAsia"/>
                      <w:color w:val="000000" w:themeColor="text1"/>
                      <w:szCs w:val="21"/>
                    </w:rPr>
                    <w:t>0.05</w:t>
                  </w:r>
                </w:p>
              </w:tc>
              <w:tc>
                <w:tcPr>
                  <w:tcW w:w="2625" w:type="dxa"/>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48" w:type="dxa"/>
                  <w:vAlign w:val="center"/>
                </w:tcPr>
                <w:p>
                  <w:pPr>
                    <w:pStyle w:val="33"/>
                    <w:spacing w:line="360" w:lineRule="exact"/>
                    <w:rPr>
                      <w:color w:val="000000" w:themeColor="text1"/>
                      <w:szCs w:val="21"/>
                    </w:rPr>
                  </w:pPr>
                  <w:r>
                    <w:rPr>
                      <w:rFonts w:hint="eastAsia"/>
                      <w:color w:val="000000" w:themeColor="text1"/>
                      <w:szCs w:val="21"/>
                    </w:rPr>
                    <w:t>烟气黑度（林格曼黑度，级）</w:t>
                  </w:r>
                </w:p>
              </w:tc>
              <w:tc>
                <w:tcPr>
                  <w:tcW w:w="2835" w:type="dxa"/>
                  <w:vAlign w:val="center"/>
                </w:tcPr>
                <w:p>
                  <w:pPr>
                    <w:pStyle w:val="33"/>
                    <w:spacing w:line="360" w:lineRule="exact"/>
                    <w:rPr>
                      <w:color w:val="000000" w:themeColor="text1"/>
                      <w:szCs w:val="21"/>
                    </w:rPr>
                  </w:pPr>
                  <w:r>
                    <w:rPr>
                      <w:rFonts w:hint="eastAsia"/>
                      <w:color w:val="000000" w:themeColor="text1"/>
                      <w:szCs w:val="21"/>
                    </w:rPr>
                    <w:t>≤1</w:t>
                  </w:r>
                </w:p>
              </w:tc>
              <w:tc>
                <w:tcPr>
                  <w:tcW w:w="2625" w:type="dxa"/>
                  <w:vAlign w:val="center"/>
                </w:tcPr>
                <w:p>
                  <w:pPr>
                    <w:pStyle w:val="33"/>
                    <w:spacing w:line="360" w:lineRule="exact"/>
                    <w:rPr>
                      <w:color w:val="000000" w:themeColor="text1"/>
                      <w:szCs w:val="21"/>
                    </w:rPr>
                  </w:pPr>
                  <w:r>
                    <w:rPr>
                      <w:rFonts w:hint="eastAsia"/>
                      <w:color w:val="000000" w:themeColor="text1"/>
                      <w:szCs w:val="21"/>
                    </w:rPr>
                    <w:t>烟囱排放口</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根据生态环境部《关于执行《锅炉大气污染物排放标准》（GB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-2014）有关问题的复函》（环大气函〔2016〕172号）的要求：“一、对于新建锅炉，必须满足《锅炉大气污染物排放标准》（GB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-2014）中烟囱最低允许高度限值要求。”因此本项目拟执行烟囱最低允许高度限制要求。本项目设置的RFL型圆筒型热风炉的功率为37KW＜0.7MW。根据要求，锅炉房装机总容量＜0.7MW的，烟囱最低允许高度为20m。</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②烘干粉尘执行标准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bCs/>
                <w:color w:val="000000" w:themeColor="text1"/>
                <w:sz w:val="24"/>
                <w:szCs w:val="24"/>
              </w:rPr>
              <w:t>烘干粉尘为洁净热空气进入烘干机烘干过程产生的烘干粉尘（颗粒物），烘干粉尘通过旋风除尘+袋式除尘器处理，后通过</w:t>
            </w:r>
            <w:r>
              <w:rPr>
                <w:rFonts w:ascii="Times New Roman" w:hAnsi="Times New Roman" w:cs="Times New Roman"/>
                <w:bCs/>
                <w:color w:val="000000" w:themeColor="text1"/>
                <w:sz w:val="24"/>
                <w:szCs w:val="24"/>
              </w:rPr>
              <w:t>1根Φ</w:t>
            </w:r>
            <w:r>
              <w:rPr>
                <w:rFonts w:hint="eastAsia" w:ascii="Times New Roman" w:hAnsi="Times New Roman" w:cs="Times New Roman"/>
                <w:bCs/>
                <w:color w:val="000000" w:themeColor="text1"/>
                <w:sz w:val="24"/>
                <w:szCs w:val="24"/>
              </w:rPr>
              <w:t>0.5</w:t>
            </w:r>
            <w:r>
              <w:rPr>
                <w:rFonts w:ascii="Times New Roman" w:hAnsi="Times New Roman" w:cs="Times New Roman"/>
                <w:bCs/>
                <w:color w:val="000000" w:themeColor="text1"/>
                <w:sz w:val="24"/>
                <w:szCs w:val="24"/>
              </w:rPr>
              <w:t>m、高</w:t>
            </w:r>
            <w:r>
              <w:rPr>
                <w:rFonts w:hint="eastAsia" w:ascii="Times New Roman" w:hAnsi="Times New Roman" w:cs="Times New Roman"/>
                <w:bCs/>
                <w:color w:val="000000" w:themeColor="text1"/>
                <w:sz w:val="24"/>
                <w:szCs w:val="24"/>
              </w:rPr>
              <w:t>15</w:t>
            </w:r>
            <w:r>
              <w:rPr>
                <w:rFonts w:ascii="Times New Roman" w:hAnsi="Times New Roman" w:cs="Times New Roman"/>
                <w:bCs/>
                <w:color w:val="000000" w:themeColor="text1"/>
                <w:sz w:val="24"/>
                <w:szCs w:val="24"/>
              </w:rPr>
              <w:t>m</w:t>
            </w:r>
            <w:r>
              <w:rPr>
                <w:rFonts w:hint="eastAsia" w:ascii="Times New Roman" w:hAnsi="Times New Roman" w:cs="Times New Roman"/>
                <w:bCs/>
                <w:color w:val="000000" w:themeColor="text1"/>
                <w:sz w:val="24"/>
                <w:szCs w:val="24"/>
              </w:rPr>
              <w:t>的</w:t>
            </w:r>
            <w:r>
              <w:rPr>
                <w:rFonts w:ascii="Times New Roman" w:hAnsi="Times New Roman" w:cs="Times New Roman"/>
                <w:bCs/>
                <w:color w:val="000000" w:themeColor="text1"/>
                <w:sz w:val="24"/>
                <w:szCs w:val="24"/>
              </w:rPr>
              <w:t>排气筒（DA004）</w:t>
            </w:r>
            <w:r>
              <w:rPr>
                <w:rFonts w:hint="eastAsia" w:ascii="Times New Roman" w:hAnsi="Times New Roman" w:cs="Times New Roman"/>
                <w:bCs/>
                <w:color w:val="000000" w:themeColor="text1"/>
                <w:sz w:val="24"/>
                <w:szCs w:val="24"/>
              </w:rPr>
              <w:t>外排；</w:t>
            </w:r>
            <w:r>
              <w:rPr>
                <w:rFonts w:hint="eastAsia" w:ascii="Times New Roman" w:hAnsi="Times New Roman" w:cs="Times New Roman"/>
                <w:color w:val="000000" w:themeColor="text1"/>
                <w:sz w:val="24"/>
                <w:szCs w:val="24"/>
              </w:rPr>
              <w:t>执行</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中二级标准限值。该排气筒未高于周围200m半径范围的建筑5m，应按其高度对应的表列排放速率标准值严格50%执行。</w:t>
            </w: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3.3.1-3 </w:t>
            </w:r>
            <w:r>
              <w:rPr>
                <w:rFonts w:ascii="Times New Roman" w:hAnsi="Times New Roman" w:cs="Times New Roman"/>
                <w:b/>
                <w:color w:val="000000" w:themeColor="text1"/>
                <w:szCs w:val="24"/>
              </w:rPr>
              <w:t xml:space="preserve"> 《大气污染物综合排放标准》</w:t>
            </w:r>
            <w:r>
              <w:rPr>
                <w:rFonts w:hint="eastAsia" w:ascii="Times New Roman" w:hAnsi="Times New Roman" w:cs="Times New Roman"/>
                <w:b/>
                <w:color w:val="000000" w:themeColor="text1"/>
                <w:szCs w:val="24"/>
              </w:rPr>
              <w:t>二级标准</w:t>
            </w:r>
            <w:r>
              <w:rPr>
                <w:rFonts w:ascii="Times New Roman" w:hAnsi="Times New Roman" w:cs="Times New Roman"/>
                <w:b/>
                <w:color w:val="000000" w:themeColor="text1"/>
                <w:szCs w:val="24"/>
              </w:rPr>
              <w:t>排放限值</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35"/>
              <w:gridCol w:w="1994"/>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restart"/>
                  <w:vAlign w:val="center"/>
                </w:tcPr>
                <w:p>
                  <w:pPr>
                    <w:pStyle w:val="33"/>
                    <w:spacing w:line="360" w:lineRule="exact"/>
                    <w:rPr>
                      <w:color w:val="000000" w:themeColor="text1"/>
                      <w:szCs w:val="21"/>
                    </w:rPr>
                  </w:pPr>
                  <w:r>
                    <w:rPr>
                      <w:color w:val="000000" w:themeColor="text1"/>
                      <w:szCs w:val="21"/>
                    </w:rPr>
                    <w:t>项目</w:t>
                  </w:r>
                </w:p>
              </w:tc>
              <w:tc>
                <w:tcPr>
                  <w:tcW w:w="2135" w:type="dxa"/>
                  <w:vMerge w:val="restart"/>
                  <w:vAlign w:val="center"/>
                </w:tcPr>
                <w:p>
                  <w:pPr>
                    <w:pStyle w:val="33"/>
                    <w:spacing w:line="360" w:lineRule="exact"/>
                    <w:rPr>
                      <w:color w:val="000000" w:themeColor="text1"/>
                      <w:szCs w:val="21"/>
                    </w:rPr>
                  </w:pPr>
                  <w:r>
                    <w:rPr>
                      <w:color w:val="000000" w:themeColor="text1"/>
                      <w:szCs w:val="21"/>
                    </w:rPr>
                    <w:t>最高允许排放浓度mg/m³</w:t>
                  </w:r>
                </w:p>
              </w:tc>
              <w:tc>
                <w:tcPr>
                  <w:tcW w:w="4331" w:type="dxa"/>
                  <w:gridSpan w:val="2"/>
                  <w:vAlign w:val="center"/>
                </w:tcPr>
                <w:p>
                  <w:pPr>
                    <w:pStyle w:val="33"/>
                    <w:spacing w:line="360" w:lineRule="exact"/>
                    <w:rPr>
                      <w:color w:val="000000" w:themeColor="text1"/>
                      <w:szCs w:val="21"/>
                    </w:rPr>
                  </w:pPr>
                  <w:r>
                    <w:rPr>
                      <w:rFonts w:hint="eastAsia"/>
                      <w:color w:val="000000" w:themeColor="text1"/>
                      <w:szCs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continue"/>
                  <w:vAlign w:val="center"/>
                </w:tcPr>
                <w:p>
                  <w:pPr>
                    <w:pStyle w:val="33"/>
                    <w:spacing w:line="360" w:lineRule="exact"/>
                    <w:rPr>
                      <w:color w:val="000000" w:themeColor="text1"/>
                      <w:szCs w:val="21"/>
                    </w:rPr>
                  </w:pPr>
                </w:p>
              </w:tc>
              <w:tc>
                <w:tcPr>
                  <w:tcW w:w="2135" w:type="dxa"/>
                  <w:vMerge w:val="continue"/>
                  <w:vAlign w:val="center"/>
                </w:tcPr>
                <w:p>
                  <w:pPr>
                    <w:pStyle w:val="33"/>
                    <w:spacing w:line="360" w:lineRule="exact"/>
                    <w:rPr>
                      <w:color w:val="000000" w:themeColor="text1"/>
                      <w:szCs w:val="21"/>
                    </w:rPr>
                  </w:pPr>
                </w:p>
              </w:tc>
              <w:tc>
                <w:tcPr>
                  <w:tcW w:w="1994" w:type="dxa"/>
                  <w:vAlign w:val="center"/>
                </w:tcPr>
                <w:p>
                  <w:pPr>
                    <w:pStyle w:val="33"/>
                    <w:spacing w:line="360" w:lineRule="exact"/>
                    <w:rPr>
                      <w:color w:val="000000" w:themeColor="text1"/>
                      <w:szCs w:val="21"/>
                    </w:rPr>
                  </w:pPr>
                  <w:r>
                    <w:rPr>
                      <w:rFonts w:hint="eastAsia"/>
                      <w:color w:val="000000" w:themeColor="text1"/>
                      <w:szCs w:val="21"/>
                    </w:rPr>
                    <w:t>排气筒高度m</w:t>
                  </w:r>
                </w:p>
              </w:tc>
              <w:tc>
                <w:tcPr>
                  <w:tcW w:w="2337" w:type="dxa"/>
                  <w:vAlign w:val="center"/>
                </w:tcPr>
                <w:p>
                  <w:pPr>
                    <w:pStyle w:val="33"/>
                    <w:spacing w:line="360" w:lineRule="exact"/>
                    <w:rPr>
                      <w:color w:val="000000" w:themeColor="text1"/>
                      <w:szCs w:val="21"/>
                    </w:rPr>
                  </w:pPr>
                  <w:r>
                    <w:rPr>
                      <w:rFonts w:hint="eastAsia"/>
                      <w:color w:val="000000" w:themeColor="text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pPr>
                    <w:pStyle w:val="33"/>
                    <w:spacing w:line="360" w:lineRule="exact"/>
                    <w:rPr>
                      <w:color w:val="000000" w:themeColor="text1"/>
                      <w:szCs w:val="21"/>
                    </w:rPr>
                  </w:pPr>
                  <w:r>
                    <w:rPr>
                      <w:rFonts w:hint="eastAsia"/>
                      <w:color w:val="000000" w:themeColor="text1"/>
                      <w:szCs w:val="21"/>
                    </w:rPr>
                    <w:t>颗粒物</w:t>
                  </w:r>
                </w:p>
              </w:tc>
              <w:tc>
                <w:tcPr>
                  <w:tcW w:w="2135"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120</w:t>
                  </w:r>
                </w:p>
              </w:tc>
              <w:tc>
                <w:tcPr>
                  <w:tcW w:w="1994" w:type="dxa"/>
                  <w:vAlign w:val="center"/>
                </w:tcPr>
                <w:p>
                  <w:pPr>
                    <w:pStyle w:val="33"/>
                    <w:spacing w:line="360" w:lineRule="exact"/>
                    <w:rPr>
                      <w:color w:val="000000" w:themeColor="text1"/>
                      <w:szCs w:val="21"/>
                    </w:rPr>
                  </w:pPr>
                  <w:r>
                    <w:rPr>
                      <w:rFonts w:hint="eastAsia"/>
                      <w:color w:val="000000" w:themeColor="text1"/>
                      <w:szCs w:val="21"/>
                    </w:rPr>
                    <w:t>15</w:t>
                  </w:r>
                </w:p>
              </w:tc>
              <w:tc>
                <w:tcPr>
                  <w:tcW w:w="2337" w:type="dxa"/>
                  <w:vAlign w:val="center"/>
                </w:tcPr>
                <w:p>
                  <w:pPr>
                    <w:pStyle w:val="33"/>
                    <w:spacing w:line="360" w:lineRule="exact"/>
                    <w:rPr>
                      <w:color w:val="000000" w:themeColor="text1"/>
                      <w:szCs w:val="21"/>
                    </w:rPr>
                  </w:pPr>
                  <w:r>
                    <w:rPr>
                      <w:rFonts w:hint="eastAsia"/>
                      <w:color w:val="000000" w:themeColor="text1"/>
                      <w:szCs w:val="21"/>
                    </w:rPr>
                    <w:t>1.75</w:t>
                  </w:r>
                </w:p>
              </w:tc>
            </w:tr>
          </w:tbl>
          <w:p>
            <w:pPr>
              <w:pStyle w:val="41"/>
              <w:spacing w:beforeLines="50"/>
              <w:ind w:firstLine="482"/>
              <w:rPr>
                <w:rFonts w:eastAsiaTheme="minorEastAsia"/>
                <w:b/>
                <w:color w:val="000000" w:themeColor="text1"/>
                <w:szCs w:val="24"/>
              </w:rPr>
            </w:pPr>
            <w:r>
              <w:rPr>
                <w:rFonts w:hint="eastAsia" w:eastAsiaTheme="minorEastAsia"/>
                <w:b/>
                <w:color w:val="000000" w:themeColor="text1"/>
                <w:szCs w:val="24"/>
              </w:rPr>
              <w:t>③水淬渣暂存库和废渣暂存库扬尘执行标准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项目水淬渣暂存库和废渣暂存库产生的扬尘执行</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3.3.1-4 </w:t>
            </w:r>
            <w:r>
              <w:rPr>
                <w:rFonts w:ascii="Times New Roman" w:hAnsi="Times New Roman" w:cs="Times New Roman"/>
                <w:b/>
                <w:color w:val="000000" w:themeColor="text1"/>
                <w:szCs w:val="24"/>
              </w:rPr>
              <w:t xml:space="preserve"> 《大气污染物综合排放标准》</w:t>
            </w:r>
            <w:r>
              <w:rPr>
                <w:rFonts w:hint="eastAsia" w:ascii="Times New Roman" w:hAnsi="Times New Roman" w:cs="Times New Roman"/>
                <w:b/>
                <w:color w:val="000000" w:themeColor="text1"/>
                <w:szCs w:val="24"/>
              </w:rPr>
              <w:t>无组织</w:t>
            </w:r>
            <w:r>
              <w:rPr>
                <w:rFonts w:ascii="Times New Roman" w:hAnsi="Times New Roman" w:cs="Times New Roman"/>
                <w:b/>
                <w:color w:val="000000" w:themeColor="text1"/>
                <w:szCs w:val="24"/>
              </w:rPr>
              <w:t>排放限值 单位mg/Nm³</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351"/>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3"/>
                    <w:spacing w:line="360" w:lineRule="exact"/>
                    <w:rPr>
                      <w:color w:val="000000" w:themeColor="text1"/>
                      <w:szCs w:val="21"/>
                    </w:rPr>
                  </w:pPr>
                  <w:r>
                    <w:rPr>
                      <w:color w:val="000000" w:themeColor="text1"/>
                      <w:szCs w:val="21"/>
                    </w:rPr>
                    <w:t>项目</w:t>
                  </w:r>
                </w:p>
              </w:tc>
              <w:tc>
                <w:tcPr>
                  <w:tcW w:w="2350" w:type="dxa"/>
                  <w:vAlign w:val="center"/>
                </w:tcPr>
                <w:p>
                  <w:pPr>
                    <w:pStyle w:val="33"/>
                    <w:spacing w:line="360" w:lineRule="exact"/>
                    <w:rPr>
                      <w:color w:val="000000" w:themeColor="text1"/>
                      <w:szCs w:val="21"/>
                    </w:rPr>
                  </w:pPr>
                  <w:r>
                    <w:rPr>
                      <w:color w:val="000000" w:themeColor="text1"/>
                      <w:szCs w:val="21"/>
                    </w:rPr>
                    <w:t>最高允许排放浓度限值</w:t>
                  </w:r>
                </w:p>
              </w:tc>
              <w:tc>
                <w:tcPr>
                  <w:tcW w:w="4116" w:type="dxa"/>
                  <w:vAlign w:val="center"/>
                </w:tcPr>
                <w:p>
                  <w:pPr>
                    <w:pStyle w:val="33"/>
                    <w:spacing w:line="360" w:lineRule="exact"/>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Align w:val="center"/>
                </w:tcPr>
                <w:p>
                  <w:pPr>
                    <w:pStyle w:val="33"/>
                    <w:spacing w:line="360" w:lineRule="exact"/>
                    <w:rPr>
                      <w:color w:val="000000" w:themeColor="text1"/>
                      <w:szCs w:val="21"/>
                    </w:rPr>
                  </w:pPr>
                  <w:r>
                    <w:rPr>
                      <w:rFonts w:hint="eastAsia"/>
                      <w:color w:val="000000" w:themeColor="text1"/>
                      <w:szCs w:val="21"/>
                    </w:rPr>
                    <w:t>颗粒物</w:t>
                  </w:r>
                </w:p>
              </w:tc>
              <w:tc>
                <w:tcPr>
                  <w:tcW w:w="2350" w:type="dxa"/>
                  <w:vAlign w:val="center"/>
                </w:tcPr>
                <w:p>
                  <w:pPr>
                    <w:pStyle w:val="33"/>
                    <w:spacing w:line="360" w:lineRule="exact"/>
                    <w:rPr>
                      <w:color w:val="000000" w:themeColor="text1"/>
                      <w:szCs w:val="21"/>
                    </w:rPr>
                  </w:pPr>
                  <w:r>
                    <w:rPr>
                      <w:color w:val="000000" w:themeColor="text1"/>
                      <w:szCs w:val="21"/>
                    </w:rPr>
                    <w:t>≤1.0</w:t>
                  </w:r>
                </w:p>
              </w:tc>
              <w:tc>
                <w:tcPr>
                  <w:tcW w:w="4116" w:type="dxa"/>
                  <w:vAlign w:val="center"/>
                </w:tcPr>
                <w:p>
                  <w:pPr>
                    <w:pStyle w:val="33"/>
                    <w:spacing w:line="360" w:lineRule="exact"/>
                    <w:rPr>
                      <w:color w:val="000000" w:themeColor="text1"/>
                      <w:szCs w:val="21"/>
                    </w:rPr>
                  </w:pPr>
                  <w:r>
                    <w:rPr>
                      <w:color w:val="000000" w:themeColor="text1"/>
                      <w:szCs w:val="21"/>
                    </w:rPr>
                    <w:t>周外界浓度</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项目运营期废水包括生产废水、初期雨水和生活污水。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①生产废水和初期雨水执行标准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项目产生的生产废水经收集后进入</w:t>
            </w:r>
            <w:r>
              <w:rPr>
                <w:rFonts w:ascii="Times New Roman" w:hAnsi="Times New Roman" w:cs="Times New Roman"/>
                <w:bCs/>
                <w:color w:val="000000" w:themeColor="text1"/>
                <w:sz w:val="24"/>
                <w:szCs w:val="24"/>
              </w:rPr>
              <w:t>废水处理系统</w:t>
            </w:r>
            <w:r>
              <w:rPr>
                <w:rFonts w:hint="eastAsia" w:ascii="Times New Roman" w:hAnsi="Times New Roman" w:cs="Times New Roman"/>
                <w:bCs/>
                <w:color w:val="000000" w:themeColor="text1"/>
                <w:sz w:val="24"/>
                <w:szCs w:val="24"/>
              </w:rPr>
              <w:t>循环沉淀过滤处理后回用于生产，不外排</w:t>
            </w:r>
            <w:r>
              <w:rPr>
                <w:rFonts w:hint="eastAsia" w:ascii="Times New Roman" w:hAnsi="Times New Roman" w:cs="Times New Roman"/>
                <w:color w:val="000000" w:themeColor="text1"/>
                <w:sz w:val="24"/>
                <w:szCs w:val="24"/>
              </w:rPr>
              <w:t>；初期雨水经初期雨水收集池</w:t>
            </w:r>
            <w:r>
              <w:rPr>
                <w:rFonts w:ascii="Times New Roman" w:hAnsi="Times New Roman" w:cs="Times New Roman"/>
                <w:color w:val="000000" w:themeColor="text1"/>
                <w:sz w:val="24"/>
                <w:szCs w:val="24"/>
              </w:rPr>
              <w:t>收集后，</w:t>
            </w:r>
            <w:r>
              <w:rPr>
                <w:rFonts w:hint="eastAsia" w:ascii="Times New Roman" w:hAnsi="Times New Roman" w:cs="Times New Roman"/>
                <w:color w:val="000000" w:themeColor="text1"/>
                <w:sz w:val="24"/>
                <w:szCs w:val="24"/>
              </w:rPr>
              <w:t>用于次氧化锌生产线</w:t>
            </w:r>
            <w:r>
              <w:rPr>
                <w:rFonts w:ascii="Times New Roman" w:hAnsi="Times New Roman" w:cs="Times New Roman"/>
                <w:color w:val="000000" w:themeColor="text1"/>
                <w:sz w:val="24"/>
                <w:szCs w:val="24"/>
              </w:rPr>
              <w:t>原料堆场</w:t>
            </w:r>
            <w:r>
              <w:rPr>
                <w:rFonts w:hint="eastAsia" w:ascii="Times New Roman" w:hAnsi="Times New Roman" w:cs="Times New Roman"/>
                <w:color w:val="000000" w:themeColor="text1"/>
                <w:sz w:val="24"/>
                <w:szCs w:val="24"/>
              </w:rPr>
              <w:t>、厂区道路等区域进行洒水抑尘，不外排。不设置排放标准。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区生活污水经隔油池、化粪池处理后，通过提升泵泵至厂区东侧小邓段公路污水管网进入四方地与碧谷园区污水处理厂处理。四方地与碧谷园区污水处理厂采用二级处理工艺，生活污水经隔油池、化粪池处理后，通过提升泵泵至厂区东侧小邓段公路污水管网进入四方地与碧谷园区污水处理厂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-2015）的B等级标准。标准限值详见下表。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3.3.2-1</w:t>
            </w:r>
            <w:r>
              <w:rPr>
                <w:rFonts w:ascii="Times New Roman" w:hAnsi="Times New Roman" w:cs="Times New Roman"/>
                <w:b/>
                <w:color w:val="000000" w:themeColor="text1"/>
                <w:szCs w:val="24"/>
              </w:rPr>
              <w:t xml:space="preserve"> 污水排入城镇下水道水质控制项目限值  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5"/>
              <w:gridCol w:w="883"/>
              <w:gridCol w:w="885"/>
              <w:gridCol w:w="781"/>
              <w:gridCol w:w="677"/>
              <w:gridCol w:w="676"/>
              <w:gridCol w:w="656"/>
              <w:gridCol w:w="811"/>
              <w:gridCol w:w="698"/>
              <w:gridCol w:w="677"/>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89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pH</w:t>
                  </w:r>
                </w:p>
              </w:tc>
              <w:tc>
                <w:tcPr>
                  <w:tcW w:w="89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792"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氨氮</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总氮</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851"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动植物油</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SS</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1176"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B等级</w:t>
                  </w:r>
                </w:p>
              </w:tc>
              <w:tc>
                <w:tcPr>
                  <w:tcW w:w="89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6.5-9.5</w:t>
                  </w:r>
                </w:p>
              </w:tc>
              <w:tc>
                <w:tcPr>
                  <w:tcW w:w="89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≤500</w:t>
                  </w:r>
                </w:p>
              </w:tc>
              <w:tc>
                <w:tcPr>
                  <w:tcW w:w="792"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≤350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≤45</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≤8</w:t>
                  </w:r>
                </w:p>
              </w:tc>
              <w:tc>
                <w:tcPr>
                  <w:tcW w:w="851"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≤100</w:t>
                  </w:r>
                </w:p>
              </w:tc>
              <w:tc>
                <w:tcPr>
                  <w:tcW w:w="708"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≤400</w:t>
                  </w:r>
                </w:p>
              </w:tc>
              <w:tc>
                <w:tcPr>
                  <w:tcW w:w="709"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15</w:t>
                  </w:r>
                </w:p>
              </w:tc>
              <w:tc>
                <w:tcPr>
                  <w:tcW w:w="1176"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-1 建筑施工场界噪声标准限值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3"/>
                    <w:spacing w:line="360" w:lineRule="exact"/>
                    <w:ind w:left="11"/>
                    <w:rPr>
                      <w:rFonts w:eastAsiaTheme="minorEastAsia"/>
                      <w:color w:val="000000" w:themeColor="text1"/>
                      <w:szCs w:val="21"/>
                    </w:rPr>
                  </w:pPr>
                </w:p>
              </w:tc>
              <w:tc>
                <w:tcPr>
                  <w:tcW w:w="2977"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项目位于云南东川产业园区四方地片区昆明合旺有色金属有限公司厂区内，本项目噪声执行《工业企业厂界环境噪声排放标准》（GB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《工业企业厂界环境噪声排放标准》  Leq[dB（A）</w:t>
            </w:r>
          </w:p>
          <w:tbl>
            <w:tblPr>
              <w:tblStyle w:val="22"/>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2922"/>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3"/>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3"/>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41"/>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41"/>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color w:val="000000" w:themeColor="text1"/>
                <w:szCs w:val="24"/>
              </w:rPr>
              <w:t>①</w:t>
            </w:r>
            <w:r>
              <w:rPr>
                <w:color w:val="000000" w:themeColor="text1"/>
                <w:szCs w:val="24"/>
              </w:rPr>
              <w:fldChar w:fldCharType="end"/>
            </w:r>
            <w:r>
              <w:rPr>
                <w:color w:val="000000" w:themeColor="text1"/>
                <w:szCs w:val="24"/>
              </w:rPr>
              <w:t>危险废物执行《危险废物贮存污染控制标准》（GB</w:t>
            </w:r>
            <w:r>
              <w:rPr>
                <w:rFonts w:hint="eastAsia"/>
                <w:color w:val="000000" w:themeColor="text1"/>
                <w:szCs w:val="24"/>
                <w:lang w:eastAsia="zh-CN"/>
              </w:rPr>
              <w:t>*****</w:t>
            </w:r>
            <w:r>
              <w:rPr>
                <w:color w:val="000000" w:themeColor="text1"/>
                <w:szCs w:val="24"/>
              </w:rPr>
              <w:t>-2023）。</w:t>
            </w:r>
          </w:p>
          <w:p>
            <w:pPr>
              <w:pStyle w:val="41"/>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w:t>
            </w:r>
            <w:r>
              <w:rPr>
                <w:rFonts w:hint="eastAsia"/>
                <w:color w:val="000000" w:themeColor="text1"/>
                <w:szCs w:val="24"/>
                <w:lang w:eastAsia="zh-CN"/>
              </w:rPr>
              <w:t>*****</w:t>
            </w:r>
            <w:r>
              <w:rPr>
                <w:color w:val="000000" w:themeColor="text1"/>
                <w:szCs w:val="24"/>
              </w:rPr>
              <w:t>-2020）。</w:t>
            </w:r>
          </w:p>
          <w:p>
            <w:pPr>
              <w:pStyle w:val="41"/>
              <w:ind w:firstLine="480"/>
              <w:rPr>
                <w:color w:val="000000" w:themeColor="text1"/>
                <w:szCs w:val="24"/>
              </w:rPr>
            </w:pPr>
            <w:r>
              <w:rPr>
                <w:rFonts w:hint="eastAsia"/>
                <w:color w:val="000000" w:themeColor="text1"/>
                <w:szCs w:val="24"/>
              </w:rPr>
              <w:t>③氧化锌尾渣（水淬渣）及废渣</w:t>
            </w:r>
            <w:r>
              <w:rPr>
                <w:color w:val="000000" w:themeColor="text1"/>
                <w:szCs w:val="24"/>
              </w:rPr>
              <w:t>属性判断标准如下：氧化锌尾渣（水淬渣）及废渣执行《危险废物鉴别标准 腐蚀性鉴别》（GB</w:t>
            </w:r>
            <w:r>
              <w:rPr>
                <w:rFonts w:hint="eastAsia"/>
                <w:color w:val="000000" w:themeColor="text1"/>
                <w:szCs w:val="24"/>
                <w:lang w:eastAsia="zh-CN"/>
              </w:rPr>
              <w:t>****</w:t>
            </w:r>
            <w:r>
              <w:rPr>
                <w:color w:val="000000" w:themeColor="text1"/>
                <w:szCs w:val="24"/>
              </w:rPr>
              <w:t>.1-2007）和《危险废物鉴别标准 浸出毒性鉴别》（GB</w:t>
            </w:r>
            <w:r>
              <w:rPr>
                <w:rFonts w:hint="eastAsia"/>
                <w:color w:val="000000" w:themeColor="text1"/>
                <w:szCs w:val="24"/>
                <w:lang w:eastAsia="zh-CN"/>
              </w:rPr>
              <w:t>****</w:t>
            </w:r>
            <w:r>
              <w:rPr>
                <w:color w:val="000000" w:themeColor="text1"/>
                <w:szCs w:val="24"/>
              </w:rPr>
              <w:t>.3-2007）标准要求</w:t>
            </w:r>
            <w:r>
              <w:rPr>
                <w:rFonts w:hint="eastAsia"/>
                <w:color w:val="000000" w:themeColor="text1"/>
                <w:szCs w:val="24"/>
              </w:rPr>
              <w:t>。</w:t>
            </w:r>
          </w:p>
          <w:p>
            <w:pPr>
              <w:pStyle w:val="41"/>
              <w:ind w:firstLine="480"/>
              <w:rPr>
                <w:color w:val="000000" w:themeColor="text1"/>
                <w:szCs w:val="24"/>
              </w:rPr>
            </w:pPr>
            <w:r>
              <w:rPr>
                <w:color w:val="000000" w:themeColor="text1"/>
                <w:szCs w:val="24"/>
              </w:rPr>
              <w:t>标准值如下表所示。</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3.3.4-1</w:t>
            </w:r>
            <w:r>
              <w:rPr>
                <w:rFonts w:ascii="Times New Roman" w:hAnsi="Times New Roman" w:cs="Times New Roman"/>
                <w:b/>
                <w:color w:val="000000" w:themeColor="text1"/>
                <w:szCs w:val="24"/>
              </w:rPr>
              <w:t xml:space="preserve">  腐蚀性、浸出毒性限值一览表 mg/L</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60"/>
              <w:gridCol w:w="1137"/>
              <w:gridCol w:w="2839"/>
              <w:gridCol w:w="2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Align w:val="center"/>
                </w:tcPr>
                <w:p>
                  <w:pPr>
                    <w:pStyle w:val="33"/>
                    <w:spacing w:line="360" w:lineRule="exact"/>
                    <w:rPr>
                      <w:color w:val="000000" w:themeColor="text1"/>
                      <w:szCs w:val="21"/>
                    </w:rPr>
                  </w:pPr>
                  <w:r>
                    <w:rPr>
                      <w:color w:val="000000" w:themeColor="text1"/>
                      <w:szCs w:val="21"/>
                    </w:rPr>
                    <w:t>鉴别标准</w:t>
                  </w:r>
                </w:p>
              </w:tc>
              <w:tc>
                <w:tcPr>
                  <w:tcW w:w="1126" w:type="dxa"/>
                  <w:vAlign w:val="center"/>
                </w:tcPr>
                <w:p>
                  <w:pPr>
                    <w:pStyle w:val="33"/>
                    <w:spacing w:line="360" w:lineRule="exact"/>
                    <w:rPr>
                      <w:color w:val="000000" w:themeColor="text1"/>
                      <w:szCs w:val="21"/>
                    </w:rPr>
                  </w:pPr>
                  <w:r>
                    <w:rPr>
                      <w:color w:val="000000" w:themeColor="text1"/>
                      <w:szCs w:val="21"/>
                    </w:rPr>
                    <w:t>序号</w:t>
                  </w:r>
                </w:p>
              </w:tc>
              <w:tc>
                <w:tcPr>
                  <w:tcW w:w="2811" w:type="dxa"/>
                  <w:vAlign w:val="center"/>
                </w:tcPr>
                <w:p>
                  <w:pPr>
                    <w:pStyle w:val="33"/>
                    <w:spacing w:line="360" w:lineRule="exact"/>
                    <w:rPr>
                      <w:color w:val="000000" w:themeColor="text1"/>
                      <w:szCs w:val="21"/>
                    </w:rPr>
                  </w:pPr>
                  <w:r>
                    <w:rPr>
                      <w:color w:val="000000" w:themeColor="text1"/>
                      <w:szCs w:val="21"/>
                    </w:rPr>
                    <w:t>污染因子</w:t>
                  </w:r>
                </w:p>
              </w:tc>
              <w:tc>
                <w:tcPr>
                  <w:tcW w:w="2744" w:type="dxa"/>
                  <w:vAlign w:val="center"/>
                </w:tcPr>
                <w:p>
                  <w:pPr>
                    <w:pStyle w:val="33"/>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Align w:val="center"/>
                </w:tcPr>
                <w:p>
                  <w:pPr>
                    <w:pStyle w:val="33"/>
                    <w:spacing w:line="360" w:lineRule="exact"/>
                    <w:rPr>
                      <w:color w:val="000000" w:themeColor="text1"/>
                      <w:szCs w:val="21"/>
                    </w:rPr>
                  </w:pPr>
                  <w:r>
                    <w:rPr>
                      <w:color w:val="000000" w:themeColor="text1"/>
                      <w:szCs w:val="21"/>
                    </w:rPr>
                    <w:t>腐蚀性鉴别</w:t>
                  </w:r>
                </w:p>
              </w:tc>
              <w:tc>
                <w:tcPr>
                  <w:tcW w:w="1126" w:type="dxa"/>
                  <w:vAlign w:val="center"/>
                </w:tcPr>
                <w:p>
                  <w:pPr>
                    <w:pStyle w:val="33"/>
                    <w:spacing w:line="360" w:lineRule="exact"/>
                    <w:rPr>
                      <w:color w:val="000000" w:themeColor="text1"/>
                      <w:szCs w:val="21"/>
                    </w:rPr>
                  </w:pPr>
                  <w:r>
                    <w:rPr>
                      <w:color w:val="000000" w:themeColor="text1"/>
                      <w:szCs w:val="21"/>
                    </w:rPr>
                    <w:t>1</w:t>
                  </w:r>
                </w:p>
              </w:tc>
              <w:tc>
                <w:tcPr>
                  <w:tcW w:w="2811" w:type="dxa"/>
                  <w:vAlign w:val="center"/>
                </w:tcPr>
                <w:p>
                  <w:pPr>
                    <w:pStyle w:val="33"/>
                    <w:spacing w:line="360" w:lineRule="exact"/>
                    <w:rPr>
                      <w:color w:val="000000" w:themeColor="text1"/>
                      <w:szCs w:val="21"/>
                    </w:rPr>
                  </w:pPr>
                  <w:r>
                    <w:rPr>
                      <w:color w:val="000000" w:themeColor="text1"/>
                      <w:szCs w:val="21"/>
                    </w:rPr>
                    <w:t>pH值</w:t>
                  </w:r>
                </w:p>
              </w:tc>
              <w:tc>
                <w:tcPr>
                  <w:tcW w:w="2744" w:type="dxa"/>
                  <w:vAlign w:val="center"/>
                </w:tcPr>
                <w:p>
                  <w:pPr>
                    <w:pStyle w:val="33"/>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restart"/>
                  <w:vAlign w:val="center"/>
                </w:tcPr>
                <w:p>
                  <w:pPr>
                    <w:pStyle w:val="33"/>
                    <w:spacing w:line="360" w:lineRule="exact"/>
                    <w:rPr>
                      <w:color w:val="000000" w:themeColor="text1"/>
                      <w:szCs w:val="21"/>
                    </w:rPr>
                  </w:pPr>
                  <w:r>
                    <w:rPr>
                      <w:color w:val="000000" w:themeColor="text1"/>
                      <w:szCs w:val="21"/>
                    </w:rPr>
                    <w:t>浸出毒性鉴别</w:t>
                  </w:r>
                </w:p>
              </w:tc>
              <w:tc>
                <w:tcPr>
                  <w:tcW w:w="1126" w:type="dxa"/>
                  <w:vAlign w:val="center"/>
                </w:tcPr>
                <w:p>
                  <w:pPr>
                    <w:pStyle w:val="33"/>
                    <w:spacing w:line="360" w:lineRule="exact"/>
                    <w:rPr>
                      <w:color w:val="000000" w:themeColor="text1"/>
                      <w:szCs w:val="21"/>
                    </w:rPr>
                  </w:pPr>
                  <w:r>
                    <w:rPr>
                      <w:color w:val="000000" w:themeColor="text1"/>
                      <w:szCs w:val="21"/>
                    </w:rPr>
                    <w:t>1</w:t>
                  </w:r>
                </w:p>
              </w:tc>
              <w:tc>
                <w:tcPr>
                  <w:tcW w:w="2811" w:type="dxa"/>
                  <w:vAlign w:val="center"/>
                </w:tcPr>
                <w:p>
                  <w:pPr>
                    <w:pStyle w:val="33"/>
                    <w:spacing w:line="360" w:lineRule="exact"/>
                    <w:rPr>
                      <w:color w:val="000000" w:themeColor="text1"/>
                      <w:szCs w:val="21"/>
                    </w:rPr>
                  </w:pPr>
                  <w:r>
                    <w:rPr>
                      <w:color w:val="000000" w:themeColor="text1"/>
                      <w:szCs w:val="21"/>
                    </w:rPr>
                    <w:t>氟化物</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2</w:t>
                  </w:r>
                </w:p>
              </w:tc>
              <w:tc>
                <w:tcPr>
                  <w:tcW w:w="2811" w:type="dxa"/>
                  <w:vAlign w:val="center"/>
                </w:tcPr>
                <w:p>
                  <w:pPr>
                    <w:pStyle w:val="33"/>
                    <w:spacing w:line="360" w:lineRule="exact"/>
                    <w:rPr>
                      <w:color w:val="000000" w:themeColor="text1"/>
                      <w:szCs w:val="21"/>
                    </w:rPr>
                  </w:pPr>
                  <w:r>
                    <w:rPr>
                      <w:color w:val="000000" w:themeColor="text1"/>
                      <w:szCs w:val="21"/>
                    </w:rPr>
                    <w:t>氰化物</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3</w:t>
                  </w:r>
                </w:p>
              </w:tc>
              <w:tc>
                <w:tcPr>
                  <w:tcW w:w="2811" w:type="dxa"/>
                  <w:vAlign w:val="center"/>
                </w:tcPr>
                <w:p>
                  <w:pPr>
                    <w:pStyle w:val="33"/>
                    <w:spacing w:line="360" w:lineRule="exact"/>
                    <w:rPr>
                      <w:color w:val="000000" w:themeColor="text1"/>
                      <w:szCs w:val="21"/>
                    </w:rPr>
                  </w:pPr>
                  <w:r>
                    <w:rPr>
                      <w:color w:val="000000" w:themeColor="text1"/>
                      <w:szCs w:val="21"/>
                    </w:rPr>
                    <w:t>六价铬</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4</w:t>
                  </w:r>
                </w:p>
              </w:tc>
              <w:tc>
                <w:tcPr>
                  <w:tcW w:w="2811" w:type="dxa"/>
                  <w:vAlign w:val="center"/>
                </w:tcPr>
                <w:p>
                  <w:pPr>
                    <w:pStyle w:val="33"/>
                    <w:spacing w:line="360" w:lineRule="exact"/>
                    <w:rPr>
                      <w:color w:val="000000" w:themeColor="text1"/>
                      <w:szCs w:val="21"/>
                    </w:rPr>
                  </w:pPr>
                  <w:r>
                    <w:rPr>
                      <w:color w:val="000000" w:themeColor="text1"/>
                      <w:szCs w:val="21"/>
                    </w:rPr>
                    <w:t>铜</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5</w:t>
                  </w:r>
                </w:p>
              </w:tc>
              <w:tc>
                <w:tcPr>
                  <w:tcW w:w="2811" w:type="dxa"/>
                  <w:vAlign w:val="center"/>
                </w:tcPr>
                <w:p>
                  <w:pPr>
                    <w:pStyle w:val="33"/>
                    <w:spacing w:line="360" w:lineRule="exact"/>
                    <w:rPr>
                      <w:color w:val="000000" w:themeColor="text1"/>
                      <w:szCs w:val="21"/>
                    </w:rPr>
                  </w:pPr>
                  <w:r>
                    <w:rPr>
                      <w:color w:val="000000" w:themeColor="text1"/>
                      <w:szCs w:val="21"/>
                    </w:rPr>
                    <w:t>锌</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6</w:t>
                  </w:r>
                </w:p>
              </w:tc>
              <w:tc>
                <w:tcPr>
                  <w:tcW w:w="2811" w:type="dxa"/>
                  <w:vAlign w:val="center"/>
                </w:tcPr>
                <w:p>
                  <w:pPr>
                    <w:pStyle w:val="33"/>
                    <w:spacing w:line="360" w:lineRule="exact"/>
                    <w:rPr>
                      <w:color w:val="000000" w:themeColor="text1"/>
                      <w:szCs w:val="21"/>
                    </w:rPr>
                  </w:pPr>
                  <w:r>
                    <w:rPr>
                      <w:color w:val="000000" w:themeColor="text1"/>
                      <w:szCs w:val="21"/>
                    </w:rPr>
                    <w:t>砷</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7</w:t>
                  </w:r>
                </w:p>
              </w:tc>
              <w:tc>
                <w:tcPr>
                  <w:tcW w:w="2811" w:type="dxa"/>
                  <w:vAlign w:val="center"/>
                </w:tcPr>
                <w:p>
                  <w:pPr>
                    <w:pStyle w:val="33"/>
                    <w:spacing w:line="360" w:lineRule="exact"/>
                    <w:rPr>
                      <w:color w:val="000000" w:themeColor="text1"/>
                      <w:szCs w:val="21"/>
                    </w:rPr>
                  </w:pPr>
                  <w:r>
                    <w:rPr>
                      <w:color w:val="000000" w:themeColor="text1"/>
                      <w:szCs w:val="21"/>
                    </w:rPr>
                    <w:t>镉</w:t>
                  </w:r>
                </w:p>
              </w:tc>
              <w:tc>
                <w:tcPr>
                  <w:tcW w:w="2744"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8</w:t>
                  </w:r>
                </w:p>
              </w:tc>
              <w:tc>
                <w:tcPr>
                  <w:tcW w:w="2811" w:type="dxa"/>
                  <w:vAlign w:val="center"/>
                </w:tcPr>
                <w:p>
                  <w:pPr>
                    <w:pStyle w:val="33"/>
                    <w:spacing w:line="360" w:lineRule="exact"/>
                    <w:rPr>
                      <w:color w:val="000000" w:themeColor="text1"/>
                      <w:szCs w:val="21"/>
                    </w:rPr>
                  </w:pPr>
                  <w:r>
                    <w:rPr>
                      <w:color w:val="000000" w:themeColor="text1"/>
                      <w:szCs w:val="21"/>
                    </w:rPr>
                    <w:t>铅</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9</w:t>
                  </w:r>
                </w:p>
              </w:tc>
              <w:tc>
                <w:tcPr>
                  <w:tcW w:w="2811" w:type="dxa"/>
                  <w:vAlign w:val="center"/>
                </w:tcPr>
                <w:p>
                  <w:pPr>
                    <w:pStyle w:val="33"/>
                    <w:spacing w:line="360" w:lineRule="exact"/>
                    <w:rPr>
                      <w:color w:val="000000" w:themeColor="text1"/>
                      <w:szCs w:val="21"/>
                    </w:rPr>
                  </w:pPr>
                  <w:r>
                    <w:rPr>
                      <w:color w:val="000000" w:themeColor="text1"/>
                      <w:szCs w:val="21"/>
                    </w:rPr>
                    <w:t>硒</w:t>
                  </w:r>
                </w:p>
              </w:tc>
              <w:tc>
                <w:tcPr>
                  <w:tcW w:w="2744" w:type="dxa"/>
                  <w:vAlign w:val="center"/>
                </w:tcPr>
                <w:p>
                  <w:pPr>
                    <w:pStyle w:val="33"/>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10</w:t>
                  </w:r>
                </w:p>
              </w:tc>
              <w:tc>
                <w:tcPr>
                  <w:tcW w:w="2811" w:type="dxa"/>
                  <w:vAlign w:val="center"/>
                </w:tcPr>
                <w:p>
                  <w:pPr>
                    <w:pStyle w:val="33"/>
                    <w:spacing w:line="360" w:lineRule="exact"/>
                    <w:rPr>
                      <w:color w:val="000000" w:themeColor="text1"/>
                      <w:szCs w:val="21"/>
                    </w:rPr>
                  </w:pPr>
                  <w:r>
                    <w:rPr>
                      <w:color w:val="000000" w:themeColor="text1"/>
                      <w:szCs w:val="21"/>
                    </w:rPr>
                    <w:t>汞</w:t>
                  </w:r>
                </w:p>
              </w:tc>
              <w:tc>
                <w:tcPr>
                  <w:tcW w:w="2744" w:type="dxa"/>
                  <w:vAlign w:val="center"/>
                </w:tcPr>
                <w:p>
                  <w:pPr>
                    <w:pStyle w:val="33"/>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11</w:t>
                  </w:r>
                </w:p>
              </w:tc>
              <w:tc>
                <w:tcPr>
                  <w:tcW w:w="2811" w:type="dxa"/>
                  <w:vAlign w:val="center"/>
                </w:tcPr>
                <w:p>
                  <w:pPr>
                    <w:pStyle w:val="33"/>
                    <w:spacing w:line="360" w:lineRule="exact"/>
                    <w:rPr>
                      <w:color w:val="000000" w:themeColor="text1"/>
                      <w:szCs w:val="21"/>
                    </w:rPr>
                  </w:pPr>
                  <w:r>
                    <w:rPr>
                      <w:color w:val="000000" w:themeColor="text1"/>
                      <w:szCs w:val="21"/>
                    </w:rPr>
                    <w:t>铍</w:t>
                  </w:r>
                </w:p>
              </w:tc>
              <w:tc>
                <w:tcPr>
                  <w:tcW w:w="2744" w:type="dxa"/>
                  <w:vAlign w:val="center"/>
                </w:tcPr>
                <w:p>
                  <w:pPr>
                    <w:pStyle w:val="33"/>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12</w:t>
                  </w:r>
                </w:p>
              </w:tc>
              <w:tc>
                <w:tcPr>
                  <w:tcW w:w="2811" w:type="dxa"/>
                  <w:vAlign w:val="center"/>
                </w:tcPr>
                <w:p>
                  <w:pPr>
                    <w:pStyle w:val="33"/>
                    <w:spacing w:line="360" w:lineRule="exact"/>
                    <w:rPr>
                      <w:color w:val="000000" w:themeColor="text1"/>
                      <w:szCs w:val="21"/>
                    </w:rPr>
                  </w:pPr>
                  <w:r>
                    <w:rPr>
                      <w:color w:val="000000" w:themeColor="text1"/>
                      <w:szCs w:val="21"/>
                    </w:rPr>
                    <w:t>镍</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13</w:t>
                  </w:r>
                </w:p>
              </w:tc>
              <w:tc>
                <w:tcPr>
                  <w:tcW w:w="2811" w:type="dxa"/>
                  <w:vAlign w:val="center"/>
                </w:tcPr>
                <w:p>
                  <w:pPr>
                    <w:pStyle w:val="33"/>
                    <w:spacing w:line="360" w:lineRule="exact"/>
                    <w:rPr>
                      <w:color w:val="000000" w:themeColor="text1"/>
                      <w:szCs w:val="21"/>
                    </w:rPr>
                  </w:pPr>
                  <w:r>
                    <w:rPr>
                      <w:color w:val="000000" w:themeColor="text1"/>
                      <w:szCs w:val="21"/>
                    </w:rPr>
                    <w:t>钡</w:t>
                  </w:r>
                </w:p>
              </w:tc>
              <w:tc>
                <w:tcPr>
                  <w:tcW w:w="274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14</w:t>
                  </w:r>
                </w:p>
              </w:tc>
              <w:tc>
                <w:tcPr>
                  <w:tcW w:w="2811" w:type="dxa"/>
                  <w:vAlign w:val="center"/>
                </w:tcPr>
                <w:p>
                  <w:pPr>
                    <w:pStyle w:val="33"/>
                    <w:spacing w:line="360" w:lineRule="exact"/>
                    <w:rPr>
                      <w:color w:val="000000" w:themeColor="text1"/>
                      <w:szCs w:val="21"/>
                    </w:rPr>
                  </w:pPr>
                  <w:r>
                    <w:rPr>
                      <w:color w:val="000000" w:themeColor="text1"/>
                      <w:szCs w:val="21"/>
                    </w:rPr>
                    <w:t>银</w:t>
                  </w:r>
                </w:p>
              </w:tc>
              <w:tc>
                <w:tcPr>
                  <w:tcW w:w="2744" w:type="dxa"/>
                  <w:vAlign w:val="center"/>
                </w:tcPr>
                <w:p>
                  <w:pPr>
                    <w:pStyle w:val="33"/>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15</w:t>
                  </w:r>
                </w:p>
              </w:tc>
              <w:tc>
                <w:tcPr>
                  <w:tcW w:w="2811" w:type="dxa"/>
                  <w:vAlign w:val="center"/>
                </w:tcPr>
                <w:p>
                  <w:pPr>
                    <w:pStyle w:val="33"/>
                    <w:spacing w:line="360" w:lineRule="exact"/>
                    <w:rPr>
                      <w:color w:val="000000" w:themeColor="text1"/>
                      <w:szCs w:val="21"/>
                    </w:rPr>
                  </w:pPr>
                  <w:r>
                    <w:rPr>
                      <w:color w:val="000000" w:themeColor="text1"/>
                      <w:szCs w:val="21"/>
                    </w:rPr>
                    <w:t>总铬</w:t>
                  </w:r>
                </w:p>
              </w:tc>
              <w:tc>
                <w:tcPr>
                  <w:tcW w:w="2744" w:type="dxa"/>
                  <w:vAlign w:val="center"/>
                </w:tcPr>
                <w:p>
                  <w:pPr>
                    <w:pStyle w:val="33"/>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3"/>
                    <w:spacing w:line="360" w:lineRule="exact"/>
                    <w:rPr>
                      <w:color w:val="000000" w:themeColor="text1"/>
                      <w:szCs w:val="21"/>
                    </w:rPr>
                  </w:pPr>
                </w:p>
              </w:tc>
              <w:tc>
                <w:tcPr>
                  <w:tcW w:w="1126" w:type="dxa"/>
                  <w:vAlign w:val="center"/>
                </w:tcPr>
                <w:p>
                  <w:pPr>
                    <w:pStyle w:val="33"/>
                    <w:spacing w:line="360" w:lineRule="exact"/>
                    <w:rPr>
                      <w:color w:val="000000" w:themeColor="text1"/>
                      <w:szCs w:val="21"/>
                    </w:rPr>
                  </w:pPr>
                  <w:r>
                    <w:rPr>
                      <w:color w:val="000000" w:themeColor="text1"/>
                      <w:szCs w:val="21"/>
                    </w:rPr>
                    <w:t>16</w:t>
                  </w:r>
                </w:p>
              </w:tc>
              <w:tc>
                <w:tcPr>
                  <w:tcW w:w="2811" w:type="dxa"/>
                  <w:vAlign w:val="center"/>
                </w:tcPr>
                <w:p>
                  <w:pPr>
                    <w:pStyle w:val="33"/>
                    <w:spacing w:line="360" w:lineRule="exact"/>
                    <w:rPr>
                      <w:color w:val="000000" w:themeColor="text1"/>
                      <w:szCs w:val="21"/>
                    </w:rPr>
                  </w:pPr>
                  <w:r>
                    <w:rPr>
                      <w:color w:val="000000" w:themeColor="text1"/>
                      <w:szCs w:val="21"/>
                    </w:rPr>
                    <w:t>烷基汞</w:t>
                  </w:r>
                </w:p>
              </w:tc>
              <w:tc>
                <w:tcPr>
                  <w:tcW w:w="2744" w:type="dxa"/>
                  <w:vAlign w:val="center"/>
                </w:tcPr>
                <w:p>
                  <w:pPr>
                    <w:pStyle w:val="33"/>
                    <w:spacing w:line="360" w:lineRule="exact"/>
                    <w:rPr>
                      <w:color w:val="000000" w:themeColor="text1"/>
                      <w:szCs w:val="21"/>
                    </w:rPr>
                  </w:pPr>
                  <w:r>
                    <w:rPr>
                      <w:color w:val="000000" w:themeColor="text1"/>
                      <w:szCs w:val="21"/>
                    </w:rPr>
                    <w:t>不得检出</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若浸出液中任何一种污染物的浓度均未超过上表限值，则该废物不是危险废物。判断固体废物不属于危险废物后，再将浸出液和《污水综合排放标准》（GB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-1996）一级标准限值进行对照，达到其标准限值，且pH值在6-9范围之内的一般工业固体废物为第I类一般工业固体废物；反之则一般工业固体废物为第II类一般工业固体废物。《污水综合排放标准》（GB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-1996）一级标准</w:t>
            </w:r>
            <w:r>
              <w:rPr>
                <w:rFonts w:hint="eastAsia" w:ascii="Times New Roman" w:hAnsi="Times New Roman" w:cs="Times New Roman"/>
                <w:color w:val="000000" w:themeColor="text1"/>
                <w:sz w:val="24"/>
                <w:szCs w:val="24"/>
              </w:rPr>
              <w:t>。</w:t>
            </w:r>
          </w:p>
          <w:p>
            <w:pPr>
              <w:pStyle w:val="41"/>
              <w:ind w:firstLine="480"/>
              <w:rPr>
                <w:color w:val="000000" w:themeColor="text1"/>
                <w:szCs w:val="24"/>
              </w:rPr>
            </w:pPr>
            <w:r>
              <w:rPr>
                <w:rFonts w:hint="eastAsia"/>
                <w:color w:val="000000" w:themeColor="text1"/>
                <w:szCs w:val="24"/>
              </w:rPr>
              <w:t>标准</w:t>
            </w:r>
            <w:r>
              <w:rPr>
                <w:color w:val="000000" w:themeColor="text1"/>
                <w:szCs w:val="24"/>
              </w:rPr>
              <w:t>限值如下表所示。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4-2</w:t>
            </w:r>
            <w:r>
              <w:rPr>
                <w:rFonts w:ascii="Times New Roman" w:hAnsi="Times New Roman" w:cs="Times New Roman"/>
                <w:b/>
                <w:color w:val="000000" w:themeColor="text1"/>
                <w:szCs w:val="24"/>
              </w:rPr>
              <w:t xml:space="preserve">  污水综合排放标准排放限值  （单位： mg/L，pH除外）</w:t>
            </w:r>
          </w:p>
          <w:tbl>
            <w:tblPr>
              <w:tblStyle w:val="22"/>
              <w:tblW w:w="5000" w:type="pct"/>
              <w:tblInd w:w="0" w:type="dxa"/>
              <w:tblLayout w:type="autofit"/>
              <w:tblCellMar>
                <w:top w:w="0" w:type="dxa"/>
                <w:left w:w="108" w:type="dxa"/>
                <w:bottom w:w="0" w:type="dxa"/>
                <w:right w:w="108" w:type="dxa"/>
              </w:tblCellMar>
            </w:tblPr>
            <w:tblGrid>
              <w:gridCol w:w="1633"/>
              <w:gridCol w:w="1131"/>
              <w:gridCol w:w="1115"/>
              <w:gridCol w:w="1131"/>
              <w:gridCol w:w="1111"/>
              <w:gridCol w:w="1111"/>
              <w:gridCol w:w="1386"/>
            </w:tblGrid>
            <w:tr>
              <w:tblPrEx>
                <w:tblCellMar>
                  <w:top w:w="0" w:type="dxa"/>
                  <w:left w:w="108" w:type="dxa"/>
                  <w:bottom w:w="0" w:type="dxa"/>
                  <w:right w:w="108" w:type="dxa"/>
                </w:tblCellMar>
              </w:tblPrEx>
              <w:trPr>
                <w:trHeight w:val="280" w:hRule="atLeast"/>
              </w:trPr>
              <w:tc>
                <w:tcPr>
                  <w:tcW w:w="1756" w:type="dxa"/>
                  <w:tcBorders>
                    <w:top w:val="single" w:color="000000" w:sz="4"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pH</w:t>
                  </w:r>
                </w:p>
              </w:tc>
              <w:tc>
                <w:tcPr>
                  <w:tcW w:w="1180"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总铜</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总锌</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总铅</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总镉</w:t>
                  </w:r>
                </w:p>
              </w:tc>
              <w:tc>
                <w:tcPr>
                  <w:tcW w:w="1479" w:type="dxa"/>
                  <w:tcBorders>
                    <w:top w:val="single" w:color="000000" w:sz="4"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color w:val="000000" w:themeColor="text1"/>
                      <w:szCs w:val="21"/>
                    </w:rPr>
                    <w:t>六价铬</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6-9</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2.0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0.1</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color w:val="000000" w:themeColor="text1"/>
                      <w:szCs w:val="21"/>
                    </w:rPr>
                    <w:t>0.5</w:t>
                  </w:r>
                </w:p>
              </w:tc>
            </w:tr>
            <w:tr>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总铬</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总银</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总砷</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氟化物</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总氰化合物</w:t>
                  </w:r>
                </w:p>
              </w:tc>
            </w:tr>
            <w:tr>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1.5</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10</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3"/>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总汞</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烷基汞</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总</w:t>
                  </w:r>
                  <w:r>
                    <w:rPr>
                      <w:color w:val="000000" w:themeColor="text1"/>
                      <w:szCs w:val="21"/>
                    </w:rPr>
                    <w:t>硒</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w:t>
                  </w:r>
                </w:p>
              </w:tc>
            </w:tr>
            <w:tr>
              <w:trPr>
                <w:trHeight w:val="294" w:hRule="atLeast"/>
              </w:trPr>
              <w:tc>
                <w:tcPr>
                  <w:tcW w:w="1756" w:type="dxa"/>
                  <w:tcBorders>
                    <w:top w:val="single" w:color="000000" w:sz="6" w:space="0"/>
                    <w:left w:val="single" w:color="000000" w:sz="4" w:space="0"/>
                    <w:bottom w:val="single" w:color="000000" w:sz="4" w:space="0"/>
                    <w:right w:val="single" w:color="000000" w:sz="6" w:space="0"/>
                  </w:tcBorders>
                  <w:vAlign w:val="center"/>
                </w:tcPr>
                <w:p>
                  <w:pPr>
                    <w:pStyle w:val="33"/>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0.05</w:t>
                  </w:r>
                </w:p>
              </w:tc>
              <w:tc>
                <w:tcPr>
                  <w:tcW w:w="1180"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不得检出</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0.005</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0.1</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3"/>
                    <w:spacing w:line="360" w:lineRule="exact"/>
                    <w:rPr>
                      <w:color w:val="000000" w:themeColor="text1"/>
                      <w:szCs w:val="21"/>
                    </w:rPr>
                  </w:pPr>
                  <w:r>
                    <w:rPr>
                      <w:rFonts w:hint="eastAsia"/>
                      <w:color w:val="000000" w:themeColor="text1"/>
                      <w:szCs w:val="21"/>
                    </w:rPr>
                    <w:t>--</w:t>
                  </w:r>
                </w:p>
              </w:tc>
              <w:tc>
                <w:tcPr>
                  <w:tcW w:w="1479" w:type="dxa"/>
                  <w:tcBorders>
                    <w:top w:val="single" w:color="000000" w:sz="6" w:space="0"/>
                    <w:left w:val="single" w:color="000000" w:sz="6" w:space="0"/>
                    <w:bottom w:val="single" w:color="000000" w:sz="4" w:space="0"/>
                    <w:right w:val="single" w:color="000000" w:sz="4" w:space="0"/>
                  </w:tcBorders>
                  <w:vAlign w:val="center"/>
                </w:tcPr>
                <w:p>
                  <w:pPr>
                    <w:pStyle w:val="33"/>
                    <w:spacing w:line="360" w:lineRule="exact"/>
                    <w:rPr>
                      <w:color w:val="000000" w:themeColor="text1"/>
                      <w:szCs w:val="21"/>
                    </w:rPr>
                  </w:pPr>
                  <w:r>
                    <w:rPr>
                      <w:rFonts w:hint="eastAsia"/>
                      <w:color w:val="000000" w:themeColor="text1"/>
                      <w:szCs w:val="21"/>
                    </w:rPr>
                    <w:t>--</w:t>
                  </w:r>
                </w:p>
              </w:tc>
            </w:tr>
          </w:tbl>
          <w:p>
            <w:pPr>
              <w:pStyle w:val="41"/>
              <w:ind w:firstLine="480"/>
              <w:rPr>
                <w:color w:val="000000" w:themeColor="text1"/>
                <w:szCs w:val="24"/>
              </w:rPr>
            </w:pPr>
            <w:r>
              <w:rPr>
                <w:rFonts w:hint="eastAsia"/>
                <w:color w:val="000000" w:themeColor="text1"/>
                <w:szCs w:val="24"/>
              </w:rPr>
              <w:t xml:space="preserve">   </w:t>
            </w:r>
          </w:p>
          <w:p>
            <w:pPr>
              <w:pStyle w:val="41"/>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有组织排放废气：废气量6960万m³/a，颗粒物：0.112t/a，SO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：1.36t/a，NOx：0.56t/a。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无组织排放废气：颗粒物：32.09t/a。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①生产废水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项目生产废水产生量为435778.2m³/a，项目废水处理系统</w:t>
            </w:r>
            <w:r>
              <w:rPr>
                <w:rFonts w:hint="eastAsia" w:ascii="Times New Roman" w:hAnsi="Times New Roman" w:cs="Times New Roman"/>
                <w:bCs/>
                <w:color w:val="000000" w:themeColor="text1"/>
                <w:sz w:val="24"/>
                <w:szCs w:val="24"/>
              </w:rPr>
              <w:t>循环沉淀过滤处理后回用于生产，不外排。</w:t>
            </w:r>
            <w:r>
              <w:rPr>
                <w:rFonts w:ascii="Times New Roman" w:hAnsi="Times New Roman" w:cs="Times New Roman"/>
                <w:bCs/>
                <w:color w:val="000000" w:themeColor="text1"/>
                <w:sz w:val="24"/>
                <w:szCs w:val="24"/>
              </w:rPr>
              <w:t>不进行总量控制。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项目生活污水产生量及排放量为422.4m³/a，CODcr产生量为0.14t/a、排放量为0.11t/a；BOD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产生量为0.10t/a、排放量为0.08t/a；NH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-N产生量为0.01t/a、排放量为0.01t/a；SS产生量为0.03t/a、排放量为0.0</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t/a；总磷产生量为0.001t/a、排放量为0.001t/a；总氮产生量为0.01t/a、排放量为0.01t/a；</w:t>
            </w:r>
            <w:r>
              <w:rPr>
                <w:rFonts w:hint="eastAsia" w:ascii="Times New Roman" w:hAnsi="Times New Roman" w:cs="Times New Roman"/>
                <w:color w:val="000000" w:themeColor="text1"/>
                <w:sz w:val="24"/>
                <w:szCs w:val="24"/>
              </w:rPr>
              <w:t>动植物油</w:t>
            </w:r>
            <w:r>
              <w:rPr>
                <w:rFonts w:ascii="Times New Roman" w:hAnsi="Times New Roman" w:cs="Times New Roman"/>
                <w:color w:val="000000" w:themeColor="text1"/>
                <w:sz w:val="24"/>
                <w:szCs w:val="24"/>
              </w:rPr>
              <w:t>产生量为0.002t/a、排放量为0.002t/a；阴离子表面活性剂产生量为0.002t/a、排放量为0.001t/a。生活污水经隔油池、化粪池处理后可达到《污水排入城镇下水道水质标准》（GB/T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-2015）B等级标准后，通过提升泵泵至厂区东侧小邓段公路污水管网进入四方地与碧谷园区污水处理厂处理，因此总量纳入四方地与碧谷园区污水处理厂进行管理。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固体废物处置率为100%。</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10" w:name="_Toc151133521"/>
      <w:r>
        <w:rPr>
          <w:rFonts w:ascii="Times New Roman" w:hAnsi="Times New Roman" w:cs="Times New Roman"/>
          <w:b/>
          <w:color w:val="000000" w:themeColor="text1"/>
          <w:sz w:val="28"/>
          <w:szCs w:val="20"/>
        </w:rPr>
        <w:t>四、主要环境影响和保护措施</w:t>
      </w:r>
      <w:bookmarkEnd w:id="10"/>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1"/>
              <w:ind w:firstLine="482"/>
              <w:rPr>
                <w:rFonts w:eastAsiaTheme="minorEastAsia"/>
                <w:b/>
                <w:color w:val="000000" w:themeColor="text1"/>
                <w:szCs w:val="24"/>
              </w:rPr>
            </w:pPr>
            <w:r>
              <w:rPr>
                <w:rFonts w:eastAsiaTheme="minorEastAsia"/>
                <w:b/>
                <w:color w:val="000000" w:themeColor="text1"/>
                <w:szCs w:val="24"/>
              </w:rPr>
              <w:t xml:space="preserve">4.1.1 </w:t>
            </w:r>
            <w:r>
              <w:rPr>
                <w:rFonts w:hint="eastAsia" w:eastAsiaTheme="minorEastAsia"/>
                <w:b/>
                <w:color w:val="000000" w:themeColor="text1"/>
                <w:szCs w:val="24"/>
              </w:rPr>
              <w:t>已施工工程污染防治措施调查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根据调查，目前</w:t>
            </w:r>
            <w:r>
              <w:rPr>
                <w:rFonts w:hint="eastAsia" w:ascii="Times New Roman" w:hAnsi="Times New Roman" w:cs="Times New Roman"/>
                <w:bCs/>
                <w:color w:val="000000" w:themeColor="text1"/>
                <w:sz w:val="24"/>
                <w:szCs w:val="24"/>
              </w:rPr>
              <w:t>项目已建成了</w:t>
            </w:r>
            <w:r>
              <w:rPr>
                <w:rFonts w:ascii="Times New Roman" w:hAnsi="Times New Roman" w:cs="Times New Roman"/>
                <w:bCs/>
                <w:color w:val="000000" w:themeColor="text1"/>
                <w:sz w:val="24"/>
                <w:szCs w:val="24"/>
              </w:rPr>
              <w:t>厂房</w:t>
            </w:r>
            <w:r>
              <w:rPr>
                <w:rFonts w:hint="eastAsia" w:ascii="Times New Roman" w:hAnsi="Times New Roman" w:cs="Times New Roman"/>
                <w:bCs/>
                <w:color w:val="000000" w:themeColor="text1"/>
                <w:sz w:val="24"/>
                <w:szCs w:val="24"/>
              </w:rPr>
              <w:t>、水淬渣暂存库、</w:t>
            </w:r>
            <w:r>
              <w:rPr>
                <w:rFonts w:ascii="Times New Roman" w:hAnsi="Times New Roman" w:cs="Times New Roman"/>
                <w:bCs/>
                <w:color w:val="000000" w:themeColor="text1"/>
                <w:sz w:val="24"/>
                <w:szCs w:val="24"/>
              </w:rPr>
              <w:t>废渣暂存库、</w:t>
            </w:r>
            <w:r>
              <w:rPr>
                <w:rFonts w:hint="eastAsia" w:ascii="Times New Roman" w:hAnsi="Times New Roman" w:cs="Times New Roman"/>
                <w:bCs/>
                <w:color w:val="000000" w:themeColor="text1"/>
                <w:sz w:val="24"/>
                <w:szCs w:val="24"/>
              </w:rPr>
              <w:t>部分生产设施、部分环保设施</w:t>
            </w:r>
            <w:r>
              <w:rPr>
                <w:rFonts w:hint="eastAsia" w:ascii="Times New Roman" w:hAnsi="Times New Roman" w:cs="Times New Roman"/>
                <w:color w:val="000000" w:themeColor="text1"/>
                <w:sz w:val="24"/>
                <w:szCs w:val="24"/>
              </w:rPr>
              <w:t>，根据业主介绍，其已采取的污染防治措施如下：</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（1）已施工工程</w:t>
            </w:r>
            <w:r>
              <w:rPr>
                <w:rFonts w:eastAsiaTheme="minorEastAsia"/>
                <w:b/>
                <w:color w:val="000000" w:themeColor="text1"/>
                <w:szCs w:val="24"/>
              </w:rPr>
              <w:t>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项目施工期已采取的扬尘防治措施主要包括：</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1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①</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在施工场地</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安排员工定期对施工场地洒水以减少扬尘量，</w:t>
            </w:r>
            <w:r>
              <w:rPr>
                <w:rFonts w:hint="eastAsia" w:ascii="Times New Roman" w:cs="Times New Roman" w:hAnsiTheme="minorEastAsia"/>
                <w:color w:val="000000" w:themeColor="text1"/>
                <w:sz w:val="24"/>
                <w:szCs w:val="24"/>
              </w:rPr>
              <w:t>并在</w:t>
            </w:r>
            <w:r>
              <w:rPr>
                <w:rFonts w:ascii="Times New Roman" w:cs="Times New Roman" w:hAnsiTheme="minorEastAsia"/>
                <w:color w:val="000000" w:themeColor="text1"/>
                <w:sz w:val="24"/>
                <w:szCs w:val="24"/>
              </w:rPr>
              <w:t>遇到大风或干燥天气可适当增加洒水次数；采取遮阴网覆盖等措施降低扬尘产生；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2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在大风天气下</w:t>
            </w:r>
            <w:r>
              <w:rPr>
                <w:rFonts w:hint="eastAsia" w:ascii="Times New Roman" w:cs="Times New Roman" w:hAnsiTheme="minorEastAsia"/>
                <w:color w:val="000000" w:themeColor="text1"/>
                <w:sz w:val="24"/>
                <w:szCs w:val="24"/>
              </w:rPr>
              <w:t>未</w:t>
            </w:r>
            <w:r>
              <w:rPr>
                <w:rFonts w:ascii="Times New Roman" w:cs="Times New Roman" w:hAnsiTheme="minorEastAsia"/>
                <w:color w:val="000000" w:themeColor="text1"/>
                <w:sz w:val="24"/>
                <w:szCs w:val="24"/>
              </w:rPr>
              <w:t>施工作业。</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3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w:t>
            </w:r>
            <w:r>
              <w:rPr>
                <w:rFonts w:hint="eastAsia" w:ascii="Times New Roman" w:cs="Times New Roman" w:hAnsiTheme="minorEastAsia"/>
                <w:color w:val="000000" w:themeColor="text1"/>
                <w:sz w:val="24"/>
                <w:szCs w:val="24"/>
              </w:rPr>
              <w:t>均</w:t>
            </w:r>
            <w:r>
              <w:rPr>
                <w:rFonts w:ascii="Times New Roman" w:cs="Times New Roman" w:hAnsiTheme="minorEastAsia"/>
                <w:color w:val="000000" w:themeColor="text1"/>
                <w:sz w:val="24"/>
                <w:szCs w:val="24"/>
              </w:rPr>
              <w:t>车身整洁，装载车厢完好，装载货物堆码整齐，未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（2）已施工工程</w:t>
            </w:r>
            <w:r>
              <w:rPr>
                <w:rFonts w:eastAsiaTheme="minorEastAsia"/>
                <w:b/>
                <w:color w:val="000000" w:themeColor="text1"/>
                <w:szCs w:val="24"/>
              </w:rPr>
              <w:t>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施工</w:t>
            </w:r>
            <w:r>
              <w:rPr>
                <w:rFonts w:hint="eastAsia" w:ascii="Times New Roman" w:cs="Times New Roman" w:hAnsiTheme="minorEastAsia"/>
                <w:color w:val="000000" w:themeColor="text1"/>
                <w:sz w:val="24"/>
                <w:szCs w:val="24"/>
              </w:rPr>
              <w:t>工程期间</w:t>
            </w:r>
            <w:r>
              <w:rPr>
                <w:rFonts w:ascii="Times New Roman" w:cs="Times New Roman" w:hAnsiTheme="minorEastAsia"/>
                <w:color w:val="000000" w:themeColor="text1"/>
                <w:sz w:val="24"/>
                <w:szCs w:val="24"/>
              </w:rPr>
              <w:t>施工人员生活污水经</w:t>
            </w:r>
            <w:r>
              <w:rPr>
                <w:rFonts w:hint="eastAsia" w:ascii="Times New Roman" w:cs="Times New Roman" w:hAnsiTheme="minorEastAsia"/>
                <w:color w:val="000000" w:themeColor="text1"/>
                <w:sz w:val="24"/>
                <w:szCs w:val="24"/>
              </w:rPr>
              <w:t>厂区</w:t>
            </w:r>
            <w:r>
              <w:rPr>
                <w:rFonts w:ascii="Times New Roman" w:cs="Times New Roman" w:hAnsiTheme="minorEastAsia"/>
                <w:color w:val="000000" w:themeColor="text1"/>
                <w:sz w:val="24"/>
                <w:szCs w:val="24"/>
              </w:rPr>
              <w:t>隔油池、化粪池处理后可达到《污水排入城镇下水道水质标准》（GB/T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-2015）B等级标准后，通过提升泵泵至厂区东侧小邓段公路污水管网进入四方地与碧谷园区污水处理厂处理。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②项目在雨季施工</w:t>
            </w:r>
            <w:r>
              <w:rPr>
                <w:rFonts w:hint="eastAsia" w:ascii="Times New Roman" w:cs="Times New Roman" w:hAnsiTheme="minorEastAsia"/>
                <w:color w:val="000000" w:themeColor="text1"/>
                <w:sz w:val="24"/>
                <w:szCs w:val="24"/>
              </w:rPr>
              <w:t>期间</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针对施工地表径流，已采取措施如下：</w:t>
            </w:r>
            <w:r>
              <w:rPr>
                <w:rFonts w:ascii="Times New Roman" w:cs="Times New Roman" w:hAnsiTheme="minorEastAsia"/>
                <w:color w:val="000000" w:themeColor="text1"/>
                <w:sz w:val="24"/>
                <w:szCs w:val="24"/>
              </w:rPr>
              <w:t>施工期已在施工场地内设置临时截洪沟，引排施工场地雨天产生的地表径流水，施工场地</w:t>
            </w:r>
            <w:r>
              <w:rPr>
                <w:rFonts w:hint="eastAsia" w:ascii="Times New Roman" w:cs="Times New Roman" w:hAnsiTheme="minorEastAsia"/>
                <w:color w:val="000000" w:themeColor="text1"/>
                <w:sz w:val="24"/>
                <w:szCs w:val="24"/>
              </w:rPr>
              <w:t>地表径流</w:t>
            </w:r>
            <w:r>
              <w:rPr>
                <w:rFonts w:ascii="Times New Roman" w:cs="Times New Roman" w:hAnsiTheme="minorEastAsia"/>
                <w:color w:val="000000" w:themeColor="text1"/>
                <w:sz w:val="24"/>
                <w:szCs w:val="24"/>
              </w:rPr>
              <w:t>经施工</w:t>
            </w:r>
            <w:r>
              <w:rPr>
                <w:rFonts w:hint="eastAsia" w:ascii="Times New Roman" w:hAnsi="Times New Roman" w:cs="Times New Roman"/>
                <w:color w:val="000000" w:themeColor="text1"/>
                <w:sz w:val="24"/>
                <w:szCs w:val="24"/>
              </w:rPr>
              <w:t>废水收集循环池</w:t>
            </w:r>
            <w:r>
              <w:rPr>
                <w:rFonts w:ascii="Times New Roman" w:cs="Times New Roman" w:hAnsiTheme="minorEastAsia"/>
                <w:color w:val="000000" w:themeColor="text1"/>
                <w:sz w:val="24"/>
                <w:szCs w:val="24"/>
              </w:rPr>
              <w:t>沉淀后回用。</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（3）已施工工程</w:t>
            </w:r>
            <w:r>
              <w:rPr>
                <w:rFonts w:eastAsiaTheme="minorEastAsia"/>
                <w:b/>
                <w:color w:val="000000" w:themeColor="text1"/>
                <w:szCs w:val="24"/>
              </w:rPr>
              <w:t>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①施工期操作规范；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②运输车辆进出施工场地时已控制车速，禁止鸣笛，减少车辆在施工场地的停留时间，减小运输噪声对环境的影响；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③与周围居民的沟通</w:t>
            </w:r>
            <w:r>
              <w:rPr>
                <w:rFonts w:hint="eastAsia" w:ascii="Times New Roman" w:cs="Times New Roman" w:hAnsiTheme="minorEastAsia"/>
                <w:color w:val="000000" w:themeColor="text1"/>
                <w:sz w:val="24"/>
                <w:szCs w:val="24"/>
              </w:rPr>
              <w:t>良好</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无</w:t>
            </w:r>
            <w:r>
              <w:rPr>
                <w:rFonts w:ascii="Times New Roman" w:cs="Times New Roman" w:hAnsiTheme="minorEastAsia"/>
                <w:color w:val="000000" w:themeColor="text1"/>
                <w:sz w:val="24"/>
                <w:szCs w:val="24"/>
              </w:rPr>
              <w:t>扰民事件发生。</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④合理安排施工工序及时间，禁止夜间施工。</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（4）已施工工程</w:t>
            </w:r>
            <w:r>
              <w:rPr>
                <w:rFonts w:eastAsiaTheme="minorEastAsia"/>
                <w:b/>
                <w:color w:val="000000" w:themeColor="text1"/>
                <w:szCs w:val="24"/>
              </w:rPr>
              <w:t>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w:t>
            </w:r>
            <w:r>
              <w:rPr>
                <w:rFonts w:hint="eastAsia" w:ascii="Times New Roman" w:cs="Times New Roman" w:hAnsiTheme="minorEastAsia"/>
                <w:color w:val="000000" w:themeColor="text1"/>
                <w:sz w:val="24"/>
                <w:szCs w:val="24"/>
              </w:rPr>
              <w:t>、废土石方</w:t>
            </w:r>
            <w:r>
              <w:rPr>
                <w:rFonts w:ascii="Times New Roman" w:cs="Times New Roman" w:hAnsiTheme="minorEastAsia"/>
                <w:color w:val="000000" w:themeColor="text1"/>
                <w:sz w:val="24"/>
                <w:szCs w:val="24"/>
              </w:rPr>
              <w:t>和施工人员产生的生活垃圾。主要采取的施工固废防治措施如下：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运至管理部门指定地点进行合理处置。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w:t>
            </w:r>
            <w:r>
              <w:rPr>
                <w:rFonts w:hint="eastAsia" w:ascii="Times New Roman" w:cs="Times New Roman" w:hAnsiTheme="minorEastAsia"/>
                <w:color w:val="000000" w:themeColor="text1"/>
                <w:sz w:val="24"/>
                <w:szCs w:val="24"/>
              </w:rPr>
              <w:t>产生的少量废土石方已</w:t>
            </w:r>
            <w:r>
              <w:rPr>
                <w:rFonts w:ascii="Times New Roman" w:cs="Times New Roman" w:hAnsiTheme="minorEastAsia"/>
                <w:color w:val="000000" w:themeColor="text1"/>
                <w:sz w:val="24"/>
                <w:szCs w:val="24"/>
              </w:rPr>
              <w:t>直接用于场地低洼处平整。</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t>生活垃圾</w:t>
            </w:r>
            <w:r>
              <w:rPr>
                <w:rFonts w:hint="eastAsia" w:ascii="Times New Roman" w:cs="Times New Roman" w:hAnsiTheme="minorEastAsia"/>
                <w:color w:val="000000" w:themeColor="text1"/>
                <w:sz w:val="24"/>
                <w:szCs w:val="24"/>
              </w:rPr>
              <w:t>已</w:t>
            </w:r>
            <w:r>
              <w:rPr>
                <w:rFonts w:ascii="Times New Roman" w:cs="Times New Roman" w:hAnsiTheme="minorEastAsia"/>
                <w:color w:val="000000" w:themeColor="text1"/>
                <w:sz w:val="24"/>
                <w:szCs w:val="24"/>
              </w:rPr>
              <w:t>委托环卫部门清运处置。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根据调查，项目已施工期间采取上述措施后，施工期环境影响较小，经我公司调查，现场未发现施工期遗留的大气环境污染问题，</w:t>
            </w:r>
            <w:r>
              <w:rPr>
                <w:rFonts w:ascii="Times New Roman" w:hAnsi="Times New Roman" w:cs="Times New Roman"/>
                <w:color w:val="000000" w:themeColor="text1"/>
                <w:sz w:val="24"/>
                <w:szCs w:val="24"/>
              </w:rPr>
              <w:t>未发生噪声扰</w:t>
            </w:r>
            <w:r>
              <w:rPr>
                <w:rFonts w:hint="eastAsia" w:ascii="Times New Roman" w:hAnsi="Times New Roman" w:cs="Times New Roman"/>
                <w:color w:val="000000" w:themeColor="text1"/>
                <w:sz w:val="24"/>
                <w:szCs w:val="24"/>
              </w:rPr>
              <w:t>民</w:t>
            </w:r>
            <w:r>
              <w:rPr>
                <w:rFonts w:ascii="Times New Roman" w:hAnsi="Times New Roman" w:cs="Times New Roman"/>
                <w:color w:val="000000" w:themeColor="text1"/>
                <w:sz w:val="24"/>
                <w:szCs w:val="24"/>
              </w:rPr>
              <w:t>投诉事件。</w:t>
            </w:r>
          </w:p>
          <w:p>
            <w:pPr>
              <w:pStyle w:val="41"/>
              <w:ind w:firstLine="482"/>
              <w:rPr>
                <w:rFonts w:eastAsiaTheme="minorEastAsia"/>
                <w:b/>
                <w:color w:val="000000" w:themeColor="text1"/>
                <w:szCs w:val="24"/>
              </w:rPr>
            </w:pPr>
            <w:r>
              <w:rPr>
                <w:rFonts w:eastAsiaTheme="minorEastAsia"/>
                <w:b/>
                <w:color w:val="000000" w:themeColor="text1"/>
                <w:szCs w:val="24"/>
              </w:rPr>
              <w:t>4.1.</w:t>
            </w:r>
            <w:r>
              <w:rPr>
                <w:rFonts w:hint="eastAsia" w:eastAsiaTheme="minorEastAsia"/>
                <w:b/>
                <w:color w:val="000000" w:themeColor="text1"/>
                <w:szCs w:val="24"/>
              </w:rPr>
              <w:t>2</w:t>
            </w:r>
            <w:r>
              <w:rPr>
                <w:rFonts w:eastAsiaTheme="minorEastAsia"/>
                <w:b/>
                <w:color w:val="000000" w:themeColor="text1"/>
                <w:szCs w:val="24"/>
              </w:rPr>
              <w:t xml:space="preserve"> </w:t>
            </w:r>
            <w:r>
              <w:rPr>
                <w:rFonts w:hint="eastAsia" w:eastAsiaTheme="minorEastAsia"/>
                <w:b/>
                <w:color w:val="000000" w:themeColor="text1"/>
                <w:szCs w:val="24"/>
              </w:rPr>
              <w:t>未工程污染防治措施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项目未施工工程仅为部分设备和部分环保设施建设。施工量较小。其主要污染防治措施如下。</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（1）未施工工程</w:t>
            </w:r>
            <w:r>
              <w:rPr>
                <w:rFonts w:eastAsiaTheme="minorEastAsia"/>
                <w:b/>
                <w:color w:val="000000" w:themeColor="text1"/>
                <w:szCs w:val="24"/>
              </w:rPr>
              <w:t>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运输车辆严禁带泥上路，严禁超载。</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（2）未施工工程</w:t>
            </w:r>
            <w:r>
              <w:rPr>
                <w:rFonts w:eastAsiaTheme="minorEastAsia"/>
                <w:b/>
                <w:color w:val="000000" w:themeColor="text1"/>
                <w:szCs w:val="24"/>
              </w:rPr>
              <w:t>废水污染防治措施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施工人员生活污水经</w:t>
            </w:r>
            <w:r>
              <w:rPr>
                <w:rFonts w:hint="eastAsia" w:ascii="Times New Roman" w:hAnsi="Times New Roman" w:cs="Times New Roman"/>
                <w:color w:val="000000" w:themeColor="text1"/>
                <w:sz w:val="24"/>
                <w:szCs w:val="24"/>
              </w:rPr>
              <w:t>厂区</w:t>
            </w:r>
            <w:r>
              <w:rPr>
                <w:rFonts w:ascii="Times New Roman" w:hAnsi="Times New Roman" w:cs="Times New Roman"/>
                <w:color w:val="000000" w:themeColor="text1"/>
                <w:sz w:val="24"/>
                <w:szCs w:val="24"/>
              </w:rPr>
              <w:t>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-2015）B等级标准后，通过提升泵泵至厂区东侧小邓段公路污水管网进入四方地与碧谷园区污水处理厂处理。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目前还需土建的工程仅为初期雨水收集池，土建量较小，可避开雨天施工，杜绝施工场地雨天产生的地表径流的产生。</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（3）未施工工程</w:t>
            </w:r>
            <w:r>
              <w:rPr>
                <w:rFonts w:eastAsiaTheme="minorEastAsia"/>
                <w:b/>
                <w:color w:val="000000" w:themeColor="text1"/>
                <w:szCs w:val="24"/>
              </w:rPr>
              <w:t>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①</w:t>
            </w:r>
            <w:r>
              <w:rPr>
                <w:rFonts w:ascii="Times New Roman" w:cs="Times New Roman" w:hAnsiTheme="minorEastAsia"/>
                <w:color w:val="000000" w:themeColor="text1"/>
                <w:sz w:val="24"/>
                <w:szCs w:val="24"/>
              </w:rPr>
              <w:t>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w:t>
            </w:r>
            <w:r>
              <w:rPr>
                <w:rFonts w:hint="eastAsia" w:ascii="Times New Roman" w:cs="Times New Roman" w:hAnsiTheme="minorEastAsia"/>
                <w:color w:val="000000" w:themeColor="text1"/>
                <w:sz w:val="24"/>
                <w:szCs w:val="24"/>
              </w:rPr>
              <w:t>合理安排施工工序及时间，禁止夜间施工。</w:t>
            </w:r>
          </w:p>
          <w:p>
            <w:pPr>
              <w:pStyle w:val="41"/>
              <w:ind w:firstLine="361" w:firstLineChars="150"/>
              <w:rPr>
                <w:rFonts w:eastAsiaTheme="minorEastAsia"/>
                <w:b/>
                <w:color w:val="000000" w:themeColor="text1"/>
                <w:szCs w:val="24"/>
              </w:rPr>
            </w:pPr>
            <w:r>
              <w:rPr>
                <w:rFonts w:hint="eastAsia" w:eastAsiaTheme="minorEastAsia"/>
                <w:b/>
                <w:color w:val="000000" w:themeColor="text1"/>
                <w:szCs w:val="24"/>
              </w:rPr>
              <w:t>（4）未施工工程</w:t>
            </w:r>
            <w:r>
              <w:rPr>
                <w:rFonts w:eastAsiaTheme="minorEastAsia"/>
                <w:b/>
                <w:color w:val="000000" w:themeColor="text1"/>
                <w:szCs w:val="24"/>
              </w:rPr>
              <w:t>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燃烧烟气产排核算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根据设计，项目经过脱水后的</w:t>
            </w:r>
            <w:r>
              <w:rPr>
                <w:rFonts w:hint="eastAsia" w:ascii="Times New Roman" w:hAnsi="Times New Roman" w:cs="Times New Roman"/>
                <w:color w:val="000000" w:themeColor="text1"/>
                <w:sz w:val="24"/>
                <w:szCs w:val="24"/>
              </w:rPr>
              <w:t>单质铁</w:t>
            </w:r>
            <w:r>
              <w:rPr>
                <w:rFonts w:ascii="Times New Roman" w:hAnsi="Times New Roman" w:cs="Times New Roman"/>
                <w:color w:val="000000" w:themeColor="text1"/>
                <w:sz w:val="24"/>
                <w:szCs w:val="24"/>
              </w:rPr>
              <w:t>含水率约为15%，不能满足产品要求，因此脱水后的单质铁通过螺旋进料机进入烘干系统进行烘干，烘干系统由1套RFL型圆筒型热风炉、1台Φ1200*21000烘干机和风机组成，洁净热空气与热风炉提供的高温热气（烟气）进行热交换后变为热空气进入烘干机内与单质铁逆流接触进行烘干；使单质铁含水率≤1%。</w:t>
            </w:r>
            <w:r>
              <w:rPr>
                <w:rFonts w:hint="eastAsia" w:ascii="Times New Roman" w:hAnsi="Times New Roman" w:cs="Times New Roman"/>
                <w:color w:val="000000" w:themeColor="text1"/>
                <w:sz w:val="24"/>
                <w:szCs w:val="24"/>
              </w:rPr>
              <w:t>项目</w:t>
            </w:r>
            <w:r>
              <w:rPr>
                <w:rFonts w:ascii="Times New Roman" w:hAnsi="Times New Roman" w:cs="Times New Roman"/>
                <w:color w:val="000000" w:themeColor="text1"/>
                <w:sz w:val="24"/>
                <w:szCs w:val="24"/>
              </w:rPr>
              <w:t>热风炉</w:t>
            </w:r>
            <w:r>
              <w:rPr>
                <w:rFonts w:hint="eastAsia" w:ascii="Times New Roman" w:hAnsi="Times New Roman" w:cs="Times New Roman"/>
                <w:color w:val="000000" w:themeColor="text1"/>
                <w:sz w:val="24"/>
                <w:szCs w:val="24"/>
              </w:rPr>
              <w:t>使用生物质作为燃料，其燃烧后的主要污染物包括：颗粒物、SO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、NOx。参考《排放源统计调查产排污核算方法和系数手册》中“4430工业锅炉（热力供应）行业系数手册”，生物质燃料污染物产物系数如下表所示。</w:t>
            </w:r>
          </w:p>
          <w:p>
            <w:pPr>
              <w:jc w:val="center"/>
              <w:rPr>
                <w:rFonts w:ascii="Times New Roman" w:hAnsi="Times New Roman" w:eastAsia="宋体" w:cs="Times New Roman"/>
                <w:b/>
                <w:color w:val="000000" w:themeColor="text1"/>
                <w:szCs w:val="24"/>
              </w:rPr>
            </w:pPr>
            <w:r>
              <w:rPr>
                <w:rFonts w:hint="eastAsia" w:ascii="Times New Roman" w:hAnsi="Times New Roman" w:eastAsia="宋体" w:cs="Times New Roman"/>
                <w:b/>
                <w:color w:val="000000" w:themeColor="text1"/>
                <w:szCs w:val="24"/>
              </w:rPr>
              <w:t>表</w:t>
            </w:r>
            <w:r>
              <w:rPr>
                <w:rFonts w:ascii="Times New Roman" w:hAnsi="Times New Roman" w:eastAsia="宋体" w:cs="Times New Roman"/>
                <w:b/>
                <w:color w:val="000000" w:themeColor="text1"/>
                <w:szCs w:val="24"/>
              </w:rPr>
              <w:t>4.2.1-</w:t>
            </w:r>
            <w:r>
              <w:rPr>
                <w:rFonts w:hint="eastAsia" w:ascii="Times New Roman" w:hAnsi="Times New Roman" w:eastAsia="宋体" w:cs="Times New Roman"/>
                <w:b/>
                <w:color w:val="000000" w:themeColor="text1"/>
                <w:szCs w:val="24"/>
              </w:rPr>
              <w:t>1    4430工业锅炉（热力供应）行业系数表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7"/>
              <w:gridCol w:w="733"/>
              <w:gridCol w:w="718"/>
              <w:gridCol w:w="718"/>
              <w:gridCol w:w="1001"/>
              <w:gridCol w:w="1287"/>
              <w:gridCol w:w="717"/>
              <w:gridCol w:w="170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产品名称</w:t>
                  </w:r>
                </w:p>
              </w:tc>
              <w:tc>
                <w:tcPr>
                  <w:tcW w:w="733"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原料名称</w:t>
                  </w:r>
                </w:p>
              </w:tc>
              <w:tc>
                <w:tcPr>
                  <w:tcW w:w="718"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工艺名称</w:t>
                  </w:r>
                </w:p>
              </w:tc>
              <w:tc>
                <w:tcPr>
                  <w:tcW w:w="718"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规模等级</w:t>
                  </w: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污染物指标</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单位</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产污系数</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末端治理技术</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蒸汽/热水/其他</w:t>
                  </w:r>
                </w:p>
              </w:tc>
              <w:tc>
                <w:tcPr>
                  <w:tcW w:w="733"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生物质燃料</w:t>
                  </w:r>
                </w:p>
              </w:tc>
              <w:tc>
                <w:tcPr>
                  <w:tcW w:w="718"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层燃炉</w:t>
                  </w:r>
                </w:p>
              </w:tc>
              <w:tc>
                <w:tcPr>
                  <w:tcW w:w="718" w:type="dxa"/>
                  <w:vMerge w:val="restart"/>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所有规模</w:t>
                  </w: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工业废气量</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标m³/t·原料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6240</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有末端治理</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颗粒物</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0.5</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袋式除尘器</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9</w:t>
                  </w:r>
                  <w:r>
                    <w:rPr>
                      <w:rFonts w:hint="eastAsia" w:ascii="Times New Roman" w:hAnsi="Times New Roman" w:eastAsia="宋体" w:cs="Times New Roman"/>
                      <w:bCs/>
                      <w:snapToGrid w:val="0"/>
                      <w:color w:val="000000" w:themeColor="text1"/>
                      <w:kern w:val="32"/>
                      <w:sz w:val="21"/>
                      <w:szCs w:val="21"/>
                      <w:lang w:val="zh-CN"/>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SO</w:t>
                  </w:r>
                  <w:r>
                    <w:rPr>
                      <w:rFonts w:ascii="Times New Roman" w:hAnsi="Times New Roman" w:eastAsia="宋体" w:cs="Times New Roman"/>
                      <w:bCs/>
                      <w:snapToGrid w:val="0"/>
                      <w:color w:val="000000" w:themeColor="text1"/>
                      <w:kern w:val="32"/>
                      <w:sz w:val="21"/>
                      <w:szCs w:val="21"/>
                      <w:vertAlign w:val="subscript"/>
                      <w:lang w:val="zh-CN"/>
                    </w:rPr>
                    <w:t>2</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17s</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7"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33"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718" w:type="dxa"/>
                  <w:vMerge w:val="continue"/>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p>
              </w:tc>
              <w:tc>
                <w:tcPr>
                  <w:tcW w:w="10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NOx</w:t>
                  </w:r>
                </w:p>
              </w:tc>
              <w:tc>
                <w:tcPr>
                  <w:tcW w:w="128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kg/t·原料</w:t>
                  </w:r>
                </w:p>
              </w:tc>
              <w:tc>
                <w:tcPr>
                  <w:tcW w:w="717"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1.02</w:t>
                  </w:r>
                </w:p>
              </w:tc>
              <w:tc>
                <w:tcPr>
                  <w:tcW w:w="1701"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低氮燃烧+选择性非催化还原（SNCR）脱硝</w:t>
                  </w:r>
                </w:p>
              </w:tc>
              <w:tc>
                <w:tcPr>
                  <w:tcW w:w="106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45.4</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由上表可知，本项目生物质燃料使用量为1000t</w:t>
            </w:r>
            <w:r>
              <w:rPr>
                <w:rFonts w:ascii="Times New Roman" w:hAnsi="Times New Roman" w:cs="Times New Roman"/>
                <w:color w:val="000000" w:themeColor="text1"/>
                <w:sz w:val="24"/>
                <w:szCs w:val="24"/>
              </w:rPr>
              <w:t>/a</w:t>
            </w:r>
            <w:r>
              <w:rPr>
                <w:rFonts w:hint="eastAsia" w:ascii="Times New Roman" w:hAnsi="Times New Roman" w:cs="Times New Roman"/>
                <w:color w:val="000000" w:themeColor="text1"/>
                <w:sz w:val="24"/>
                <w:szCs w:val="24"/>
              </w:rPr>
              <w:t>，该燃料的全硫量为0.08%；针对燃烧烟气，项目拟通过低氮燃烧+非催化还原（SNCR）脱硝技术+袋式除尘器处理，其中低氮燃烧+非催化还原（SNCR）脱硝的NOx去除效率为45.4%，1#布袋除尘除尘效率为99.7%，燃烧烟气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外排。则燃烧废气的产排情况如下表所示。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2   燃烧烟气</w:t>
            </w:r>
            <w:r>
              <w:rPr>
                <w:rFonts w:ascii="Times New Roman" w:hAnsi="Times New Roman" w:cs="Times New Roman"/>
                <w:b/>
                <w:color w:val="000000" w:themeColor="text1"/>
                <w:szCs w:val="24"/>
              </w:rPr>
              <w:t>污染物产排量一览表</w:t>
            </w:r>
          </w:p>
          <w:tbl>
            <w:tblPr>
              <w:tblStyle w:val="22"/>
              <w:tblW w:w="5000" w:type="pct"/>
              <w:jc w:val="center"/>
              <w:tblLayout w:type="fixed"/>
              <w:tblCellMar>
                <w:top w:w="0" w:type="dxa"/>
                <w:left w:w="108" w:type="dxa"/>
                <w:bottom w:w="0" w:type="dxa"/>
                <w:right w:w="108" w:type="dxa"/>
              </w:tblCellMar>
            </w:tblPr>
            <w:tblGrid>
              <w:gridCol w:w="1076"/>
              <w:gridCol w:w="1076"/>
              <w:gridCol w:w="1078"/>
              <w:gridCol w:w="1078"/>
              <w:gridCol w:w="1078"/>
              <w:gridCol w:w="1078"/>
              <w:gridCol w:w="1078"/>
              <w:gridCol w:w="1078"/>
            </w:tblGrid>
            <w:tr>
              <w:tblPrEx>
                <w:tblCellMar>
                  <w:top w:w="0" w:type="dxa"/>
                  <w:left w:w="108" w:type="dxa"/>
                  <w:bottom w:w="0" w:type="dxa"/>
                  <w:right w:w="108" w:type="dxa"/>
                </w:tblCellMar>
              </w:tblPrEx>
              <w:trPr>
                <w:trHeight w:val="324" w:hRule="atLeast"/>
                <w:jc w:val="center"/>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产排污环节</w:t>
                  </w:r>
                </w:p>
              </w:tc>
              <w:tc>
                <w:tcPr>
                  <w:tcW w:w="1080" w:type="dxa"/>
                  <w:vMerge w:val="restart"/>
                  <w:tcBorders>
                    <w:top w:val="single" w:color="000000" w:sz="8" w:space="0"/>
                    <w:left w:val="single" w:color="000000" w:sz="8" w:space="0"/>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污染物种类</w:t>
                  </w:r>
                </w:p>
              </w:tc>
              <w:tc>
                <w:tcPr>
                  <w:tcW w:w="3240" w:type="dxa"/>
                  <w:gridSpan w:val="3"/>
                  <w:tcBorders>
                    <w:top w:val="single" w:color="000000" w:sz="8" w:space="0"/>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污染物产生情况</w:t>
                  </w:r>
                </w:p>
              </w:tc>
              <w:tc>
                <w:tcPr>
                  <w:tcW w:w="3240" w:type="dxa"/>
                  <w:gridSpan w:val="3"/>
                  <w:tcBorders>
                    <w:top w:val="single" w:color="000000" w:sz="8" w:space="0"/>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污染物排放量和浓度</w:t>
                  </w:r>
                </w:p>
              </w:tc>
            </w:tr>
            <w:tr>
              <w:tblPrEx>
                <w:tblCellMar>
                  <w:top w:w="0" w:type="dxa"/>
                  <w:left w:w="108" w:type="dxa"/>
                  <w:bottom w:w="0" w:type="dxa"/>
                  <w:right w:w="108" w:type="dxa"/>
                </w:tblCellMar>
              </w:tblPrEx>
              <w:trPr>
                <w:trHeight w:val="576" w:hRule="atLeast"/>
                <w:jc w:val="center"/>
              </w:trPr>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vMerge w:val="continue"/>
                  <w:tcBorders>
                    <w:top w:val="single" w:color="000000" w:sz="8" w:space="0"/>
                    <w:left w:val="single" w:color="000000" w:sz="8" w:space="0"/>
                    <w:bottom w:val="single" w:color="000000" w:sz="8" w:space="0"/>
                    <w:right w:val="single" w:color="auto"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产生浓度</w:t>
                  </w:r>
                  <w:r>
                    <w:rPr>
                      <w:rFonts w:ascii="Times New Roman" w:hAnsi="Times New Roman" w:eastAsia="宋体" w:cs="Times New Roman"/>
                      <w:bCs/>
                      <w:snapToGrid w:val="0"/>
                      <w:color w:val="000000" w:themeColor="text1"/>
                      <w:kern w:val="32"/>
                      <w:sz w:val="21"/>
                      <w:szCs w:val="21"/>
                    </w:rPr>
                    <w:t>mg/m³</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产生量</w:t>
                  </w:r>
                  <w:r>
                    <w:rPr>
                      <w:rFonts w:ascii="Times New Roman" w:hAnsi="Times New Roman" w:eastAsia="宋体" w:cs="Times New Roman"/>
                      <w:bCs/>
                      <w:snapToGrid w:val="0"/>
                      <w:color w:val="000000" w:themeColor="text1"/>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产生速率</w:t>
                  </w:r>
                  <w:r>
                    <w:rPr>
                      <w:rFonts w:ascii="Times New Roman" w:hAnsi="Times New Roman" w:eastAsia="宋体" w:cs="Times New Roman"/>
                      <w:bCs/>
                      <w:snapToGrid w:val="0"/>
                      <w:color w:val="000000" w:themeColor="text1"/>
                      <w:kern w:val="32"/>
                      <w:sz w:val="21"/>
                      <w:szCs w:val="21"/>
                    </w:rPr>
                    <w:t>kg/h</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排放浓度</w:t>
                  </w:r>
                  <w:r>
                    <w:rPr>
                      <w:rFonts w:ascii="Times New Roman" w:hAnsi="Times New Roman" w:eastAsia="宋体" w:cs="Times New Roman"/>
                      <w:bCs/>
                      <w:snapToGrid w:val="0"/>
                      <w:color w:val="000000" w:themeColor="text1"/>
                      <w:kern w:val="32"/>
                      <w:sz w:val="21"/>
                      <w:szCs w:val="21"/>
                    </w:rPr>
                    <w:t>mg/m³</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排放量</w:t>
                  </w:r>
                  <w:r>
                    <w:rPr>
                      <w:rFonts w:ascii="Times New Roman" w:hAnsi="Times New Roman" w:eastAsia="宋体" w:cs="Times New Roman"/>
                      <w:bCs/>
                      <w:snapToGrid w:val="0"/>
                      <w:color w:val="000000" w:themeColor="text1"/>
                      <w:kern w:val="32"/>
                      <w:sz w:val="21"/>
                      <w:szCs w:val="21"/>
                    </w:rPr>
                    <w:t>t/a</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排放速率</w:t>
                  </w:r>
                  <w:r>
                    <w:rPr>
                      <w:rFonts w:ascii="Times New Roman" w:hAnsi="Times New Roman" w:eastAsia="宋体" w:cs="Times New Roman"/>
                      <w:bCs/>
                      <w:snapToGrid w:val="0"/>
                      <w:color w:val="000000" w:themeColor="text1"/>
                      <w:kern w:val="32"/>
                      <w:sz w:val="21"/>
                      <w:szCs w:val="21"/>
                    </w:rPr>
                    <w:t>kg/h</w:t>
                  </w:r>
                </w:p>
              </w:tc>
            </w:tr>
            <w:tr>
              <w:tblPrEx>
                <w:tblCellMar>
                  <w:top w:w="0" w:type="dxa"/>
                  <w:left w:w="108" w:type="dxa"/>
                  <w:bottom w:w="0" w:type="dxa"/>
                  <w:right w:w="108" w:type="dxa"/>
                </w:tblCellMar>
              </w:tblPrEx>
              <w:trPr>
                <w:trHeight w:val="324"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热风炉</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废气量</w:t>
                  </w:r>
                </w:p>
              </w:tc>
              <w:tc>
                <w:tcPr>
                  <w:tcW w:w="3240" w:type="dxa"/>
                  <w:gridSpan w:val="3"/>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　</w:t>
                  </w:r>
                  <w:r>
                    <w:rPr>
                      <w:rFonts w:ascii="Times New Roman" w:hAnsi="Times New Roman" w:eastAsia="宋体" w:cs="Times New Roman"/>
                      <w:bCs/>
                      <w:snapToGrid w:val="0"/>
                      <w:color w:val="000000" w:themeColor="text1"/>
                      <w:kern w:val="32"/>
                      <w:sz w:val="21"/>
                      <w:szCs w:val="21"/>
                    </w:rPr>
                    <w:t>624</w:t>
                  </w:r>
                  <w:r>
                    <w:rPr>
                      <w:rFonts w:ascii="Times New Roman" w:hAnsi="Times New Roman" w:eastAsia="宋体" w:cs="Times New Roman"/>
                      <w:bCs/>
                      <w:snapToGrid w:val="0"/>
                      <w:color w:val="000000" w:themeColor="text1"/>
                      <w:kern w:val="32"/>
                      <w:sz w:val="21"/>
                      <w:szCs w:val="21"/>
                      <w:lang w:val="zh-CN"/>
                    </w:rPr>
                    <w:t>万</w:t>
                  </w:r>
                  <w:r>
                    <w:rPr>
                      <w:rFonts w:ascii="Times New Roman" w:hAnsi="Times New Roman" w:eastAsia="宋体" w:cs="Times New Roman"/>
                      <w:bCs/>
                      <w:snapToGrid w:val="0"/>
                      <w:color w:val="000000" w:themeColor="text1"/>
                      <w:kern w:val="32"/>
                      <w:sz w:val="21"/>
                      <w:szCs w:val="21"/>
                    </w:rPr>
                    <w:t>m³/a</w:t>
                  </w:r>
                </w:p>
              </w:tc>
              <w:tc>
                <w:tcPr>
                  <w:tcW w:w="3240" w:type="dxa"/>
                  <w:gridSpan w:val="3"/>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lang w:val="zh-CN"/>
                    </w:rPr>
                    <w:t>　</w:t>
                  </w:r>
                  <w:r>
                    <w:rPr>
                      <w:rFonts w:ascii="Times New Roman" w:hAnsi="Times New Roman" w:eastAsia="宋体" w:cs="Times New Roman"/>
                      <w:bCs/>
                      <w:snapToGrid w:val="0"/>
                      <w:color w:val="000000" w:themeColor="text1"/>
                      <w:kern w:val="32"/>
                      <w:sz w:val="21"/>
                      <w:szCs w:val="21"/>
                    </w:rPr>
                    <w:t>624</w:t>
                  </w:r>
                  <w:r>
                    <w:rPr>
                      <w:rFonts w:ascii="Times New Roman" w:hAnsi="Times New Roman" w:eastAsia="宋体" w:cs="Times New Roman"/>
                      <w:bCs/>
                      <w:snapToGrid w:val="0"/>
                      <w:color w:val="000000" w:themeColor="text1"/>
                      <w:kern w:val="32"/>
                      <w:sz w:val="21"/>
                      <w:szCs w:val="21"/>
                      <w:lang w:val="zh-CN"/>
                    </w:rPr>
                    <w:t>万</w:t>
                  </w:r>
                  <w:r>
                    <w:rPr>
                      <w:rFonts w:ascii="Times New Roman" w:hAnsi="Times New Roman" w:eastAsia="宋体" w:cs="Times New Roman"/>
                      <w:bCs/>
                      <w:snapToGrid w:val="0"/>
                      <w:color w:val="000000" w:themeColor="text1"/>
                      <w:kern w:val="32"/>
                      <w:sz w:val="21"/>
                      <w:szCs w:val="21"/>
                    </w:rPr>
                    <w:t>m³/a</w:t>
                  </w:r>
                </w:p>
              </w:tc>
            </w:tr>
            <w:tr>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lang w:val="zh-CN"/>
                    </w:rPr>
                    <w:t>颗粒物</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80.13</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0.50</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0.06</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0.24</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0.002</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0.0002</w:t>
                  </w:r>
                </w:p>
              </w:tc>
            </w:tr>
            <w:tr>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SO2</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217.95</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1.36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0.17</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217.95</w:t>
                  </w:r>
                </w:p>
              </w:tc>
              <w:tc>
                <w:tcPr>
                  <w:tcW w:w="1080" w:type="dxa"/>
                  <w:tcBorders>
                    <w:top w:val="nil"/>
                    <w:left w:val="nil"/>
                    <w:bottom w:val="single" w:color="000000"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1.36</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0.17</w:t>
                  </w:r>
                </w:p>
              </w:tc>
            </w:tr>
            <w:tr>
              <w:tblPrEx>
                <w:tblCellMar>
                  <w:top w:w="0" w:type="dxa"/>
                  <w:left w:w="108" w:type="dxa"/>
                  <w:bottom w:w="0" w:type="dxa"/>
                  <w:right w:w="108" w:type="dxa"/>
                </w:tblCellMar>
              </w:tblPrEx>
              <w:trPr>
                <w:trHeight w:val="324" w:hRule="atLeast"/>
                <w:jc w:val="center"/>
              </w:trPr>
              <w:tc>
                <w:tcPr>
                  <w:tcW w:w="1080" w:type="dxa"/>
                  <w:vMerge w:val="continue"/>
                  <w:tcBorders>
                    <w:top w:val="nil"/>
                    <w:left w:val="single" w:color="000000" w:sz="8" w:space="0"/>
                    <w:bottom w:val="single" w:color="000000" w:sz="8" w:space="0"/>
                    <w:right w:val="single" w:color="000000" w:sz="8"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NOx</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163.46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1.02</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0.13</w:t>
                  </w:r>
                </w:p>
              </w:tc>
              <w:tc>
                <w:tcPr>
                  <w:tcW w:w="1080" w:type="dxa"/>
                  <w:tcBorders>
                    <w:top w:val="nil"/>
                    <w:left w:val="nil"/>
                    <w:bottom w:val="single" w:color="000000"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89.25</w:t>
                  </w:r>
                </w:p>
              </w:tc>
              <w:tc>
                <w:tcPr>
                  <w:tcW w:w="1080" w:type="dxa"/>
                  <w:tcBorders>
                    <w:top w:val="nil"/>
                    <w:left w:val="nil"/>
                    <w:bottom w:val="single" w:color="auto" w:sz="8" w:space="0"/>
                    <w:right w:val="single" w:color="auto"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0.56</w:t>
                  </w:r>
                </w:p>
              </w:tc>
              <w:tc>
                <w:tcPr>
                  <w:tcW w:w="1080" w:type="dxa"/>
                  <w:tcBorders>
                    <w:top w:val="nil"/>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ascii="Times New Roman" w:hAnsi="Times New Roman" w:eastAsia="宋体" w:cs="Times New Roman"/>
                      <w:bCs/>
                      <w:snapToGrid w:val="0"/>
                      <w:color w:val="000000" w:themeColor="text1"/>
                      <w:kern w:val="32"/>
                      <w:sz w:val="21"/>
                      <w:szCs w:val="21"/>
                    </w:rPr>
                    <w:t>0.07</w:t>
                  </w:r>
                </w:p>
              </w:tc>
            </w:tr>
          </w:tbl>
          <w:p>
            <w:pPr>
              <w:spacing w:beforeLines="50"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②烘干粉尘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w:t>
            </w:r>
            <w:r>
              <w:rPr>
                <w:rFonts w:ascii="Times New Roman" w:hAnsi="Times New Roman" w:cs="Times New Roman"/>
                <w:color w:val="000000" w:themeColor="text1"/>
                <w:sz w:val="24"/>
                <w:szCs w:val="24"/>
              </w:rPr>
              <w:t>洁净热空气与热风炉提供的高温热气（烟气）进行热交换后变为热空气进入烘干机内与单质铁逆流接触进行烘干；烘干过程会有一定量的烘干粉尘产生，</w:t>
            </w:r>
            <w:r>
              <w:rPr>
                <w:rFonts w:hint="eastAsia" w:ascii="Times New Roman" w:hAnsi="Times New Roman" w:cs="Times New Roman"/>
                <w:color w:val="000000" w:themeColor="text1"/>
                <w:sz w:val="24"/>
                <w:szCs w:val="24"/>
              </w:rPr>
              <w:t>根据设计参数，</w:t>
            </w:r>
            <w:r>
              <w:rPr>
                <w:rFonts w:ascii="Times New Roman" w:hAnsi="Times New Roman" w:cs="Times New Roman"/>
                <w:color w:val="000000" w:themeColor="text1"/>
                <w:sz w:val="24"/>
                <w:szCs w:val="24"/>
              </w:rPr>
              <w:t>其粉尘产生系数为0.</w:t>
            </w:r>
            <w:r>
              <w:rPr>
                <w:rFonts w:hint="eastAsia" w:ascii="Times New Roman" w:hAnsi="Times New Roman" w:cs="Times New Roman"/>
                <w:color w:val="000000" w:themeColor="text1"/>
                <w:sz w:val="24"/>
                <w:szCs w:val="24"/>
              </w:rPr>
              <w:t>86</w:t>
            </w:r>
            <w:r>
              <w:rPr>
                <w:rFonts w:ascii="Times New Roman" w:hAnsi="Times New Roman" w:cs="Times New Roman"/>
                <w:color w:val="000000" w:themeColor="text1"/>
                <w:sz w:val="24"/>
                <w:szCs w:val="24"/>
              </w:rPr>
              <w:t>kg/t（烘干料），本项目铁粉</w:t>
            </w:r>
            <w:r>
              <w:rPr>
                <w:rFonts w:hint="eastAsia" w:ascii="Times New Roman" w:hAnsi="Times New Roman" w:cs="Times New Roman"/>
                <w:color w:val="000000" w:themeColor="text1"/>
                <w:sz w:val="24"/>
                <w:szCs w:val="24"/>
              </w:rPr>
              <w:t>产品</w:t>
            </w:r>
            <w:r>
              <w:rPr>
                <w:rFonts w:ascii="Times New Roman" w:hAnsi="Times New Roman" w:cs="Times New Roman"/>
                <w:color w:val="000000" w:themeColor="text1"/>
                <w:sz w:val="24"/>
                <w:szCs w:val="24"/>
              </w:rPr>
              <w:t>量为2.</w:t>
            </w:r>
            <w:r>
              <w:rPr>
                <w:rFonts w:hint="eastAsia"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万t/a，则烘干粉尘产生量为</w:t>
            </w:r>
            <w:r>
              <w:rPr>
                <w:rFonts w:hint="eastAsia" w:ascii="Times New Roman" w:hAnsi="Times New Roman" w:cs="Times New Roman"/>
                <w:color w:val="000000" w:themeColor="text1"/>
                <w:sz w:val="24"/>
                <w:szCs w:val="24"/>
              </w:rPr>
              <w:t>22.02t/a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通过旋风除尘+袋式除尘器处理，其中旋风除尘效率为70%，2#布袋除尘除尘效率为98.4%，则综合除尘效率约为99.5%，</w:t>
            </w:r>
            <w:r>
              <w:rPr>
                <w:rFonts w:ascii="Times New Roman" w:hAnsi="Times New Roman" w:cs="Times New Roman"/>
                <w:color w:val="000000" w:themeColor="text1"/>
                <w:sz w:val="24"/>
                <w:szCs w:val="24"/>
              </w:rPr>
              <w:t>该系统处理风量为</w:t>
            </w:r>
            <w:r>
              <w:rPr>
                <w:rFonts w:hint="eastAsia"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000m³/h</w:t>
            </w:r>
            <w:r>
              <w:rPr>
                <w:rFonts w:hint="eastAsia" w:ascii="Times New Roman" w:hAnsi="Times New Roman" w:cs="Times New Roman"/>
                <w:color w:val="000000" w:themeColor="text1"/>
                <w:sz w:val="24"/>
                <w:szCs w:val="24"/>
              </w:rPr>
              <w:t>，则</w:t>
            </w:r>
            <w:r>
              <w:rPr>
                <w:rFonts w:ascii="Times New Roman" w:hAnsi="Times New Roman" w:cs="Times New Roman"/>
                <w:color w:val="000000" w:themeColor="text1"/>
                <w:sz w:val="24"/>
                <w:szCs w:val="24"/>
              </w:rPr>
              <w:t>烘干</w:t>
            </w:r>
            <w:r>
              <w:rPr>
                <w:rFonts w:hint="eastAsia" w:ascii="Times New Roman" w:hAnsi="Times New Roman" w:cs="Times New Roman"/>
                <w:color w:val="000000" w:themeColor="text1"/>
                <w:sz w:val="24"/>
                <w:szCs w:val="24"/>
              </w:rPr>
              <w:t>粉尘排放量为0.11t/a，产生浓度为347.54mg/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，排放浓度为1.74mg/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；烘干粉尘经处理后通过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③水淬渣暂存库和废渣暂存库扬尘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本项目已设置1个建筑面积约为315m²的水淬渣暂存库对拟综合利用的氧化锌尾渣（水淬渣）进行暂存。</w:t>
            </w:r>
            <w:r>
              <w:rPr>
                <w:rFonts w:ascii="Times New Roman" w:hAnsi="Times New Roman" w:cs="Times New Roman"/>
                <w:color w:val="000000" w:themeColor="text1"/>
                <w:sz w:val="24"/>
                <w:szCs w:val="24"/>
              </w:rPr>
              <w:t>已设置的600m²废渣暂存库对</w:t>
            </w:r>
            <w:r>
              <w:rPr>
                <w:rFonts w:hint="eastAsia" w:ascii="Times New Roman" w:hAnsi="Times New Roman" w:cs="Times New Roman"/>
                <w:color w:val="000000" w:themeColor="text1"/>
                <w:sz w:val="24"/>
                <w:szCs w:val="24"/>
              </w:rPr>
              <w:t>综合利用后的废渣</w:t>
            </w:r>
            <w:r>
              <w:rPr>
                <w:rFonts w:ascii="Times New Roman" w:hAnsi="Times New Roman" w:cs="Times New Roman"/>
                <w:color w:val="000000" w:themeColor="text1"/>
                <w:sz w:val="24"/>
                <w:szCs w:val="24"/>
              </w:rPr>
              <w:t>其进行暂存</w:t>
            </w:r>
            <w:r>
              <w:rPr>
                <w:rFonts w:hint="eastAsia" w:ascii="Times New Roman" w:hAnsi="Times New Roman" w:cs="Times New Roman"/>
                <w:color w:val="000000" w:themeColor="text1"/>
                <w:sz w:val="24"/>
                <w:szCs w:val="24"/>
              </w:rPr>
              <w:t>。该水淬渣暂存库设有三面围挡和顶棚设施。而废渣暂存库设有顶棚和三面围挡，但围挡与顶棚之间存在空隙，未完全封闭，应加高围挡进行封闭，应对其进行修善。氧化锌尾渣（水淬渣）和</w:t>
            </w:r>
            <w:r>
              <w:rPr>
                <w:rFonts w:ascii="Times New Roman" w:hAnsi="Times New Roman" w:cs="Times New Roman"/>
                <w:color w:val="000000" w:themeColor="text1"/>
                <w:sz w:val="24"/>
                <w:szCs w:val="24"/>
              </w:rPr>
              <w:t>废渣在装卸暂存过程中会产生一定量的装卸及风蚀扬尘。</w:t>
            </w:r>
            <w:r>
              <w:rPr>
                <w:rFonts w:hint="eastAsia" w:ascii="Times New Roman" w:hAnsi="Times New Roman" w:cs="Times New Roman"/>
                <w:color w:val="000000" w:themeColor="text1"/>
                <w:sz w:val="24"/>
                <w:szCs w:val="24"/>
              </w:rPr>
              <w:t>本环评根据</w:t>
            </w:r>
            <w:r>
              <w:rPr>
                <w:rFonts w:ascii="Times New Roman" w:hAnsi="Times New Roman" w:cs="Times New Roman"/>
                <w:color w:val="000000" w:themeColor="text1"/>
                <w:sz w:val="24"/>
                <w:szCs w:val="24"/>
              </w:rPr>
              <w:t>《排放源统计调查产排污核算方法和系数手册》中“固体物料堆存颗粒物产排污核算系数手册”提供的数据进行核算。颗粒物产生量核算公式如下：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4"/>
                <w:vertAlign w:val="superscript"/>
              </w:rPr>
            </w:pPr>
            <w:r>
              <w:rPr>
                <w:rFonts w:ascii="Cambria Math" w:hAnsi="Cambria Math" w:cs="Cambria Math"/>
                <w:color w:val="000000" w:themeColor="text1"/>
                <w:kern w:val="0"/>
                <w:sz w:val="24"/>
                <w:szCs w:val="24"/>
              </w:rPr>
              <w:t>𝑃</w:t>
            </w:r>
            <w:r>
              <w:rPr>
                <w:rFonts w:ascii="Times New Roman" w:hAnsi="Times New Roman" w:cs="Times New Roman"/>
                <w:color w:val="000000" w:themeColor="text1"/>
                <w:kern w:val="0"/>
                <w:sz w:val="24"/>
                <w:szCs w:val="24"/>
              </w:rPr>
              <w:t>=ZCy+FCy={Nc×D×（a/b)+2×E</w:t>
            </w:r>
            <w:r>
              <w:rPr>
                <w:rFonts w:ascii="Times New Roman" w:hAnsi="Times New Roman" w:cs="Times New Roman"/>
                <w:color w:val="000000" w:themeColor="text1"/>
                <w:kern w:val="0"/>
                <w:sz w:val="24"/>
                <w:szCs w:val="24"/>
                <w:vertAlign w:val="subscript"/>
              </w:rPr>
              <w:t>f</w:t>
            </w:r>
            <w:r>
              <w:rPr>
                <w:rFonts w:ascii="Times New Roman" w:hAnsi="Times New Roman" w:cs="Times New Roman"/>
                <w:color w:val="000000" w:themeColor="text1"/>
                <w:kern w:val="0"/>
                <w:sz w:val="24"/>
                <w:szCs w:val="24"/>
              </w:rPr>
              <w:t>×</w:t>
            </w:r>
            <w:r>
              <w:rPr>
                <w:rFonts w:ascii="Cambria Math" w:hAnsi="Cambria Math" w:cs="Cambria Math"/>
                <w:color w:val="000000" w:themeColor="text1"/>
                <w:kern w:val="0"/>
                <w:sz w:val="24"/>
                <w:szCs w:val="24"/>
              </w:rPr>
              <w:t>𝑆</w:t>
            </w:r>
            <w:r>
              <w:rPr>
                <w:rFonts w:ascii="Times New Roman" w:hAnsi="Times New Roman" w:cs="Times New Roman"/>
                <w:color w:val="000000" w:themeColor="text1"/>
                <w:kern w:val="0"/>
                <w:sz w:val="24"/>
                <w:szCs w:val="24"/>
              </w:rPr>
              <w:t>}×10</w:t>
            </w:r>
            <w:r>
              <w:rPr>
                <w:rFonts w:ascii="Times New Roman" w:hAnsi="Times New Roman" w:cs="Times New Roman"/>
                <w:color w:val="000000" w:themeColor="text1"/>
                <w:kern w:val="0"/>
                <w:sz w:val="24"/>
                <w:szCs w:val="24"/>
                <w:vertAlign w:val="superscript"/>
              </w:rPr>
              <w:t>-3</w:t>
            </w:r>
          </w:p>
          <w:p>
            <w:pPr>
              <w:pStyle w:val="41"/>
              <w:ind w:firstLine="480"/>
              <w:rPr>
                <w:color w:val="000000" w:themeColor="text1"/>
              </w:rPr>
            </w:pPr>
            <w:r>
              <w:rPr>
                <w:color w:val="000000" w:themeColor="text1"/>
              </w:rPr>
              <w:t>式中：P：颗粒物产生量（吨）；</w:t>
            </w:r>
          </w:p>
          <w:p>
            <w:pPr>
              <w:pStyle w:val="41"/>
              <w:ind w:firstLine="480"/>
              <w:rPr>
                <w:color w:val="000000" w:themeColor="text1"/>
              </w:rPr>
            </w:pPr>
            <w:r>
              <w:rPr>
                <w:color w:val="000000" w:themeColor="text1"/>
              </w:rPr>
              <w:t xml:space="preserve">      ZCy：装卸扬尘产生量；</w:t>
            </w:r>
          </w:p>
          <w:p>
            <w:pPr>
              <w:pStyle w:val="41"/>
              <w:ind w:firstLine="480"/>
              <w:rPr>
                <w:color w:val="000000" w:themeColor="text1"/>
              </w:rPr>
            </w:pPr>
            <w:r>
              <w:rPr>
                <w:color w:val="000000" w:themeColor="text1"/>
              </w:rPr>
              <w:t xml:space="preserve">      FCy：风蚀扬尘产生量；</w:t>
            </w:r>
          </w:p>
          <w:p>
            <w:pPr>
              <w:pStyle w:val="41"/>
              <w:ind w:firstLine="480"/>
              <w:rPr>
                <w:color w:val="000000" w:themeColor="text1"/>
              </w:rPr>
            </w:pPr>
            <w:r>
              <w:rPr>
                <w:color w:val="000000" w:themeColor="text1"/>
              </w:rPr>
              <w:t xml:space="preserve">      Nc：年物料运载车次；</w:t>
            </w:r>
          </w:p>
          <w:p>
            <w:pPr>
              <w:pStyle w:val="41"/>
              <w:ind w:firstLine="480"/>
              <w:rPr>
                <w:color w:val="000000" w:themeColor="text1"/>
              </w:rPr>
            </w:pPr>
            <w:r>
              <w:rPr>
                <w:color w:val="000000" w:themeColor="text1"/>
              </w:rPr>
              <w:t xml:space="preserve">      D：单车平均运载量；</w:t>
            </w:r>
          </w:p>
          <w:p>
            <w:pPr>
              <w:pStyle w:val="41"/>
              <w:ind w:firstLine="480"/>
              <w:rPr>
                <w:color w:val="000000" w:themeColor="text1"/>
              </w:rPr>
            </w:pPr>
            <w:r>
              <w:rPr>
                <w:color w:val="000000" w:themeColor="text1"/>
              </w:rPr>
              <w:t xml:space="preserve">      a：各省风速概化系数；</w:t>
            </w:r>
          </w:p>
          <w:p>
            <w:pPr>
              <w:pStyle w:val="41"/>
              <w:ind w:firstLine="480"/>
              <w:rPr>
                <w:color w:val="000000" w:themeColor="text1"/>
              </w:rPr>
            </w:pPr>
            <w:r>
              <w:rPr>
                <w:color w:val="000000" w:themeColor="text1"/>
              </w:rPr>
              <w:t xml:space="preserve">      b：物料含水率概化系数；</w:t>
            </w:r>
          </w:p>
          <w:p>
            <w:pPr>
              <w:pStyle w:val="41"/>
              <w:ind w:firstLine="480"/>
              <w:rPr>
                <w:color w:val="000000" w:themeColor="text1"/>
              </w:rPr>
            </w:pPr>
            <w:r>
              <w:rPr>
                <w:color w:val="000000" w:themeColor="text1"/>
              </w:rPr>
              <w:t xml:space="preserve">      Ef：堆场风蚀扬尘概化系数；</w:t>
            </w:r>
          </w:p>
          <w:p>
            <w:pPr>
              <w:pStyle w:val="41"/>
              <w:ind w:firstLine="480"/>
              <w:rPr>
                <w:color w:val="000000" w:themeColor="text1"/>
              </w:rPr>
            </w:pPr>
            <w:r>
              <w:rPr>
                <w:color w:val="000000" w:themeColor="text1"/>
              </w:rPr>
              <w:t xml:space="preserve">      S：堆场占地面积。</w:t>
            </w:r>
          </w:p>
          <w:p>
            <w:pPr>
              <w:pStyle w:val="41"/>
              <w:ind w:firstLine="480"/>
              <w:rPr>
                <w:color w:val="000000" w:themeColor="text1"/>
              </w:rPr>
            </w:pPr>
            <w:r>
              <w:rPr>
                <w:color w:val="000000" w:themeColor="text1"/>
              </w:rPr>
              <w:t>工业企业固体物料堆场颗粒物排放量核算公式如下：</w:t>
            </w:r>
          </w:p>
          <w:p>
            <w:pPr>
              <w:autoSpaceDE w:val="0"/>
              <w:autoSpaceDN w:val="0"/>
              <w:adjustRightInd w:val="0"/>
              <w:spacing w:line="360" w:lineRule="auto"/>
              <w:jc w:val="center"/>
              <w:rPr>
                <w:rFonts w:ascii="Times New Roman" w:hAnsi="Times New Roman" w:cs="Times New Roman"/>
                <w:color w:val="000000" w:themeColor="text1"/>
                <w:kern w:val="0"/>
                <w:sz w:val="24"/>
                <w:szCs w:val="28"/>
              </w:rPr>
            </w:pPr>
            <w:r>
              <w:rPr>
                <w:rFonts w:ascii="Cambria Math" w:hAnsi="Cambria Math" w:cs="Cambria Math"/>
                <w:color w:val="000000" w:themeColor="text1"/>
                <w:kern w:val="0"/>
                <w:sz w:val="24"/>
                <w:szCs w:val="28"/>
              </w:rPr>
              <w:t>𝑈𝑐</w:t>
            </w:r>
            <w:r>
              <w:rPr>
                <w:rFonts w:ascii="Times New Roman" w:hAnsi="Times New Roman" w:cs="Times New Roman"/>
                <w:color w:val="000000" w:themeColor="text1"/>
                <w:kern w:val="0"/>
                <w:sz w:val="24"/>
                <w:szCs w:val="28"/>
              </w:rPr>
              <w:t>=</w:t>
            </w:r>
            <w:r>
              <w:rPr>
                <w:rFonts w:ascii="Cambria Math" w:hAnsi="Cambria Math" w:cs="Cambria Math"/>
                <w:color w:val="000000" w:themeColor="text1"/>
                <w:kern w:val="0"/>
                <w:sz w:val="24"/>
                <w:szCs w:val="28"/>
              </w:rPr>
              <w:t>𝑃</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𝐶𝑚</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𝑇𝑚</w:t>
            </w:r>
            <w:r>
              <w:rPr>
                <w:rFonts w:ascii="Times New Roman" w:hAnsi="Times New Roman" w:cs="Times New Roman"/>
                <w:color w:val="000000" w:themeColor="text1"/>
                <w:kern w:val="0"/>
                <w:sz w:val="24"/>
                <w:szCs w:val="28"/>
              </w:rPr>
              <w:t>)</w:t>
            </w:r>
          </w:p>
          <w:p>
            <w:pPr>
              <w:pStyle w:val="41"/>
              <w:ind w:firstLine="480"/>
              <w:rPr>
                <w:color w:val="000000" w:themeColor="text1"/>
              </w:rPr>
            </w:pPr>
            <w:r>
              <w:rPr>
                <w:color w:val="000000" w:themeColor="text1"/>
              </w:rPr>
              <w:t>式中：P：颗粒物产生量（单位：吨）；</w:t>
            </w:r>
          </w:p>
          <w:p>
            <w:pPr>
              <w:pStyle w:val="41"/>
              <w:ind w:firstLine="480"/>
              <w:rPr>
                <w:color w:val="000000" w:themeColor="text1"/>
              </w:rPr>
            </w:pPr>
            <w:r>
              <w:rPr>
                <w:color w:val="000000" w:themeColor="text1"/>
              </w:rPr>
              <w:t xml:space="preserve">      Uc：颗粒物排放量（单位：吨）；</w:t>
            </w:r>
          </w:p>
          <w:p>
            <w:pPr>
              <w:pStyle w:val="41"/>
              <w:ind w:firstLine="480"/>
              <w:rPr>
                <w:color w:val="000000" w:themeColor="text1"/>
              </w:rPr>
            </w:pPr>
            <w:r>
              <w:rPr>
                <w:color w:val="000000" w:themeColor="text1"/>
              </w:rPr>
              <w:t xml:space="preserve">      Cm：颗粒物控制措施控制效率；</w:t>
            </w:r>
          </w:p>
          <w:p>
            <w:pPr>
              <w:pStyle w:val="41"/>
              <w:ind w:firstLine="480"/>
              <w:rPr>
                <w:color w:val="000000" w:themeColor="text1"/>
              </w:rPr>
            </w:pPr>
            <w:r>
              <w:rPr>
                <w:color w:val="000000" w:themeColor="text1"/>
              </w:rPr>
              <w:t xml:space="preserve">      Tm：堆场类型控制效率。</w:t>
            </w:r>
          </w:p>
          <w:p>
            <w:pPr>
              <w:pStyle w:val="41"/>
              <w:ind w:firstLine="480"/>
              <w:rPr>
                <w:color w:val="000000" w:themeColor="text1"/>
              </w:rPr>
            </w:pPr>
            <w:r>
              <w:rPr>
                <w:color w:val="000000" w:themeColor="text1"/>
              </w:rPr>
              <w:t>项目</w:t>
            </w:r>
            <w:r>
              <w:rPr>
                <w:rFonts w:hint="eastAsia"/>
                <w:color w:val="000000" w:themeColor="text1"/>
              </w:rPr>
              <w:t>水淬渣暂存库和废渣暂存库</w:t>
            </w:r>
            <w:r>
              <w:rPr>
                <w:color w:val="000000" w:themeColor="text1"/>
              </w:rPr>
              <w:t>计算参数如下表所示。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w:t>
            </w:r>
            <w:r>
              <w:rPr>
                <w:rFonts w:hint="eastAsia" w:ascii="Times New Roman" w:hAnsi="Times New Roman" w:eastAsia="宋体" w:cs="Times New Roman"/>
                <w:b/>
                <w:color w:val="000000" w:themeColor="text1"/>
              </w:rPr>
              <w:t>2.1-3</w:t>
            </w:r>
            <w:r>
              <w:rPr>
                <w:rFonts w:ascii="Times New Roman" w:hAnsi="Times New Roman" w:eastAsia="宋体" w:cs="Times New Roman"/>
                <w:b/>
                <w:color w:val="000000" w:themeColor="text1"/>
              </w:rPr>
              <w:t xml:space="preserve"> </w:t>
            </w:r>
            <w:r>
              <w:rPr>
                <w:rFonts w:hint="eastAsia" w:ascii="Times New Roman" w:hAnsi="Times New Roman" w:eastAsia="宋体" w:cs="Times New Roman"/>
                <w:b/>
                <w:color w:val="000000" w:themeColor="text1"/>
              </w:rPr>
              <w:t>水淬渣暂存库和废渣暂存库</w:t>
            </w:r>
            <w:r>
              <w:rPr>
                <w:rFonts w:ascii="Times New Roman" w:hAnsi="Times New Roman" w:eastAsia="宋体" w:cs="Times New Roman"/>
                <w:b/>
                <w:color w:val="000000" w:themeColor="text1"/>
              </w:rPr>
              <w:t>装卸及风蚀扬尘计算参数一览表</w:t>
            </w:r>
          </w:p>
          <w:tbl>
            <w:tblPr>
              <w:tblStyle w:val="22"/>
              <w:tblW w:w="5000" w:type="pct"/>
              <w:jc w:val="center"/>
              <w:tblLayout w:type="fixed"/>
              <w:tblCellMar>
                <w:top w:w="0" w:type="dxa"/>
                <w:left w:w="108" w:type="dxa"/>
                <w:bottom w:w="0" w:type="dxa"/>
                <w:right w:w="108" w:type="dxa"/>
              </w:tblCellMar>
            </w:tblPr>
            <w:tblGrid>
              <w:gridCol w:w="1293"/>
              <w:gridCol w:w="861"/>
              <w:gridCol w:w="1032"/>
              <w:gridCol w:w="943"/>
              <w:gridCol w:w="944"/>
              <w:gridCol w:w="1075"/>
              <w:gridCol w:w="810"/>
              <w:gridCol w:w="810"/>
              <w:gridCol w:w="849"/>
            </w:tblGrid>
            <w:tr>
              <w:trPr>
                <w:jc w:val="center"/>
              </w:trPr>
              <w:tc>
                <w:tcPr>
                  <w:tcW w:w="1367"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物料种类</w:t>
                  </w:r>
                </w:p>
              </w:tc>
              <w:tc>
                <w:tcPr>
                  <w:tcW w:w="9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Nc（车）</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D（吨/车）</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a</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Ef（kg/m²）</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S（m²）</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Cm（%）</w:t>
                  </w:r>
                </w:p>
              </w:tc>
              <w:tc>
                <w:tcPr>
                  <w:tcW w:w="8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Tm（%）</w:t>
                  </w:r>
                </w:p>
              </w:tc>
            </w:tr>
            <w:tr>
              <w:trPr>
                <w:jc w:val="center"/>
              </w:trPr>
              <w:tc>
                <w:tcPr>
                  <w:tcW w:w="1367" w:type="dxa"/>
                  <w:tcBorders>
                    <w:top w:val="nil"/>
                    <w:left w:val="single" w:color="auto" w:sz="4" w:space="0"/>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氧化锌尾渣（水淬渣）</w:t>
                  </w:r>
                </w:p>
              </w:tc>
              <w:tc>
                <w:tcPr>
                  <w:tcW w:w="905"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8250</w:t>
                  </w:r>
                </w:p>
              </w:tc>
              <w:tc>
                <w:tcPr>
                  <w:tcW w:w="1088"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93" w:type="dxa"/>
                  <w:tcBorders>
                    <w:top w:val="nil"/>
                    <w:left w:val="nil"/>
                    <w:bottom w:val="single" w:color="auto" w:sz="4" w:space="0"/>
                    <w:right w:val="single" w:color="auto" w:sz="8" w:space="0"/>
                  </w:tcBorders>
                  <w:shd w:val="clear" w:color="auto" w:fill="auto"/>
                  <w:vAlign w:val="center"/>
                </w:tcPr>
                <w:p>
                  <w:pPr>
                    <w:widowControl/>
                    <w:spacing w:line="360" w:lineRule="exact"/>
                    <w:jc w:val="right"/>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0.00163</w:t>
                  </w:r>
                </w:p>
              </w:tc>
              <w:tc>
                <w:tcPr>
                  <w:tcW w:w="1134"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46.1652</w:t>
                  </w:r>
                </w:p>
              </w:tc>
              <w:tc>
                <w:tcPr>
                  <w:tcW w:w="850"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315</w:t>
                  </w:r>
                </w:p>
              </w:tc>
              <w:tc>
                <w:tcPr>
                  <w:tcW w:w="851"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892" w:type="dxa"/>
                  <w:tcBorders>
                    <w:top w:val="nil"/>
                    <w:left w:val="nil"/>
                    <w:bottom w:val="single" w:color="auto" w:sz="4"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r>
            <w:tr>
              <w:tblPrEx>
                <w:tblCellMar>
                  <w:top w:w="0" w:type="dxa"/>
                  <w:left w:w="108" w:type="dxa"/>
                  <w:bottom w:w="0" w:type="dxa"/>
                  <w:right w:w="108" w:type="dxa"/>
                </w:tblCellMar>
              </w:tblPrEx>
              <w:trPr>
                <w:trHeight w:val="66" w:hRule="atLeast"/>
                <w:jc w:val="center"/>
              </w:trPr>
              <w:tc>
                <w:tcPr>
                  <w:tcW w:w="1367" w:type="dxa"/>
                  <w:tcBorders>
                    <w:top w:val="single" w:color="auto" w:sz="4" w:space="0"/>
                    <w:left w:val="single" w:color="auto" w:sz="4" w:space="0"/>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废渣</w:t>
                  </w:r>
                </w:p>
              </w:tc>
              <w:tc>
                <w:tcPr>
                  <w:tcW w:w="905"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7525</w:t>
                  </w:r>
                </w:p>
              </w:tc>
              <w:tc>
                <w:tcPr>
                  <w:tcW w:w="1088"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93"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0.00543</w:t>
                  </w:r>
                </w:p>
              </w:tc>
              <w:tc>
                <w:tcPr>
                  <w:tcW w:w="1134"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46.1652</w:t>
                  </w:r>
                </w:p>
              </w:tc>
              <w:tc>
                <w:tcPr>
                  <w:tcW w:w="850"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600</w:t>
                  </w:r>
                </w:p>
              </w:tc>
              <w:tc>
                <w:tcPr>
                  <w:tcW w:w="851"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892" w:type="dxa"/>
                  <w:tcBorders>
                    <w:top w:val="single" w:color="auto" w:sz="4" w:space="0"/>
                    <w:left w:val="nil"/>
                    <w:bottom w:val="nil"/>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r>
            <w:tr>
              <w:tblPrEx>
                <w:tblCellMar>
                  <w:top w:w="0" w:type="dxa"/>
                  <w:left w:w="108" w:type="dxa"/>
                  <w:bottom w:w="0" w:type="dxa"/>
                  <w:right w:w="108" w:type="dxa"/>
                </w:tblCellMar>
              </w:tblPrEx>
              <w:trPr>
                <w:jc w:val="center"/>
              </w:trPr>
              <w:tc>
                <w:tcPr>
                  <w:tcW w:w="1367"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color w:val="000000" w:themeColor="text1"/>
                      <w:sz w:val="24"/>
                      <w:szCs w:val="24"/>
                    </w:rPr>
                  </w:pPr>
                </w:p>
              </w:tc>
              <w:tc>
                <w:tcPr>
                  <w:tcW w:w="90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1088"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9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5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51"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c>
                <w:tcPr>
                  <w:tcW w:w="8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p>
              </w:tc>
            </w:tr>
          </w:tbl>
          <w:p>
            <w:pPr>
              <w:pStyle w:val="41"/>
              <w:spacing w:beforeLines="50"/>
              <w:ind w:firstLine="480"/>
              <w:rPr>
                <w:color w:val="000000" w:themeColor="text1"/>
              </w:rPr>
            </w:pPr>
            <w:r>
              <w:rPr>
                <w:color w:val="000000" w:themeColor="text1"/>
              </w:rPr>
              <w:t>由上述计算参数计算可知，项目</w:t>
            </w:r>
            <w:r>
              <w:rPr>
                <w:rFonts w:hint="eastAsia"/>
                <w:color w:val="000000" w:themeColor="text1"/>
              </w:rPr>
              <w:t>水淬渣暂存库扬尘</w:t>
            </w:r>
            <w:r>
              <w:rPr>
                <w:color w:val="000000" w:themeColor="text1"/>
              </w:rPr>
              <w:t>装卸及风蚀扬尘</w:t>
            </w:r>
            <w:r>
              <w:rPr>
                <w:rFonts w:hint="eastAsia"/>
                <w:color w:val="000000" w:themeColor="text1"/>
              </w:rPr>
              <w:t>产生量约为120.19</w:t>
            </w:r>
            <w:r>
              <w:rPr>
                <w:color w:val="000000" w:themeColor="text1"/>
              </w:rPr>
              <w:t>t/a</w:t>
            </w:r>
            <w:r>
              <w:rPr>
                <w:rFonts w:hint="eastAsia"/>
                <w:color w:val="000000" w:themeColor="text1"/>
              </w:rPr>
              <w:t>，排放量为19.23</w:t>
            </w:r>
            <w:r>
              <w:rPr>
                <w:color w:val="000000" w:themeColor="text1"/>
              </w:rPr>
              <w:t xml:space="preserve"> t/a</w:t>
            </w:r>
            <w:r>
              <w:rPr>
                <w:rFonts w:hint="eastAsia"/>
                <w:color w:val="000000" w:themeColor="text1"/>
              </w:rPr>
              <w:t>；废渣暂存库</w:t>
            </w:r>
            <w:r>
              <w:rPr>
                <w:color w:val="000000" w:themeColor="text1"/>
              </w:rPr>
              <w:t>装卸及风蚀扬尘产生量为</w:t>
            </w:r>
            <w:r>
              <w:rPr>
                <w:rFonts w:hint="eastAsia"/>
                <w:color w:val="000000" w:themeColor="text1"/>
              </w:rPr>
              <w:t>80.34</w:t>
            </w:r>
            <w:r>
              <w:rPr>
                <w:color w:val="000000" w:themeColor="text1"/>
              </w:rPr>
              <w:t>t/a，排放量为</w:t>
            </w:r>
            <w:r>
              <w:rPr>
                <w:rFonts w:hint="eastAsia"/>
                <w:color w:val="000000" w:themeColor="text1"/>
              </w:rPr>
              <w:t>12.85</w:t>
            </w:r>
            <w:r>
              <w:rPr>
                <w:color w:val="000000" w:themeColor="text1"/>
              </w:rPr>
              <w:t>t/a</w:t>
            </w:r>
            <w:r>
              <w:rPr>
                <w:rFonts w:hint="eastAsia"/>
                <w:color w:val="000000" w:themeColor="text1"/>
              </w:rPr>
              <w:t>；合计水淬渣暂存库和废渣暂存库扬尘</w:t>
            </w:r>
            <w:r>
              <w:rPr>
                <w:color w:val="000000" w:themeColor="text1"/>
              </w:rPr>
              <w:t>产</w:t>
            </w:r>
            <w:r>
              <w:rPr>
                <w:rFonts w:hint="eastAsia"/>
                <w:color w:val="000000" w:themeColor="text1"/>
              </w:rPr>
              <w:t>生量约为200.53</w:t>
            </w:r>
            <w:r>
              <w:rPr>
                <w:color w:val="000000" w:themeColor="text1"/>
              </w:rPr>
              <w:t>t/a</w:t>
            </w:r>
            <w:r>
              <w:rPr>
                <w:rFonts w:hint="eastAsia"/>
                <w:color w:val="000000" w:themeColor="text1"/>
              </w:rPr>
              <w:t>，排放量为32.09</w:t>
            </w:r>
            <w:r>
              <w:rPr>
                <w:color w:val="000000" w:themeColor="text1"/>
              </w:rPr>
              <w:t xml:space="preserve"> t/a</w:t>
            </w:r>
            <w:r>
              <w:rPr>
                <w:rFonts w:hint="eastAsia"/>
                <w:color w:val="000000" w:themeColor="text1"/>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 xml:space="preserve">4 </w:t>
            </w:r>
            <w:r>
              <w:rPr>
                <w:rFonts w:ascii="Times New Roman" w:hAnsi="Times New Roman" w:cs="Times New Roman"/>
                <w:b/>
                <w:color w:val="000000" w:themeColor="text1"/>
                <w:szCs w:val="24"/>
              </w:rPr>
              <w:t xml:space="preserve"> 废气污染物治理措施及排放方式一览表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919"/>
              <w:gridCol w:w="849"/>
              <w:gridCol w:w="3118"/>
              <w:gridCol w:w="710"/>
              <w:gridCol w:w="710"/>
              <w:gridCol w:w="16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75" w:type="dxa"/>
                  <w:gridSpan w:val="2"/>
                  <w:vAlign w:val="center"/>
                </w:tcPr>
                <w:p>
                  <w:pPr>
                    <w:pStyle w:val="33"/>
                    <w:spacing w:line="360" w:lineRule="exact"/>
                    <w:rPr>
                      <w:color w:val="000000" w:themeColor="text1"/>
                      <w:szCs w:val="21"/>
                    </w:rPr>
                  </w:pPr>
                  <w:r>
                    <w:rPr>
                      <w:color w:val="000000" w:themeColor="text1"/>
                      <w:szCs w:val="21"/>
                    </w:rPr>
                    <w:t>产排污环节</w:t>
                  </w:r>
                </w:p>
              </w:tc>
              <w:tc>
                <w:tcPr>
                  <w:tcW w:w="841" w:type="dxa"/>
                  <w:vAlign w:val="center"/>
                </w:tcPr>
                <w:p>
                  <w:pPr>
                    <w:pStyle w:val="33"/>
                    <w:spacing w:line="360" w:lineRule="exact"/>
                    <w:rPr>
                      <w:color w:val="000000" w:themeColor="text1"/>
                      <w:szCs w:val="21"/>
                    </w:rPr>
                  </w:pPr>
                  <w:r>
                    <w:rPr>
                      <w:color w:val="000000" w:themeColor="text1"/>
                      <w:szCs w:val="21"/>
                    </w:rPr>
                    <w:t>污染物种类</w:t>
                  </w:r>
                </w:p>
              </w:tc>
              <w:tc>
                <w:tcPr>
                  <w:tcW w:w="3087" w:type="dxa"/>
                  <w:vAlign w:val="center"/>
                </w:tcPr>
                <w:p>
                  <w:pPr>
                    <w:pStyle w:val="33"/>
                    <w:spacing w:line="360" w:lineRule="exact"/>
                    <w:rPr>
                      <w:color w:val="000000" w:themeColor="text1"/>
                      <w:szCs w:val="21"/>
                    </w:rPr>
                  </w:pPr>
                  <w:r>
                    <w:rPr>
                      <w:color w:val="000000" w:themeColor="text1"/>
                      <w:szCs w:val="21"/>
                    </w:rPr>
                    <w:t>治理设施及效率</w:t>
                  </w:r>
                </w:p>
              </w:tc>
              <w:tc>
                <w:tcPr>
                  <w:tcW w:w="703" w:type="dxa"/>
                  <w:vAlign w:val="center"/>
                </w:tcPr>
                <w:p>
                  <w:pPr>
                    <w:pStyle w:val="33"/>
                    <w:spacing w:line="360" w:lineRule="exact"/>
                    <w:rPr>
                      <w:color w:val="000000" w:themeColor="text1"/>
                      <w:szCs w:val="21"/>
                    </w:rPr>
                  </w:pPr>
                  <w:r>
                    <w:rPr>
                      <w:color w:val="000000" w:themeColor="text1"/>
                      <w:szCs w:val="21"/>
                    </w:rPr>
                    <w:t>排放形式</w:t>
                  </w:r>
                </w:p>
              </w:tc>
              <w:tc>
                <w:tcPr>
                  <w:tcW w:w="2316" w:type="dxa"/>
                  <w:gridSpan w:val="2"/>
                  <w:vAlign w:val="center"/>
                </w:tcPr>
                <w:p>
                  <w:pPr>
                    <w:pStyle w:val="33"/>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restart"/>
                  <w:vAlign w:val="center"/>
                </w:tcPr>
                <w:p>
                  <w:pPr>
                    <w:pStyle w:val="33"/>
                    <w:spacing w:line="360" w:lineRule="exact"/>
                    <w:rPr>
                      <w:color w:val="000000" w:themeColor="text1"/>
                      <w:szCs w:val="21"/>
                    </w:rPr>
                  </w:pPr>
                  <w:r>
                    <w:rPr>
                      <w:rFonts w:hint="eastAsia"/>
                      <w:color w:val="000000" w:themeColor="text1"/>
                      <w:szCs w:val="21"/>
                    </w:rPr>
                    <w:t>烘干系统</w:t>
                  </w:r>
                </w:p>
              </w:tc>
              <w:tc>
                <w:tcPr>
                  <w:tcW w:w="910" w:type="dxa"/>
                  <w:vMerge w:val="restart"/>
                  <w:vAlign w:val="center"/>
                </w:tcPr>
                <w:p>
                  <w:pPr>
                    <w:pStyle w:val="33"/>
                    <w:spacing w:line="360" w:lineRule="exact"/>
                    <w:rPr>
                      <w:color w:val="000000" w:themeColor="text1"/>
                      <w:szCs w:val="21"/>
                    </w:rPr>
                  </w:pPr>
                  <w:r>
                    <w:rPr>
                      <w:color w:val="000000" w:themeColor="text1"/>
                      <w:szCs w:val="21"/>
                    </w:rPr>
                    <w:t>热风炉</w:t>
                  </w:r>
                </w:p>
              </w:tc>
              <w:tc>
                <w:tcPr>
                  <w:tcW w:w="841" w:type="dxa"/>
                  <w:vMerge w:val="restart"/>
                  <w:vAlign w:val="center"/>
                </w:tcPr>
                <w:p>
                  <w:pPr>
                    <w:pStyle w:val="33"/>
                    <w:spacing w:line="360" w:lineRule="exact"/>
                    <w:rPr>
                      <w:color w:val="000000" w:themeColor="text1"/>
                      <w:szCs w:val="21"/>
                    </w:rPr>
                  </w:pPr>
                  <w:r>
                    <w:rPr>
                      <w:rFonts w:hint="eastAsia"/>
                      <w:color w:val="000000" w:themeColor="text1"/>
                      <w:szCs w:val="21"/>
                    </w:rPr>
                    <w:t>颗粒物、SO</w:t>
                  </w:r>
                  <w:r>
                    <w:rPr>
                      <w:rFonts w:hint="eastAsia"/>
                      <w:color w:val="000000" w:themeColor="text1"/>
                      <w:szCs w:val="21"/>
                      <w:vertAlign w:val="subscript"/>
                    </w:rPr>
                    <w:t>2</w:t>
                  </w:r>
                  <w:r>
                    <w:rPr>
                      <w:rFonts w:hint="eastAsia"/>
                      <w:color w:val="000000" w:themeColor="text1"/>
                      <w:szCs w:val="21"/>
                    </w:rPr>
                    <w:t>、NOx</w:t>
                  </w:r>
                </w:p>
              </w:tc>
              <w:tc>
                <w:tcPr>
                  <w:tcW w:w="3087" w:type="dxa"/>
                  <w:vMerge w:val="restar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针对燃烧烟气，项目拟通过低氮燃烧+非催化还原（SNCR）脱硝技术+袋式除尘器处理，其中低氮燃烧+非催化还原（SNCR）脱硝的NOx去除效率为45.4%，1#布袋除尘除尘效率为99.7%，燃烧烟气经处理后通过</w:t>
                  </w:r>
                  <w:r>
                    <w:rPr>
                      <w:color w:val="000000" w:themeColor="text1"/>
                      <w:szCs w:val="21"/>
                    </w:rPr>
                    <w:t>1根Φ</w:t>
                  </w:r>
                  <w:r>
                    <w:rPr>
                      <w:rFonts w:hint="eastAsia"/>
                      <w:color w:val="000000" w:themeColor="text1"/>
                      <w:szCs w:val="21"/>
                    </w:rPr>
                    <w:t>0.4</w:t>
                  </w:r>
                  <w:r>
                    <w:rPr>
                      <w:color w:val="000000" w:themeColor="text1"/>
                      <w:szCs w:val="21"/>
                    </w:rPr>
                    <w:t>m、高</w:t>
                  </w:r>
                  <w:r>
                    <w:rPr>
                      <w:rFonts w:hint="eastAsia"/>
                      <w:color w:val="000000" w:themeColor="text1"/>
                      <w:szCs w:val="21"/>
                    </w:rPr>
                    <w:t>20</w:t>
                  </w:r>
                  <w:r>
                    <w:rPr>
                      <w:color w:val="000000" w:themeColor="text1"/>
                      <w:szCs w:val="21"/>
                    </w:rPr>
                    <w:t>m</w:t>
                  </w:r>
                  <w:r>
                    <w:rPr>
                      <w:rFonts w:hint="eastAsia"/>
                      <w:color w:val="000000" w:themeColor="text1"/>
                      <w:szCs w:val="21"/>
                    </w:rPr>
                    <w:t>的</w:t>
                  </w:r>
                  <w:r>
                    <w:rPr>
                      <w:color w:val="000000" w:themeColor="text1"/>
                      <w:szCs w:val="21"/>
                    </w:rPr>
                    <w:t>排气筒（DA003）</w:t>
                  </w:r>
                  <w:r>
                    <w:rPr>
                      <w:rFonts w:hint="eastAsia"/>
                      <w:color w:val="000000" w:themeColor="text1"/>
                      <w:szCs w:val="21"/>
                    </w:rPr>
                    <w:t>外排。</w:t>
                  </w:r>
                </w:p>
              </w:tc>
              <w:tc>
                <w:tcPr>
                  <w:tcW w:w="703" w:type="dxa"/>
                  <w:vMerge w:val="restart"/>
                  <w:vAlign w:val="center"/>
                </w:tcPr>
                <w:p>
                  <w:pPr>
                    <w:pStyle w:val="33"/>
                    <w:spacing w:line="360" w:lineRule="exact"/>
                    <w:rPr>
                      <w:color w:val="000000" w:themeColor="text1"/>
                      <w:szCs w:val="21"/>
                    </w:rPr>
                  </w:pPr>
                  <w:r>
                    <w:rPr>
                      <w:color w:val="000000" w:themeColor="text1"/>
                      <w:szCs w:val="21"/>
                    </w:rPr>
                    <w:t>有组织</w:t>
                  </w:r>
                </w:p>
              </w:tc>
              <w:tc>
                <w:tcPr>
                  <w:tcW w:w="2316" w:type="dxa"/>
                  <w:gridSpan w:val="2"/>
                  <w:vAlign w:val="center"/>
                </w:tcPr>
                <w:p>
                  <w:pPr>
                    <w:pStyle w:val="33"/>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高度</w:t>
                  </w:r>
                </w:p>
              </w:tc>
              <w:tc>
                <w:tcPr>
                  <w:tcW w:w="1613" w:type="dxa"/>
                  <w:vAlign w:val="center"/>
                </w:tcPr>
                <w:p>
                  <w:pPr>
                    <w:pStyle w:val="33"/>
                    <w:spacing w:line="360" w:lineRule="exact"/>
                    <w:rPr>
                      <w:color w:val="000000" w:themeColor="text1"/>
                      <w:szCs w:val="21"/>
                    </w:rPr>
                  </w:pPr>
                  <w:r>
                    <w:rPr>
                      <w:rFonts w:hint="eastAsia"/>
                      <w:color w:val="000000" w:themeColor="text1"/>
                      <w:szCs w:val="21"/>
                    </w:rPr>
                    <w:t>20</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内径</w:t>
                  </w:r>
                </w:p>
              </w:tc>
              <w:tc>
                <w:tcPr>
                  <w:tcW w:w="1613" w:type="dxa"/>
                  <w:vAlign w:val="center"/>
                </w:tcPr>
                <w:p>
                  <w:pPr>
                    <w:pStyle w:val="33"/>
                    <w:spacing w:line="360" w:lineRule="exact"/>
                    <w:rPr>
                      <w:color w:val="000000" w:themeColor="text1"/>
                      <w:szCs w:val="21"/>
                    </w:rPr>
                  </w:pPr>
                  <w:r>
                    <w:rPr>
                      <w:color w:val="000000" w:themeColor="text1"/>
                      <w:szCs w:val="21"/>
                    </w:rPr>
                    <w:t>0.</w:t>
                  </w:r>
                  <w:r>
                    <w:rPr>
                      <w:rFonts w:hint="eastAsia"/>
                      <w:color w:val="000000" w:themeColor="text1"/>
                      <w:szCs w:val="21"/>
                    </w:rPr>
                    <w:t>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温度</w:t>
                  </w:r>
                </w:p>
              </w:tc>
              <w:tc>
                <w:tcPr>
                  <w:tcW w:w="1613" w:type="dxa"/>
                  <w:vAlign w:val="center"/>
                </w:tcPr>
                <w:p>
                  <w:pPr>
                    <w:pStyle w:val="33"/>
                    <w:spacing w:line="360" w:lineRule="exact"/>
                    <w:rPr>
                      <w:color w:val="000000" w:themeColor="text1"/>
                      <w:szCs w:val="21"/>
                    </w:rPr>
                  </w:pPr>
                  <w:r>
                    <w:rPr>
                      <w:rFonts w:hint="eastAsia"/>
                      <w:color w:val="000000" w:themeColor="text1"/>
                      <w:szCs w:val="21"/>
                    </w:rPr>
                    <w:t>60</w:t>
                  </w:r>
                  <w:r>
                    <w:rPr>
                      <w:color w:val="000000" w:themeColor="text1"/>
                      <w:szCs w:val="21"/>
                    </w:rPr>
                    <w:t>-</w:t>
                  </w:r>
                  <w:r>
                    <w:rPr>
                      <w:rFonts w:hint="eastAsia"/>
                      <w:color w:val="000000" w:themeColor="text1"/>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编号</w:t>
                  </w:r>
                </w:p>
              </w:tc>
              <w:tc>
                <w:tcPr>
                  <w:tcW w:w="1613" w:type="dxa"/>
                  <w:vAlign w:val="center"/>
                </w:tcPr>
                <w:p>
                  <w:pPr>
                    <w:pStyle w:val="33"/>
                    <w:spacing w:line="360" w:lineRule="exact"/>
                    <w:rPr>
                      <w:color w:val="000000" w:themeColor="text1"/>
                      <w:szCs w:val="21"/>
                    </w:rPr>
                  </w:pPr>
                  <w:r>
                    <w:rPr>
                      <w:color w:val="000000" w:themeColor="text1"/>
                      <w:szCs w:val="21"/>
                    </w:rPr>
                    <w:t>DA003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类型</w:t>
                  </w:r>
                </w:p>
              </w:tc>
              <w:tc>
                <w:tcPr>
                  <w:tcW w:w="1613"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坐标</w:t>
                  </w:r>
                </w:p>
              </w:tc>
              <w:tc>
                <w:tcPr>
                  <w:tcW w:w="1613" w:type="dxa"/>
                  <w:vAlign w:val="center"/>
                </w:tcPr>
                <w:p>
                  <w:pPr>
                    <w:pStyle w:val="33"/>
                    <w:spacing w:line="360" w:lineRule="exact"/>
                    <w:rPr>
                      <w:color w:val="000000" w:themeColor="text1"/>
                      <w:szCs w:val="21"/>
                    </w:rPr>
                  </w:pPr>
                  <w:r>
                    <w:rPr>
                      <w:color w:val="000000" w:themeColor="text1"/>
                      <w:szCs w:val="21"/>
                    </w:rPr>
                    <w:t>E103°</w:t>
                  </w:r>
                  <w:r>
                    <w:rPr>
                      <w:rFonts w:hint="eastAsia"/>
                      <w:color w:val="000000" w:themeColor="text1"/>
                      <w:szCs w:val="21"/>
                    </w:rPr>
                    <w:t>7</w:t>
                  </w:r>
                  <w:r>
                    <w:rPr>
                      <w:color w:val="000000" w:themeColor="text1"/>
                      <w:szCs w:val="21"/>
                    </w:rPr>
                    <w:t>'</w:t>
                  </w:r>
                  <w:r>
                    <w:rPr>
                      <w:rFonts w:hint="eastAsia"/>
                      <w:color w:val="000000" w:themeColor="text1"/>
                      <w:szCs w:val="21"/>
                    </w:rPr>
                    <w:t>27.58</w:t>
                  </w:r>
                  <w:r>
                    <w:rPr>
                      <w:color w:val="000000" w:themeColor="text1"/>
                      <w:szCs w:val="21"/>
                    </w:rPr>
                    <w:t>"、N25°</w:t>
                  </w:r>
                  <w:r>
                    <w:rPr>
                      <w:rFonts w:hint="eastAsia"/>
                      <w:color w:val="000000" w:themeColor="text1"/>
                      <w:szCs w:val="21"/>
                    </w:rPr>
                    <w:t>10</w:t>
                  </w:r>
                  <w:r>
                    <w:rPr>
                      <w:color w:val="000000" w:themeColor="text1"/>
                      <w:szCs w:val="21"/>
                    </w:rPr>
                    <w:t>'</w:t>
                  </w:r>
                  <w:r>
                    <w:rPr>
                      <w:rFonts w:hint="eastAsia"/>
                      <w:color w:val="000000" w:themeColor="text1"/>
                      <w:szCs w:val="21"/>
                    </w:rPr>
                    <w:t>45.95</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restart"/>
                  <w:vAlign w:val="center"/>
                </w:tcPr>
                <w:p>
                  <w:pPr>
                    <w:pStyle w:val="33"/>
                    <w:spacing w:line="360" w:lineRule="exact"/>
                    <w:rPr>
                      <w:color w:val="000000" w:themeColor="text1"/>
                      <w:szCs w:val="21"/>
                    </w:rPr>
                  </w:pPr>
                  <w:r>
                    <w:rPr>
                      <w:rFonts w:hint="eastAsia"/>
                      <w:color w:val="000000" w:themeColor="text1"/>
                      <w:szCs w:val="21"/>
                    </w:rPr>
                    <w:t>烘干机</w:t>
                  </w:r>
                </w:p>
              </w:tc>
              <w:tc>
                <w:tcPr>
                  <w:tcW w:w="841" w:type="dxa"/>
                  <w:vMerge w:val="restart"/>
                  <w:vAlign w:val="center"/>
                </w:tcPr>
                <w:p>
                  <w:pPr>
                    <w:pStyle w:val="33"/>
                    <w:spacing w:line="360" w:lineRule="exact"/>
                    <w:rPr>
                      <w:color w:val="000000" w:themeColor="text1"/>
                      <w:szCs w:val="21"/>
                    </w:rPr>
                  </w:pPr>
                  <w:r>
                    <w:rPr>
                      <w:rFonts w:hint="eastAsia"/>
                      <w:color w:val="000000" w:themeColor="text1"/>
                      <w:szCs w:val="21"/>
                    </w:rPr>
                    <w:t>颗粒物</w:t>
                  </w:r>
                </w:p>
              </w:tc>
              <w:tc>
                <w:tcPr>
                  <w:tcW w:w="3087" w:type="dxa"/>
                  <w:vMerge w:val="restar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针对烘干粉尘，项目拟通过旋风除尘+袋式除尘器处理，其中旋风除尘效率为70%，2#布袋除尘除尘效率为98.4%，则综合除尘效率约为99.5%，烘干粉尘经处理后通过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703" w:type="dxa"/>
                  <w:vMerge w:val="restart"/>
                  <w:vAlign w:val="center"/>
                </w:tcPr>
                <w:p>
                  <w:pPr>
                    <w:pStyle w:val="33"/>
                    <w:spacing w:line="360" w:lineRule="exact"/>
                    <w:rPr>
                      <w:color w:val="000000" w:themeColor="text1"/>
                      <w:szCs w:val="21"/>
                    </w:rPr>
                  </w:pPr>
                  <w:r>
                    <w:rPr>
                      <w:color w:val="000000" w:themeColor="text1"/>
                      <w:szCs w:val="21"/>
                    </w:rPr>
                    <w:t>有组织</w:t>
                  </w:r>
                </w:p>
              </w:tc>
              <w:tc>
                <w:tcPr>
                  <w:tcW w:w="2316" w:type="dxa"/>
                  <w:gridSpan w:val="2"/>
                  <w:vAlign w:val="center"/>
                </w:tcPr>
                <w:p>
                  <w:pPr>
                    <w:pStyle w:val="33"/>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高度</w:t>
                  </w:r>
                </w:p>
              </w:tc>
              <w:tc>
                <w:tcPr>
                  <w:tcW w:w="1613" w:type="dxa"/>
                  <w:vAlign w:val="center"/>
                </w:tcPr>
                <w:p>
                  <w:pPr>
                    <w:pStyle w:val="33"/>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内径</w:t>
                  </w:r>
                </w:p>
              </w:tc>
              <w:tc>
                <w:tcPr>
                  <w:tcW w:w="1613" w:type="dxa"/>
                  <w:vAlign w:val="center"/>
                </w:tcPr>
                <w:p>
                  <w:pPr>
                    <w:pStyle w:val="33"/>
                    <w:spacing w:line="360" w:lineRule="exact"/>
                    <w:rPr>
                      <w:color w:val="000000" w:themeColor="text1"/>
                      <w:szCs w:val="21"/>
                    </w:rPr>
                  </w:pPr>
                  <w:r>
                    <w:rPr>
                      <w:color w:val="000000" w:themeColor="text1"/>
                      <w:szCs w:val="21"/>
                    </w:rPr>
                    <w:t>0.</w:t>
                  </w:r>
                  <w:r>
                    <w:rPr>
                      <w:rFonts w:hint="eastAsia"/>
                      <w:color w:val="000000" w:themeColor="text1"/>
                      <w:szCs w:val="21"/>
                    </w:rPr>
                    <w:t>5</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温度</w:t>
                  </w:r>
                </w:p>
              </w:tc>
              <w:tc>
                <w:tcPr>
                  <w:tcW w:w="1613" w:type="dxa"/>
                  <w:vAlign w:val="center"/>
                </w:tcPr>
                <w:p>
                  <w:pPr>
                    <w:pStyle w:val="33"/>
                    <w:spacing w:line="360" w:lineRule="exact"/>
                    <w:rPr>
                      <w:color w:val="000000" w:themeColor="text1"/>
                      <w:szCs w:val="21"/>
                    </w:rPr>
                  </w:pPr>
                  <w:r>
                    <w:rPr>
                      <w:rFonts w:hint="eastAsia"/>
                      <w:color w:val="000000" w:themeColor="text1"/>
                      <w:szCs w:val="21"/>
                    </w:rPr>
                    <w:t>60</w:t>
                  </w:r>
                  <w:r>
                    <w:rPr>
                      <w:color w:val="000000" w:themeColor="text1"/>
                      <w:szCs w:val="21"/>
                    </w:rPr>
                    <w:t>-</w:t>
                  </w:r>
                  <w:r>
                    <w:rPr>
                      <w:rFonts w:hint="eastAsia"/>
                      <w:color w:val="000000" w:themeColor="text1"/>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编号</w:t>
                  </w:r>
                </w:p>
              </w:tc>
              <w:tc>
                <w:tcPr>
                  <w:tcW w:w="1613" w:type="dxa"/>
                  <w:vAlign w:val="center"/>
                </w:tcPr>
                <w:p>
                  <w:pPr>
                    <w:pStyle w:val="33"/>
                    <w:spacing w:line="360" w:lineRule="exact"/>
                    <w:rPr>
                      <w:color w:val="000000" w:themeColor="text1"/>
                      <w:szCs w:val="21"/>
                    </w:rPr>
                  </w:pPr>
                  <w:r>
                    <w:rPr>
                      <w:color w:val="000000" w:themeColor="text1"/>
                      <w:szCs w:val="21"/>
                    </w:rPr>
                    <w:t>DA004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类型</w:t>
                  </w:r>
                </w:p>
              </w:tc>
              <w:tc>
                <w:tcPr>
                  <w:tcW w:w="1613"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Merge w:val="continue"/>
                  <w:vAlign w:val="center"/>
                </w:tcPr>
                <w:p>
                  <w:pPr>
                    <w:pStyle w:val="33"/>
                    <w:spacing w:line="360" w:lineRule="exact"/>
                    <w:rPr>
                      <w:color w:val="000000" w:themeColor="text1"/>
                      <w:szCs w:val="21"/>
                    </w:rPr>
                  </w:pPr>
                </w:p>
              </w:tc>
              <w:tc>
                <w:tcPr>
                  <w:tcW w:w="910" w:type="dxa"/>
                  <w:vMerge w:val="continue"/>
                  <w:vAlign w:val="center"/>
                </w:tcPr>
                <w:p>
                  <w:pPr>
                    <w:pStyle w:val="33"/>
                    <w:spacing w:line="360" w:lineRule="exact"/>
                    <w:rPr>
                      <w:color w:val="000000" w:themeColor="text1"/>
                      <w:szCs w:val="21"/>
                    </w:rPr>
                  </w:pPr>
                </w:p>
              </w:tc>
              <w:tc>
                <w:tcPr>
                  <w:tcW w:w="841" w:type="dxa"/>
                  <w:vMerge w:val="continue"/>
                  <w:vAlign w:val="center"/>
                </w:tcPr>
                <w:p>
                  <w:pPr>
                    <w:pStyle w:val="33"/>
                    <w:spacing w:line="360" w:lineRule="exact"/>
                    <w:rPr>
                      <w:color w:val="000000" w:themeColor="text1"/>
                      <w:szCs w:val="21"/>
                    </w:rPr>
                  </w:pPr>
                </w:p>
              </w:tc>
              <w:tc>
                <w:tcPr>
                  <w:tcW w:w="3087" w:type="dxa"/>
                  <w:vMerge w:val="continue"/>
                  <w:vAlign w:val="center"/>
                </w:tcPr>
                <w:p>
                  <w:pPr>
                    <w:pStyle w:val="33"/>
                    <w:spacing w:line="360" w:lineRule="exact"/>
                    <w:ind w:firstLine="210" w:firstLineChars="100"/>
                    <w:jc w:val="left"/>
                    <w:rPr>
                      <w:color w:val="000000" w:themeColor="text1"/>
                      <w:szCs w:val="21"/>
                    </w:rPr>
                  </w:pPr>
                </w:p>
              </w:tc>
              <w:tc>
                <w:tcPr>
                  <w:tcW w:w="703" w:type="dxa"/>
                  <w:vMerge w:val="continue"/>
                  <w:vAlign w:val="center"/>
                </w:tcPr>
                <w:p>
                  <w:pPr>
                    <w:pStyle w:val="33"/>
                    <w:spacing w:line="360" w:lineRule="exact"/>
                    <w:rPr>
                      <w:color w:val="000000" w:themeColor="text1"/>
                      <w:szCs w:val="21"/>
                    </w:rPr>
                  </w:pPr>
                </w:p>
              </w:tc>
              <w:tc>
                <w:tcPr>
                  <w:tcW w:w="703" w:type="dxa"/>
                  <w:vAlign w:val="center"/>
                </w:tcPr>
                <w:p>
                  <w:pPr>
                    <w:pStyle w:val="33"/>
                    <w:spacing w:line="360" w:lineRule="exact"/>
                    <w:rPr>
                      <w:color w:val="000000" w:themeColor="text1"/>
                      <w:szCs w:val="21"/>
                    </w:rPr>
                  </w:pPr>
                  <w:r>
                    <w:rPr>
                      <w:color w:val="000000" w:themeColor="text1"/>
                      <w:szCs w:val="21"/>
                    </w:rPr>
                    <w:t>坐标</w:t>
                  </w:r>
                </w:p>
              </w:tc>
              <w:tc>
                <w:tcPr>
                  <w:tcW w:w="1613" w:type="dxa"/>
                  <w:vAlign w:val="center"/>
                </w:tcPr>
                <w:p>
                  <w:pPr>
                    <w:pStyle w:val="33"/>
                    <w:spacing w:line="360" w:lineRule="exact"/>
                    <w:rPr>
                      <w:color w:val="000000" w:themeColor="text1"/>
                      <w:szCs w:val="21"/>
                    </w:rPr>
                  </w:pPr>
                  <w:r>
                    <w:rPr>
                      <w:color w:val="000000" w:themeColor="text1"/>
                      <w:szCs w:val="21"/>
                    </w:rPr>
                    <w:t>E103°</w:t>
                  </w:r>
                  <w:r>
                    <w:rPr>
                      <w:rFonts w:hint="eastAsia"/>
                      <w:color w:val="000000" w:themeColor="text1"/>
                      <w:szCs w:val="21"/>
                    </w:rPr>
                    <w:t>8</w:t>
                  </w:r>
                  <w:r>
                    <w:rPr>
                      <w:color w:val="000000" w:themeColor="text1"/>
                      <w:szCs w:val="21"/>
                    </w:rPr>
                    <w:t>'</w:t>
                  </w:r>
                  <w:r>
                    <w:rPr>
                      <w:rFonts w:hint="eastAsia"/>
                      <w:color w:val="000000" w:themeColor="text1"/>
                      <w:szCs w:val="21"/>
                    </w:rPr>
                    <w:t>26.15</w:t>
                  </w:r>
                  <w:r>
                    <w:rPr>
                      <w:color w:val="000000" w:themeColor="text1"/>
                      <w:szCs w:val="21"/>
                    </w:rPr>
                    <w:t>"、N25°</w:t>
                  </w:r>
                  <w:r>
                    <w:rPr>
                      <w:rFonts w:hint="eastAsia"/>
                      <w:color w:val="000000" w:themeColor="text1"/>
                      <w:szCs w:val="21"/>
                    </w:rPr>
                    <w:t>10</w:t>
                  </w:r>
                  <w:r>
                    <w:rPr>
                      <w:color w:val="000000" w:themeColor="text1"/>
                      <w:szCs w:val="21"/>
                    </w:rPr>
                    <w:t>'</w:t>
                  </w:r>
                  <w:r>
                    <w:rPr>
                      <w:rFonts w:hint="eastAsia"/>
                      <w:color w:val="000000" w:themeColor="text1"/>
                      <w:szCs w:val="21"/>
                    </w:rPr>
                    <w:t>21.3</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5"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910"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41" w:type="dxa"/>
                  <w:vAlign w:val="center"/>
                </w:tcPr>
                <w:p>
                  <w:pPr>
                    <w:pStyle w:val="33"/>
                    <w:spacing w:line="360" w:lineRule="exact"/>
                    <w:rPr>
                      <w:color w:val="000000" w:themeColor="text1"/>
                      <w:szCs w:val="21"/>
                    </w:rPr>
                  </w:pPr>
                  <w:r>
                    <w:rPr>
                      <w:rFonts w:hint="eastAsia"/>
                      <w:color w:val="000000" w:themeColor="text1"/>
                      <w:szCs w:val="21"/>
                    </w:rPr>
                    <w:t>颗粒物</w:t>
                  </w:r>
                </w:p>
              </w:tc>
              <w:tc>
                <w:tcPr>
                  <w:tcW w:w="3087" w:type="dxa"/>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该水淬渣暂存库设有三面围挡和顶棚设施。而废渣暂存库设有顶棚和三面围挡，但围挡与顶棚之间存在空隙，未完全封闭，应加高围挡进行封闭，应对其进行修善。</w:t>
                  </w:r>
                </w:p>
              </w:tc>
              <w:tc>
                <w:tcPr>
                  <w:tcW w:w="703" w:type="dxa"/>
                  <w:vAlign w:val="center"/>
                </w:tcPr>
                <w:p>
                  <w:pPr>
                    <w:pStyle w:val="33"/>
                    <w:spacing w:line="360" w:lineRule="exact"/>
                    <w:rPr>
                      <w:color w:val="000000" w:themeColor="text1"/>
                      <w:szCs w:val="21"/>
                    </w:rPr>
                  </w:pPr>
                  <w:r>
                    <w:rPr>
                      <w:color w:val="000000" w:themeColor="text1"/>
                      <w:szCs w:val="21"/>
                    </w:rPr>
                    <w:t>无组织</w:t>
                  </w:r>
                </w:p>
              </w:tc>
              <w:tc>
                <w:tcPr>
                  <w:tcW w:w="2316" w:type="dxa"/>
                  <w:gridSpan w:val="2"/>
                  <w:vAlign w:val="center"/>
                </w:tcPr>
                <w:p>
                  <w:pPr>
                    <w:pStyle w:val="33"/>
                    <w:spacing w:line="360" w:lineRule="exact"/>
                    <w:rPr>
                      <w:color w:val="000000" w:themeColor="text1"/>
                      <w:szCs w:val="21"/>
                    </w:rPr>
                  </w:pPr>
                  <w:r>
                    <w:rPr>
                      <w:rFonts w:hint="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850"/>
              <w:gridCol w:w="955"/>
              <w:gridCol w:w="867"/>
              <w:gridCol w:w="796"/>
              <w:gridCol w:w="781"/>
              <w:gridCol w:w="854"/>
              <w:gridCol w:w="1314"/>
              <w:gridCol w:w="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Merge w:val="restart"/>
                  <w:vAlign w:val="center"/>
                </w:tcPr>
                <w:p>
                  <w:pPr>
                    <w:pStyle w:val="33"/>
                    <w:spacing w:line="360" w:lineRule="exact"/>
                    <w:rPr>
                      <w:color w:val="000000" w:themeColor="text1"/>
                      <w:szCs w:val="21"/>
                    </w:rPr>
                  </w:pPr>
                  <w:r>
                    <w:rPr>
                      <w:color w:val="000000" w:themeColor="text1"/>
                      <w:szCs w:val="21"/>
                    </w:rPr>
                    <w:t>产排污环节</w:t>
                  </w:r>
                </w:p>
              </w:tc>
              <w:tc>
                <w:tcPr>
                  <w:tcW w:w="850" w:type="dxa"/>
                  <w:vMerge w:val="restart"/>
                  <w:vAlign w:val="center"/>
                </w:tcPr>
                <w:p>
                  <w:pPr>
                    <w:pStyle w:val="33"/>
                    <w:spacing w:line="360" w:lineRule="exact"/>
                    <w:rPr>
                      <w:color w:val="000000" w:themeColor="text1"/>
                      <w:szCs w:val="21"/>
                    </w:rPr>
                  </w:pPr>
                  <w:r>
                    <w:rPr>
                      <w:color w:val="000000" w:themeColor="text1"/>
                      <w:szCs w:val="21"/>
                    </w:rPr>
                    <w:t>污染物种类</w:t>
                  </w:r>
                </w:p>
              </w:tc>
              <w:tc>
                <w:tcPr>
                  <w:tcW w:w="1822" w:type="dxa"/>
                  <w:gridSpan w:val="2"/>
                  <w:vAlign w:val="center"/>
                </w:tcPr>
                <w:p>
                  <w:pPr>
                    <w:pStyle w:val="33"/>
                    <w:spacing w:line="360" w:lineRule="exact"/>
                    <w:rPr>
                      <w:color w:val="000000" w:themeColor="text1"/>
                      <w:szCs w:val="21"/>
                    </w:rPr>
                  </w:pPr>
                  <w:r>
                    <w:rPr>
                      <w:color w:val="000000" w:themeColor="text1"/>
                      <w:szCs w:val="21"/>
                    </w:rPr>
                    <w:t>污染物产生情况</w:t>
                  </w:r>
                </w:p>
              </w:tc>
              <w:tc>
                <w:tcPr>
                  <w:tcW w:w="243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31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74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7" w:type="dxa"/>
                  <w:gridSpan w:val="2"/>
                  <w:vMerge w:val="continue"/>
                  <w:vAlign w:val="center"/>
                </w:tcPr>
                <w:p>
                  <w:pPr>
                    <w:pStyle w:val="33"/>
                    <w:spacing w:line="360" w:lineRule="exact"/>
                    <w:rPr>
                      <w:color w:val="000000" w:themeColor="text1"/>
                      <w:szCs w:val="21"/>
                    </w:rPr>
                  </w:pPr>
                </w:p>
              </w:tc>
              <w:tc>
                <w:tcPr>
                  <w:tcW w:w="850" w:type="dxa"/>
                  <w:vMerge w:val="continue"/>
                  <w:vAlign w:val="center"/>
                </w:tcPr>
                <w:p>
                  <w:pPr>
                    <w:pStyle w:val="33"/>
                    <w:spacing w:line="360" w:lineRule="exact"/>
                    <w:rPr>
                      <w:color w:val="000000" w:themeColor="text1"/>
                      <w:szCs w:val="21"/>
                    </w:rPr>
                  </w:pPr>
                </w:p>
              </w:tc>
              <w:tc>
                <w:tcPr>
                  <w:tcW w:w="955" w:type="dxa"/>
                  <w:vAlign w:val="center"/>
                </w:tcPr>
                <w:p>
                  <w:pPr>
                    <w:pStyle w:val="33"/>
                    <w:spacing w:line="360" w:lineRule="exact"/>
                    <w:rPr>
                      <w:color w:val="000000" w:themeColor="text1"/>
                      <w:szCs w:val="21"/>
                    </w:rPr>
                  </w:pPr>
                  <w:r>
                    <w:rPr>
                      <w:color w:val="000000" w:themeColor="text1"/>
                      <w:szCs w:val="21"/>
                    </w:rPr>
                    <w:t>产生浓度mg/m³</w:t>
                  </w:r>
                </w:p>
              </w:tc>
              <w:tc>
                <w:tcPr>
                  <w:tcW w:w="867" w:type="dxa"/>
                  <w:vAlign w:val="center"/>
                </w:tcPr>
                <w:p>
                  <w:pPr>
                    <w:pStyle w:val="33"/>
                    <w:spacing w:line="360" w:lineRule="exact"/>
                    <w:rPr>
                      <w:color w:val="000000" w:themeColor="text1"/>
                      <w:szCs w:val="21"/>
                    </w:rPr>
                  </w:pPr>
                  <w:r>
                    <w:rPr>
                      <w:color w:val="000000" w:themeColor="text1"/>
                      <w:szCs w:val="21"/>
                    </w:rPr>
                    <w:t>产生量t/a</w:t>
                  </w:r>
                </w:p>
              </w:tc>
              <w:tc>
                <w:tcPr>
                  <w:tcW w:w="796" w:type="dxa"/>
                  <w:vAlign w:val="center"/>
                </w:tcPr>
                <w:p>
                  <w:pPr>
                    <w:pStyle w:val="33"/>
                    <w:spacing w:line="360" w:lineRule="exact"/>
                    <w:rPr>
                      <w:color w:val="000000" w:themeColor="text1"/>
                      <w:szCs w:val="21"/>
                    </w:rPr>
                  </w:pPr>
                  <w:r>
                    <w:rPr>
                      <w:color w:val="000000" w:themeColor="text1"/>
                      <w:szCs w:val="21"/>
                    </w:rPr>
                    <w:t>排放浓度mg/m³</w:t>
                  </w:r>
                </w:p>
              </w:tc>
              <w:tc>
                <w:tcPr>
                  <w:tcW w:w="781" w:type="dxa"/>
                  <w:tcBorders>
                    <w:top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排放量t/a</w:t>
                  </w:r>
                </w:p>
              </w:tc>
              <w:tc>
                <w:tcPr>
                  <w:tcW w:w="854" w:type="dxa"/>
                  <w:tcBorders>
                    <w:top w:val="single" w:color="auto" w:sz="4" w:space="0"/>
                    <w:left w:val="single" w:color="auto" w:sz="4" w:space="0"/>
                  </w:tcBorders>
                  <w:vAlign w:val="center"/>
                </w:tcPr>
                <w:p>
                  <w:pPr>
                    <w:pStyle w:val="33"/>
                    <w:spacing w:line="360" w:lineRule="exact"/>
                    <w:rPr>
                      <w:color w:val="000000" w:themeColor="text1"/>
                      <w:szCs w:val="21"/>
                    </w:rPr>
                  </w:pPr>
                  <w:r>
                    <w:rPr>
                      <w:color w:val="000000" w:themeColor="text1"/>
                      <w:szCs w:val="21"/>
                    </w:rPr>
                    <w:t>排放速率kg/h</w:t>
                  </w:r>
                </w:p>
              </w:tc>
              <w:tc>
                <w:tcPr>
                  <w:tcW w:w="1314" w:type="dxa"/>
                  <w:vMerge w:val="continue"/>
                  <w:vAlign w:val="center"/>
                </w:tcPr>
                <w:p>
                  <w:pPr>
                    <w:pStyle w:val="33"/>
                    <w:spacing w:line="360" w:lineRule="exact"/>
                    <w:rPr>
                      <w:color w:val="000000" w:themeColor="text1"/>
                      <w:szCs w:val="21"/>
                    </w:rPr>
                  </w:pPr>
                </w:p>
              </w:tc>
              <w:tc>
                <w:tcPr>
                  <w:tcW w:w="74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restart"/>
                  <w:vAlign w:val="center"/>
                </w:tcPr>
                <w:p>
                  <w:pPr>
                    <w:pStyle w:val="33"/>
                    <w:spacing w:line="360" w:lineRule="exact"/>
                    <w:rPr>
                      <w:color w:val="000000" w:themeColor="text1"/>
                      <w:szCs w:val="21"/>
                    </w:rPr>
                  </w:pPr>
                  <w:r>
                    <w:rPr>
                      <w:rFonts w:hint="eastAsia"/>
                      <w:color w:val="000000" w:themeColor="text1"/>
                      <w:szCs w:val="21"/>
                    </w:rPr>
                    <w:t>烘干系统</w:t>
                  </w:r>
                </w:p>
              </w:tc>
              <w:tc>
                <w:tcPr>
                  <w:tcW w:w="709" w:type="dxa"/>
                  <w:vMerge w:val="restart"/>
                  <w:vAlign w:val="center"/>
                </w:tcPr>
                <w:p>
                  <w:pPr>
                    <w:pStyle w:val="33"/>
                    <w:spacing w:line="360" w:lineRule="exact"/>
                    <w:rPr>
                      <w:color w:val="000000" w:themeColor="text1"/>
                      <w:szCs w:val="21"/>
                    </w:rPr>
                  </w:pPr>
                  <w:r>
                    <w:rPr>
                      <w:color w:val="000000" w:themeColor="text1"/>
                      <w:szCs w:val="21"/>
                    </w:rPr>
                    <w:t>热风炉</w:t>
                  </w:r>
                </w:p>
              </w:tc>
              <w:tc>
                <w:tcPr>
                  <w:tcW w:w="850" w:type="dxa"/>
                  <w:vAlign w:val="center"/>
                </w:tcPr>
                <w:p>
                  <w:pPr>
                    <w:pStyle w:val="33"/>
                    <w:spacing w:line="360" w:lineRule="exact"/>
                    <w:rPr>
                      <w:color w:val="000000" w:themeColor="text1"/>
                      <w:szCs w:val="21"/>
                    </w:rPr>
                  </w:pPr>
                  <w:r>
                    <w:rPr>
                      <w:rFonts w:hint="eastAsia"/>
                      <w:color w:val="000000" w:themeColor="text1"/>
                      <w:szCs w:val="21"/>
                    </w:rPr>
                    <w:t>烟气量</w:t>
                  </w:r>
                </w:p>
              </w:tc>
              <w:tc>
                <w:tcPr>
                  <w:tcW w:w="1822"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　624万m³/a</w:t>
                  </w:r>
                </w:p>
              </w:tc>
              <w:tc>
                <w:tcPr>
                  <w:tcW w:w="2431" w:type="dxa"/>
                  <w:gridSpan w:val="3"/>
                  <w:vAlign w:val="center"/>
                </w:tcPr>
                <w:p>
                  <w:pPr>
                    <w:pStyle w:val="33"/>
                    <w:spacing w:line="360" w:lineRule="exact"/>
                    <w:rPr>
                      <w:color w:val="000000" w:themeColor="text1"/>
                      <w:szCs w:val="21"/>
                    </w:rPr>
                  </w:pPr>
                  <w:r>
                    <w:rPr>
                      <w:color w:val="000000" w:themeColor="text1"/>
                      <w:szCs w:val="21"/>
                    </w:rPr>
                    <w:t>　624万m³/a</w:t>
                  </w:r>
                </w:p>
              </w:tc>
              <w:tc>
                <w:tcPr>
                  <w:tcW w:w="1314" w:type="dxa"/>
                  <w:vAlign w:val="center"/>
                </w:tcPr>
                <w:p>
                  <w:pPr>
                    <w:pStyle w:val="33"/>
                    <w:spacing w:line="360" w:lineRule="exact"/>
                    <w:rPr>
                      <w:color w:val="000000" w:themeColor="text1"/>
                      <w:szCs w:val="21"/>
                    </w:rPr>
                  </w:pPr>
                  <w:r>
                    <w:rPr>
                      <w:rFonts w:hint="eastAsia"/>
                      <w:color w:val="000000" w:themeColor="text1"/>
                      <w:szCs w:val="21"/>
                    </w:rPr>
                    <w:t>--</w:t>
                  </w:r>
                </w:p>
              </w:tc>
              <w:tc>
                <w:tcPr>
                  <w:tcW w:w="744" w:type="dxa"/>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颗粒物</w:t>
                  </w:r>
                </w:p>
              </w:tc>
              <w:tc>
                <w:tcPr>
                  <w:tcW w:w="955" w:type="dxa"/>
                  <w:tcBorders>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80.13</w:t>
                  </w:r>
                </w:p>
              </w:tc>
              <w:tc>
                <w:tcPr>
                  <w:tcW w:w="867" w:type="dxa"/>
                  <w:tcBorders>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0.50</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0.24</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rPr>
                  </w:pPr>
                  <w:r>
                    <w:rPr>
                      <w:rFonts w:hint="eastAsia" w:ascii="Times New Roman" w:hAnsi="Times New Roman" w:eastAsia="宋体" w:cs="Times New Roman"/>
                      <w:bCs/>
                      <w:snapToGrid w:val="0"/>
                      <w:color w:val="000000" w:themeColor="text1"/>
                      <w:kern w:val="32"/>
                      <w:sz w:val="21"/>
                      <w:szCs w:val="21"/>
                    </w:rPr>
                    <w:t>0.002</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rPr>
                    <w:t>0.0002</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5</w:t>
                  </w:r>
                  <w:r>
                    <w:rPr>
                      <w:color w:val="000000" w:themeColor="text1"/>
                      <w:szCs w:val="21"/>
                    </w:rPr>
                    <w:t>0mg/m³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955"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867"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1.36</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1.36</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0.17</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300</w:t>
                  </w:r>
                  <w:r>
                    <w:rPr>
                      <w:color w:val="000000" w:themeColor="text1"/>
                      <w:szCs w:val="21"/>
                    </w:rPr>
                    <w:t>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rFonts w:hint="eastAsia"/>
                      <w:color w:val="000000" w:themeColor="text1"/>
                      <w:szCs w:val="21"/>
                    </w:rPr>
                    <w:t>NOx</w:t>
                  </w:r>
                </w:p>
              </w:tc>
              <w:tc>
                <w:tcPr>
                  <w:tcW w:w="955"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163.46</w:t>
                  </w:r>
                </w:p>
              </w:tc>
              <w:tc>
                <w:tcPr>
                  <w:tcW w:w="867" w:type="dxa"/>
                  <w:tcBorders>
                    <w:top w:val="single" w:color="auto" w:sz="4" w:space="0"/>
                    <w:bottom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1.02</w:t>
                  </w:r>
                </w:p>
              </w:tc>
              <w:tc>
                <w:tcPr>
                  <w:tcW w:w="796" w:type="dxa"/>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89.25</w:t>
                  </w:r>
                </w:p>
              </w:tc>
              <w:tc>
                <w:tcPr>
                  <w:tcW w:w="781" w:type="dxa"/>
                  <w:tcBorders>
                    <w:righ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0.56</w:t>
                  </w:r>
                </w:p>
              </w:tc>
              <w:tc>
                <w:tcPr>
                  <w:tcW w:w="854" w:type="dxa"/>
                  <w:tcBorders>
                    <w:left w:val="single" w:color="auto" w:sz="4" w:space="0"/>
                  </w:tcBorders>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0.07</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30</w:t>
                  </w:r>
                  <w:r>
                    <w:rPr>
                      <w:color w:val="000000" w:themeColor="text1"/>
                      <w:szCs w:val="21"/>
                    </w:rPr>
                    <w:t>0mg/m³</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restart"/>
                  <w:vAlign w:val="center"/>
                </w:tcPr>
                <w:p>
                  <w:pPr>
                    <w:pStyle w:val="33"/>
                    <w:spacing w:line="360" w:lineRule="exact"/>
                    <w:rPr>
                      <w:color w:val="000000" w:themeColor="text1"/>
                      <w:szCs w:val="21"/>
                    </w:rPr>
                  </w:pPr>
                  <w:r>
                    <w:rPr>
                      <w:rFonts w:hint="eastAsia"/>
                      <w:color w:val="000000" w:themeColor="text1"/>
                      <w:szCs w:val="21"/>
                    </w:rPr>
                    <w:t>烘干机</w:t>
                  </w:r>
                </w:p>
              </w:tc>
              <w:tc>
                <w:tcPr>
                  <w:tcW w:w="850" w:type="dxa"/>
                  <w:vAlign w:val="center"/>
                </w:tcPr>
                <w:p>
                  <w:pPr>
                    <w:pStyle w:val="33"/>
                    <w:spacing w:line="360" w:lineRule="exact"/>
                    <w:rPr>
                      <w:color w:val="000000" w:themeColor="text1"/>
                      <w:szCs w:val="21"/>
                    </w:rPr>
                  </w:pPr>
                  <w:r>
                    <w:rPr>
                      <w:rFonts w:hint="eastAsia"/>
                      <w:color w:val="000000" w:themeColor="text1"/>
                      <w:szCs w:val="21"/>
                    </w:rPr>
                    <w:t>废气量</w:t>
                  </w:r>
                </w:p>
              </w:tc>
              <w:tc>
                <w:tcPr>
                  <w:tcW w:w="1822" w:type="dxa"/>
                  <w:gridSpan w:val="2"/>
                  <w:tcBorders>
                    <w:top w:val="single" w:color="auto" w:sz="4" w:space="0"/>
                    <w:bottom w:val="single" w:color="auto" w:sz="4" w:space="0"/>
                  </w:tcBorders>
                  <w:vAlign w:val="center"/>
                </w:tcPr>
                <w:p>
                  <w:pPr>
                    <w:pStyle w:val="33"/>
                    <w:spacing w:line="360" w:lineRule="exact"/>
                    <w:rPr>
                      <w:bCs w:val="0"/>
                      <w:color w:val="000000" w:themeColor="text1"/>
                      <w:szCs w:val="21"/>
                    </w:rPr>
                  </w:pPr>
                  <w:r>
                    <w:rPr>
                      <w:color w:val="000000" w:themeColor="text1"/>
                      <w:szCs w:val="21"/>
                    </w:rPr>
                    <w:t>6</w:t>
                  </w:r>
                  <w:r>
                    <w:rPr>
                      <w:rFonts w:hint="eastAsia"/>
                      <w:color w:val="000000" w:themeColor="text1"/>
                      <w:szCs w:val="21"/>
                    </w:rPr>
                    <w:t>636</w:t>
                  </w:r>
                  <w:r>
                    <w:rPr>
                      <w:color w:val="000000" w:themeColor="text1"/>
                      <w:szCs w:val="21"/>
                    </w:rPr>
                    <w:t>万m³/a</w:t>
                  </w:r>
                </w:p>
              </w:tc>
              <w:tc>
                <w:tcPr>
                  <w:tcW w:w="2431" w:type="dxa"/>
                  <w:gridSpan w:val="3"/>
                  <w:vAlign w:val="center"/>
                </w:tcPr>
                <w:p>
                  <w:pPr>
                    <w:pStyle w:val="33"/>
                    <w:spacing w:line="360" w:lineRule="exact"/>
                    <w:rPr>
                      <w:bCs w:val="0"/>
                      <w:color w:val="000000" w:themeColor="text1"/>
                      <w:szCs w:val="21"/>
                    </w:rPr>
                  </w:pPr>
                  <w:r>
                    <w:rPr>
                      <w:color w:val="000000" w:themeColor="text1"/>
                      <w:szCs w:val="21"/>
                    </w:rPr>
                    <w:t>6</w:t>
                  </w:r>
                  <w:r>
                    <w:rPr>
                      <w:rFonts w:hint="eastAsia"/>
                      <w:color w:val="000000" w:themeColor="text1"/>
                      <w:szCs w:val="21"/>
                    </w:rPr>
                    <w:t>636</w:t>
                  </w:r>
                  <w:r>
                    <w:rPr>
                      <w:color w:val="000000" w:themeColor="text1"/>
                      <w:szCs w:val="21"/>
                    </w:rPr>
                    <w:t>万m³/a</w:t>
                  </w:r>
                </w:p>
              </w:tc>
              <w:tc>
                <w:tcPr>
                  <w:tcW w:w="1314" w:type="dxa"/>
                  <w:vAlign w:val="center"/>
                </w:tcPr>
                <w:p>
                  <w:pPr>
                    <w:pStyle w:val="33"/>
                    <w:spacing w:line="360" w:lineRule="exact"/>
                    <w:rPr>
                      <w:color w:val="000000" w:themeColor="text1"/>
                      <w:szCs w:val="21"/>
                    </w:rPr>
                  </w:pPr>
                  <w:r>
                    <w:rPr>
                      <w:rFonts w:hint="eastAsia"/>
                      <w:color w:val="000000" w:themeColor="text1"/>
                      <w:szCs w:val="21"/>
                    </w:rPr>
                    <w:t>--</w:t>
                  </w:r>
                </w:p>
              </w:tc>
              <w:tc>
                <w:tcPr>
                  <w:tcW w:w="744" w:type="dxa"/>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Merge w:val="continue"/>
                  <w:vAlign w:val="center"/>
                </w:tcPr>
                <w:p>
                  <w:pPr>
                    <w:pStyle w:val="33"/>
                    <w:spacing w:line="360" w:lineRule="exact"/>
                    <w:rPr>
                      <w:color w:val="000000" w:themeColor="text1"/>
                      <w:szCs w:val="21"/>
                    </w:rPr>
                  </w:pPr>
                </w:p>
              </w:tc>
              <w:tc>
                <w:tcPr>
                  <w:tcW w:w="709" w:type="dxa"/>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color w:val="000000" w:themeColor="text1"/>
                      <w:szCs w:val="21"/>
                    </w:rPr>
                    <w:t>颗粒物</w:t>
                  </w:r>
                </w:p>
              </w:tc>
              <w:tc>
                <w:tcPr>
                  <w:tcW w:w="955" w:type="dxa"/>
                  <w:tcBorders>
                    <w:top w:val="single" w:color="auto" w:sz="4" w:space="0"/>
                    <w:bottom w:val="single" w:color="auto" w:sz="4" w:space="0"/>
                  </w:tcBorders>
                  <w:vAlign w:val="center"/>
                </w:tcPr>
                <w:p>
                  <w:pPr>
                    <w:pStyle w:val="33"/>
                    <w:spacing w:line="360" w:lineRule="exact"/>
                    <w:rPr>
                      <w:color w:val="000000" w:themeColor="text1"/>
                      <w:szCs w:val="21"/>
                    </w:rPr>
                  </w:pPr>
                  <w:r>
                    <w:rPr>
                      <w:rFonts w:hint="eastAsia"/>
                      <w:color w:val="000000" w:themeColor="text1"/>
                      <w:szCs w:val="21"/>
                    </w:rPr>
                    <w:t>347.54</w:t>
                  </w:r>
                </w:p>
              </w:tc>
              <w:tc>
                <w:tcPr>
                  <w:tcW w:w="867" w:type="dxa"/>
                  <w:tcBorders>
                    <w:top w:val="single" w:color="auto" w:sz="4" w:space="0"/>
                    <w:bottom w:val="single" w:color="auto" w:sz="4" w:space="0"/>
                  </w:tcBorders>
                  <w:vAlign w:val="center"/>
                </w:tcPr>
                <w:p>
                  <w:pPr>
                    <w:pStyle w:val="33"/>
                    <w:spacing w:line="360" w:lineRule="exact"/>
                    <w:rPr>
                      <w:color w:val="000000" w:themeColor="text1"/>
                      <w:szCs w:val="21"/>
                    </w:rPr>
                  </w:pPr>
                  <w:r>
                    <w:rPr>
                      <w:rFonts w:hint="eastAsia"/>
                      <w:color w:val="000000" w:themeColor="text1"/>
                      <w:szCs w:val="21"/>
                    </w:rPr>
                    <w:t>22.02</w:t>
                  </w:r>
                </w:p>
              </w:tc>
              <w:tc>
                <w:tcPr>
                  <w:tcW w:w="796" w:type="dxa"/>
                  <w:vAlign w:val="center"/>
                </w:tcPr>
                <w:p>
                  <w:pPr>
                    <w:pStyle w:val="33"/>
                    <w:spacing w:line="360" w:lineRule="exact"/>
                    <w:rPr>
                      <w:color w:val="000000" w:themeColor="text1"/>
                      <w:szCs w:val="21"/>
                    </w:rPr>
                  </w:pPr>
                  <w:r>
                    <w:rPr>
                      <w:rFonts w:hint="eastAsia"/>
                      <w:color w:val="000000" w:themeColor="text1"/>
                      <w:szCs w:val="21"/>
                    </w:rPr>
                    <w:t>1.74</w:t>
                  </w:r>
                </w:p>
              </w:tc>
              <w:tc>
                <w:tcPr>
                  <w:tcW w:w="781" w:type="dxa"/>
                  <w:tcBorders>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0.11</w:t>
                  </w:r>
                </w:p>
              </w:tc>
              <w:tc>
                <w:tcPr>
                  <w:tcW w:w="854" w:type="dxa"/>
                  <w:tcBorders>
                    <w:left w:val="single" w:color="auto" w:sz="4" w:space="0"/>
                  </w:tcBorders>
                  <w:vAlign w:val="center"/>
                </w:tcPr>
                <w:p>
                  <w:pPr>
                    <w:pStyle w:val="33"/>
                    <w:spacing w:line="360" w:lineRule="exact"/>
                    <w:rPr>
                      <w:color w:val="000000" w:themeColor="text1"/>
                      <w:szCs w:val="21"/>
                    </w:rPr>
                  </w:pPr>
                  <w:r>
                    <w:rPr>
                      <w:rFonts w:hint="eastAsia"/>
                      <w:color w:val="000000" w:themeColor="text1"/>
                      <w:szCs w:val="21"/>
                    </w:rPr>
                    <w:t>0.01</w:t>
                  </w:r>
                </w:p>
              </w:tc>
              <w:tc>
                <w:tcPr>
                  <w:tcW w:w="1314" w:type="dxa"/>
                  <w:vAlign w:val="center"/>
                </w:tcPr>
                <w:p>
                  <w:pPr>
                    <w:pStyle w:val="33"/>
                    <w:spacing w:line="360" w:lineRule="exact"/>
                    <w:jc w:val="both"/>
                    <w:rPr>
                      <w:color w:val="000000" w:themeColor="text1"/>
                      <w:szCs w:val="21"/>
                    </w:rPr>
                  </w:pPr>
                  <w:r>
                    <w:rPr>
                      <w:color w:val="000000" w:themeColor="text1"/>
                      <w:szCs w:val="21"/>
                    </w:rPr>
                    <w:t>≤</w:t>
                  </w:r>
                  <w:r>
                    <w:rPr>
                      <w:rFonts w:hint="eastAsia"/>
                      <w:color w:val="000000" w:themeColor="text1"/>
                      <w:szCs w:val="21"/>
                    </w:rPr>
                    <w:t>120</w:t>
                  </w:r>
                  <w:r>
                    <w:rPr>
                      <w:color w:val="000000" w:themeColor="text1"/>
                      <w:szCs w:val="21"/>
                    </w:rPr>
                    <w:t>mg/m³</w:t>
                  </w:r>
                  <w:r>
                    <w:rPr>
                      <w:rFonts w:hint="eastAsia"/>
                      <w:color w:val="000000" w:themeColor="text1"/>
                      <w:szCs w:val="21"/>
                    </w:rPr>
                    <w:t>、</w:t>
                  </w:r>
                  <w:r>
                    <w:rPr>
                      <w:color w:val="000000" w:themeColor="text1"/>
                      <w:szCs w:val="21"/>
                    </w:rPr>
                    <w:t>≤</w:t>
                  </w:r>
                  <w:r>
                    <w:rPr>
                      <w:rFonts w:hint="eastAsia"/>
                      <w:color w:val="000000" w:themeColor="text1"/>
                      <w:szCs w:val="21"/>
                    </w:rPr>
                    <w:t>1.75kg/h</w:t>
                  </w:r>
                </w:p>
              </w:tc>
              <w:tc>
                <w:tcPr>
                  <w:tcW w:w="744" w:type="dxa"/>
                  <w:vAlign w:val="center"/>
                </w:tcPr>
                <w:p>
                  <w:pPr>
                    <w:pStyle w:val="33"/>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709"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3"/>
                    <w:spacing w:line="360" w:lineRule="exact"/>
                    <w:rPr>
                      <w:color w:val="000000" w:themeColor="text1"/>
                      <w:szCs w:val="21"/>
                    </w:rPr>
                  </w:pPr>
                  <w:r>
                    <w:rPr>
                      <w:rFonts w:hint="eastAsia"/>
                      <w:color w:val="000000" w:themeColor="text1"/>
                      <w:szCs w:val="21"/>
                    </w:rPr>
                    <w:t>颗粒物</w:t>
                  </w:r>
                  <w:r>
                    <w:rPr>
                      <w:color w:val="000000" w:themeColor="text1"/>
                      <w:szCs w:val="21"/>
                    </w:rPr>
                    <w:t>（</w:t>
                  </w:r>
                  <w:r>
                    <w:rPr>
                      <w:rFonts w:hint="eastAsia"/>
                      <w:color w:val="000000" w:themeColor="text1"/>
                      <w:szCs w:val="21"/>
                    </w:rPr>
                    <w:t>无</w:t>
                  </w:r>
                  <w:r>
                    <w:rPr>
                      <w:color w:val="000000" w:themeColor="text1"/>
                      <w:szCs w:val="21"/>
                    </w:rPr>
                    <w:t>组织）</w:t>
                  </w:r>
                </w:p>
              </w:tc>
              <w:tc>
                <w:tcPr>
                  <w:tcW w:w="955" w:type="dxa"/>
                  <w:tcBorders>
                    <w:top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w:t>
                  </w:r>
                </w:p>
              </w:tc>
              <w:tc>
                <w:tcPr>
                  <w:tcW w:w="867" w:type="dxa"/>
                  <w:tcBorders>
                    <w:top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200.53</w:t>
                  </w:r>
                </w:p>
              </w:tc>
              <w:tc>
                <w:tcPr>
                  <w:tcW w:w="796" w:type="dxa"/>
                  <w:vAlign w:val="center"/>
                </w:tcPr>
                <w:p>
                  <w:pPr>
                    <w:pStyle w:val="33"/>
                    <w:spacing w:before="78" w:line="360" w:lineRule="exact"/>
                    <w:rPr>
                      <w:color w:val="000000" w:themeColor="text1"/>
                      <w:szCs w:val="21"/>
                    </w:rPr>
                  </w:pPr>
                  <w:r>
                    <w:rPr>
                      <w:rFonts w:hint="eastAsia"/>
                      <w:color w:val="000000" w:themeColor="text1"/>
                      <w:szCs w:val="21"/>
                    </w:rPr>
                    <w:t>0.65</w:t>
                  </w:r>
                </w:p>
              </w:tc>
              <w:tc>
                <w:tcPr>
                  <w:tcW w:w="781" w:type="dxa"/>
                  <w:tcBorders>
                    <w:right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32.09</w:t>
                  </w:r>
                </w:p>
              </w:tc>
              <w:tc>
                <w:tcPr>
                  <w:tcW w:w="854" w:type="dxa"/>
                  <w:tcBorders>
                    <w:left w:val="single" w:color="auto" w:sz="4" w:space="0"/>
                  </w:tcBorders>
                  <w:vAlign w:val="center"/>
                </w:tcPr>
                <w:p>
                  <w:pPr>
                    <w:pStyle w:val="33"/>
                    <w:spacing w:before="78" w:line="360" w:lineRule="exact"/>
                    <w:rPr>
                      <w:color w:val="000000" w:themeColor="text1"/>
                      <w:szCs w:val="21"/>
                    </w:rPr>
                  </w:pPr>
                  <w:r>
                    <w:rPr>
                      <w:rFonts w:hint="eastAsia"/>
                      <w:color w:val="000000" w:themeColor="text1"/>
                      <w:szCs w:val="21"/>
                    </w:rPr>
                    <w:t>--</w:t>
                  </w:r>
                </w:p>
              </w:tc>
              <w:tc>
                <w:tcPr>
                  <w:tcW w:w="1314" w:type="dxa"/>
                  <w:vAlign w:val="center"/>
                </w:tcPr>
                <w:p>
                  <w:pPr>
                    <w:pStyle w:val="33"/>
                    <w:spacing w:before="78" w:line="360" w:lineRule="exact"/>
                    <w:rPr>
                      <w:color w:val="000000" w:themeColor="text1"/>
                      <w:szCs w:val="21"/>
                    </w:rPr>
                  </w:pPr>
                  <w:r>
                    <w:rPr>
                      <w:color w:val="000000" w:themeColor="text1"/>
                      <w:szCs w:val="21"/>
                    </w:rPr>
                    <w:t>≤</w:t>
                  </w:r>
                  <w:r>
                    <w:rPr>
                      <w:rFonts w:hint="eastAsia"/>
                      <w:color w:val="000000" w:themeColor="text1"/>
                      <w:szCs w:val="21"/>
                    </w:rPr>
                    <w:t>1.0</w:t>
                  </w:r>
                </w:p>
              </w:tc>
              <w:tc>
                <w:tcPr>
                  <w:tcW w:w="744" w:type="dxa"/>
                  <w:vAlign w:val="center"/>
                </w:tcPr>
                <w:p>
                  <w:pPr>
                    <w:pStyle w:val="33"/>
                    <w:spacing w:before="78" w:line="360" w:lineRule="exact"/>
                    <w:rPr>
                      <w:color w:val="000000" w:themeColor="text1"/>
                      <w:szCs w:val="21"/>
                    </w:rPr>
                  </w:pPr>
                  <w:r>
                    <w:rPr>
                      <w:color w:val="000000" w:themeColor="text1"/>
                      <w:szCs w:val="21"/>
                    </w:rPr>
                    <w:t>达标</w:t>
                  </w:r>
                </w:p>
              </w:tc>
            </w:tr>
          </w:tbl>
          <w:p>
            <w:pPr>
              <w:pStyle w:val="41"/>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燃烧烟气污染物类型包括颗粒物、SO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针对燃烧烟气，项目拟设置1套燃烧烟气处理系统对其进行处理，该系统由低氮燃烧+非催化还原（SNCR）脱硝技术+布袋除尘器组成，燃烧烟气经低氮燃烧+非催化还原（SNCR）脱硝技术+布袋除尘器处理后可达到《锅炉大气污染物排放标准》（GB</w:t>
            </w:r>
            <w:r>
              <w:rPr>
                <w:rFonts w:hint="eastAsia" w:ascii="Times New Roman" w:hAnsi="Times New Roman" w:cs="Times New Roman"/>
                <w:color w:val="000000" w:themeColor="text1"/>
                <w:sz w:val="24"/>
                <w:szCs w:val="24"/>
                <w:lang w:eastAsia="zh-CN"/>
              </w:rPr>
              <w:t>*****</w:t>
            </w:r>
            <w:r>
              <w:rPr>
                <w:rFonts w:hint="eastAsia" w:ascii="Times New Roman" w:hAnsi="Times New Roman" w:cs="Times New Roman"/>
                <w:color w:val="000000" w:themeColor="text1"/>
                <w:sz w:val="24"/>
                <w:szCs w:val="24"/>
              </w:rPr>
              <w:t>-2014）表2标准限值，通过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烘干粉尘通过旋风除尘+布袋除尘器处理后，可达到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水淬渣暂存库和废渣暂存库产生的扬尘无组织排放，按照</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预测参数</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主要废气污染源参数一览表（矩形面源）</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4"/>
              <w:gridCol w:w="1379"/>
              <w:gridCol w:w="1263"/>
              <w:gridCol w:w="1152"/>
              <w:gridCol w:w="945"/>
              <w:gridCol w:w="859"/>
              <w:gridCol w:w="980"/>
              <w:gridCol w:w="13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0" w:hRule="atLeast"/>
              </w:trPr>
              <w:tc>
                <w:tcPr>
                  <w:tcW w:w="686" w:type="dxa"/>
                  <w:vMerge w:val="restart"/>
                  <w:vAlign w:val="center"/>
                </w:tcPr>
                <w:p>
                  <w:pPr>
                    <w:pStyle w:val="33"/>
                    <w:spacing w:line="360" w:lineRule="exact"/>
                    <w:rPr>
                      <w:color w:val="000000" w:themeColor="text1"/>
                      <w:szCs w:val="21"/>
                    </w:rPr>
                  </w:pPr>
                  <w:r>
                    <w:rPr>
                      <w:color w:val="000000" w:themeColor="text1"/>
                      <w:szCs w:val="21"/>
                    </w:rPr>
                    <w:t>污染源名称</w:t>
                  </w:r>
                </w:p>
              </w:tc>
              <w:tc>
                <w:tcPr>
                  <w:tcW w:w="2617" w:type="dxa"/>
                  <w:gridSpan w:val="2"/>
                  <w:vAlign w:val="center"/>
                </w:tcPr>
                <w:p>
                  <w:pPr>
                    <w:pStyle w:val="33"/>
                    <w:spacing w:line="360" w:lineRule="exact"/>
                    <w:rPr>
                      <w:color w:val="000000" w:themeColor="text1"/>
                      <w:szCs w:val="21"/>
                    </w:rPr>
                  </w:pPr>
                  <w:r>
                    <w:rPr>
                      <w:color w:val="000000" w:themeColor="text1"/>
                      <w:szCs w:val="21"/>
                    </w:rPr>
                    <w:t>坐标（°)</w:t>
                  </w:r>
                </w:p>
              </w:tc>
              <w:tc>
                <w:tcPr>
                  <w:tcW w:w="1141" w:type="dxa"/>
                  <w:vMerge w:val="restart"/>
                  <w:vAlign w:val="center"/>
                </w:tcPr>
                <w:p>
                  <w:pPr>
                    <w:pStyle w:val="33"/>
                    <w:spacing w:line="360" w:lineRule="exact"/>
                    <w:rPr>
                      <w:color w:val="000000" w:themeColor="text1"/>
                      <w:szCs w:val="21"/>
                    </w:rPr>
                  </w:pPr>
                  <w:r>
                    <w:rPr>
                      <w:color w:val="000000" w:themeColor="text1"/>
                      <w:szCs w:val="21"/>
                    </w:rPr>
                    <w:t>海拔高度（m)</w:t>
                  </w:r>
                </w:p>
              </w:tc>
              <w:tc>
                <w:tcPr>
                  <w:tcW w:w="2758" w:type="dxa"/>
                  <w:gridSpan w:val="3"/>
                  <w:vAlign w:val="center"/>
                </w:tcPr>
                <w:p>
                  <w:pPr>
                    <w:pStyle w:val="33"/>
                    <w:spacing w:line="360" w:lineRule="exact"/>
                    <w:rPr>
                      <w:color w:val="000000" w:themeColor="text1"/>
                      <w:szCs w:val="21"/>
                    </w:rPr>
                  </w:pPr>
                  <w:r>
                    <w:rPr>
                      <w:color w:val="000000" w:themeColor="text1"/>
                      <w:szCs w:val="21"/>
                    </w:rPr>
                    <w:t>矩形面源</w:t>
                  </w:r>
                </w:p>
              </w:tc>
              <w:tc>
                <w:tcPr>
                  <w:tcW w:w="1326" w:type="dxa"/>
                  <w:vAlign w:val="center"/>
                </w:tcPr>
                <w:p>
                  <w:pPr>
                    <w:pStyle w:val="33"/>
                    <w:spacing w:line="360" w:lineRule="exact"/>
                    <w:rPr>
                      <w:color w:val="000000" w:themeColor="text1"/>
                      <w:szCs w:val="21"/>
                    </w:rPr>
                  </w:pPr>
                  <w:r>
                    <w:rPr>
                      <w:color w:val="000000" w:themeColor="text1"/>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686" w:type="dxa"/>
                  <w:vMerge w:val="continue"/>
                  <w:vAlign w:val="center"/>
                </w:tcPr>
                <w:p>
                  <w:pPr>
                    <w:pStyle w:val="33"/>
                    <w:spacing w:line="360" w:lineRule="exact"/>
                    <w:rPr>
                      <w:color w:val="000000" w:themeColor="text1"/>
                      <w:szCs w:val="21"/>
                    </w:rPr>
                  </w:pPr>
                </w:p>
              </w:tc>
              <w:tc>
                <w:tcPr>
                  <w:tcW w:w="1366" w:type="dxa"/>
                  <w:vAlign w:val="center"/>
                </w:tcPr>
                <w:p>
                  <w:pPr>
                    <w:pStyle w:val="33"/>
                    <w:spacing w:line="360" w:lineRule="exact"/>
                    <w:rPr>
                      <w:color w:val="000000" w:themeColor="text1"/>
                      <w:szCs w:val="21"/>
                    </w:rPr>
                  </w:pPr>
                  <w:r>
                    <w:rPr>
                      <w:color w:val="000000" w:themeColor="text1"/>
                      <w:szCs w:val="21"/>
                    </w:rPr>
                    <w:t>经度</w:t>
                  </w:r>
                </w:p>
              </w:tc>
              <w:tc>
                <w:tcPr>
                  <w:tcW w:w="1251" w:type="dxa"/>
                  <w:vAlign w:val="center"/>
                </w:tcPr>
                <w:p>
                  <w:pPr>
                    <w:pStyle w:val="33"/>
                    <w:spacing w:line="360" w:lineRule="exact"/>
                    <w:rPr>
                      <w:color w:val="000000" w:themeColor="text1"/>
                      <w:szCs w:val="21"/>
                    </w:rPr>
                  </w:pPr>
                  <w:r>
                    <w:rPr>
                      <w:color w:val="000000" w:themeColor="text1"/>
                      <w:szCs w:val="21"/>
                    </w:rPr>
                    <w:t>纬度</w:t>
                  </w:r>
                </w:p>
              </w:tc>
              <w:tc>
                <w:tcPr>
                  <w:tcW w:w="1141" w:type="dxa"/>
                  <w:vMerge w:val="continue"/>
                  <w:vAlign w:val="center"/>
                </w:tcPr>
                <w:p>
                  <w:pPr>
                    <w:pStyle w:val="33"/>
                    <w:spacing w:line="360" w:lineRule="exact"/>
                    <w:rPr>
                      <w:color w:val="000000" w:themeColor="text1"/>
                      <w:szCs w:val="21"/>
                    </w:rPr>
                  </w:pPr>
                </w:p>
              </w:tc>
              <w:tc>
                <w:tcPr>
                  <w:tcW w:w="936" w:type="dxa"/>
                  <w:vAlign w:val="center"/>
                </w:tcPr>
                <w:p>
                  <w:pPr>
                    <w:pStyle w:val="33"/>
                    <w:spacing w:line="360" w:lineRule="exact"/>
                    <w:rPr>
                      <w:color w:val="000000" w:themeColor="text1"/>
                      <w:szCs w:val="21"/>
                    </w:rPr>
                  </w:pPr>
                  <w:r>
                    <w:rPr>
                      <w:color w:val="000000" w:themeColor="text1"/>
                      <w:szCs w:val="21"/>
                    </w:rPr>
                    <w:t>长度（m)</w:t>
                  </w:r>
                </w:p>
              </w:tc>
              <w:tc>
                <w:tcPr>
                  <w:tcW w:w="851" w:type="dxa"/>
                  <w:vAlign w:val="center"/>
                </w:tcPr>
                <w:p>
                  <w:pPr>
                    <w:pStyle w:val="33"/>
                    <w:spacing w:line="360" w:lineRule="exact"/>
                    <w:rPr>
                      <w:color w:val="000000" w:themeColor="text1"/>
                      <w:szCs w:val="21"/>
                    </w:rPr>
                  </w:pPr>
                  <w:r>
                    <w:rPr>
                      <w:color w:val="000000" w:themeColor="text1"/>
                      <w:szCs w:val="21"/>
                    </w:rPr>
                    <w:t>宽度（m)</w:t>
                  </w:r>
                </w:p>
              </w:tc>
              <w:tc>
                <w:tcPr>
                  <w:tcW w:w="971" w:type="dxa"/>
                  <w:vAlign w:val="center"/>
                </w:tcPr>
                <w:p>
                  <w:pPr>
                    <w:pStyle w:val="33"/>
                    <w:spacing w:line="360" w:lineRule="exact"/>
                    <w:rPr>
                      <w:color w:val="000000" w:themeColor="text1"/>
                      <w:szCs w:val="21"/>
                    </w:rPr>
                  </w:pPr>
                  <w:r>
                    <w:rPr>
                      <w:color w:val="000000" w:themeColor="text1"/>
                      <w:szCs w:val="21"/>
                    </w:rPr>
                    <w:t>有效高度（m)</w:t>
                  </w:r>
                </w:p>
              </w:tc>
              <w:tc>
                <w:tcPr>
                  <w:tcW w:w="1326" w:type="dxa"/>
                  <w:vAlign w:val="center"/>
                </w:tcPr>
                <w:p>
                  <w:pPr>
                    <w:pStyle w:val="33"/>
                    <w:spacing w:line="360" w:lineRule="exact"/>
                    <w:rPr>
                      <w:color w:val="000000" w:themeColor="text1"/>
                      <w:szCs w:val="21"/>
                    </w:rPr>
                  </w:pPr>
                  <w:r>
                    <w:rPr>
                      <w:color w:val="000000" w:themeColor="text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686" w:type="dxa"/>
                  <w:vAlign w:val="center"/>
                </w:tcPr>
                <w:p>
                  <w:pPr>
                    <w:pStyle w:val="33"/>
                    <w:spacing w:line="360" w:lineRule="exact"/>
                    <w:rPr>
                      <w:color w:val="000000" w:themeColor="text1"/>
                      <w:szCs w:val="21"/>
                    </w:rPr>
                  </w:pPr>
                  <w:r>
                    <w:rPr>
                      <w:color w:val="000000" w:themeColor="text1"/>
                      <w:szCs w:val="21"/>
                    </w:rPr>
                    <w:t>矩形面源</w:t>
                  </w:r>
                </w:p>
              </w:tc>
              <w:tc>
                <w:tcPr>
                  <w:tcW w:w="1366" w:type="dxa"/>
                  <w:vAlign w:val="center"/>
                </w:tcPr>
                <w:p>
                  <w:pPr>
                    <w:pStyle w:val="33"/>
                    <w:spacing w:line="360" w:lineRule="exact"/>
                    <w:rPr>
                      <w:color w:val="000000" w:themeColor="text1"/>
                      <w:szCs w:val="21"/>
                    </w:rPr>
                  </w:pPr>
                  <w:r>
                    <w:rPr>
                      <w:color w:val="000000" w:themeColor="text1"/>
                      <w:szCs w:val="21"/>
                    </w:rPr>
                    <w:t>103.123321</w:t>
                  </w:r>
                </w:p>
              </w:tc>
              <w:tc>
                <w:tcPr>
                  <w:tcW w:w="1251" w:type="dxa"/>
                  <w:vAlign w:val="center"/>
                </w:tcPr>
                <w:p>
                  <w:pPr>
                    <w:pStyle w:val="33"/>
                    <w:spacing w:line="360" w:lineRule="exact"/>
                    <w:rPr>
                      <w:color w:val="000000" w:themeColor="text1"/>
                      <w:szCs w:val="21"/>
                    </w:rPr>
                  </w:pPr>
                  <w:r>
                    <w:rPr>
                      <w:color w:val="000000" w:themeColor="text1"/>
                      <w:szCs w:val="21"/>
                    </w:rPr>
                    <w:t>26.179193</w:t>
                  </w:r>
                </w:p>
              </w:tc>
              <w:tc>
                <w:tcPr>
                  <w:tcW w:w="1141" w:type="dxa"/>
                  <w:vAlign w:val="center"/>
                </w:tcPr>
                <w:p>
                  <w:pPr>
                    <w:pStyle w:val="33"/>
                    <w:spacing w:line="360" w:lineRule="exact"/>
                    <w:rPr>
                      <w:color w:val="000000" w:themeColor="text1"/>
                      <w:szCs w:val="21"/>
                    </w:rPr>
                  </w:pPr>
                  <w:r>
                    <w:rPr>
                      <w:color w:val="000000" w:themeColor="text1"/>
                      <w:szCs w:val="21"/>
                    </w:rPr>
                    <w:t>1488.00</w:t>
                  </w:r>
                </w:p>
              </w:tc>
              <w:tc>
                <w:tcPr>
                  <w:tcW w:w="936" w:type="dxa"/>
                  <w:vAlign w:val="center"/>
                </w:tcPr>
                <w:p>
                  <w:pPr>
                    <w:pStyle w:val="33"/>
                    <w:spacing w:line="360" w:lineRule="exact"/>
                    <w:rPr>
                      <w:color w:val="000000" w:themeColor="text1"/>
                      <w:szCs w:val="21"/>
                    </w:rPr>
                  </w:pPr>
                  <w:r>
                    <w:rPr>
                      <w:color w:val="000000" w:themeColor="text1"/>
                      <w:szCs w:val="21"/>
                    </w:rPr>
                    <w:t>146.37</w:t>
                  </w:r>
                </w:p>
              </w:tc>
              <w:tc>
                <w:tcPr>
                  <w:tcW w:w="851" w:type="dxa"/>
                  <w:vAlign w:val="center"/>
                </w:tcPr>
                <w:p>
                  <w:pPr>
                    <w:pStyle w:val="33"/>
                    <w:spacing w:line="360" w:lineRule="exact"/>
                    <w:rPr>
                      <w:color w:val="000000" w:themeColor="text1"/>
                      <w:szCs w:val="21"/>
                    </w:rPr>
                  </w:pPr>
                  <w:r>
                    <w:rPr>
                      <w:color w:val="000000" w:themeColor="text1"/>
                      <w:szCs w:val="21"/>
                    </w:rPr>
                    <w:t>89.91</w:t>
                  </w:r>
                </w:p>
              </w:tc>
              <w:tc>
                <w:tcPr>
                  <w:tcW w:w="971" w:type="dxa"/>
                  <w:vAlign w:val="center"/>
                </w:tcPr>
                <w:p>
                  <w:pPr>
                    <w:pStyle w:val="33"/>
                    <w:spacing w:line="360" w:lineRule="exact"/>
                    <w:rPr>
                      <w:color w:val="000000" w:themeColor="text1"/>
                      <w:szCs w:val="21"/>
                    </w:rPr>
                  </w:pPr>
                  <w:r>
                    <w:rPr>
                      <w:color w:val="000000" w:themeColor="text1"/>
                      <w:szCs w:val="21"/>
                    </w:rPr>
                    <w:t>10.00</w:t>
                  </w:r>
                </w:p>
              </w:tc>
              <w:tc>
                <w:tcPr>
                  <w:tcW w:w="1326" w:type="dxa"/>
                  <w:vAlign w:val="center"/>
                </w:tcPr>
                <w:p>
                  <w:pPr>
                    <w:pStyle w:val="33"/>
                    <w:spacing w:line="360" w:lineRule="exact"/>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6632</w:t>
                  </w:r>
                </w:p>
              </w:tc>
            </w:tr>
          </w:tbl>
          <w:p>
            <w:pPr>
              <w:pStyle w:val="41"/>
              <w:spacing w:beforeLines="50"/>
              <w:ind w:firstLine="480"/>
              <w:rPr>
                <w:color w:val="000000" w:themeColor="text1"/>
                <w:szCs w:val="24"/>
              </w:rPr>
            </w:pPr>
            <w:r>
              <w:rPr>
                <w:color w:val="000000" w:themeColor="text1"/>
                <w:szCs w:val="24"/>
              </w:rPr>
              <w:t>估算模式所用参数见表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估算模型参数表</w:t>
            </w:r>
          </w:p>
          <w:tbl>
            <w:tblPr>
              <w:tblStyle w:val="22"/>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449"/>
              <w:gridCol w:w="3836"/>
              <w:gridCol w:w="13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7213" w:type="dxa"/>
                  <w:gridSpan w:val="2"/>
                  <w:vAlign w:val="center"/>
                </w:tcPr>
                <w:p>
                  <w:pPr>
                    <w:pStyle w:val="33"/>
                    <w:spacing w:line="360" w:lineRule="exact"/>
                    <w:rPr>
                      <w:color w:val="000000" w:themeColor="text1"/>
                      <w:szCs w:val="21"/>
                    </w:rPr>
                  </w:pPr>
                  <w:r>
                    <w:rPr>
                      <w:color w:val="000000" w:themeColor="text1"/>
                      <w:szCs w:val="21"/>
                    </w:rPr>
                    <w:t>参数</w:t>
                  </w:r>
                </w:p>
              </w:tc>
              <w:tc>
                <w:tcPr>
                  <w:tcW w:w="1314" w:type="dxa"/>
                  <w:vAlign w:val="center"/>
                </w:tcPr>
                <w:p>
                  <w:pPr>
                    <w:pStyle w:val="33"/>
                    <w:spacing w:line="360" w:lineRule="exact"/>
                    <w:rPr>
                      <w:color w:val="000000" w:themeColor="text1"/>
                      <w:szCs w:val="21"/>
                    </w:rPr>
                  </w:pPr>
                  <w:r>
                    <w:rPr>
                      <w:color w:val="000000" w:themeColor="text1"/>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restart"/>
                  <w:vAlign w:val="center"/>
                </w:tcPr>
                <w:p>
                  <w:pPr>
                    <w:pStyle w:val="33"/>
                    <w:spacing w:line="360" w:lineRule="exact"/>
                    <w:rPr>
                      <w:color w:val="000000" w:themeColor="text1"/>
                      <w:szCs w:val="21"/>
                    </w:rPr>
                  </w:pPr>
                  <w:r>
                    <w:rPr>
                      <w:color w:val="000000" w:themeColor="text1"/>
                      <w:szCs w:val="21"/>
                    </w:rPr>
                    <w:t>城市/农村选项</w:t>
                  </w:r>
                </w:p>
              </w:tc>
              <w:tc>
                <w:tcPr>
                  <w:tcW w:w="3798" w:type="dxa"/>
                  <w:vAlign w:val="center"/>
                </w:tcPr>
                <w:p>
                  <w:pPr>
                    <w:pStyle w:val="33"/>
                    <w:spacing w:line="360" w:lineRule="exact"/>
                    <w:rPr>
                      <w:color w:val="000000" w:themeColor="text1"/>
                      <w:szCs w:val="21"/>
                    </w:rPr>
                  </w:pPr>
                  <w:r>
                    <w:rPr>
                      <w:color w:val="000000" w:themeColor="text1"/>
                      <w:szCs w:val="21"/>
                    </w:rPr>
                    <w:t>城市/农村</w:t>
                  </w:r>
                </w:p>
              </w:tc>
              <w:tc>
                <w:tcPr>
                  <w:tcW w:w="1314" w:type="dxa"/>
                  <w:vAlign w:val="center"/>
                </w:tcPr>
                <w:p>
                  <w:pPr>
                    <w:pStyle w:val="33"/>
                    <w:spacing w:line="360" w:lineRule="exact"/>
                    <w:rPr>
                      <w:color w:val="000000" w:themeColor="text1"/>
                      <w:szCs w:val="21"/>
                    </w:rPr>
                  </w:pPr>
                  <w:r>
                    <w:rPr>
                      <w:color w:val="000000" w:themeColor="text1"/>
                      <w:szCs w:val="21"/>
                    </w:rPr>
                    <w:t>农村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continue"/>
                  <w:vAlign w:val="center"/>
                </w:tcPr>
                <w:p>
                  <w:pPr>
                    <w:pStyle w:val="33"/>
                    <w:spacing w:line="360" w:lineRule="exact"/>
                    <w:rPr>
                      <w:color w:val="000000" w:themeColor="text1"/>
                      <w:szCs w:val="21"/>
                    </w:rPr>
                  </w:pPr>
                </w:p>
              </w:tc>
              <w:tc>
                <w:tcPr>
                  <w:tcW w:w="3798" w:type="dxa"/>
                  <w:vAlign w:val="center"/>
                </w:tcPr>
                <w:p>
                  <w:pPr>
                    <w:pStyle w:val="33"/>
                    <w:spacing w:line="360" w:lineRule="exact"/>
                    <w:rPr>
                      <w:color w:val="000000" w:themeColor="text1"/>
                      <w:szCs w:val="21"/>
                    </w:rPr>
                  </w:pPr>
                  <w:r>
                    <w:rPr>
                      <w:color w:val="000000" w:themeColor="text1"/>
                      <w:szCs w:val="21"/>
                    </w:rPr>
                    <w:t>人口数（城市人口数)</w:t>
                  </w:r>
                </w:p>
              </w:tc>
              <w:tc>
                <w:tcPr>
                  <w:tcW w:w="1314"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7213" w:type="dxa"/>
                  <w:gridSpan w:val="2"/>
                  <w:vAlign w:val="center"/>
                </w:tcPr>
                <w:p>
                  <w:pPr>
                    <w:pStyle w:val="33"/>
                    <w:spacing w:line="360" w:lineRule="exact"/>
                    <w:rPr>
                      <w:color w:val="000000" w:themeColor="text1"/>
                      <w:szCs w:val="21"/>
                    </w:rPr>
                  </w:pPr>
                  <w:r>
                    <w:rPr>
                      <w:color w:val="000000" w:themeColor="text1"/>
                      <w:szCs w:val="21"/>
                    </w:rPr>
                    <w:t>最高环境温度</w:t>
                  </w:r>
                </w:p>
              </w:tc>
              <w:tc>
                <w:tcPr>
                  <w:tcW w:w="1314" w:type="dxa"/>
                  <w:vAlign w:val="center"/>
                </w:tcPr>
                <w:p>
                  <w:pPr>
                    <w:pStyle w:val="33"/>
                    <w:spacing w:line="360" w:lineRule="exact"/>
                    <w:rPr>
                      <w:color w:val="000000" w:themeColor="text1"/>
                      <w:szCs w:val="21"/>
                    </w:rPr>
                  </w:pPr>
                  <w:r>
                    <w:rPr>
                      <w:color w:val="000000" w:themeColor="text1"/>
                      <w:szCs w:val="21"/>
                    </w:rPr>
                    <w:t>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7213" w:type="dxa"/>
                  <w:gridSpan w:val="2"/>
                  <w:vAlign w:val="center"/>
                </w:tcPr>
                <w:p>
                  <w:pPr>
                    <w:pStyle w:val="33"/>
                    <w:spacing w:line="360" w:lineRule="exact"/>
                    <w:rPr>
                      <w:color w:val="000000" w:themeColor="text1"/>
                      <w:szCs w:val="21"/>
                    </w:rPr>
                  </w:pPr>
                  <w:r>
                    <w:rPr>
                      <w:color w:val="000000" w:themeColor="text1"/>
                      <w:szCs w:val="21"/>
                    </w:rPr>
                    <w:t>最低环境温度</w:t>
                  </w:r>
                </w:p>
              </w:tc>
              <w:tc>
                <w:tcPr>
                  <w:tcW w:w="1314" w:type="dxa"/>
                  <w:vAlign w:val="center"/>
                </w:tcPr>
                <w:p>
                  <w:pPr>
                    <w:pStyle w:val="33"/>
                    <w:spacing w:line="360" w:lineRule="exact"/>
                    <w:rPr>
                      <w:color w:val="000000" w:themeColor="text1"/>
                      <w:szCs w:val="21"/>
                    </w:rPr>
                  </w:pPr>
                  <w:r>
                    <w:rPr>
                      <w:color w:val="000000" w:themeColor="text1"/>
                      <w:szCs w:val="21"/>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7213" w:type="dxa"/>
                  <w:gridSpan w:val="2"/>
                  <w:vAlign w:val="center"/>
                </w:tcPr>
                <w:p>
                  <w:pPr>
                    <w:pStyle w:val="33"/>
                    <w:spacing w:line="360" w:lineRule="exact"/>
                    <w:rPr>
                      <w:color w:val="000000" w:themeColor="text1"/>
                      <w:szCs w:val="21"/>
                    </w:rPr>
                  </w:pPr>
                  <w:r>
                    <w:rPr>
                      <w:color w:val="000000" w:themeColor="text1"/>
                      <w:szCs w:val="21"/>
                    </w:rPr>
                    <w:t>土地利用类型</w:t>
                  </w:r>
                </w:p>
              </w:tc>
              <w:tc>
                <w:tcPr>
                  <w:tcW w:w="1314" w:type="dxa"/>
                  <w:vAlign w:val="center"/>
                </w:tcPr>
                <w:p>
                  <w:pPr>
                    <w:pStyle w:val="33"/>
                    <w:spacing w:line="360" w:lineRule="exact"/>
                    <w:rPr>
                      <w:color w:val="000000" w:themeColor="text1"/>
                      <w:szCs w:val="21"/>
                    </w:rPr>
                  </w:pPr>
                  <w:r>
                    <w:rPr>
                      <w:color w:val="000000" w:themeColor="text1"/>
                      <w:szCs w:val="21"/>
                    </w:rPr>
                    <w:t>农田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7213" w:type="dxa"/>
                  <w:gridSpan w:val="2"/>
                  <w:vAlign w:val="center"/>
                </w:tcPr>
                <w:p>
                  <w:pPr>
                    <w:pStyle w:val="33"/>
                    <w:spacing w:line="360" w:lineRule="exact"/>
                    <w:rPr>
                      <w:color w:val="000000" w:themeColor="text1"/>
                      <w:szCs w:val="21"/>
                    </w:rPr>
                  </w:pPr>
                  <w:r>
                    <w:rPr>
                      <w:color w:val="000000" w:themeColor="text1"/>
                      <w:szCs w:val="21"/>
                    </w:rPr>
                    <w:t>区域湿度条件</w:t>
                  </w:r>
                </w:p>
              </w:tc>
              <w:tc>
                <w:tcPr>
                  <w:tcW w:w="1314" w:type="dxa"/>
                  <w:vAlign w:val="center"/>
                </w:tcPr>
                <w:p>
                  <w:pPr>
                    <w:pStyle w:val="33"/>
                    <w:spacing w:line="360" w:lineRule="exact"/>
                    <w:rPr>
                      <w:color w:val="000000" w:themeColor="text1"/>
                      <w:szCs w:val="21"/>
                    </w:rPr>
                  </w:pPr>
                  <w:r>
                    <w:rPr>
                      <w:color w:val="000000" w:themeColor="text1"/>
                      <w:szCs w:val="21"/>
                    </w:rPr>
                    <w:t>潮湿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restart"/>
                  <w:vAlign w:val="center"/>
                </w:tcPr>
                <w:p>
                  <w:pPr>
                    <w:pStyle w:val="33"/>
                    <w:spacing w:line="360" w:lineRule="exact"/>
                    <w:rPr>
                      <w:color w:val="000000" w:themeColor="text1"/>
                      <w:szCs w:val="21"/>
                    </w:rPr>
                  </w:pPr>
                  <w:r>
                    <w:rPr>
                      <w:color w:val="000000" w:themeColor="text1"/>
                      <w:szCs w:val="21"/>
                    </w:rPr>
                    <w:t>是否考虑地形</w:t>
                  </w:r>
                </w:p>
              </w:tc>
              <w:tc>
                <w:tcPr>
                  <w:tcW w:w="3798" w:type="dxa"/>
                  <w:vAlign w:val="center"/>
                </w:tcPr>
                <w:p>
                  <w:pPr>
                    <w:pStyle w:val="33"/>
                    <w:spacing w:line="360" w:lineRule="exact"/>
                    <w:rPr>
                      <w:color w:val="000000" w:themeColor="text1"/>
                      <w:szCs w:val="21"/>
                    </w:rPr>
                  </w:pPr>
                  <w:r>
                    <w:rPr>
                      <w:color w:val="000000" w:themeColor="text1"/>
                      <w:szCs w:val="21"/>
                    </w:rPr>
                    <w:t>考虑地形</w:t>
                  </w:r>
                </w:p>
              </w:tc>
              <w:tc>
                <w:tcPr>
                  <w:tcW w:w="1314" w:type="dxa"/>
                  <w:vAlign w:val="center"/>
                </w:tcPr>
                <w:p>
                  <w:pPr>
                    <w:pStyle w:val="33"/>
                    <w:spacing w:line="360" w:lineRule="exact"/>
                    <w:rPr>
                      <w:color w:val="000000" w:themeColor="text1"/>
                      <w:szCs w:val="21"/>
                    </w:rPr>
                  </w:pPr>
                  <w:r>
                    <w:rPr>
                      <w:color w:val="000000" w:themeColor="text1"/>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continue"/>
                  <w:vAlign w:val="center"/>
                </w:tcPr>
                <w:p>
                  <w:pPr>
                    <w:pStyle w:val="33"/>
                    <w:spacing w:line="360" w:lineRule="exact"/>
                    <w:rPr>
                      <w:color w:val="000000" w:themeColor="text1"/>
                      <w:szCs w:val="21"/>
                    </w:rPr>
                  </w:pPr>
                </w:p>
              </w:tc>
              <w:tc>
                <w:tcPr>
                  <w:tcW w:w="3798" w:type="dxa"/>
                  <w:vAlign w:val="center"/>
                </w:tcPr>
                <w:p>
                  <w:pPr>
                    <w:pStyle w:val="33"/>
                    <w:spacing w:line="360" w:lineRule="exact"/>
                    <w:rPr>
                      <w:color w:val="000000" w:themeColor="text1"/>
                      <w:szCs w:val="21"/>
                    </w:rPr>
                  </w:pPr>
                  <w:r>
                    <w:rPr>
                      <w:color w:val="000000" w:themeColor="text1"/>
                      <w:szCs w:val="21"/>
                    </w:rPr>
                    <w:t>地形数据分辨率（m)</w:t>
                  </w:r>
                </w:p>
              </w:tc>
              <w:tc>
                <w:tcPr>
                  <w:tcW w:w="1314"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restart"/>
                  <w:vAlign w:val="center"/>
                </w:tcPr>
                <w:p>
                  <w:pPr>
                    <w:pStyle w:val="33"/>
                    <w:spacing w:line="360" w:lineRule="exact"/>
                    <w:rPr>
                      <w:color w:val="000000" w:themeColor="text1"/>
                      <w:szCs w:val="21"/>
                    </w:rPr>
                  </w:pPr>
                  <w:r>
                    <w:rPr>
                      <w:color w:val="000000" w:themeColor="text1"/>
                      <w:szCs w:val="21"/>
                    </w:rPr>
                    <w:t>是否考虑岸线熏烟</w:t>
                  </w:r>
                </w:p>
              </w:tc>
              <w:tc>
                <w:tcPr>
                  <w:tcW w:w="3798" w:type="dxa"/>
                  <w:vAlign w:val="center"/>
                </w:tcPr>
                <w:p>
                  <w:pPr>
                    <w:pStyle w:val="33"/>
                    <w:spacing w:line="360" w:lineRule="exact"/>
                    <w:rPr>
                      <w:color w:val="000000" w:themeColor="text1"/>
                      <w:szCs w:val="21"/>
                    </w:rPr>
                  </w:pPr>
                  <w:r>
                    <w:rPr>
                      <w:color w:val="000000" w:themeColor="text1"/>
                      <w:szCs w:val="21"/>
                    </w:rPr>
                    <w:t>考虑岸线熏烟</w:t>
                  </w:r>
                </w:p>
              </w:tc>
              <w:tc>
                <w:tcPr>
                  <w:tcW w:w="1314" w:type="dxa"/>
                  <w:vAlign w:val="center"/>
                </w:tcPr>
                <w:p>
                  <w:pPr>
                    <w:pStyle w:val="33"/>
                    <w:spacing w:line="360" w:lineRule="exact"/>
                    <w:rPr>
                      <w:color w:val="000000" w:themeColor="text1"/>
                      <w:szCs w:val="21"/>
                    </w:rPr>
                  </w:pPr>
                  <w:r>
                    <w:rPr>
                      <w:color w:val="000000" w:themeColor="text1"/>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continue"/>
                  <w:vAlign w:val="center"/>
                </w:tcPr>
                <w:p>
                  <w:pPr>
                    <w:pStyle w:val="33"/>
                    <w:spacing w:line="360" w:lineRule="exact"/>
                    <w:rPr>
                      <w:color w:val="000000" w:themeColor="text1"/>
                      <w:szCs w:val="21"/>
                    </w:rPr>
                  </w:pPr>
                </w:p>
              </w:tc>
              <w:tc>
                <w:tcPr>
                  <w:tcW w:w="3798" w:type="dxa"/>
                  <w:vAlign w:val="center"/>
                </w:tcPr>
                <w:p>
                  <w:pPr>
                    <w:pStyle w:val="33"/>
                    <w:spacing w:line="360" w:lineRule="exact"/>
                    <w:rPr>
                      <w:color w:val="000000" w:themeColor="text1"/>
                      <w:szCs w:val="21"/>
                    </w:rPr>
                  </w:pPr>
                  <w:r>
                    <w:rPr>
                      <w:color w:val="000000" w:themeColor="text1"/>
                      <w:szCs w:val="21"/>
                    </w:rPr>
                    <w:t>岸线距离/m</w:t>
                  </w:r>
                </w:p>
              </w:tc>
              <w:tc>
                <w:tcPr>
                  <w:tcW w:w="1314" w:type="dxa"/>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jc w:val="center"/>
              </w:trPr>
              <w:tc>
                <w:tcPr>
                  <w:tcW w:w="3415" w:type="dxa"/>
                  <w:vMerge w:val="continue"/>
                  <w:vAlign w:val="center"/>
                </w:tcPr>
                <w:p>
                  <w:pPr>
                    <w:pStyle w:val="33"/>
                    <w:spacing w:line="360" w:lineRule="exact"/>
                    <w:rPr>
                      <w:color w:val="000000" w:themeColor="text1"/>
                      <w:szCs w:val="21"/>
                    </w:rPr>
                  </w:pPr>
                </w:p>
              </w:tc>
              <w:tc>
                <w:tcPr>
                  <w:tcW w:w="3798" w:type="dxa"/>
                  <w:vAlign w:val="center"/>
                </w:tcPr>
                <w:p>
                  <w:pPr>
                    <w:pStyle w:val="33"/>
                    <w:spacing w:line="360" w:lineRule="exact"/>
                    <w:rPr>
                      <w:color w:val="000000" w:themeColor="text1"/>
                      <w:szCs w:val="21"/>
                    </w:rPr>
                  </w:pPr>
                  <w:r>
                    <w:rPr>
                      <w:color w:val="000000" w:themeColor="text1"/>
                      <w:szCs w:val="21"/>
                    </w:rPr>
                    <w:t>岸线方向/°</w:t>
                  </w:r>
                </w:p>
              </w:tc>
              <w:tc>
                <w:tcPr>
                  <w:tcW w:w="1314" w:type="dxa"/>
                  <w:vAlign w:val="center"/>
                </w:tcPr>
                <w:p>
                  <w:pPr>
                    <w:pStyle w:val="33"/>
                    <w:spacing w:line="360" w:lineRule="exact"/>
                    <w:rPr>
                      <w:color w:val="000000" w:themeColor="text1"/>
                      <w:szCs w:val="21"/>
                    </w:rPr>
                  </w:pPr>
                  <w:r>
                    <w:rPr>
                      <w:color w:val="000000" w:themeColor="text1"/>
                      <w:szCs w:val="21"/>
                    </w:rPr>
                    <w:t>/</w:t>
                  </w:r>
                </w:p>
              </w:tc>
            </w:tr>
          </w:tbl>
          <w:p>
            <w:pPr>
              <w:pStyle w:val="41"/>
              <w:spacing w:beforeLines="5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GB4</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㈡</w:t>
            </w:r>
            <w:r>
              <w:rPr>
                <w:b/>
                <w:color w:val="000000" w:themeColor="text1"/>
                <w:szCs w:val="24"/>
              </w:rPr>
              <w:fldChar w:fldCharType="end"/>
            </w:r>
            <w:r>
              <w:rPr>
                <w:rFonts w:hint="eastAsia"/>
                <w:b/>
                <w:color w:val="000000" w:themeColor="text1"/>
                <w:szCs w:val="24"/>
              </w:rPr>
              <w:t>预测结果</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 xml:space="preserve">8 </w:t>
            </w:r>
            <w:r>
              <w:rPr>
                <w:rFonts w:ascii="Times New Roman" w:hAnsi="Times New Roman" w:cs="Times New Roman"/>
                <w:b/>
                <w:color w:val="000000" w:themeColor="text1"/>
                <w:szCs w:val="24"/>
              </w:rPr>
              <w:t>污染源</w:t>
            </w:r>
            <w:r>
              <w:rPr>
                <w:rFonts w:hint="eastAsia" w:ascii="Times New Roman" w:hAnsi="Times New Roman" w:cs="Times New Roman"/>
                <w:b/>
                <w:color w:val="000000" w:themeColor="text1"/>
                <w:szCs w:val="24"/>
              </w:rPr>
              <w:t>预测结果一览表</w:t>
            </w:r>
          </w:p>
          <w:tbl>
            <w:tblPr>
              <w:tblStyle w:val="2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6"/>
              <w:gridCol w:w="2690"/>
              <w:gridCol w:w="22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Merge w:val="restart"/>
                  <w:vAlign w:val="center"/>
                </w:tcPr>
                <w:p>
                  <w:pPr>
                    <w:pStyle w:val="33"/>
                    <w:spacing w:line="360" w:lineRule="exact"/>
                    <w:rPr>
                      <w:color w:val="000000" w:themeColor="text1"/>
                      <w:szCs w:val="21"/>
                    </w:rPr>
                  </w:pPr>
                  <w:r>
                    <w:rPr>
                      <w:color w:val="000000" w:themeColor="text1"/>
                      <w:szCs w:val="21"/>
                    </w:rPr>
                    <w:t>下风向距离</w:t>
                  </w:r>
                </w:p>
              </w:tc>
              <w:tc>
                <w:tcPr>
                  <w:tcW w:w="4919" w:type="dxa"/>
                  <w:gridSpan w:val="2"/>
                  <w:vAlign w:val="center"/>
                </w:tcPr>
                <w:p>
                  <w:pPr>
                    <w:pStyle w:val="33"/>
                    <w:spacing w:line="360" w:lineRule="exact"/>
                    <w:rPr>
                      <w:color w:val="000000" w:themeColor="text1"/>
                      <w:szCs w:val="21"/>
                    </w:rPr>
                  </w:pPr>
                  <w:r>
                    <w:rPr>
                      <w:color w:val="000000" w:themeColor="text1"/>
                      <w:szCs w:val="21"/>
                    </w:rPr>
                    <w:t>矩形面源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Merge w:val="continue"/>
                  <w:vAlign w:val="center"/>
                </w:tcPr>
                <w:p>
                  <w:pPr>
                    <w:pStyle w:val="33"/>
                    <w:spacing w:line="360" w:lineRule="exact"/>
                    <w:rPr>
                      <w:color w:val="000000" w:themeColor="text1"/>
                      <w:szCs w:val="21"/>
                    </w:rPr>
                  </w:pPr>
                </w:p>
              </w:tc>
              <w:tc>
                <w:tcPr>
                  <w:tcW w:w="2692" w:type="dxa"/>
                  <w:vAlign w:val="center"/>
                </w:tcPr>
                <w:p>
                  <w:pPr>
                    <w:pStyle w:val="33"/>
                    <w:spacing w:line="360" w:lineRule="exact"/>
                    <w:rPr>
                      <w:color w:val="000000" w:themeColor="text1"/>
                      <w:szCs w:val="21"/>
                    </w:rPr>
                  </w:pPr>
                  <w:r>
                    <w:rPr>
                      <w:color w:val="000000" w:themeColor="text1"/>
                      <w:szCs w:val="21"/>
                    </w:rPr>
                    <w:t>TSP浓度（μg/m³)</w:t>
                  </w:r>
                </w:p>
              </w:tc>
              <w:tc>
                <w:tcPr>
                  <w:tcW w:w="2227" w:type="dxa"/>
                  <w:vAlign w:val="center"/>
                </w:tcPr>
                <w:p>
                  <w:pPr>
                    <w:pStyle w:val="33"/>
                    <w:spacing w:line="360" w:lineRule="exact"/>
                    <w:rPr>
                      <w:color w:val="000000" w:themeColor="text1"/>
                      <w:szCs w:val="21"/>
                    </w:rPr>
                  </w:pPr>
                  <w:r>
                    <w:rPr>
                      <w:color w:val="000000" w:themeColor="text1"/>
                      <w:szCs w:val="21"/>
                    </w:rPr>
                    <w:t>TSP占标率（%)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50.0</w:t>
                  </w:r>
                </w:p>
              </w:tc>
              <w:tc>
                <w:tcPr>
                  <w:tcW w:w="2692" w:type="dxa"/>
                  <w:vAlign w:val="center"/>
                </w:tcPr>
                <w:p>
                  <w:pPr>
                    <w:pStyle w:val="33"/>
                    <w:spacing w:line="360" w:lineRule="exact"/>
                    <w:rPr>
                      <w:color w:val="000000" w:themeColor="text1"/>
                      <w:szCs w:val="21"/>
                    </w:rPr>
                  </w:pPr>
                  <w:r>
                    <w:rPr>
                      <w:color w:val="000000" w:themeColor="text1"/>
                      <w:szCs w:val="21"/>
                    </w:rPr>
                    <w:t>429.4200</w:t>
                  </w:r>
                </w:p>
              </w:tc>
              <w:tc>
                <w:tcPr>
                  <w:tcW w:w="2227" w:type="dxa"/>
                  <w:vAlign w:val="center"/>
                </w:tcPr>
                <w:p>
                  <w:pPr>
                    <w:pStyle w:val="33"/>
                    <w:spacing w:line="360" w:lineRule="exact"/>
                    <w:rPr>
                      <w:color w:val="000000" w:themeColor="text1"/>
                      <w:szCs w:val="21"/>
                    </w:rPr>
                  </w:pPr>
                  <w:r>
                    <w:rPr>
                      <w:color w:val="000000" w:themeColor="text1"/>
                      <w:szCs w:val="21"/>
                    </w:rPr>
                    <w:t>47.7133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100.0</w:t>
                  </w:r>
                </w:p>
              </w:tc>
              <w:tc>
                <w:tcPr>
                  <w:tcW w:w="2692" w:type="dxa"/>
                  <w:vAlign w:val="center"/>
                </w:tcPr>
                <w:p>
                  <w:pPr>
                    <w:pStyle w:val="33"/>
                    <w:spacing w:line="360" w:lineRule="exact"/>
                    <w:rPr>
                      <w:color w:val="000000" w:themeColor="text1"/>
                      <w:szCs w:val="21"/>
                    </w:rPr>
                  </w:pPr>
                  <w:r>
                    <w:rPr>
                      <w:color w:val="000000" w:themeColor="text1"/>
                      <w:szCs w:val="21"/>
                    </w:rPr>
                    <w:t>576.2100</w:t>
                  </w:r>
                </w:p>
              </w:tc>
              <w:tc>
                <w:tcPr>
                  <w:tcW w:w="2227" w:type="dxa"/>
                  <w:vAlign w:val="center"/>
                </w:tcPr>
                <w:p>
                  <w:pPr>
                    <w:pStyle w:val="33"/>
                    <w:spacing w:line="360" w:lineRule="exact"/>
                    <w:rPr>
                      <w:color w:val="000000" w:themeColor="text1"/>
                      <w:szCs w:val="21"/>
                    </w:rPr>
                  </w:pPr>
                  <w:r>
                    <w:rPr>
                      <w:color w:val="000000" w:themeColor="text1"/>
                      <w:szCs w:val="21"/>
                    </w:rPr>
                    <w:t>64.0233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200.0</w:t>
                  </w:r>
                </w:p>
              </w:tc>
              <w:tc>
                <w:tcPr>
                  <w:tcW w:w="2692" w:type="dxa"/>
                  <w:vAlign w:val="center"/>
                </w:tcPr>
                <w:p>
                  <w:pPr>
                    <w:pStyle w:val="33"/>
                    <w:spacing w:line="360" w:lineRule="exact"/>
                    <w:rPr>
                      <w:color w:val="000000" w:themeColor="text1"/>
                      <w:szCs w:val="21"/>
                    </w:rPr>
                  </w:pPr>
                  <w:r>
                    <w:rPr>
                      <w:color w:val="000000" w:themeColor="text1"/>
                      <w:szCs w:val="21"/>
                    </w:rPr>
                    <w:t>597.4200</w:t>
                  </w:r>
                </w:p>
              </w:tc>
              <w:tc>
                <w:tcPr>
                  <w:tcW w:w="2227" w:type="dxa"/>
                  <w:vAlign w:val="center"/>
                </w:tcPr>
                <w:p>
                  <w:pPr>
                    <w:pStyle w:val="33"/>
                    <w:spacing w:line="360" w:lineRule="exact"/>
                    <w:rPr>
                      <w:color w:val="000000" w:themeColor="text1"/>
                      <w:szCs w:val="21"/>
                    </w:rPr>
                  </w:pPr>
                  <w:r>
                    <w:rPr>
                      <w:color w:val="000000" w:themeColor="text1"/>
                      <w:szCs w:val="21"/>
                    </w:rPr>
                    <w:t>66.3800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300.0</w:t>
                  </w:r>
                </w:p>
              </w:tc>
              <w:tc>
                <w:tcPr>
                  <w:tcW w:w="2692" w:type="dxa"/>
                  <w:vAlign w:val="center"/>
                </w:tcPr>
                <w:p>
                  <w:pPr>
                    <w:pStyle w:val="33"/>
                    <w:spacing w:line="360" w:lineRule="exact"/>
                    <w:rPr>
                      <w:color w:val="000000" w:themeColor="text1"/>
                      <w:szCs w:val="21"/>
                    </w:rPr>
                  </w:pPr>
                  <w:r>
                    <w:rPr>
                      <w:color w:val="000000" w:themeColor="text1"/>
                      <w:szCs w:val="21"/>
                    </w:rPr>
                    <w:t>523.9200</w:t>
                  </w:r>
                </w:p>
              </w:tc>
              <w:tc>
                <w:tcPr>
                  <w:tcW w:w="2227" w:type="dxa"/>
                  <w:vAlign w:val="center"/>
                </w:tcPr>
                <w:p>
                  <w:pPr>
                    <w:pStyle w:val="33"/>
                    <w:spacing w:line="360" w:lineRule="exact"/>
                    <w:rPr>
                      <w:color w:val="000000" w:themeColor="text1"/>
                      <w:szCs w:val="21"/>
                    </w:rPr>
                  </w:pPr>
                  <w:r>
                    <w:rPr>
                      <w:color w:val="000000" w:themeColor="text1"/>
                      <w:szCs w:val="21"/>
                    </w:rPr>
                    <w:t>58.2133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400.0</w:t>
                  </w:r>
                </w:p>
              </w:tc>
              <w:tc>
                <w:tcPr>
                  <w:tcW w:w="2692" w:type="dxa"/>
                  <w:vAlign w:val="center"/>
                </w:tcPr>
                <w:p>
                  <w:pPr>
                    <w:pStyle w:val="33"/>
                    <w:spacing w:line="360" w:lineRule="exact"/>
                    <w:rPr>
                      <w:color w:val="000000" w:themeColor="text1"/>
                      <w:szCs w:val="21"/>
                    </w:rPr>
                  </w:pPr>
                  <w:r>
                    <w:rPr>
                      <w:color w:val="000000" w:themeColor="text1"/>
                      <w:szCs w:val="21"/>
                    </w:rPr>
                    <w:t>471.0800</w:t>
                  </w:r>
                </w:p>
              </w:tc>
              <w:tc>
                <w:tcPr>
                  <w:tcW w:w="2227" w:type="dxa"/>
                  <w:vAlign w:val="center"/>
                </w:tcPr>
                <w:p>
                  <w:pPr>
                    <w:pStyle w:val="33"/>
                    <w:spacing w:line="360" w:lineRule="exact"/>
                    <w:rPr>
                      <w:color w:val="000000" w:themeColor="text1"/>
                      <w:szCs w:val="21"/>
                    </w:rPr>
                  </w:pPr>
                  <w:r>
                    <w:rPr>
                      <w:color w:val="000000" w:themeColor="text1"/>
                      <w:szCs w:val="21"/>
                    </w:rPr>
                    <w:t>52.3422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500.0</w:t>
                  </w:r>
                </w:p>
              </w:tc>
              <w:tc>
                <w:tcPr>
                  <w:tcW w:w="2692" w:type="dxa"/>
                  <w:vAlign w:val="center"/>
                </w:tcPr>
                <w:p>
                  <w:pPr>
                    <w:pStyle w:val="33"/>
                    <w:spacing w:line="360" w:lineRule="exact"/>
                    <w:rPr>
                      <w:color w:val="000000" w:themeColor="text1"/>
                      <w:szCs w:val="21"/>
                    </w:rPr>
                  </w:pPr>
                  <w:r>
                    <w:rPr>
                      <w:color w:val="000000" w:themeColor="text1"/>
                      <w:szCs w:val="21"/>
                    </w:rPr>
                    <w:t>425.2500</w:t>
                  </w:r>
                </w:p>
              </w:tc>
              <w:tc>
                <w:tcPr>
                  <w:tcW w:w="2227" w:type="dxa"/>
                  <w:vAlign w:val="center"/>
                </w:tcPr>
                <w:p>
                  <w:pPr>
                    <w:pStyle w:val="33"/>
                    <w:spacing w:line="360" w:lineRule="exact"/>
                    <w:rPr>
                      <w:color w:val="000000" w:themeColor="text1"/>
                      <w:szCs w:val="21"/>
                    </w:rPr>
                  </w:pPr>
                  <w:r>
                    <w:rPr>
                      <w:color w:val="000000" w:themeColor="text1"/>
                      <w:szCs w:val="21"/>
                    </w:rPr>
                    <w:t>47.2500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下风向最大浓度</w:t>
                  </w:r>
                </w:p>
              </w:tc>
              <w:tc>
                <w:tcPr>
                  <w:tcW w:w="2692" w:type="dxa"/>
                  <w:vAlign w:val="center"/>
                </w:tcPr>
                <w:p>
                  <w:pPr>
                    <w:pStyle w:val="33"/>
                    <w:spacing w:line="360" w:lineRule="exact"/>
                    <w:rPr>
                      <w:color w:val="000000" w:themeColor="text1"/>
                      <w:szCs w:val="21"/>
                    </w:rPr>
                  </w:pPr>
                  <w:r>
                    <w:rPr>
                      <w:color w:val="000000" w:themeColor="text1"/>
                      <w:szCs w:val="21"/>
                    </w:rPr>
                    <w:t>646.2800</w:t>
                  </w:r>
                </w:p>
              </w:tc>
              <w:tc>
                <w:tcPr>
                  <w:tcW w:w="2227" w:type="dxa"/>
                  <w:vAlign w:val="center"/>
                </w:tcPr>
                <w:p>
                  <w:pPr>
                    <w:pStyle w:val="33"/>
                    <w:spacing w:line="360" w:lineRule="exact"/>
                    <w:rPr>
                      <w:color w:val="000000" w:themeColor="text1"/>
                      <w:szCs w:val="21"/>
                    </w:rPr>
                  </w:pPr>
                  <w:r>
                    <w:rPr>
                      <w:color w:val="000000" w:themeColor="text1"/>
                      <w:szCs w:val="21"/>
                    </w:rPr>
                    <w:t>71.8089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9" w:type="dxa"/>
                  <w:vAlign w:val="center"/>
                </w:tcPr>
                <w:p>
                  <w:pPr>
                    <w:pStyle w:val="33"/>
                    <w:spacing w:line="360" w:lineRule="exact"/>
                    <w:rPr>
                      <w:color w:val="000000" w:themeColor="text1"/>
                      <w:szCs w:val="21"/>
                    </w:rPr>
                  </w:pPr>
                  <w:r>
                    <w:rPr>
                      <w:color w:val="000000" w:themeColor="text1"/>
                      <w:szCs w:val="21"/>
                    </w:rPr>
                    <w:t>下风向最大浓度出现距离</w:t>
                  </w:r>
                </w:p>
              </w:tc>
              <w:tc>
                <w:tcPr>
                  <w:tcW w:w="2692" w:type="dxa"/>
                  <w:vAlign w:val="center"/>
                </w:tcPr>
                <w:p>
                  <w:pPr>
                    <w:pStyle w:val="33"/>
                    <w:spacing w:line="360" w:lineRule="exact"/>
                    <w:rPr>
                      <w:color w:val="000000" w:themeColor="text1"/>
                      <w:szCs w:val="21"/>
                    </w:rPr>
                  </w:pPr>
                  <w:r>
                    <w:rPr>
                      <w:color w:val="000000" w:themeColor="text1"/>
                      <w:szCs w:val="21"/>
                    </w:rPr>
                    <w:t>151.0</w:t>
                  </w:r>
                </w:p>
              </w:tc>
              <w:tc>
                <w:tcPr>
                  <w:tcW w:w="2227" w:type="dxa"/>
                  <w:vAlign w:val="center"/>
                </w:tcPr>
                <w:p>
                  <w:pPr>
                    <w:pStyle w:val="33"/>
                    <w:spacing w:line="360" w:lineRule="exact"/>
                    <w:rPr>
                      <w:color w:val="000000" w:themeColor="text1"/>
                      <w:szCs w:val="21"/>
                    </w:rPr>
                  </w:pPr>
                  <w:r>
                    <w:rPr>
                      <w:color w:val="000000" w:themeColor="text1"/>
                      <w:szCs w:val="21"/>
                    </w:rPr>
                    <w:t>151.0</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由上表可知，扬尘最大落地浓度为0.65</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无组织排放标准限值要求。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燃烧烟气污染治理设施可行性分析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针对燃烧烟气，项目拟通过低氮燃烧+非催化还原（SNCR）脱硝技术+袋式除尘器处理，处理后通过1根Φ0.4m、高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m的排气筒（DA003）外排。</w:t>
            </w:r>
            <w:r>
              <w:rPr>
                <w:rFonts w:hint="eastAsia" w:ascii="Times New Roman" w:hAnsi="Times New Roman" w:cs="Times New Roman"/>
                <w:color w:val="000000" w:themeColor="text1"/>
                <w:sz w:val="24"/>
                <w:szCs w:val="24"/>
              </w:rPr>
              <w:t>上述</w:t>
            </w:r>
            <w:r>
              <w:rPr>
                <w:rFonts w:ascii="Times New Roman" w:hAnsi="Times New Roman" w:cs="Times New Roman"/>
                <w:color w:val="000000" w:themeColor="text1"/>
                <w:sz w:val="24"/>
                <w:szCs w:val="24"/>
              </w:rPr>
              <w:t>废气污染治理</w:t>
            </w:r>
            <w:r>
              <w:rPr>
                <w:rFonts w:hint="eastAsia" w:ascii="Times New Roman" w:hAnsi="Times New Roman" w:cs="Times New Roman"/>
                <w:color w:val="000000" w:themeColor="text1"/>
                <w:sz w:val="24"/>
                <w:szCs w:val="24"/>
              </w:rPr>
              <w:t>措施为《排污许可证申请与核发技术规范 锅炉》（HJ953-2018）明确的技术可行措施。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②烘干粉尘</w:t>
            </w:r>
            <w:r>
              <w:rPr>
                <w:rFonts w:ascii="Times New Roman" w:hAnsi="Times New Roman" w:cs="Times New Roman"/>
                <w:b/>
                <w:color w:val="000000" w:themeColor="text1"/>
                <w:sz w:val="24"/>
                <w:szCs w:val="24"/>
              </w:rPr>
              <w:t>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针对烘干粉尘，项目拟通过旋风除尘+袋式除尘器处理，烘干粉尘经处理后通过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袋式除尘器为《排污许可证申请与核发技术规范 废弃资源加工工业》（HJ1034-2019）明确的技术可行措施；旋风除尘器用于用于一般工业除尘过程，旋风除尘器一般只能捕集分离10um以上的尘粒，旋风除尘器具有结构简单、加工制作容易、造价低；对粉尘的物理性能无特殊要求，对粉尘负荷的适应性比较强，属于干式收尘，便于粉状物料的回收处理；旋风除尘效率为70%；项目拟通过旋风除尘+袋式除尘器对烘干粉尘进行处理，其综合除尘效率约为99.5%，根据核算可知，经处理后的粉尘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中二级标准限值，因此措施可行。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③无组织扬尘</w:t>
            </w:r>
            <w:r>
              <w:rPr>
                <w:rFonts w:ascii="Times New Roman" w:hAnsi="Times New Roman" w:cs="Times New Roman"/>
                <w:b/>
                <w:color w:val="000000" w:themeColor="text1"/>
                <w:sz w:val="24"/>
                <w:szCs w:val="24"/>
              </w:rPr>
              <w:t>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水淬渣暂存库设有三面围挡和顶棚设施对无组织扬尘进行抑制，该措施为《中华人民共和国大气污染防治法》提出的要求，其措施可行，但废渣暂存库围挡与顶棚之间存在空隙，未完全封闭，应加高围挡进行封闭，应对其进行修善。</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综上，本项目采取的措施可行。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①竣工验收监测要求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根据《建设项目竣工环境保护验收技术指南</w:t>
            </w:r>
            <w:r>
              <w:rPr>
                <w:rFonts w:ascii="Times New Roman" w:hAnsi="Times New Roman" w:cs="Times New Roman"/>
                <w:color w:val="000000" w:themeColor="text1"/>
                <w:sz w:val="24"/>
                <w:szCs w:val="24"/>
              </w:rPr>
              <w:t xml:space="preserve"> </w:t>
            </w:r>
            <w:r>
              <w:rPr>
                <w:rFonts w:hint="eastAsia" w:ascii="Times New Roman" w:hAnsi="Times New Roman" w:cs="Times New Roman"/>
                <w:color w:val="000000" w:themeColor="text1"/>
                <w:sz w:val="24"/>
                <w:szCs w:val="24"/>
              </w:rPr>
              <w:t>污染影响类》的要求，项目竣工验收废气污染物监测计划如下表所示。</w:t>
            </w:r>
          </w:p>
          <w:p>
            <w:pPr>
              <w:jc w:val="center"/>
              <w:rPr>
                <w:rFonts w:ascii="Times New Roman" w:hAnsi="Times New Roman"/>
                <w:b/>
                <w:color w:val="000000" w:themeColor="text1"/>
                <w:szCs w:val="24"/>
              </w:rPr>
            </w:pPr>
            <w:r>
              <w:rPr>
                <w:rFonts w:ascii="Times New Roman" w:hAnsi="Times New Roman"/>
                <w:b/>
                <w:color w:val="000000" w:themeColor="text1"/>
                <w:szCs w:val="24"/>
              </w:rPr>
              <w:t>表4.2.1-</w:t>
            </w:r>
            <w:r>
              <w:rPr>
                <w:rFonts w:hint="eastAsia" w:ascii="Times New Roman" w:hAnsi="Times New Roman"/>
                <w:b/>
                <w:color w:val="000000" w:themeColor="text1"/>
                <w:szCs w:val="24"/>
              </w:rPr>
              <w:t>9</w:t>
            </w:r>
            <w:r>
              <w:rPr>
                <w:rFonts w:ascii="Times New Roman" w:hAnsi="Times New Roman"/>
                <w:b/>
                <w:color w:val="000000" w:themeColor="text1"/>
                <w:szCs w:val="24"/>
              </w:rPr>
              <w:t xml:space="preserve">  项目废气</w:t>
            </w:r>
            <w:r>
              <w:rPr>
                <w:rFonts w:hint="eastAsia" w:ascii="Times New Roman" w:hAnsi="Times New Roman"/>
                <w:b/>
                <w:color w:val="000000" w:themeColor="text1"/>
                <w:szCs w:val="24"/>
              </w:rPr>
              <w:t>污染物竣工验收</w:t>
            </w:r>
            <w:r>
              <w:rPr>
                <w:rFonts w:ascii="Times New Roman" w:hAnsi="Times New Roman"/>
                <w:b/>
                <w:color w:val="000000" w:themeColor="text1"/>
                <w:szCs w:val="24"/>
              </w:rPr>
              <w:t>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38"/>
              <w:gridCol w:w="1843"/>
              <w:gridCol w:w="85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18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85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监测频率</w:t>
                  </w:r>
                </w:p>
              </w:tc>
              <w:tc>
                <w:tcPr>
                  <w:tcW w:w="36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DA003</w:t>
                  </w:r>
                </w:p>
              </w:tc>
              <w:tc>
                <w:tcPr>
                  <w:tcW w:w="18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颗粒物、SO</w:t>
                  </w:r>
                  <w:r>
                    <w:rPr>
                      <w:rFonts w:hint="eastAsia" w:eastAsiaTheme="minorEastAsia"/>
                      <w:color w:val="000000" w:themeColor="text1"/>
                      <w:szCs w:val="21"/>
                      <w:vertAlign w:val="subscript"/>
                    </w:rPr>
                    <w:t>2</w:t>
                  </w:r>
                  <w:r>
                    <w:rPr>
                      <w:rFonts w:hint="eastAsia" w:eastAsiaTheme="minorEastAsia"/>
                      <w:color w:val="000000" w:themeColor="text1"/>
                      <w:szCs w:val="21"/>
                    </w:rPr>
                    <w:t>、NOx、林格曼黑度</w:t>
                  </w:r>
                </w:p>
              </w:tc>
              <w:tc>
                <w:tcPr>
                  <w:tcW w:w="85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监测2天、每天3次</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《锅炉大气污染物排放标准》（GB</w:t>
                  </w:r>
                  <w:r>
                    <w:rPr>
                      <w:rFonts w:hint="eastAsia" w:eastAsiaTheme="minorEastAsia"/>
                      <w:color w:val="000000" w:themeColor="text1"/>
                      <w:szCs w:val="21"/>
                      <w:lang w:eastAsia="zh-CN"/>
                    </w:rPr>
                    <w:t>*****</w:t>
                  </w:r>
                  <w:r>
                    <w:rPr>
                      <w:rFonts w:hint="eastAsia" w:eastAsiaTheme="minorEastAsia"/>
                      <w:color w:val="000000" w:themeColor="text1"/>
                      <w:szCs w:val="21"/>
                    </w:rPr>
                    <w:t>-2014）表2标准限值。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pStyle w:val="33"/>
                    <w:spacing w:line="360" w:lineRule="exact"/>
                    <w:rPr>
                      <w:rFonts w:eastAsiaTheme="minorEastAsia"/>
                      <w:color w:val="000000" w:themeColor="text1"/>
                      <w:szCs w:val="21"/>
                    </w:rPr>
                  </w:pPr>
                </w:p>
              </w:tc>
              <w:tc>
                <w:tcPr>
                  <w:tcW w:w="15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DA004</w:t>
                  </w:r>
                </w:p>
              </w:tc>
              <w:tc>
                <w:tcPr>
                  <w:tcW w:w="1843" w:type="dxa"/>
                  <w:vAlign w:val="center"/>
                </w:tcPr>
                <w:p>
                  <w:pPr>
                    <w:pStyle w:val="33"/>
                    <w:spacing w:line="360" w:lineRule="exact"/>
                    <w:rPr>
                      <w:color w:val="000000" w:themeColor="text1"/>
                      <w:szCs w:val="21"/>
                    </w:rPr>
                  </w:pPr>
                  <w:r>
                    <w:rPr>
                      <w:color w:val="000000" w:themeColor="text1"/>
                      <w:szCs w:val="21"/>
                    </w:rPr>
                    <w:t>颗粒物</w:t>
                  </w:r>
                </w:p>
              </w:tc>
              <w:tc>
                <w:tcPr>
                  <w:tcW w:w="850" w:type="dxa"/>
                  <w:vMerge w:val="continue"/>
                  <w:vAlign w:val="center"/>
                </w:tcPr>
                <w:p>
                  <w:pPr>
                    <w:pStyle w:val="33"/>
                    <w:spacing w:line="360" w:lineRule="exact"/>
                    <w:rPr>
                      <w:rFonts w:eastAsiaTheme="minorEastAsia"/>
                      <w:color w:val="000000" w:themeColor="text1"/>
                      <w:szCs w:val="21"/>
                    </w:rPr>
                  </w:pP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r>
                    <w:rPr>
                      <w:rFonts w:hint="eastAsia" w:eastAsiaTheme="minorEastAsia"/>
                      <w:color w:val="000000" w:themeColor="text1"/>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pStyle w:val="33"/>
                    <w:spacing w:line="360" w:lineRule="exact"/>
                    <w:rPr>
                      <w:rFonts w:eastAsiaTheme="minorEastAsia"/>
                      <w:color w:val="000000" w:themeColor="text1"/>
                      <w:szCs w:val="21"/>
                    </w:rPr>
                  </w:pPr>
                </w:p>
              </w:tc>
              <w:tc>
                <w:tcPr>
                  <w:tcW w:w="153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843" w:type="dxa"/>
                  <w:vAlign w:val="center"/>
                </w:tcPr>
                <w:p>
                  <w:pPr>
                    <w:pStyle w:val="33"/>
                    <w:spacing w:line="360" w:lineRule="exact"/>
                    <w:rPr>
                      <w:rFonts w:eastAsiaTheme="minorEastAsia"/>
                      <w:color w:val="000000" w:themeColor="text1"/>
                      <w:szCs w:val="21"/>
                    </w:rPr>
                  </w:pPr>
                  <w:r>
                    <w:rPr>
                      <w:color w:val="000000" w:themeColor="text1"/>
                      <w:szCs w:val="21"/>
                    </w:rPr>
                    <w:t>颗粒物</w:t>
                  </w:r>
                </w:p>
              </w:tc>
              <w:tc>
                <w:tcPr>
                  <w:tcW w:w="850" w:type="dxa"/>
                  <w:vMerge w:val="continue"/>
                  <w:vAlign w:val="center"/>
                </w:tcPr>
                <w:p>
                  <w:pPr>
                    <w:pStyle w:val="33"/>
                    <w:spacing w:line="360" w:lineRule="exact"/>
                    <w:rPr>
                      <w:rFonts w:eastAsiaTheme="minorEastAsia"/>
                      <w:color w:val="000000" w:themeColor="text1"/>
                      <w:szCs w:val="21"/>
                    </w:rPr>
                  </w:pPr>
                </w:p>
              </w:tc>
              <w:tc>
                <w:tcPr>
                  <w:tcW w:w="3618" w:type="dxa"/>
                  <w:vAlign w:val="center"/>
                </w:tcPr>
                <w:p>
                  <w:pPr>
                    <w:pStyle w:val="33"/>
                    <w:spacing w:line="360" w:lineRule="exact"/>
                    <w:ind w:firstLine="210" w:firstLineChars="100"/>
                    <w:jc w:val="both"/>
                    <w:rPr>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-1996）表2中无组织排放限值</w:t>
                  </w:r>
                  <w:r>
                    <w:rPr>
                      <w:rFonts w:hint="eastAsia" w:eastAsiaTheme="minor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、《排污单位自行监测技术指南 火力发电及锅炉》（HJ820-2017）和《排污许可证申请与核发技术规范 废弃资源加工工业》（HJ1034-2019）</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10</w:t>
            </w:r>
            <w:r>
              <w:rPr>
                <w:rFonts w:ascii="Times New Roman" w:hAnsi="Times New Roman" w:cs="Times New Roman"/>
                <w:b/>
                <w:color w:val="000000" w:themeColor="text1"/>
                <w:szCs w:val="24"/>
              </w:rPr>
              <w:t xml:space="preserve">  项目运营期废气自行监测计划一览表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1"/>
              <w:gridCol w:w="1559"/>
              <w:gridCol w:w="992"/>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6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8"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DA003</w:t>
                  </w:r>
                </w:p>
              </w:tc>
              <w:tc>
                <w:tcPr>
                  <w:tcW w:w="15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颗粒物、SO</w:t>
                  </w:r>
                  <w:r>
                    <w:rPr>
                      <w:rFonts w:hint="eastAsia" w:eastAsiaTheme="minorEastAsia"/>
                      <w:color w:val="000000" w:themeColor="text1"/>
                      <w:szCs w:val="21"/>
                      <w:vertAlign w:val="subscript"/>
                    </w:rPr>
                    <w:t>2</w:t>
                  </w:r>
                  <w:r>
                    <w:rPr>
                      <w:rFonts w:hint="eastAsia" w:eastAsiaTheme="minorEastAsia"/>
                      <w:color w:val="000000" w:themeColor="text1"/>
                      <w:szCs w:val="21"/>
                    </w:rPr>
                    <w:t>、NOx、林格曼黑度</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w:t>
                  </w:r>
                  <w:r>
                    <w:rPr>
                      <w:rFonts w:hint="eastAsia" w:eastAsiaTheme="minorEastAsia"/>
                      <w:color w:val="000000" w:themeColor="text1"/>
                      <w:szCs w:val="21"/>
                    </w:rPr>
                    <w:t>月</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《锅炉大气污染物排放标准》（GB</w:t>
                  </w:r>
                  <w:r>
                    <w:rPr>
                      <w:rFonts w:hint="eastAsia" w:eastAsiaTheme="minorEastAsia"/>
                      <w:color w:val="000000" w:themeColor="text1"/>
                      <w:szCs w:val="21"/>
                      <w:lang w:eastAsia="zh-CN"/>
                    </w:rPr>
                    <w:t>*****</w:t>
                  </w:r>
                  <w:r>
                    <w:rPr>
                      <w:rFonts w:hint="eastAsia" w:eastAsiaTheme="minorEastAsia"/>
                      <w:color w:val="000000" w:themeColor="text1"/>
                      <w:szCs w:val="21"/>
                    </w:rPr>
                    <w:t>-2014）表2标准限值。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DA004</w:t>
                  </w:r>
                </w:p>
              </w:tc>
              <w:tc>
                <w:tcPr>
                  <w:tcW w:w="1559" w:type="dxa"/>
                  <w:vAlign w:val="center"/>
                </w:tcPr>
                <w:p>
                  <w:pPr>
                    <w:pStyle w:val="33"/>
                    <w:spacing w:line="360" w:lineRule="exact"/>
                    <w:rPr>
                      <w:color w:val="000000" w:themeColor="text1"/>
                      <w:szCs w:val="21"/>
                    </w:rPr>
                  </w:pPr>
                  <w:r>
                    <w:rPr>
                      <w:color w:val="000000" w:themeColor="text1"/>
                      <w:szCs w:val="21"/>
                    </w:rPr>
                    <w:t>颗粒物</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w:t>
                  </w:r>
                  <w:r>
                    <w:rPr>
                      <w:rFonts w:hint="eastAsia" w:eastAsiaTheme="minorEastAsia"/>
                      <w:color w:val="000000" w:themeColor="text1"/>
                      <w:szCs w:val="21"/>
                    </w:rPr>
                    <w:t>中二级标准限值。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8" w:type="dxa"/>
                  <w:vMerge w:val="continue"/>
                  <w:vAlign w:val="center"/>
                </w:tcPr>
                <w:p>
                  <w:pPr>
                    <w:pStyle w:val="33"/>
                    <w:spacing w:line="360" w:lineRule="exact"/>
                    <w:rPr>
                      <w:rFonts w:eastAsiaTheme="minorEastAsia"/>
                      <w:color w:val="000000" w:themeColor="text1"/>
                      <w:szCs w:val="21"/>
                    </w:rPr>
                  </w:pPr>
                </w:p>
              </w:tc>
              <w:tc>
                <w:tcPr>
                  <w:tcW w:w="170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厂界上风向1参照点和下风向3个监控点</w:t>
                  </w:r>
                </w:p>
              </w:tc>
              <w:tc>
                <w:tcPr>
                  <w:tcW w:w="1559" w:type="dxa"/>
                  <w:vAlign w:val="center"/>
                </w:tcPr>
                <w:p>
                  <w:pPr>
                    <w:pStyle w:val="33"/>
                    <w:spacing w:line="360" w:lineRule="exact"/>
                    <w:rPr>
                      <w:rFonts w:eastAsiaTheme="minorEastAsia"/>
                      <w:color w:val="000000" w:themeColor="text1"/>
                      <w:szCs w:val="21"/>
                    </w:rPr>
                  </w:pPr>
                  <w:r>
                    <w:rPr>
                      <w:color w:val="000000" w:themeColor="text1"/>
                      <w:szCs w:val="21"/>
                    </w:rPr>
                    <w:t>颗粒物</w:t>
                  </w:r>
                </w:p>
              </w:tc>
              <w:tc>
                <w:tcPr>
                  <w:tcW w:w="99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3618"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w:t>
                  </w:r>
                  <w:r>
                    <w:rPr>
                      <w:rFonts w:hint="eastAsia" w:eastAsiaTheme="minorEastAsia"/>
                      <w:color w:val="000000" w:themeColor="text1"/>
                      <w:szCs w:val="21"/>
                      <w:lang w:eastAsia="zh-CN"/>
                    </w:rPr>
                    <w:t>*****</w:t>
                  </w:r>
                  <w:r>
                    <w:rPr>
                      <w:rFonts w:eastAsiaTheme="minorEastAsia"/>
                      <w:color w:val="000000" w:themeColor="text1"/>
                      <w:szCs w:val="21"/>
                    </w:rPr>
                    <w:t>-1996）表2中无组织排放限值</w:t>
                  </w:r>
                  <w:r>
                    <w:rPr>
                      <w:rFonts w:hint="eastAsia" w:eastAsiaTheme="minorEastAsia"/>
                      <w:color w:val="000000" w:themeColor="text1"/>
                      <w:szCs w:val="2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项目非正常情形为废气处理设施</w:t>
            </w:r>
            <w:r>
              <w:rPr>
                <w:rFonts w:ascii="Times New Roman" w:hAnsi="Times New Roman" w:cs="Times New Roman"/>
                <w:color w:val="000000" w:themeColor="text1"/>
                <w:sz w:val="24"/>
                <w:szCs w:val="24"/>
              </w:rPr>
              <w:t>全部失效，项目产生的</w:t>
            </w:r>
            <w:r>
              <w:rPr>
                <w:rFonts w:hint="eastAsia" w:ascii="Times New Roman" w:hAnsi="Times New Roman" w:cs="Times New Roman"/>
                <w:color w:val="000000" w:themeColor="text1"/>
                <w:sz w:val="24"/>
                <w:szCs w:val="24"/>
              </w:rPr>
              <w:t>废气</w:t>
            </w:r>
            <w:r>
              <w:rPr>
                <w:rFonts w:ascii="Times New Roman" w:hAnsi="Times New Roman" w:cs="Times New Roman"/>
                <w:color w:val="000000" w:themeColor="text1"/>
                <w:sz w:val="24"/>
                <w:szCs w:val="24"/>
              </w:rPr>
              <w:t>外排。</w:t>
            </w:r>
            <w:r>
              <w:rPr>
                <w:rFonts w:hint="eastAsia" w:ascii="Times New Roman" w:hAnsi="Times New Roman" w:cs="Times New Roman"/>
                <w:color w:val="000000" w:themeColor="text1"/>
                <w:sz w:val="24"/>
                <w:szCs w:val="24"/>
              </w:rPr>
              <w:t>废气处理设施失效非正常情形下</w:t>
            </w:r>
            <w:r>
              <w:rPr>
                <w:rFonts w:ascii="Times New Roman" w:hAnsi="Times New Roman" w:cs="Times New Roman"/>
                <w:color w:val="000000" w:themeColor="text1"/>
                <w:sz w:val="24"/>
                <w:szCs w:val="24"/>
              </w:rPr>
              <w:t>废气污染物排放源产排</w:t>
            </w:r>
            <w:r>
              <w:rPr>
                <w:rFonts w:hint="eastAsia" w:ascii="Times New Roman" w:hAnsi="Times New Roman" w:cs="Times New Roman"/>
                <w:color w:val="000000" w:themeColor="text1"/>
                <w:sz w:val="24"/>
                <w:szCs w:val="24"/>
              </w:rPr>
              <w:t>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11 非正常情形下</w:t>
            </w:r>
            <w:r>
              <w:rPr>
                <w:rFonts w:ascii="Times New Roman" w:hAnsi="Times New Roman" w:cs="Times New Roman"/>
                <w:b/>
                <w:color w:val="000000" w:themeColor="text1"/>
                <w:szCs w:val="24"/>
              </w:rPr>
              <w:t>废气污染物排放源产排量及达标情况一览表</w:t>
            </w:r>
          </w:p>
          <w:tbl>
            <w:tblPr>
              <w:tblStyle w:val="22"/>
              <w:tblW w:w="5000" w:type="pct"/>
              <w:tblInd w:w="0" w:type="dxa"/>
              <w:tblLayout w:type="fixed"/>
              <w:tblCellMar>
                <w:top w:w="0" w:type="dxa"/>
                <w:left w:w="108" w:type="dxa"/>
                <w:bottom w:w="0" w:type="dxa"/>
                <w:right w:w="108" w:type="dxa"/>
              </w:tblCellMar>
            </w:tblPr>
            <w:tblGrid>
              <w:gridCol w:w="801"/>
              <w:gridCol w:w="928"/>
              <w:gridCol w:w="1130"/>
              <w:gridCol w:w="1141"/>
              <w:gridCol w:w="1140"/>
              <w:gridCol w:w="712"/>
              <w:gridCol w:w="1145"/>
              <w:gridCol w:w="1623"/>
            </w:tblGrid>
            <w:tr>
              <w:tblPrEx>
                <w:tblCellMar>
                  <w:top w:w="0" w:type="dxa"/>
                  <w:left w:w="108" w:type="dxa"/>
                  <w:bottom w:w="0" w:type="dxa"/>
                  <w:right w:w="108" w:type="dxa"/>
                </w:tblCellMar>
              </w:tblPrEx>
              <w:trPr>
                <w:trHeight w:val="576" w:hRule="atLeast"/>
              </w:trPr>
              <w:tc>
                <w:tcPr>
                  <w:tcW w:w="172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ascii="Times New Roman" w:hAnsi="宋体" w:eastAsia="宋体" w:cs="Times New Roman"/>
                      <w:color w:val="000000" w:themeColor="text1"/>
                      <w:kern w:val="0"/>
                    </w:rPr>
                    <w:t>产排污环节</w:t>
                  </w:r>
                </w:p>
              </w:tc>
              <w:tc>
                <w:tcPr>
                  <w:tcW w:w="11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污染物种类</w:t>
                  </w:r>
                </w:p>
              </w:tc>
              <w:tc>
                <w:tcPr>
                  <w:tcW w:w="2275"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污染物排放量和浓度</w:t>
                  </w:r>
                </w:p>
              </w:tc>
              <w:tc>
                <w:tcPr>
                  <w:tcW w:w="710"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频次</w:t>
                  </w:r>
                </w:p>
              </w:tc>
              <w:tc>
                <w:tcPr>
                  <w:tcW w:w="1142"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持续时间</w:t>
                  </w:r>
                </w:p>
              </w:tc>
              <w:tc>
                <w:tcPr>
                  <w:tcW w:w="16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725"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排放浓度</w:t>
                  </w:r>
                  <w:r>
                    <w:rPr>
                      <w:rFonts w:ascii="Times New Roman" w:hAnsi="Times New Roman" w:eastAsia="宋体" w:cs="Times New Roman"/>
                      <w:color w:val="000000" w:themeColor="text1"/>
                      <w:kern w:val="0"/>
                    </w:rPr>
                    <w:t>mg/m³</w:t>
                  </w:r>
                </w:p>
              </w:tc>
              <w:tc>
                <w:tcPr>
                  <w:tcW w:w="1137"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排放量</w:t>
                  </w:r>
                  <w:r>
                    <w:rPr>
                      <w:rFonts w:ascii="Times New Roman" w:hAnsi="Times New Roman" w:eastAsia="宋体" w:cs="Times New Roman"/>
                      <w:color w:val="000000" w:themeColor="text1"/>
                      <w:kern w:val="0"/>
                    </w:rPr>
                    <w:t>kg/</w:t>
                  </w:r>
                  <w:r>
                    <w:rPr>
                      <w:rFonts w:ascii="Times New Roman" w:hAnsi="宋体" w:eastAsia="宋体" w:cs="Times New Roman"/>
                      <w:color w:val="000000" w:themeColor="text1"/>
                      <w:kern w:val="0"/>
                    </w:rPr>
                    <w:t>次</w:t>
                  </w:r>
                </w:p>
              </w:tc>
              <w:tc>
                <w:tcPr>
                  <w:tcW w:w="710"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42"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1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rPr>
                <w:trHeight w:val="300" w:hRule="atLeast"/>
              </w:trPr>
              <w:tc>
                <w:tcPr>
                  <w:tcW w:w="799" w:type="dxa"/>
                  <w:vMerge w:val="restart"/>
                  <w:tcBorders>
                    <w:top w:val="single" w:color="auto" w:sz="4" w:space="0"/>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r>
                    <w:rPr>
                      <w:rFonts w:hint="eastAsia"/>
                      <w:color w:val="000000" w:themeColor="text1"/>
                    </w:rPr>
                    <w:t>烘干系统</w:t>
                  </w:r>
                </w:p>
              </w:tc>
              <w:tc>
                <w:tcPr>
                  <w:tcW w:w="926" w:type="dxa"/>
                  <w:vMerge w:val="restart"/>
                  <w:tcBorders>
                    <w:top w:val="single" w:color="auto" w:sz="4" w:space="0"/>
                    <w:left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r>
                    <w:rPr>
                      <w:color w:val="000000" w:themeColor="text1"/>
                    </w:rPr>
                    <w:t>热风炉</w:t>
                  </w:r>
                </w:p>
              </w:tc>
              <w:tc>
                <w:tcPr>
                  <w:tcW w:w="1127" w:type="dxa"/>
                  <w:tcBorders>
                    <w:top w:val="nil"/>
                    <w:left w:val="nil"/>
                    <w:bottom w:val="single" w:color="auto" w:sz="4"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颗粒物</w:t>
                  </w:r>
                </w:p>
              </w:tc>
              <w:tc>
                <w:tcPr>
                  <w:tcW w:w="1138" w:type="dxa"/>
                  <w:tcBorders>
                    <w:top w:val="nil"/>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rPr>
                    <w:t>80.13</w:t>
                  </w:r>
                </w:p>
              </w:tc>
              <w:tc>
                <w:tcPr>
                  <w:tcW w:w="1137" w:type="dxa"/>
                  <w:tcBorders>
                    <w:top w:val="nil"/>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0.01</w:t>
                  </w:r>
                </w:p>
              </w:tc>
              <w:tc>
                <w:tcPr>
                  <w:tcW w:w="710" w:type="dxa"/>
                  <w:vMerge w:val="restart"/>
                  <w:tcBorders>
                    <w:top w:val="single" w:color="auto" w:sz="4" w:space="0"/>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hint="eastAsia" w:ascii="Times New Roman" w:hAnsi="宋体" w:eastAsia="宋体" w:cs="Times New Roman"/>
                      <w:color w:val="000000" w:themeColor="text1"/>
                      <w:kern w:val="0"/>
                    </w:rPr>
                    <w:t>1次</w:t>
                  </w:r>
                  <w:r>
                    <w:rPr>
                      <w:rFonts w:ascii="Times New Roman" w:hAnsi="宋体" w:eastAsia="宋体" w:cs="Times New Roman"/>
                      <w:color w:val="000000" w:themeColor="text1"/>
                      <w:kern w:val="0"/>
                    </w:rPr>
                    <w:t>/a</w:t>
                  </w:r>
                </w:p>
              </w:tc>
              <w:tc>
                <w:tcPr>
                  <w:tcW w:w="1142"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w:t>
                  </w:r>
                  <w:r>
                    <w:rPr>
                      <w:rFonts w:ascii="Times New Roman" w:hAnsi="Times New Roman" w:eastAsia="宋体" w:cs="Times New Roman"/>
                      <w:color w:val="000000" w:themeColor="text1"/>
                      <w:kern w:val="0"/>
                    </w:rPr>
                    <w:t>0min /</w:t>
                  </w:r>
                  <w:r>
                    <w:rPr>
                      <w:rFonts w:ascii="Times New Roman" w:hAnsi="宋体" w:eastAsia="宋体" w:cs="Times New Roman"/>
                      <w:color w:val="000000" w:themeColor="text1"/>
                      <w:kern w:val="0"/>
                    </w:rPr>
                    <w:t>次</w:t>
                  </w:r>
                </w:p>
              </w:tc>
              <w:tc>
                <w:tcPr>
                  <w:tcW w:w="1619" w:type="dxa"/>
                  <w:vMerge w:val="restart"/>
                  <w:tcBorders>
                    <w:top w:val="single" w:color="auto" w:sz="4" w:space="0"/>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r>
              <w:tblPrEx>
                <w:tblCellMar>
                  <w:top w:w="0" w:type="dxa"/>
                  <w:left w:w="108" w:type="dxa"/>
                  <w:bottom w:w="0" w:type="dxa"/>
                  <w:right w:w="108" w:type="dxa"/>
                </w:tblCellMar>
              </w:tblPrEx>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vMerge w:val="continue"/>
                  <w:tcBorders>
                    <w:left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tcBorders>
                    <w:top w:val="single" w:color="auto" w:sz="4" w:space="0"/>
                    <w:left w:val="nil"/>
                    <w:bottom w:val="single" w:color="auto" w:sz="4"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1138" w:type="dxa"/>
                  <w:tcBorders>
                    <w:top w:val="single" w:color="auto" w:sz="4" w:space="0"/>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217.95</w:t>
                  </w:r>
                </w:p>
              </w:tc>
              <w:tc>
                <w:tcPr>
                  <w:tcW w:w="1137" w:type="dxa"/>
                  <w:tcBorders>
                    <w:top w:val="single" w:color="auto" w:sz="4" w:space="0"/>
                    <w:left w:val="nil"/>
                    <w:bottom w:val="single" w:color="auto" w:sz="4"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0.03</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r>
            <w:tr>
              <w:trPr>
                <w:trHeight w:val="300" w:hRule="atLeast"/>
              </w:trPr>
              <w:tc>
                <w:tcPr>
                  <w:tcW w:w="799" w:type="dxa"/>
                  <w:vMerge w:val="continue"/>
                  <w:tcBorders>
                    <w:left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vMerge w:val="continue"/>
                  <w:tcBorders>
                    <w:left w:val="single" w:color="auto" w:sz="4" w:space="0"/>
                    <w:bottom w:val="single" w:color="auto" w:sz="4"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p>
              </w:tc>
              <w:tc>
                <w:tcPr>
                  <w:tcW w:w="1127" w:type="dxa"/>
                  <w:tcBorders>
                    <w:top w:val="single" w:color="auto" w:sz="4" w:space="0"/>
                    <w:left w:val="nil"/>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NOx</w:t>
                  </w:r>
                </w:p>
              </w:tc>
              <w:tc>
                <w:tcPr>
                  <w:tcW w:w="1138" w:type="dxa"/>
                  <w:tcBorders>
                    <w:top w:val="single" w:color="auto" w:sz="4" w:space="0"/>
                    <w:left w:val="nil"/>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163.46</w:t>
                  </w:r>
                </w:p>
              </w:tc>
              <w:tc>
                <w:tcPr>
                  <w:tcW w:w="1137" w:type="dxa"/>
                  <w:tcBorders>
                    <w:top w:val="single" w:color="auto" w:sz="4" w:space="0"/>
                    <w:left w:val="nil"/>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0.02</w:t>
                  </w:r>
                </w:p>
              </w:tc>
              <w:tc>
                <w:tcPr>
                  <w:tcW w:w="710"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p>
              </w:tc>
              <w:tc>
                <w:tcPr>
                  <w:tcW w:w="1142"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c>
                <w:tcPr>
                  <w:tcW w:w="1619" w:type="dxa"/>
                  <w:vMerge w:val="continue"/>
                  <w:tcBorders>
                    <w:left w:val="nil"/>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p>
              </w:tc>
            </w:tr>
            <w:tr>
              <w:trPr>
                <w:trHeight w:val="300" w:hRule="atLeast"/>
              </w:trPr>
              <w:tc>
                <w:tcPr>
                  <w:tcW w:w="799" w:type="dxa"/>
                  <w:vMerge w:val="continue"/>
                  <w:tcBorders>
                    <w:left w:val="single" w:color="000000" w:sz="8" w:space="0"/>
                    <w:bottom w:val="single" w:color="000000" w:sz="8" w:space="0"/>
                    <w:right w:val="single" w:color="auto" w:sz="4" w:space="0"/>
                  </w:tcBorders>
                  <w:vAlign w:val="center"/>
                </w:tcPr>
                <w:p>
                  <w:pPr>
                    <w:widowControl/>
                    <w:spacing w:line="360" w:lineRule="exact"/>
                    <w:jc w:val="center"/>
                    <w:rPr>
                      <w:rFonts w:ascii="Times New Roman" w:hAnsi="宋体" w:eastAsia="宋体" w:cs="Times New Roman"/>
                      <w:color w:val="000000" w:themeColor="text1"/>
                      <w:kern w:val="0"/>
                    </w:rPr>
                  </w:pPr>
                </w:p>
              </w:tc>
              <w:tc>
                <w:tcPr>
                  <w:tcW w:w="926" w:type="dxa"/>
                  <w:tcBorders>
                    <w:top w:val="single" w:color="auto" w:sz="4"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宋体" w:eastAsia="宋体" w:cs="Times New Roman"/>
                      <w:color w:val="000000" w:themeColor="text1"/>
                      <w:kern w:val="0"/>
                    </w:rPr>
                  </w:pPr>
                  <w:r>
                    <w:rPr>
                      <w:rFonts w:hint="eastAsia"/>
                      <w:color w:val="000000" w:themeColor="text1"/>
                    </w:rPr>
                    <w:t>烘干机</w:t>
                  </w:r>
                </w:p>
              </w:tc>
              <w:tc>
                <w:tcPr>
                  <w:tcW w:w="1127" w:type="dxa"/>
                  <w:tcBorders>
                    <w:top w:val="single" w:color="auto" w:sz="4"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color w:val="000000" w:themeColor="text1"/>
                    </w:rPr>
                    <w:t>颗粒物</w:t>
                  </w:r>
                </w:p>
              </w:tc>
              <w:tc>
                <w:tcPr>
                  <w:tcW w:w="1138" w:type="dxa"/>
                  <w:tcBorders>
                    <w:top w:val="single" w:color="auto" w:sz="4" w:space="0"/>
                    <w:left w:val="nil"/>
                    <w:bottom w:val="single" w:color="auto" w:sz="8" w:space="0"/>
                    <w:right w:val="single" w:color="000000" w:sz="8" w:space="0"/>
                  </w:tcBorders>
                  <w:shd w:val="clear" w:color="auto" w:fill="auto"/>
                  <w:vAlign w:val="center"/>
                </w:tcPr>
                <w:p>
                  <w:pPr>
                    <w:pStyle w:val="33"/>
                    <w:spacing w:line="360" w:lineRule="exact"/>
                    <w:rPr>
                      <w:color w:val="000000" w:themeColor="text1"/>
                      <w:szCs w:val="21"/>
                    </w:rPr>
                  </w:pPr>
                  <w:r>
                    <w:rPr>
                      <w:rFonts w:hint="eastAsia"/>
                      <w:color w:val="000000" w:themeColor="text1"/>
                      <w:szCs w:val="21"/>
                    </w:rPr>
                    <w:t>347.54</w:t>
                  </w:r>
                </w:p>
              </w:tc>
              <w:tc>
                <w:tcPr>
                  <w:tcW w:w="1137" w:type="dxa"/>
                  <w:tcBorders>
                    <w:top w:val="single" w:color="auto" w:sz="4" w:space="0"/>
                    <w:left w:val="nil"/>
                    <w:bottom w:val="single" w:color="auto" w:sz="8" w:space="0"/>
                    <w:right w:val="single" w:color="000000" w:sz="8" w:space="0"/>
                  </w:tcBorders>
                  <w:shd w:val="clear" w:color="auto" w:fill="auto"/>
                  <w:vAlign w:val="center"/>
                </w:tcPr>
                <w:p>
                  <w:pPr>
                    <w:pStyle w:val="60"/>
                    <w:spacing w:line="360" w:lineRule="exact"/>
                    <w:jc w:val="center"/>
                    <w:rPr>
                      <w:rFonts w:ascii="Times New Roman" w:hAnsi="Times New Roman" w:eastAsia="宋体" w:cs="Times New Roman"/>
                      <w:bCs/>
                      <w:snapToGrid w:val="0"/>
                      <w:color w:val="000000" w:themeColor="text1"/>
                      <w:kern w:val="32"/>
                      <w:sz w:val="21"/>
                      <w:szCs w:val="21"/>
                      <w:lang w:val="zh-CN"/>
                    </w:rPr>
                  </w:pPr>
                  <w:r>
                    <w:rPr>
                      <w:rFonts w:hint="eastAsia" w:ascii="Times New Roman" w:hAnsi="Times New Roman" w:eastAsia="宋体" w:cs="Times New Roman"/>
                      <w:bCs/>
                      <w:snapToGrid w:val="0"/>
                      <w:color w:val="000000" w:themeColor="text1"/>
                      <w:kern w:val="32"/>
                      <w:sz w:val="21"/>
                      <w:szCs w:val="21"/>
                      <w:lang w:val="zh-CN"/>
                    </w:rPr>
                    <w:t>0.46</w:t>
                  </w:r>
                </w:p>
              </w:tc>
              <w:tc>
                <w:tcPr>
                  <w:tcW w:w="7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宋体" w:eastAsia="宋体" w:cs="Times New Roman"/>
                      <w:color w:val="000000" w:themeColor="text1"/>
                      <w:kern w:val="0"/>
                    </w:rPr>
                  </w:pPr>
                  <w:r>
                    <w:rPr>
                      <w:rFonts w:hint="eastAsia" w:ascii="Times New Roman" w:hAnsi="宋体" w:eastAsia="宋体" w:cs="Times New Roman"/>
                      <w:color w:val="000000" w:themeColor="text1"/>
                      <w:kern w:val="0"/>
                    </w:rPr>
                    <w:t>1次</w:t>
                  </w:r>
                  <w:r>
                    <w:rPr>
                      <w:rFonts w:ascii="Times New Roman" w:hAnsi="宋体" w:eastAsia="宋体" w:cs="Times New Roman"/>
                      <w:color w:val="000000" w:themeColor="text1"/>
                      <w:kern w:val="0"/>
                    </w:rPr>
                    <w:t>/a</w:t>
                  </w:r>
                </w:p>
              </w:tc>
              <w:tc>
                <w:tcPr>
                  <w:tcW w:w="1142" w:type="dxa"/>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w:t>
                  </w:r>
                  <w:r>
                    <w:rPr>
                      <w:rFonts w:ascii="Times New Roman" w:hAnsi="Times New Roman" w:eastAsia="宋体" w:cs="Times New Roman"/>
                      <w:color w:val="000000" w:themeColor="text1"/>
                      <w:kern w:val="0"/>
                    </w:rPr>
                    <w:t>0min /</w:t>
                  </w:r>
                  <w:r>
                    <w:rPr>
                      <w:rFonts w:ascii="Times New Roman" w:hAnsi="宋体" w:eastAsia="宋体" w:cs="Times New Roman"/>
                      <w:color w:val="000000" w:themeColor="text1"/>
                      <w:kern w:val="0"/>
                    </w:rPr>
                    <w:t>次</w:t>
                  </w:r>
                </w:p>
              </w:tc>
              <w:tc>
                <w:tcPr>
                  <w:tcW w:w="1619"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立即</w:t>
                  </w:r>
                  <w:r>
                    <w:rPr>
                      <w:rFonts w:ascii="Times New Roman" w:hAnsi="Times New Roman" w:eastAsia="宋体" w:cs="Times New Roman"/>
                      <w:color w:val="000000" w:themeColor="text1"/>
                      <w:kern w:val="0"/>
                    </w:rPr>
                    <w:t>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本项目产生的废气包括烘干机生物质燃料燃烧产生的燃烧烟气、烘干线烘干过程产生的烘干粉尘和水淬渣暂存库和废渣暂存库扬尘。燃烧烟气经低氮燃烧+非催化还原（SNCR）脱硝技术+布袋除尘器处理后可达到</w:t>
            </w:r>
            <w:r>
              <w:rPr>
                <w:rFonts w:hint="eastAsia" w:ascii="Times New Roman" w:hAnsi="Times New Roman" w:cs="Times New Roman"/>
                <w:bCs/>
                <w:color w:val="000000" w:themeColor="text1"/>
                <w:sz w:val="24"/>
                <w:szCs w:val="24"/>
              </w:rPr>
              <w:t>《锅炉大气污染物排放标准》（GB</w:t>
            </w:r>
            <w:r>
              <w:rPr>
                <w:rFonts w:hint="eastAsia" w:ascii="Times New Roman" w:hAnsi="Times New Roman" w:cs="Times New Roman"/>
                <w:bCs/>
                <w:color w:val="000000" w:themeColor="text1"/>
                <w:sz w:val="24"/>
                <w:szCs w:val="24"/>
                <w:lang w:eastAsia="zh-CN"/>
              </w:rPr>
              <w:t>*****</w:t>
            </w:r>
            <w:r>
              <w:rPr>
                <w:rFonts w:hint="eastAsia" w:ascii="Times New Roman" w:hAnsi="Times New Roman" w:cs="Times New Roman"/>
                <w:bCs/>
                <w:color w:val="000000" w:themeColor="text1"/>
                <w:sz w:val="24"/>
                <w:szCs w:val="24"/>
              </w:rPr>
              <w:t>-2014）表2标准限值</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排气筒（DA003）</w:t>
            </w:r>
            <w:r>
              <w:rPr>
                <w:rFonts w:hint="eastAsia" w:ascii="Times New Roman" w:hAnsi="Times New Roman" w:cs="Times New Roman"/>
                <w:color w:val="000000" w:themeColor="text1"/>
                <w:sz w:val="24"/>
                <w:szCs w:val="24"/>
              </w:rPr>
              <w:t>外排。烘干粉尘通过旋风除尘+布袋除尘器处理后，可达到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中二级标准限值，通过</w:t>
            </w:r>
            <w:r>
              <w:rPr>
                <w:rFonts w:ascii="Times New Roman" w:hAnsi="Times New Roman" w:cs="Times New Roman"/>
                <w:color w:val="000000" w:themeColor="text1"/>
                <w:sz w:val="24"/>
                <w:szCs w:val="24"/>
              </w:rPr>
              <w:t>1根Φ</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m、高</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排气筒（DA004）</w:t>
            </w:r>
            <w:r>
              <w:rPr>
                <w:rFonts w:hint="eastAsia" w:ascii="Times New Roman" w:hAnsi="Times New Roman" w:cs="Times New Roman"/>
                <w:color w:val="000000" w:themeColor="text1"/>
                <w:sz w:val="24"/>
                <w:szCs w:val="24"/>
              </w:rPr>
              <w:t>外排。水淬渣暂存库和废渣暂存库均设置三面围挡及顶棚，其产生的扬尘无组织排放，可达到</w:t>
            </w:r>
            <w:r>
              <w:rPr>
                <w:rFonts w:ascii="Times New Roman" w:hAnsi="Times New Roman" w:cs="Times New Roman"/>
                <w:color w:val="000000" w:themeColor="text1"/>
                <w:sz w:val="24"/>
                <w:szCs w:val="24"/>
              </w:rPr>
              <w:t>《大气污染物综合排放标准》（GB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-1996）</w:t>
            </w:r>
            <w:r>
              <w:rPr>
                <w:rFonts w:hint="eastAsia" w:ascii="Times New Roman" w:hAnsi="Times New Roman" w:cs="Times New Roman"/>
                <w:color w:val="000000" w:themeColor="text1"/>
                <w:sz w:val="24"/>
                <w:szCs w:val="24"/>
              </w:rPr>
              <w:t>无组织排放标准限值要求；且</w:t>
            </w:r>
            <w:r>
              <w:rPr>
                <w:rFonts w:ascii="Times New Roman" w:hAnsi="Times New Roman" w:cs="Times New Roman"/>
                <w:color w:val="000000" w:themeColor="text1"/>
                <w:sz w:val="24"/>
                <w:szCs w:val="24"/>
              </w:rPr>
              <w:t>本项目厂界外500m范围内</w:t>
            </w:r>
            <w:r>
              <w:rPr>
                <w:rFonts w:hint="eastAsia" w:ascii="Times New Roman" w:hAnsi="Times New Roman" w:cs="Times New Roman"/>
                <w:color w:val="000000" w:themeColor="text1"/>
                <w:sz w:val="24"/>
                <w:szCs w:val="24"/>
              </w:rPr>
              <w:t>无大气环境保护目标。</w:t>
            </w:r>
            <w:r>
              <w:rPr>
                <w:rFonts w:ascii="Times New Roman" w:hAnsi="Times New Roman" w:cs="Times New Roman"/>
                <w:color w:val="000000" w:themeColor="text1"/>
                <w:sz w:val="24"/>
                <w:szCs w:val="24"/>
              </w:rPr>
              <w:t>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（1）废水污染源强核算</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根据项目水平衡计算可知，本项目废水产生环节主要为生产废水、生活污水。以及现有厂区产生的初期雨水。</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生产废水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根据项目水平衡可知，本项目生产用水量为1385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d（457050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a），生产</w:t>
            </w:r>
            <w:r>
              <w:rPr>
                <w:rFonts w:ascii="Times New Roman" w:hAnsi="Times New Roman" w:cs="Times New Roman"/>
                <w:color w:val="000000" w:themeColor="text1"/>
                <w:sz w:val="24"/>
                <w:szCs w:val="24"/>
              </w:rPr>
              <w:t>废水量约为1320.54m³/d（435778.2m³/a）。</w:t>
            </w:r>
            <w:r>
              <w:rPr>
                <w:rFonts w:hint="eastAsia" w:ascii="Times New Roman" w:hAnsi="Times New Roman" w:cs="Times New Roman"/>
                <w:color w:val="000000" w:themeColor="text1"/>
                <w:sz w:val="24"/>
                <w:szCs w:val="24"/>
              </w:rPr>
              <w:t>本项目在2022年3月按原有设计及环评的要求建设完成，设备调试过程中有部分废水产生，并贮存于1#废水收集循环池内；为了解项目生产工序废水污染因子情况，建设</w:t>
            </w:r>
            <w:r>
              <w:rPr>
                <w:rFonts w:ascii="Times New Roman" w:hAnsi="Times New Roman" w:cs="Times New Roman"/>
                <w:color w:val="000000" w:themeColor="text1"/>
                <w:sz w:val="24"/>
                <w:szCs w:val="24"/>
              </w:rPr>
              <w:t>委托云南环普检测科技有限公司</w:t>
            </w:r>
            <w:r>
              <w:rPr>
                <w:rFonts w:hint="eastAsia" w:ascii="Times New Roman" w:hAnsi="Times New Roman" w:cs="Times New Roman"/>
                <w:color w:val="000000" w:themeColor="text1"/>
                <w:sz w:val="24"/>
                <w:szCs w:val="24"/>
              </w:rPr>
              <w:t>于2023年9月15日至9月16日</w:t>
            </w:r>
            <w:r>
              <w:rPr>
                <w:rFonts w:ascii="Times New Roman" w:hAnsi="Times New Roman" w:cs="Times New Roman"/>
                <w:color w:val="000000" w:themeColor="text1"/>
                <w:sz w:val="24"/>
                <w:szCs w:val="24"/>
              </w:rPr>
              <w:t>对</w:t>
            </w:r>
            <w:r>
              <w:rPr>
                <w:rFonts w:hint="eastAsia" w:ascii="Times New Roman" w:hAnsi="Times New Roman" w:cs="Times New Roman"/>
                <w:color w:val="000000" w:themeColor="text1"/>
                <w:sz w:val="24"/>
                <w:szCs w:val="24"/>
              </w:rPr>
              <w:t>废水收集循环池废水进行了监测</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监测情况如下表所示。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4.2.2-1  生产废水监测情况</w:t>
            </w:r>
            <w:r>
              <w:rPr>
                <w:rFonts w:ascii="Times New Roman" w:hAnsi="Times New Roman" w:cs="Times New Roman"/>
                <w:b/>
                <w:bCs/>
                <w:color w:val="000000" w:themeColor="text1"/>
                <w:kern w:val="0"/>
              </w:rPr>
              <w:t>一览表</w:t>
            </w:r>
            <w:r>
              <w:rPr>
                <w:rFonts w:hint="eastAsia" w:ascii="Times New Roman" w:hAnsi="Times New Roman" w:cs="Times New Roman"/>
                <w:b/>
                <w:bCs/>
                <w:color w:val="000000" w:themeColor="text1"/>
                <w:kern w:val="0"/>
              </w:rPr>
              <w:t xml:space="preserve">  单位：</w:t>
            </w:r>
            <w:r>
              <w:rPr>
                <w:rFonts w:ascii="Times New Roman" w:hAnsi="Times New Roman" w:cs="Times New Roman"/>
                <w:b/>
                <w:bCs/>
                <w:color w:val="000000" w:themeColor="text1"/>
                <w:kern w:val="0"/>
              </w:rPr>
              <w:t>mg/L</w:t>
            </w:r>
            <w:r>
              <w:rPr>
                <w:rFonts w:hint="eastAsia" w:ascii="Times New Roman" w:hAnsi="Times New Roman" w:cs="Times New Roman"/>
                <w:b/>
                <w:bCs/>
                <w:color w:val="000000" w:themeColor="text1"/>
                <w:kern w:val="0"/>
              </w:rPr>
              <w:t>pH（无量纲）</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0"/>
              <w:gridCol w:w="850"/>
              <w:gridCol w:w="851"/>
              <w:gridCol w:w="850"/>
              <w:gridCol w:w="851"/>
              <w:gridCol w:w="850"/>
              <w:gridCol w:w="851"/>
              <w:gridCol w:w="850"/>
              <w:gridCol w:w="851"/>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9" w:hRule="atLeast"/>
              </w:trPr>
              <w:tc>
                <w:tcPr>
                  <w:tcW w:w="88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污染因子</w:t>
                  </w:r>
                </w:p>
              </w:tc>
              <w:tc>
                <w:tcPr>
                  <w:tcW w:w="6804" w:type="dxa"/>
                  <w:gridSpan w:val="8"/>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1#废水收集循环池</w:t>
                  </w:r>
                </w:p>
              </w:tc>
              <w:tc>
                <w:tcPr>
                  <w:tcW w:w="924"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平均值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880" w:type="dxa"/>
                  <w:vMerge w:val="continue"/>
                  <w:vAlign w:val="center"/>
                </w:tcPr>
                <w:p>
                  <w:pPr>
                    <w:pStyle w:val="33"/>
                    <w:spacing w:line="360" w:lineRule="exact"/>
                    <w:rPr>
                      <w:rFonts w:eastAsiaTheme="minorEastAsia"/>
                      <w:color w:val="000000" w:themeColor="text1"/>
                      <w:szCs w:val="21"/>
                    </w:rPr>
                  </w:pPr>
                </w:p>
              </w:tc>
              <w:tc>
                <w:tcPr>
                  <w:tcW w:w="3402" w:type="dxa"/>
                  <w:gridSpan w:val="4"/>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2023.09.15</w:t>
                  </w:r>
                </w:p>
              </w:tc>
              <w:tc>
                <w:tcPr>
                  <w:tcW w:w="3402" w:type="dxa"/>
                  <w:gridSpan w:val="4"/>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2023.09.16</w:t>
                  </w:r>
                </w:p>
              </w:tc>
              <w:tc>
                <w:tcPr>
                  <w:tcW w:w="924"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7.3</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7.1</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7.4</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7.2</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7.1</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7.0</w:t>
                  </w:r>
                </w:p>
              </w:tc>
              <w:tc>
                <w:tcPr>
                  <w:tcW w:w="850"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7.4</w:t>
                  </w:r>
                </w:p>
              </w:tc>
              <w:tc>
                <w:tcPr>
                  <w:tcW w:w="851" w:type="dxa"/>
                  <w:vAlign w:val="center"/>
                </w:tcPr>
                <w:p>
                  <w:pPr>
                    <w:widowControl/>
                    <w:jc w:val="center"/>
                    <w:textAlignment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7.2</w:t>
                  </w:r>
                </w:p>
              </w:tc>
              <w:tc>
                <w:tcPr>
                  <w:tcW w:w="92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7.0-7.4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216</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226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211</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SS</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11</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氨氮</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1.45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0.05</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5.15</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5.37</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5.23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镉</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0.0040</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0.0036</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0.0038</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铬</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c>
                <w:tcPr>
                  <w:tcW w:w="92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0.004L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0.018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0.014</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0.023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铁</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0.03L</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锰</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0.51</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0.53</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汞</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0.00009</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0.00010</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0.00008</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0.0000</w:t>
                  </w:r>
                  <w:r>
                    <w:rPr>
                      <w:rFonts w:hint="eastAsia" w:eastAsiaTheme="minorEastAsia"/>
                      <w:color w:val="000000" w:themeColor="text1"/>
                      <w:szCs w:val="21"/>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16.2</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16.4</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16.8</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15.8</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16.6</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16.9</w:t>
                  </w:r>
                </w:p>
              </w:tc>
              <w:tc>
                <w:tcPr>
                  <w:tcW w:w="85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15.7</w:t>
                  </w:r>
                </w:p>
              </w:tc>
              <w:tc>
                <w:tcPr>
                  <w:tcW w:w="85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16.2</w:t>
                  </w:r>
                </w:p>
              </w:tc>
              <w:tc>
                <w:tcPr>
                  <w:tcW w:w="9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由上表可知，上述污染浓度为经</w:t>
            </w:r>
            <w:r>
              <w:rPr>
                <w:rFonts w:hint="eastAsia" w:ascii="Times New Roman" w:hAnsi="Times New Roman" w:cs="Times New Roman"/>
                <w:bCs/>
                <w:color w:val="000000" w:themeColor="text1"/>
                <w:sz w:val="24"/>
                <w:szCs w:val="24"/>
              </w:rPr>
              <w:t>沉淀</w:t>
            </w:r>
            <w:r>
              <w:rPr>
                <w:rFonts w:hint="eastAsia" w:ascii="Times New Roman" w:hAnsi="Times New Roman" w:cs="Times New Roman"/>
                <w:color w:val="000000" w:themeColor="text1"/>
                <w:sz w:val="24"/>
                <w:szCs w:val="24"/>
              </w:rPr>
              <w:t>后的废水污染浓度，根据</w:t>
            </w:r>
            <w:r>
              <w:rPr>
                <w:rFonts w:ascii="Times New Roman" w:hAnsi="Times New Roman" w:cs="Times New Roman"/>
                <w:color w:val="000000" w:themeColor="text1"/>
                <w:sz w:val="24"/>
                <w:szCs w:val="24"/>
              </w:rPr>
              <w:t>循环水池</w:t>
            </w:r>
            <w:r>
              <w:rPr>
                <w:rFonts w:hint="eastAsia" w:ascii="Times New Roman" w:hAnsi="Times New Roman" w:cs="Times New Roman"/>
                <w:color w:val="000000" w:themeColor="text1"/>
                <w:sz w:val="24"/>
                <w:szCs w:val="24"/>
              </w:rPr>
              <w:t>对污染物的处理特点，其主要能去除的污染物为SS和重金属，其中SS去除效率约90%，重金属去除效率约50%，则本项目生产废水主要污染物如下表所示。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生产废水</w:t>
            </w:r>
            <w:r>
              <w:rPr>
                <w:rFonts w:ascii="Times New Roman" w:hAnsi="Times New Roman" w:cs="Times New Roman"/>
                <w:b/>
                <w:bCs/>
                <w:color w:val="000000" w:themeColor="text1"/>
                <w:kern w:val="0"/>
              </w:rPr>
              <w:t>水质指标</w:t>
            </w:r>
            <w:r>
              <w:rPr>
                <w:rFonts w:hint="eastAsia" w:ascii="Times New Roman" w:hAnsi="Times New Roman" w:cs="Times New Roman"/>
                <w:b/>
                <w:bCs/>
                <w:color w:val="000000" w:themeColor="text1"/>
                <w:kern w:val="0"/>
              </w:rPr>
              <w:t>产生浓度</w:t>
            </w:r>
            <w:r>
              <w:rPr>
                <w:rFonts w:ascii="Times New Roman" w:hAnsi="Times New Roman" w:cs="Times New Roman"/>
                <w:b/>
                <w:bCs/>
                <w:color w:val="000000" w:themeColor="text1"/>
                <w:kern w:val="0"/>
              </w:rPr>
              <w:t>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23"/>
              <w:tblW w:w="8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709"/>
              <w:gridCol w:w="708"/>
              <w:gridCol w:w="709"/>
              <w:gridCol w:w="709"/>
              <w:gridCol w:w="850"/>
              <w:gridCol w:w="709"/>
              <w:gridCol w:w="709"/>
              <w:gridCol w:w="709"/>
              <w:gridCol w:w="708"/>
              <w:gridCol w:w="709"/>
              <w:gridCol w:w="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污染物</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7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SS</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氨氮</w:t>
                  </w:r>
                </w:p>
              </w:tc>
              <w:tc>
                <w:tcPr>
                  <w:tcW w:w="850"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镉</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7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铁</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锰</w:t>
                  </w:r>
                </w:p>
              </w:tc>
              <w:tc>
                <w:tcPr>
                  <w:tcW w:w="693"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Borders>
                    <w:righ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7.0-7.4</w:t>
                  </w:r>
                </w:p>
              </w:tc>
              <w:tc>
                <w:tcPr>
                  <w:tcW w:w="7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r>
                    <w:rPr>
                      <w:rFonts w:hint="eastAsia" w:eastAsiaTheme="minorEastAsia"/>
                      <w:color w:val="000000" w:themeColor="text1"/>
                      <w:szCs w:val="21"/>
                    </w:rPr>
                    <w:t>0</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850" w:type="dxa"/>
                  <w:tcBorders>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709"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8</w:t>
                  </w:r>
                </w:p>
              </w:tc>
              <w:tc>
                <w:tcPr>
                  <w:tcW w:w="70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4</w:t>
                  </w:r>
                </w:p>
              </w:tc>
              <w:tc>
                <w:tcPr>
                  <w:tcW w:w="7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w:t>
                  </w:r>
                  <w:r>
                    <w:rPr>
                      <w:rFonts w:hint="eastAsia" w:eastAsiaTheme="minorEastAsia"/>
                      <w:color w:val="000000" w:themeColor="text1"/>
                      <w:szCs w:val="21"/>
                    </w:rPr>
                    <w:t>6</w:t>
                  </w:r>
                </w:p>
              </w:tc>
              <w:tc>
                <w:tcPr>
                  <w:tcW w:w="70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1.036</w:t>
                  </w:r>
                </w:p>
              </w:tc>
              <w:tc>
                <w:tcPr>
                  <w:tcW w:w="693" w:type="dxa"/>
                  <w:tcBorders>
                    <w:lef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根据项目水平衡可知，本项目</w:t>
            </w:r>
            <w:r>
              <w:rPr>
                <w:rFonts w:ascii="Times New Roman" w:hAnsi="Times New Roman" w:cs="Times New Roman"/>
                <w:color w:val="000000" w:themeColor="text1"/>
                <w:sz w:val="24"/>
                <w:szCs w:val="24"/>
              </w:rPr>
              <w:t>生活用水量</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（528</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生活污水产生</w:t>
            </w:r>
            <w:r>
              <w:rPr>
                <w:rFonts w:ascii="Times New Roman" w:hAnsi="Times New Roman" w:cs="Times New Roman"/>
                <w:color w:val="000000" w:themeColor="text1"/>
                <w:sz w:val="24"/>
                <w:szCs w:val="24"/>
              </w:rPr>
              <w:t>量为</w:t>
            </w:r>
            <w:r>
              <w:rPr>
                <w:rFonts w:hint="eastAsia" w:ascii="Times New Roman" w:hAnsi="Times New Roman" w:cs="Times New Roman"/>
                <w:color w:val="000000" w:themeColor="text1"/>
                <w:sz w:val="24"/>
                <w:szCs w:val="24"/>
              </w:rPr>
              <w:t>1.28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（422.4</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）。根据对现有次氧化锌生产线生活污水的核算可知，</w:t>
            </w:r>
            <w:r>
              <w:rPr>
                <w:rFonts w:ascii="Times New Roman" w:hAnsi="Times New Roman" w:cs="Times New Roman"/>
                <w:color w:val="000000" w:themeColor="text1"/>
                <w:sz w:val="24"/>
                <w:szCs w:val="24"/>
              </w:rPr>
              <w:t>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生活污水水质指标一览表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22"/>
              <w:tblW w:w="5000" w:type="pct"/>
              <w:tblInd w:w="0" w:type="dxa"/>
              <w:tblLayout w:type="fixed"/>
              <w:tblCellMar>
                <w:top w:w="0" w:type="dxa"/>
                <w:left w:w="108" w:type="dxa"/>
                <w:bottom w:w="0" w:type="dxa"/>
                <w:right w:w="108" w:type="dxa"/>
              </w:tblCellMar>
            </w:tblPr>
            <w:tblGrid>
              <w:gridCol w:w="735"/>
              <w:gridCol w:w="770"/>
              <w:gridCol w:w="842"/>
              <w:gridCol w:w="799"/>
              <w:gridCol w:w="630"/>
              <w:gridCol w:w="812"/>
              <w:gridCol w:w="584"/>
              <w:gridCol w:w="523"/>
              <w:gridCol w:w="797"/>
              <w:gridCol w:w="920"/>
              <w:gridCol w:w="1204"/>
            </w:tblGrid>
            <w:tr>
              <w:tblPrEx>
                <w:tblCellMar>
                  <w:top w:w="0" w:type="dxa"/>
                  <w:left w:w="108" w:type="dxa"/>
                  <w:bottom w:w="0" w:type="dxa"/>
                  <w:right w:w="108" w:type="dxa"/>
                </w:tblCellMar>
              </w:tblPrEx>
              <w:trPr>
                <w:trHeight w:val="285" w:hRule="atLeast"/>
              </w:trPr>
              <w:tc>
                <w:tcPr>
                  <w:tcW w:w="733" w:type="dxa"/>
                  <w:tcBorders>
                    <w:top w:val="single" w:color="auto" w:sz="4" w:space="0"/>
                    <w:left w:val="single" w:color="auto" w:sz="8" w:space="0"/>
                    <w:bottom w:val="single" w:color="000000" w:sz="8" w:space="0"/>
                    <w:right w:val="single" w:color="auto" w:sz="8" w:space="0"/>
                  </w:tcBorders>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8"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840"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798"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83"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TN</w:t>
                  </w:r>
                </w:p>
              </w:tc>
              <w:tc>
                <w:tcPr>
                  <w:tcW w:w="522" w:type="dxa"/>
                  <w:tcBorders>
                    <w:top w:val="single" w:color="auto" w:sz="4" w:space="0"/>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TP</w:t>
                  </w:r>
                </w:p>
              </w:tc>
              <w:tc>
                <w:tcPr>
                  <w:tcW w:w="796"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动植物油</w:t>
                  </w:r>
                </w:p>
              </w:tc>
              <w:tc>
                <w:tcPr>
                  <w:tcW w:w="918"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trPr>
              <w:tc>
                <w:tcPr>
                  <w:tcW w:w="733" w:type="dxa"/>
                  <w:tcBorders>
                    <w:top w:val="nil"/>
                    <w:left w:val="single" w:color="auto" w:sz="8" w:space="0"/>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768"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color w:val="000000" w:themeColor="text1"/>
                      <w:kern w:val="0"/>
                      <w:szCs w:val="21"/>
                    </w:rPr>
                    <w:t>7.38-7.40</w:t>
                  </w:r>
                </w:p>
              </w:tc>
              <w:tc>
                <w:tcPr>
                  <w:tcW w:w="840"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335</w:t>
                  </w:r>
                </w:p>
              </w:tc>
              <w:tc>
                <w:tcPr>
                  <w:tcW w:w="798"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227.5</w:t>
                  </w:r>
                </w:p>
              </w:tc>
              <w:tc>
                <w:tcPr>
                  <w:tcW w:w="629"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65</w:t>
                  </w:r>
                </w:p>
              </w:tc>
              <w:tc>
                <w:tcPr>
                  <w:tcW w:w="811"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15.95</w:t>
                  </w:r>
                </w:p>
              </w:tc>
              <w:tc>
                <w:tcPr>
                  <w:tcW w:w="583"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23.92</w:t>
                  </w:r>
                </w:p>
              </w:tc>
              <w:tc>
                <w:tcPr>
                  <w:tcW w:w="522" w:type="dxa"/>
                  <w:tcBorders>
                    <w:top w:val="nil"/>
                    <w:left w:val="nil"/>
                    <w:bottom w:val="single" w:color="auto" w:sz="8" w:space="0"/>
                    <w:right w:val="single" w:color="auto" w:sz="8"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2.39</w:t>
                  </w:r>
                </w:p>
              </w:tc>
              <w:tc>
                <w:tcPr>
                  <w:tcW w:w="796" w:type="dxa"/>
                  <w:tcBorders>
                    <w:top w:val="nil"/>
                    <w:left w:val="nil"/>
                    <w:bottom w:val="single" w:color="auto" w:sz="8" w:space="0"/>
                    <w:right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5.16</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color w:val="000000" w:themeColor="text1"/>
                      <w:kern w:val="32"/>
                    </w:rPr>
                    <w:t>4.3</w:t>
                  </w:r>
                  <w:r>
                    <w:rPr>
                      <w:rFonts w:hint="eastAsia" w:ascii="Times New Roman" w:hAnsi="Times New Roman" w:cs="Times New Roman"/>
                      <w:color w:val="000000" w:themeColor="text1"/>
                      <w:kern w:val="32"/>
                    </w:rPr>
                    <w:t>8</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color w:val="000000" w:themeColor="text1"/>
                      <w:kern w:val="32"/>
                    </w:rPr>
                    <w:t>24000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③初期雨水</w:t>
            </w:r>
            <w:r>
              <w:rPr>
                <w:rFonts w:ascii="Times New Roman" w:hAnsi="Times New Roman" w:cs="Times New Roman"/>
                <w:b/>
                <w:color w:val="000000" w:themeColor="text1"/>
                <w:sz w:val="24"/>
                <w:szCs w:val="24"/>
              </w:rPr>
              <w:t>污染源强核算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根据现有工程产污核算，现有厂区的初期雨水产生量约为32.35m³/次，</w:t>
            </w:r>
            <w:r>
              <w:rPr>
                <w:rFonts w:hint="eastAsia" w:ascii="Times New Roman" w:hAnsi="Times New Roman" w:cs="Times New Roman"/>
                <w:color w:val="000000" w:themeColor="text1"/>
                <w:sz w:val="24"/>
              </w:rPr>
              <w:t xml:space="preserve"> </w:t>
            </w:r>
            <w:r>
              <w:rPr>
                <w:rFonts w:hint="eastAsia" w:ascii="Times New Roman" w:hAnsi="Times New Roman"/>
                <w:color w:val="000000" w:themeColor="text1"/>
                <w:sz w:val="24"/>
                <w:szCs w:val="24"/>
              </w:rPr>
              <w:t>根据《高原湖泊城市河道初期雨水拦截技术规范》（DB53/T950-2019）给出的初期雨水水质评价范围参考表，具体如下表所示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表4.2.2</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4 初期雨水径流雨水水质评价范围参考表  mg/L</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8"/>
              <w:gridCol w:w="1280"/>
              <w:gridCol w:w="1435"/>
              <w:gridCol w:w="1435"/>
              <w:gridCol w:w="1435"/>
              <w:gridCol w:w="14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8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主要指标</w:t>
                  </w:r>
                </w:p>
              </w:tc>
              <w:tc>
                <w:tcPr>
                  <w:tcW w:w="12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NH</w:t>
                  </w:r>
                  <w:r>
                    <w:rPr>
                      <w:rFonts w:hint="eastAsia" w:eastAsiaTheme="minorEastAsia"/>
                      <w:color w:val="000000" w:themeColor="text1"/>
                      <w:szCs w:val="21"/>
                      <w:vertAlign w:val="subscript"/>
                    </w:rPr>
                    <w:t>3</w:t>
                  </w:r>
                  <w:r>
                    <w:rPr>
                      <w:rFonts w:hint="eastAsia" w:eastAsiaTheme="minorEastAsia"/>
                      <w:color w:val="000000" w:themeColor="text1"/>
                      <w:szCs w:val="21"/>
                    </w:rPr>
                    <w:t>-N</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TN</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TP</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8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工商业区</w:t>
                  </w:r>
                </w:p>
              </w:tc>
              <w:tc>
                <w:tcPr>
                  <w:tcW w:w="12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200-300</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5-40</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5-40</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0.2-0.6</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200-300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8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本项目采用值</w:t>
                  </w:r>
                </w:p>
              </w:tc>
              <w:tc>
                <w:tcPr>
                  <w:tcW w:w="128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300</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35</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40</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0.6</w:t>
                  </w:r>
                </w:p>
              </w:tc>
              <w:tc>
                <w:tcPr>
                  <w:tcW w:w="143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300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hint="eastAsia"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1"/>
              <w:gridCol w:w="700"/>
              <w:gridCol w:w="1278"/>
              <w:gridCol w:w="3142"/>
              <w:gridCol w:w="1131"/>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产排污环节</w:t>
                  </w:r>
                </w:p>
              </w:tc>
              <w:tc>
                <w:tcPr>
                  <w:tcW w:w="70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类别</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污染物种类</w:t>
                  </w:r>
                </w:p>
              </w:tc>
              <w:tc>
                <w:tcPr>
                  <w:tcW w:w="31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13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700"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3142"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w:t>
                  </w:r>
                  <w:r>
                    <w:rPr>
                      <w:rFonts w:hint="eastAsia" w:eastAsiaTheme="minorEastAsia"/>
                      <w:color w:val="000000" w:themeColor="text1"/>
                      <w:szCs w:val="21"/>
                    </w:rPr>
                    <w:t>废水进入</w:t>
                  </w:r>
                  <w:r>
                    <w:rPr>
                      <w:rFonts w:eastAsiaTheme="minorEastAsia"/>
                      <w:color w:val="000000" w:themeColor="text1"/>
                      <w:szCs w:val="21"/>
                    </w:rPr>
                    <w:t>废水处理系统</w:t>
                  </w:r>
                  <w:r>
                    <w:rPr>
                      <w:rFonts w:hint="eastAsia" w:eastAsiaTheme="minorEastAsia"/>
                      <w:color w:val="000000" w:themeColor="text1"/>
                      <w:szCs w:val="21"/>
                    </w:rPr>
                    <w:t>循环沉淀过滤处理后回用于生产，不外排。</w:t>
                  </w:r>
                </w:p>
              </w:tc>
              <w:tc>
                <w:tcPr>
                  <w:tcW w:w="1131"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636"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氨氮</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铁</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锰</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3142"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131"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636"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1"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员工生活</w:t>
                  </w:r>
                </w:p>
              </w:tc>
              <w:tc>
                <w:tcPr>
                  <w:tcW w:w="700"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生活污水</w:t>
                  </w: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3142"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000000" w:themeColor="text1"/>
                      <w:szCs w:val="21"/>
                      <w:lang w:eastAsia="zh-CN"/>
                    </w:rPr>
                    <w:t>*****</w:t>
                  </w:r>
                  <w:r>
                    <w:rPr>
                      <w:rFonts w:eastAsiaTheme="minorEastAsia"/>
                      <w:color w:val="000000" w:themeColor="text1"/>
                      <w:szCs w:val="21"/>
                    </w:rPr>
                    <w:t>-2015）B等级标准后，通过提升泵泵至厂区东侧小邓段公路污水管网进入四方地与碧谷园区污水处理厂处理。</w:t>
                  </w:r>
                </w:p>
              </w:tc>
              <w:tc>
                <w:tcPr>
                  <w:tcW w:w="1131"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636" w:type="dxa"/>
                  <w:vMerge w:val="restart"/>
                  <w:vAlign w:val="center"/>
                </w:tcPr>
                <w:p>
                  <w:pPr>
                    <w:pStyle w:val="33"/>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名称：化粪池</w:t>
                  </w:r>
                </w:p>
                <w:p>
                  <w:pPr>
                    <w:pStyle w:val="33"/>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坐标：E103.</w:t>
                  </w:r>
                  <w:r>
                    <w:rPr>
                      <w:rFonts w:hint="eastAsia" w:eastAsiaTheme="minorEastAsia"/>
                      <w:color w:val="000000" w:themeColor="text1"/>
                      <w:szCs w:val="21"/>
                    </w:rPr>
                    <w:t>123341</w:t>
                  </w:r>
                  <w:r>
                    <w:rPr>
                      <w:rFonts w:eastAsiaTheme="minorEastAsia"/>
                      <w:color w:val="000000" w:themeColor="text1"/>
                      <w:szCs w:val="21"/>
                    </w:rPr>
                    <w:t>°、N2</w:t>
                  </w:r>
                  <w:r>
                    <w:rPr>
                      <w:rFonts w:hint="eastAsia" w:eastAsiaTheme="minorEastAsia"/>
                      <w:color w:val="000000" w:themeColor="text1"/>
                      <w:szCs w:val="21"/>
                    </w:rPr>
                    <w:t>6</w:t>
                  </w:r>
                  <w:r>
                    <w:rPr>
                      <w:rFonts w:eastAsiaTheme="minorEastAsia"/>
                      <w:color w:val="000000" w:themeColor="text1"/>
                      <w:szCs w:val="21"/>
                    </w:rPr>
                    <w:t>.</w:t>
                  </w:r>
                  <w:r>
                    <w:rPr>
                      <w:rFonts w:hint="eastAsia" w:eastAsiaTheme="minorEastAsia"/>
                      <w:color w:val="000000" w:themeColor="text1"/>
                      <w:szCs w:val="21"/>
                    </w:rPr>
                    <w:t>179079</w:t>
                  </w: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Merge w:val="continue"/>
                  <w:vAlign w:val="center"/>
                </w:tcPr>
                <w:p>
                  <w:pPr>
                    <w:pStyle w:val="33"/>
                    <w:spacing w:line="360" w:lineRule="exact"/>
                    <w:rPr>
                      <w:rFonts w:eastAsiaTheme="minorEastAsia"/>
                      <w:color w:val="000000" w:themeColor="text1"/>
                      <w:szCs w:val="21"/>
                    </w:rPr>
                  </w:pPr>
                </w:p>
              </w:tc>
              <w:tc>
                <w:tcPr>
                  <w:tcW w:w="700" w:type="dxa"/>
                  <w:vMerge w:val="continue"/>
                  <w:vAlign w:val="center"/>
                </w:tcPr>
                <w:p>
                  <w:pPr>
                    <w:pStyle w:val="33"/>
                    <w:spacing w:line="360" w:lineRule="exact"/>
                    <w:rPr>
                      <w:rFonts w:eastAsiaTheme="minorEastAsia"/>
                      <w:color w:val="000000" w:themeColor="text1"/>
                      <w:szCs w:val="21"/>
                    </w:rPr>
                  </w:pPr>
                </w:p>
              </w:tc>
              <w:tc>
                <w:tcPr>
                  <w:tcW w:w="127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142" w:type="dxa"/>
                  <w:vMerge w:val="continue"/>
                  <w:vAlign w:val="center"/>
                </w:tcPr>
                <w:p>
                  <w:pPr>
                    <w:pStyle w:val="33"/>
                    <w:spacing w:line="360" w:lineRule="exact"/>
                    <w:ind w:firstLine="210" w:firstLineChars="100"/>
                    <w:jc w:val="left"/>
                    <w:rPr>
                      <w:rFonts w:eastAsiaTheme="minorEastAsia"/>
                      <w:color w:val="000000" w:themeColor="text1"/>
                      <w:szCs w:val="21"/>
                    </w:rPr>
                  </w:pPr>
                </w:p>
              </w:tc>
              <w:tc>
                <w:tcPr>
                  <w:tcW w:w="1131" w:type="dxa"/>
                  <w:vMerge w:val="continue"/>
                  <w:vAlign w:val="center"/>
                </w:tcPr>
                <w:p>
                  <w:pPr>
                    <w:pStyle w:val="33"/>
                    <w:spacing w:line="360" w:lineRule="exact"/>
                    <w:rPr>
                      <w:rFonts w:eastAsiaTheme="minorEastAsia"/>
                      <w:color w:val="000000" w:themeColor="text1"/>
                      <w:szCs w:val="21"/>
                    </w:rPr>
                  </w:pPr>
                </w:p>
              </w:tc>
              <w:tc>
                <w:tcPr>
                  <w:tcW w:w="1636" w:type="dxa"/>
                  <w:vMerge w:val="continue"/>
                  <w:vAlign w:val="center"/>
                </w:tcPr>
                <w:p>
                  <w:pPr>
                    <w:pStyle w:val="33"/>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1"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厂区范围</w:t>
                  </w:r>
                </w:p>
              </w:tc>
              <w:tc>
                <w:tcPr>
                  <w:tcW w:w="70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初期雨水</w:t>
                  </w:r>
                </w:p>
              </w:tc>
              <w:tc>
                <w:tcPr>
                  <w:tcW w:w="127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lang w:val="en-US"/>
                    </w:rPr>
                    <w:t>CODcr</w:t>
                  </w:r>
                  <w:r>
                    <w:rPr>
                      <w:rFonts w:hint="eastAsia" w:eastAsiaTheme="minorEastAsia"/>
                      <w:color w:val="000000" w:themeColor="text1"/>
                      <w:szCs w:val="21"/>
                    </w:rPr>
                    <w:t>、</w:t>
                  </w:r>
                  <w:r>
                    <w:rPr>
                      <w:rFonts w:hint="eastAsia" w:eastAsiaTheme="minorEastAsia"/>
                      <w:color w:val="000000" w:themeColor="text1"/>
                      <w:szCs w:val="21"/>
                      <w:lang w:val="en-US"/>
                    </w:rPr>
                    <w:t>NH</w:t>
                  </w:r>
                  <w:r>
                    <w:rPr>
                      <w:rFonts w:hint="eastAsia" w:eastAsiaTheme="minorEastAsia"/>
                      <w:color w:val="000000" w:themeColor="text1"/>
                      <w:szCs w:val="21"/>
                      <w:vertAlign w:val="subscript"/>
                      <w:lang w:val="en-US"/>
                    </w:rPr>
                    <w:t>3</w:t>
                  </w:r>
                  <w:r>
                    <w:rPr>
                      <w:rFonts w:hint="eastAsia" w:eastAsiaTheme="minorEastAsia"/>
                      <w:color w:val="000000" w:themeColor="text1"/>
                      <w:szCs w:val="21"/>
                      <w:lang w:val="en-US"/>
                    </w:rPr>
                    <w:t>-N</w:t>
                  </w:r>
                  <w:r>
                    <w:rPr>
                      <w:rFonts w:hint="eastAsia" w:eastAsiaTheme="minorEastAsia"/>
                      <w:color w:val="000000" w:themeColor="text1"/>
                      <w:szCs w:val="21"/>
                    </w:rPr>
                    <w:t>、</w:t>
                  </w:r>
                  <w:r>
                    <w:rPr>
                      <w:rFonts w:hint="eastAsia" w:eastAsiaTheme="minorEastAsia"/>
                      <w:color w:val="000000" w:themeColor="text1"/>
                      <w:szCs w:val="21"/>
                      <w:lang w:val="en-US"/>
                    </w:rPr>
                    <w:t>TN</w:t>
                  </w:r>
                  <w:r>
                    <w:rPr>
                      <w:rFonts w:hint="eastAsia" w:eastAsiaTheme="minorEastAsia"/>
                      <w:color w:val="000000" w:themeColor="text1"/>
                      <w:szCs w:val="21"/>
                    </w:rPr>
                    <w:t>、</w:t>
                  </w:r>
                  <w:r>
                    <w:rPr>
                      <w:rFonts w:hint="eastAsia" w:eastAsiaTheme="minorEastAsia"/>
                      <w:color w:val="000000" w:themeColor="text1"/>
                      <w:szCs w:val="21"/>
                      <w:lang w:val="en-US"/>
                    </w:rPr>
                    <w:t>TP</w:t>
                  </w:r>
                  <w:r>
                    <w:rPr>
                      <w:rFonts w:hint="eastAsia" w:eastAsiaTheme="minorEastAsia"/>
                      <w:color w:val="000000" w:themeColor="text1"/>
                      <w:szCs w:val="21"/>
                    </w:rPr>
                    <w:t>、</w:t>
                  </w:r>
                  <w:r>
                    <w:rPr>
                      <w:rFonts w:hint="eastAsia" w:eastAsiaTheme="minorEastAsia"/>
                      <w:color w:val="000000" w:themeColor="text1"/>
                      <w:szCs w:val="21"/>
                      <w:lang w:val="en-US"/>
                    </w:rPr>
                    <w:t>SS</w:t>
                  </w:r>
                </w:p>
              </w:tc>
              <w:tc>
                <w:tcPr>
                  <w:tcW w:w="3142"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本项目现有厂区已设置了1个有效容积为150m³的1#初期雨水收集池和1个50.8m³的2#初期雨水收集池对其收集</w:t>
                  </w:r>
                  <w:r>
                    <w:rPr>
                      <w:rFonts w:hint="eastAsia" w:eastAsiaTheme="minorEastAsia"/>
                      <w:color w:val="000000" w:themeColor="text1"/>
                      <w:szCs w:val="21"/>
                    </w:rPr>
                    <w:t>；整改后，拟再在</w:t>
                  </w:r>
                  <w:r>
                    <w:rPr>
                      <w:rFonts w:eastAsiaTheme="minorEastAsia"/>
                      <w:color w:val="000000" w:themeColor="text1"/>
                      <w:szCs w:val="21"/>
                    </w:rPr>
                    <w:t>厂区</w:t>
                  </w:r>
                  <w:r>
                    <w:rPr>
                      <w:rFonts w:hint="eastAsia" w:eastAsiaTheme="minorEastAsia"/>
                      <w:color w:val="000000" w:themeColor="text1"/>
                      <w:szCs w:val="21"/>
                    </w:rPr>
                    <w:t>低</w:t>
                  </w:r>
                  <w:r>
                    <w:rPr>
                      <w:rFonts w:eastAsiaTheme="minorEastAsia"/>
                      <w:color w:val="000000" w:themeColor="text1"/>
                      <w:szCs w:val="21"/>
                    </w:rPr>
                    <w:t>处建设一个有效容积为5m³的</w:t>
                  </w:r>
                  <w:r>
                    <w:rPr>
                      <w:rFonts w:hint="eastAsia" w:eastAsiaTheme="minorEastAsia"/>
                      <w:color w:val="000000" w:themeColor="text1"/>
                      <w:szCs w:val="21"/>
                    </w:rPr>
                    <w:t>3#</w:t>
                  </w:r>
                  <w:r>
                    <w:rPr>
                      <w:rFonts w:eastAsiaTheme="minorEastAsia"/>
                      <w:color w:val="000000" w:themeColor="text1"/>
                      <w:szCs w:val="21"/>
                    </w:rPr>
                    <w:t>初期雨水收集池</w:t>
                  </w:r>
                  <w:r>
                    <w:rPr>
                      <w:rFonts w:hint="eastAsia" w:eastAsiaTheme="minorEastAsia"/>
                      <w:color w:val="000000" w:themeColor="text1"/>
                      <w:szCs w:val="21"/>
                    </w:rPr>
                    <w:t>，初期雨水经</w:t>
                  </w:r>
                  <w:r>
                    <w:rPr>
                      <w:rFonts w:eastAsiaTheme="minorEastAsia"/>
                      <w:color w:val="000000" w:themeColor="text1"/>
                      <w:szCs w:val="21"/>
                    </w:rPr>
                    <w:t>收集后，</w:t>
                  </w:r>
                  <w:r>
                    <w:rPr>
                      <w:rFonts w:hint="eastAsia" w:eastAsiaTheme="minorEastAsia"/>
                      <w:color w:val="000000" w:themeColor="text1"/>
                      <w:szCs w:val="21"/>
                    </w:rPr>
                    <w:t>用于次氧化锌生产线</w:t>
                  </w:r>
                  <w:r>
                    <w:rPr>
                      <w:rFonts w:eastAsiaTheme="minorEastAsia"/>
                      <w:color w:val="000000" w:themeColor="text1"/>
                      <w:szCs w:val="21"/>
                    </w:rPr>
                    <w:t>原料堆场</w:t>
                  </w:r>
                  <w:r>
                    <w:rPr>
                      <w:rFonts w:hint="eastAsia" w:eastAsiaTheme="minorEastAsia"/>
                      <w:color w:val="000000" w:themeColor="text1"/>
                      <w:szCs w:val="21"/>
                    </w:rPr>
                    <w:t>、厂区道路等区域进行洒水抑尘，不外排。</w:t>
                  </w:r>
                </w:p>
              </w:tc>
              <w:tc>
                <w:tcPr>
                  <w:tcW w:w="113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63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生产废水污染源产排量及达标情况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项目</w:t>
            </w:r>
            <w:r>
              <w:rPr>
                <w:rFonts w:hint="eastAsia" w:ascii="Times New Roman" w:hAnsi="Times New Roman" w:cs="Times New Roman"/>
                <w:bCs/>
                <w:color w:val="000000" w:themeColor="text1"/>
                <w:sz w:val="24"/>
                <w:szCs w:val="24"/>
              </w:rPr>
              <w:t>废水进入废水处理系统循环沉淀过滤处理后回用于生产，不外排。</w:t>
            </w:r>
            <w:r>
              <w:rPr>
                <w:rFonts w:hint="eastAsia" w:ascii="Times New Roman" w:hAnsi="Times New Roman" w:cs="Times New Roman"/>
                <w:color w:val="000000" w:themeColor="text1"/>
                <w:sz w:val="24"/>
              </w:rPr>
              <w:t>生产废水</w:t>
            </w:r>
            <w:r>
              <w:rPr>
                <w:rFonts w:ascii="Times New Roman" w:hAnsi="Times New Roman" w:cs="Times New Roman"/>
                <w:color w:val="000000" w:themeColor="text1"/>
                <w:sz w:val="24"/>
              </w:rPr>
              <w:t>经处理后其污染产排情况如下表所示。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6  生产</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污染物排放源产排量及达标情况一览表</w:t>
            </w:r>
          </w:p>
          <w:tbl>
            <w:tblPr>
              <w:tblStyle w:val="22"/>
              <w:tblW w:w="5000" w:type="pct"/>
              <w:jc w:val="center"/>
              <w:tblLayout w:type="fixed"/>
              <w:tblCellMar>
                <w:top w:w="0" w:type="dxa"/>
                <w:left w:w="108" w:type="dxa"/>
                <w:bottom w:w="0" w:type="dxa"/>
                <w:right w:w="108" w:type="dxa"/>
              </w:tblCellMar>
            </w:tblPr>
            <w:tblGrid>
              <w:gridCol w:w="1013"/>
              <w:gridCol w:w="1014"/>
              <w:gridCol w:w="1499"/>
              <w:gridCol w:w="1499"/>
              <w:gridCol w:w="1415"/>
              <w:gridCol w:w="1014"/>
              <w:gridCol w:w="1162"/>
            </w:tblGrid>
            <w:tr>
              <w:tblPrEx>
                <w:tblCellMar>
                  <w:top w:w="0" w:type="dxa"/>
                  <w:left w:w="108" w:type="dxa"/>
                  <w:bottom w:w="0" w:type="dxa"/>
                  <w:right w:w="108" w:type="dxa"/>
                </w:tblCellMar>
              </w:tblPrEx>
              <w:trPr>
                <w:trHeight w:val="576" w:hRule="atLeast"/>
                <w:jc w:val="center"/>
              </w:trPr>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产排污环节</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类别</w:t>
                  </w:r>
                </w:p>
              </w:tc>
              <w:tc>
                <w:tcPr>
                  <w:tcW w:w="14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污染物种类</w:t>
                  </w:r>
                </w:p>
              </w:tc>
              <w:tc>
                <w:tcPr>
                  <w:tcW w:w="27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0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污染物回用量和浓度</w:t>
                  </w:r>
                </w:p>
              </w:tc>
            </w:tr>
            <w:tr>
              <w:tblPrEx>
                <w:tblCellMar>
                  <w:top w:w="0" w:type="dxa"/>
                  <w:left w:w="108" w:type="dxa"/>
                  <w:bottom w:w="0" w:type="dxa"/>
                  <w:right w:w="108" w:type="dxa"/>
                </w:tblCellMar>
              </w:tblPrEx>
              <w:trPr>
                <w:trHeight w:val="576" w:hRule="atLeast"/>
                <w:jc w:val="center"/>
              </w:trPr>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vMerge w:val="continue"/>
                  <w:tcBorders>
                    <w:top w:val="single" w:color="000000" w:sz="8" w:space="0"/>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产生浓度mg/m³</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产生量m³/a</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回用浓度mg/m³</w:t>
                  </w:r>
                </w:p>
              </w:tc>
              <w:tc>
                <w:tcPr>
                  <w:tcW w:w="1100" w:type="dxa"/>
                  <w:tcBorders>
                    <w:top w:val="nil"/>
                    <w:left w:val="nil"/>
                    <w:bottom w:val="single" w:color="auto"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回用量m³/a</w:t>
                  </w:r>
                </w:p>
              </w:tc>
            </w:tr>
            <w:tr>
              <w:tblPrEx>
                <w:tblCellMar>
                  <w:top w:w="0" w:type="dxa"/>
                  <w:left w:w="108" w:type="dxa"/>
                  <w:bottom w:w="0" w:type="dxa"/>
                  <w:right w:w="108" w:type="dxa"/>
                </w:tblCellMar>
              </w:tblPrEx>
              <w:trPr>
                <w:trHeight w:val="324" w:hRule="atLeast"/>
                <w:jc w:val="center"/>
              </w:trPr>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生产车间</w:t>
                  </w:r>
                </w:p>
              </w:tc>
              <w:tc>
                <w:tcPr>
                  <w:tcW w:w="960" w:type="dxa"/>
                  <w:vMerge w:val="restart"/>
                  <w:tcBorders>
                    <w:top w:val="nil"/>
                    <w:left w:val="single" w:color="000000" w:sz="8" w:space="0"/>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生产废水</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c>
                <w:tcPr>
                  <w:tcW w:w="2760" w:type="dxa"/>
                  <w:gridSpan w:val="2"/>
                  <w:tcBorders>
                    <w:top w:val="single" w:color="000000" w:sz="8" w:space="0"/>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435778.2m³/a</w:t>
                  </w:r>
                </w:p>
              </w:tc>
              <w:tc>
                <w:tcPr>
                  <w:tcW w:w="2060" w:type="dxa"/>
                  <w:gridSpan w:val="2"/>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435778.2m³/a</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7.0-7.4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7.0-7.4</w:t>
                  </w:r>
                </w:p>
              </w:tc>
              <w:tc>
                <w:tcPr>
                  <w:tcW w:w="1100" w:type="dxa"/>
                  <w:tcBorders>
                    <w:top w:val="nil"/>
                    <w:left w:val="nil"/>
                    <w:bottom w:val="single" w:color="auto" w:sz="8" w:space="0"/>
                    <w:right w:val="single" w:color="auto"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93.69</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215</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93.69</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140</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61.01</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6.10</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氨氮</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0.65</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1.49</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0.65</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总磷</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总氮</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2.31</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5.29</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2.31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镉</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0.008</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0.003</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0.004</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0.002</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铅</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0.04</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铁</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0.06</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0.03</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锰</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1.036</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0.45</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0.518</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0.23</w:t>
                  </w: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960" w:type="dxa"/>
                  <w:vMerge w:val="continue"/>
                  <w:tcBorders>
                    <w:top w:val="nil"/>
                    <w:left w:val="single" w:color="000000" w:sz="8" w:space="0"/>
                    <w:bottom w:val="single" w:color="000000" w:sz="8" w:space="0"/>
                    <w:right w:val="single" w:color="000000" w:sz="8" w:space="0"/>
                  </w:tcBorders>
                  <w:vAlign w:val="center"/>
                </w:tcPr>
                <w:p>
                  <w:pPr>
                    <w:pStyle w:val="33"/>
                    <w:spacing w:line="360" w:lineRule="exact"/>
                    <w:rPr>
                      <w:rFonts w:eastAsiaTheme="minorEastAsia"/>
                      <w:color w:val="000000" w:themeColor="text1"/>
                      <w:szCs w:val="21"/>
                    </w:rPr>
                  </w:pP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氟化物</w:t>
                  </w:r>
                </w:p>
              </w:tc>
              <w:tc>
                <w:tcPr>
                  <w:tcW w:w="142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c>
                <w:tcPr>
                  <w:tcW w:w="134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7.10</w:t>
                  </w:r>
                </w:p>
              </w:tc>
              <w:tc>
                <w:tcPr>
                  <w:tcW w:w="96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16.3</w:t>
                  </w:r>
                </w:p>
              </w:tc>
              <w:tc>
                <w:tcPr>
                  <w:tcW w:w="1100" w:type="dxa"/>
                  <w:tcBorders>
                    <w:top w:val="nil"/>
                    <w:left w:val="nil"/>
                    <w:bottom w:val="single" w:color="000000" w:sz="8" w:space="0"/>
                    <w:right w:val="single" w:color="000000" w:sz="8" w:space="0"/>
                  </w:tcBorders>
                  <w:shd w:val="clear" w:color="auto" w:fill="auto"/>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7.10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根据项目产污环节和废水污染物治理措施可知，目前项目已设置了1个1m³的隔油池、1个有效容积为20m³的化粪池对生活污水进行处理。生活污水经处理后其污染产排及达标情况如下表所示。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 xml:space="preserve">7 </w:t>
            </w:r>
            <w:r>
              <w:rPr>
                <w:rFonts w:hint="eastAsia"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22"/>
              <w:tblW w:w="8598" w:type="dxa"/>
              <w:jc w:val="center"/>
              <w:tblLayout w:type="fixed"/>
              <w:tblCellMar>
                <w:top w:w="0" w:type="dxa"/>
                <w:left w:w="108" w:type="dxa"/>
                <w:bottom w:w="0" w:type="dxa"/>
                <w:right w:w="108" w:type="dxa"/>
              </w:tblCellMar>
            </w:tblPr>
            <w:tblGrid>
              <w:gridCol w:w="727"/>
              <w:gridCol w:w="525"/>
              <w:gridCol w:w="1324"/>
              <w:gridCol w:w="1251"/>
              <w:gridCol w:w="858"/>
              <w:gridCol w:w="1144"/>
              <w:gridCol w:w="1002"/>
              <w:gridCol w:w="858"/>
              <w:gridCol w:w="909"/>
            </w:tblGrid>
            <w:tr>
              <w:tblPrEx>
                <w:tblCellMar>
                  <w:top w:w="0" w:type="dxa"/>
                  <w:left w:w="108" w:type="dxa"/>
                  <w:bottom w:w="0" w:type="dxa"/>
                  <w:right w:w="108" w:type="dxa"/>
                </w:tblCellMar>
              </w:tblPrEx>
              <w:trPr>
                <w:trHeight w:val="576" w:hRule="atLeast"/>
                <w:jc w:val="center"/>
              </w:trPr>
              <w:tc>
                <w:tcPr>
                  <w:tcW w:w="7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产排污环节</w:t>
                  </w:r>
                </w:p>
              </w:tc>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类别</w:t>
                  </w:r>
                </w:p>
              </w:tc>
              <w:tc>
                <w:tcPr>
                  <w:tcW w:w="13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污染物种类</w:t>
                  </w:r>
                </w:p>
              </w:tc>
              <w:tc>
                <w:tcPr>
                  <w:tcW w:w="2109"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污染物产生情况</w:t>
                  </w:r>
                </w:p>
              </w:tc>
              <w:tc>
                <w:tcPr>
                  <w:tcW w:w="2146"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污染物排放量和浓度</w:t>
                  </w:r>
                </w:p>
              </w:tc>
              <w:tc>
                <w:tcPr>
                  <w:tcW w:w="85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排放标准</w:t>
                  </w:r>
                </w:p>
              </w:tc>
              <w:tc>
                <w:tcPr>
                  <w:tcW w:w="9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达标情况</w:t>
                  </w:r>
                </w:p>
              </w:tc>
            </w:tr>
            <w:tr>
              <w:tblPrEx>
                <w:tblCellMar>
                  <w:top w:w="0" w:type="dxa"/>
                  <w:left w:w="108" w:type="dxa"/>
                  <w:bottom w:w="0" w:type="dxa"/>
                  <w:right w:w="108" w:type="dxa"/>
                </w:tblCellMar>
              </w:tblPrEx>
              <w:trPr>
                <w:trHeight w:val="576" w:hRule="atLeast"/>
                <w:jc w:val="center"/>
              </w:trPr>
              <w:tc>
                <w:tcPr>
                  <w:tcW w:w="72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产生浓度</w:t>
                  </w:r>
                  <w:r>
                    <w:rPr>
                      <w:rFonts w:ascii="Times New Roman" w:hAnsi="Times New Roman" w:eastAsia="宋体" w:cs="Times New Roman"/>
                      <w:color w:val="000000" w:themeColor="text1"/>
                      <w:kern w:val="0"/>
                    </w:rPr>
                    <w:t>mg/m³</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产生量</w:t>
                  </w:r>
                  <w:r>
                    <w:rPr>
                      <w:rFonts w:ascii="Times New Roman" w:hAnsi="Times New Roman" w:eastAsia="宋体" w:cs="Times New Roman"/>
                      <w:color w:val="000000" w:themeColor="text1"/>
                      <w:kern w:val="0"/>
                    </w:rPr>
                    <w:t>t/a</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排放浓度</w:t>
                  </w:r>
                  <w:r>
                    <w:rPr>
                      <w:rFonts w:ascii="Times New Roman" w:hAnsi="Times New Roman" w:eastAsia="宋体" w:cs="Times New Roman"/>
                      <w:color w:val="000000" w:themeColor="text1"/>
                      <w:kern w:val="0"/>
                    </w:rPr>
                    <w:t>mg/m³</w:t>
                  </w:r>
                </w:p>
              </w:tc>
              <w:tc>
                <w:tcPr>
                  <w:tcW w:w="1002" w:type="dxa"/>
                  <w:tcBorders>
                    <w:top w:val="nil"/>
                    <w:left w:val="nil"/>
                    <w:bottom w:val="single" w:color="auto"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排放量</w:t>
                  </w:r>
                  <w:r>
                    <w:rPr>
                      <w:rFonts w:ascii="Times New Roman" w:hAnsi="Times New Roman" w:eastAsia="宋体" w:cs="Times New Roman"/>
                      <w:color w:val="000000" w:themeColor="text1"/>
                      <w:kern w:val="0"/>
                    </w:rPr>
                    <w:t>t/a</w:t>
                  </w:r>
                </w:p>
              </w:tc>
              <w:tc>
                <w:tcPr>
                  <w:tcW w:w="85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909"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r>
            <w:tr>
              <w:tblPrEx>
                <w:tblCellMar>
                  <w:top w:w="0" w:type="dxa"/>
                  <w:left w:w="108" w:type="dxa"/>
                  <w:bottom w:w="0" w:type="dxa"/>
                  <w:right w:w="108" w:type="dxa"/>
                </w:tblCellMar>
              </w:tblPrEx>
              <w:trPr>
                <w:trHeight w:val="300" w:hRule="atLeast"/>
                <w:jc w:val="center"/>
              </w:trPr>
              <w:tc>
                <w:tcPr>
                  <w:tcW w:w="72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员工生活</w:t>
                  </w:r>
                </w:p>
              </w:tc>
              <w:tc>
                <w:tcPr>
                  <w:tcW w:w="52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生活污水</w:t>
                  </w: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废水量</w:t>
                  </w:r>
                </w:p>
              </w:tc>
              <w:tc>
                <w:tcPr>
                  <w:tcW w:w="2109"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422.4m³/a</w:t>
                  </w:r>
                </w:p>
              </w:tc>
              <w:tc>
                <w:tcPr>
                  <w:tcW w:w="2146"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422.4m³/a</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pH</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7.38-7.40</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7.38-7.40</w:t>
                  </w:r>
                </w:p>
              </w:tc>
              <w:tc>
                <w:tcPr>
                  <w:tcW w:w="100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w:t>
                  </w:r>
                  <w:r>
                    <w:rPr>
                      <w:rFonts w:hint="eastAsia" w:ascii="Times New Roman" w:hAnsi="Times New Roman" w:eastAsia="宋体" w:cs="Times New Roman"/>
                      <w:color w:val="000000" w:themeColor="text1"/>
                      <w:kern w:val="0"/>
                    </w:rPr>
                    <w:t>-</w:t>
                  </w:r>
                  <w:r>
                    <w:rPr>
                      <w:rFonts w:ascii="Times New Roman" w:hAnsi="Times New Roman" w:eastAsia="宋体" w:cs="Times New Roman"/>
                      <w:color w:val="000000" w:themeColor="text1"/>
                      <w:kern w:val="0"/>
                    </w:rPr>
                    <w:t>9</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CODcr</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335</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0.14</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268</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0.11</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500</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36"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BOD</w:t>
                  </w:r>
                  <w:r>
                    <w:rPr>
                      <w:rFonts w:ascii="Times New Roman" w:hAnsi="Times New Roman" w:eastAsia="宋体" w:cs="Times New Roman"/>
                      <w:color w:val="000000" w:themeColor="text1"/>
                      <w:kern w:val="0"/>
                      <w:vertAlign w:val="subscript"/>
                    </w:rPr>
                    <w:t>5</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227.5</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0.10</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182</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0.08</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350</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36"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NH</w:t>
                  </w:r>
                  <w:r>
                    <w:rPr>
                      <w:rFonts w:ascii="Times New Roman" w:hAnsi="Times New Roman" w:eastAsia="宋体" w:cs="Times New Roman"/>
                      <w:color w:val="000000" w:themeColor="text1"/>
                      <w:kern w:val="0"/>
                      <w:vertAlign w:val="subscript"/>
                    </w:rPr>
                    <w:t>3</w:t>
                  </w:r>
                  <w:r>
                    <w:rPr>
                      <w:rFonts w:ascii="Times New Roman" w:hAnsi="Times New Roman" w:eastAsia="宋体" w:cs="Times New Roman"/>
                      <w:color w:val="000000" w:themeColor="text1"/>
                      <w:kern w:val="0"/>
                    </w:rPr>
                    <w:t>-N</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15.95</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0.01</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12.76</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0.01</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45</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SS</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65</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0.03</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52</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0.02</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总磷</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2.39</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0.001</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1.912</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0.001</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总氮</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23.92</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0.01</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19.136</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0.01</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300"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动植物油</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5.16</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0.002</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4.13</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0.002</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588"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阴离子表面活性剂</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4.38</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0.002</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100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0.001</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r>
              <w:tblPrEx>
                <w:tblCellMar>
                  <w:top w:w="0" w:type="dxa"/>
                  <w:left w:w="108" w:type="dxa"/>
                  <w:bottom w:w="0" w:type="dxa"/>
                  <w:right w:w="108" w:type="dxa"/>
                </w:tblCellMar>
              </w:tblPrEx>
              <w:trPr>
                <w:trHeight w:val="588" w:hRule="atLeast"/>
                <w:jc w:val="center"/>
              </w:trPr>
              <w:tc>
                <w:tcPr>
                  <w:tcW w:w="727"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525" w:type="dxa"/>
                  <w:vMerge w:val="continue"/>
                  <w:tcBorders>
                    <w:top w:val="nil"/>
                    <w:left w:val="single" w:color="000000" w:sz="8" w:space="0"/>
                    <w:bottom w:val="single" w:color="000000" w:sz="8" w:space="0"/>
                    <w:right w:val="single" w:color="000000" w:sz="8" w:space="0"/>
                  </w:tcBorders>
                  <w:vAlign w:val="center"/>
                </w:tcPr>
                <w:p>
                  <w:pPr>
                    <w:widowControl/>
                    <w:spacing w:line="360" w:lineRule="exact"/>
                    <w:jc w:val="left"/>
                    <w:rPr>
                      <w:rFonts w:ascii="宋体" w:hAnsi="宋体" w:eastAsia="宋体" w:cs="宋体"/>
                      <w:color w:val="000000" w:themeColor="text1"/>
                      <w:kern w:val="0"/>
                    </w:rPr>
                  </w:pPr>
                </w:p>
              </w:tc>
              <w:tc>
                <w:tcPr>
                  <w:tcW w:w="132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粪大肠菌群数（</w:t>
                  </w:r>
                  <w:r>
                    <w:rPr>
                      <w:rFonts w:ascii="Times New Roman" w:hAnsi="Times New Roman" w:eastAsia="宋体" w:cs="Times New Roman"/>
                      <w:color w:val="000000" w:themeColor="text1"/>
                      <w:kern w:val="0"/>
                    </w:rPr>
                    <w:t>MPN/L</w:t>
                  </w:r>
                  <w:r>
                    <w:rPr>
                      <w:rFonts w:hint="eastAsia" w:ascii="宋体" w:hAnsi="宋体" w:eastAsia="宋体" w:cs="宋体"/>
                      <w:color w:val="000000" w:themeColor="text1"/>
                      <w:kern w:val="0"/>
                    </w:rPr>
                    <w:t>）</w:t>
                  </w:r>
                </w:p>
              </w:tc>
              <w:tc>
                <w:tcPr>
                  <w:tcW w:w="1251"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24000</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114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24000</w:t>
                  </w:r>
                </w:p>
              </w:tc>
              <w:tc>
                <w:tcPr>
                  <w:tcW w:w="1002" w:type="dxa"/>
                  <w:tcBorders>
                    <w:top w:val="nil"/>
                    <w:left w:val="nil"/>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858"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w:t>
                  </w:r>
                </w:p>
              </w:tc>
              <w:tc>
                <w:tcPr>
                  <w:tcW w:w="909"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宋体" w:hAnsi="宋体" w:eastAsia="宋体" w:cs="宋体"/>
                      <w:color w:val="000000" w:themeColor="text1"/>
                      <w:kern w:val="0"/>
                    </w:rPr>
                  </w:pPr>
                  <w:r>
                    <w:rPr>
                      <w:rFonts w:hint="eastAsia" w:ascii="宋体" w:hAnsi="宋体" w:eastAsia="宋体" w:cs="宋体"/>
                      <w:color w:val="000000" w:themeColor="text1"/>
                      <w:kern w:val="0"/>
                    </w:rPr>
                    <w:t>达标</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由上表可知，项目生活污水经隔油池、化粪池处理后可达到《污水排入城镇下水道水质标准》（GB/T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-2015）B等级标准后，通过提升泵泵至厂区东侧小邓段公路污水管网进入四方地与碧谷园区污水处理厂处理。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根据现有工程产污核算，现有厂区的初期雨水产生量约为32.35m³/次</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本项目现有厂区已设置了1个有效容积为150m³的1#初期雨水收集池和1个50.8m³的2#初期雨水收集池对其收集</w:t>
            </w:r>
            <w:r>
              <w:rPr>
                <w:rFonts w:hint="eastAsia" w:ascii="Times New Roman" w:hAnsi="Times New Roman" w:cs="Times New Roman"/>
                <w:color w:val="000000" w:themeColor="text1"/>
                <w:sz w:val="24"/>
              </w:rPr>
              <w:t>；整改后，拟再在</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处建设一个有效容积为5m³的</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初期雨水收集池</w:t>
            </w:r>
            <w:r>
              <w:rPr>
                <w:rFonts w:hint="eastAsia" w:ascii="Times New Roman" w:hAnsi="Times New Roman" w:cs="Times New Roman"/>
                <w:color w:val="000000" w:themeColor="text1"/>
                <w:sz w:val="24"/>
              </w:rPr>
              <w:t>，初期雨水经</w:t>
            </w:r>
            <w:r>
              <w:rPr>
                <w:rFonts w:ascii="Times New Roman" w:hAnsi="Times New Roman" w:cs="Times New Roman"/>
                <w:color w:val="000000" w:themeColor="text1"/>
                <w:sz w:val="24"/>
              </w:rPr>
              <w:t>收集后，</w:t>
            </w:r>
            <w:r>
              <w:rPr>
                <w:rFonts w:hint="eastAsia" w:ascii="Times New Roman" w:hAnsi="Times New Roman" w:cs="Times New Roman"/>
                <w:color w:val="000000" w:themeColor="text1"/>
                <w:sz w:val="24"/>
              </w:rPr>
              <w:t>用于次氧化锌生产线</w:t>
            </w:r>
            <w:r>
              <w:rPr>
                <w:rFonts w:ascii="Times New Roman" w:hAnsi="Times New Roman" w:cs="Times New Roman"/>
                <w:color w:val="000000" w:themeColor="text1"/>
                <w:sz w:val="24"/>
              </w:rPr>
              <w:t>原料堆场</w:t>
            </w:r>
            <w:r>
              <w:rPr>
                <w:rFonts w:hint="eastAsia" w:ascii="Times New Roman" w:hAnsi="Times New Roman" w:cs="Times New Roman"/>
                <w:color w:val="000000" w:themeColor="text1"/>
                <w:sz w:val="24"/>
              </w:rPr>
              <w:t>、厂区道路等区域进行洒水抑尘，不外排。</w:t>
            </w:r>
            <w:r>
              <w:rPr>
                <w:rFonts w:ascii="Times New Roman" w:hAnsi="Times New Roman" w:cs="Times New Roman"/>
                <w:color w:val="000000" w:themeColor="text1"/>
                <w:sz w:val="24"/>
              </w:rPr>
              <w:t>初期雨水收集池前端设置阀门，初期雨水收集后，关闭阀门，将中、后期雨水通过雨水管网外排。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hAnsi="Times New Roman" w:cs="Times New Roman" w:asciiTheme="minorEastAsia"/>
                <w:b/>
                <w:color w:val="000000" w:themeColor="text1"/>
                <w:sz w:val="24"/>
              </w:rPr>
            </w:pPr>
            <w:r>
              <w:rPr>
                <w:rFonts w:hint="eastAsia" w:hAnsi="Times New Roman" w:cs="Times New Roman" w:asciiTheme="minorEastAsia"/>
                <w:b/>
                <w:color w:val="000000" w:themeColor="text1"/>
                <w:sz w:val="24"/>
              </w:rPr>
              <w:t>①生产废水</w:t>
            </w:r>
            <w:r>
              <w:rPr>
                <w:rFonts w:ascii="Times New Roman" w:hAnsi="Times New Roman" w:cs="Times New Roman"/>
                <w:b/>
                <w:color w:val="000000" w:themeColor="text1"/>
                <w:sz w:val="24"/>
                <w:szCs w:val="24"/>
              </w:rPr>
              <w:t>污染治理设施可行性分析</w:t>
            </w:r>
          </w:p>
          <w:p>
            <w:pPr>
              <w:pStyle w:val="41"/>
              <w:ind w:firstLine="480"/>
              <w:rPr>
                <w:color w:val="000000" w:themeColor="text1"/>
                <w:szCs w:val="24"/>
              </w:rPr>
            </w:pPr>
            <w:r>
              <w:rPr>
                <w:color w:val="000000" w:themeColor="text1"/>
                <w:szCs w:val="24"/>
              </w:rPr>
              <w:t>根据设计，废水处理系统由11个总容积为858m³循环水池组成，为了使项目废水能稳定进入</w:t>
            </w:r>
            <w:r>
              <w:rPr>
                <w:rFonts w:hint="eastAsia"/>
                <w:color w:val="000000" w:themeColor="text1"/>
                <w:szCs w:val="24"/>
              </w:rPr>
              <w:t>废水处理系统</w:t>
            </w:r>
            <w:r>
              <w:rPr>
                <w:color w:val="000000" w:themeColor="text1"/>
                <w:szCs w:val="24"/>
              </w:rPr>
              <w:t>，项目拟在生产车间旁配套设置1个有效容积约为18m³的1#</w:t>
            </w:r>
            <w:r>
              <w:rPr>
                <w:rFonts w:hint="eastAsia"/>
                <w:color w:val="000000" w:themeColor="text1"/>
                <w:szCs w:val="24"/>
              </w:rPr>
              <w:t>废水收集循环池</w:t>
            </w:r>
            <w:r>
              <w:rPr>
                <w:color w:val="000000" w:themeColor="text1"/>
                <w:szCs w:val="24"/>
              </w:rPr>
              <w:t>，对各工序产生的废水进行收集、调节，使其流量稳定进入废水处理系统</w:t>
            </w:r>
            <w:r>
              <w:rPr>
                <w:rFonts w:hint="eastAsia"/>
                <w:color w:val="000000" w:themeColor="text1"/>
                <w:szCs w:val="24"/>
              </w:rPr>
              <w:t>循环沉淀过滤。</w:t>
            </w:r>
            <w:r>
              <w:rPr>
                <w:color w:val="000000" w:themeColor="text1"/>
                <w:szCs w:val="24"/>
              </w:rPr>
              <w:t>2#、3#</w:t>
            </w:r>
            <w:r>
              <w:rPr>
                <w:rFonts w:hint="eastAsia"/>
                <w:color w:val="000000" w:themeColor="text1"/>
                <w:szCs w:val="24"/>
              </w:rPr>
              <w:t>废水收集循环池</w:t>
            </w:r>
            <w:r>
              <w:rPr>
                <w:color w:val="000000" w:themeColor="text1"/>
                <w:szCs w:val="24"/>
              </w:rPr>
              <w:t>有效容积为100m³/个，4-11#</w:t>
            </w:r>
            <w:r>
              <w:rPr>
                <w:rFonts w:hint="eastAsia"/>
                <w:color w:val="000000" w:themeColor="text1"/>
                <w:szCs w:val="24"/>
              </w:rPr>
              <w:t>废水收集循环池</w:t>
            </w:r>
            <w:r>
              <w:rPr>
                <w:color w:val="000000" w:themeColor="text1"/>
                <w:szCs w:val="24"/>
              </w:rPr>
              <w:t>为圆形循环水池的尺寸均为Φ4.6m、深4.5m的圆柱体，其有效容积为80m³/个，则11个</w:t>
            </w:r>
            <w:r>
              <w:rPr>
                <w:rFonts w:hint="eastAsia"/>
                <w:color w:val="000000" w:themeColor="text1"/>
                <w:szCs w:val="24"/>
              </w:rPr>
              <w:t>废水收集循环池</w:t>
            </w:r>
            <w:r>
              <w:rPr>
                <w:color w:val="000000" w:themeColor="text1"/>
                <w:szCs w:val="24"/>
              </w:rPr>
              <w:t>的有效容积合计为858m³</w:t>
            </w:r>
            <w:r>
              <w:rPr>
                <w:rFonts w:hint="eastAsia"/>
                <w:color w:val="000000" w:themeColor="text1"/>
                <w:szCs w:val="24"/>
              </w:rPr>
              <w:t>。由于本项目对生产用水水质要求较低，且生产过程中用水环节均不添加任何药剂，因此项目产生的废水进入</w:t>
            </w:r>
            <w:r>
              <w:rPr>
                <w:color w:val="000000" w:themeColor="text1"/>
                <w:szCs w:val="24"/>
              </w:rPr>
              <w:t>废水处理系统</w:t>
            </w:r>
            <w:r>
              <w:rPr>
                <w:rFonts w:hint="eastAsia"/>
                <w:color w:val="000000" w:themeColor="text1"/>
                <w:szCs w:val="24"/>
              </w:rPr>
              <w:t>中，在各循环水池进行短暂的停留过滤即可满足回用要求，项目</w:t>
            </w:r>
            <w:r>
              <w:rPr>
                <w:color w:val="000000" w:themeColor="text1"/>
                <w:szCs w:val="24"/>
              </w:rPr>
              <w:t>废水处理系统</w:t>
            </w:r>
            <w:r>
              <w:rPr>
                <w:rFonts w:hint="eastAsia"/>
                <w:color w:val="000000" w:themeColor="text1"/>
                <w:szCs w:val="24"/>
              </w:rPr>
              <w:t>中除</w:t>
            </w:r>
            <w:r>
              <w:rPr>
                <w:color w:val="000000" w:themeColor="text1"/>
                <w:szCs w:val="24"/>
              </w:rPr>
              <w:t>1#</w:t>
            </w:r>
            <w:r>
              <w:rPr>
                <w:rFonts w:hint="eastAsia"/>
                <w:color w:val="000000" w:themeColor="text1"/>
                <w:szCs w:val="24"/>
              </w:rPr>
              <w:t>废水收集循环池主要为收集、调节功能外排，其他循环水池（2-11#）的最小容积为</w:t>
            </w:r>
            <w:r>
              <w:rPr>
                <w:color w:val="000000" w:themeColor="text1"/>
                <w:szCs w:val="24"/>
              </w:rPr>
              <w:t>80m³</w:t>
            </w:r>
            <w:r>
              <w:rPr>
                <w:rFonts w:hint="eastAsia"/>
                <w:color w:val="000000" w:themeColor="text1"/>
                <w:szCs w:val="24"/>
              </w:rPr>
              <w:t>，停留时间以1h计，则该废水处理系统废水循环水量可达到</w:t>
            </w:r>
            <w:r>
              <w:rPr>
                <w:color w:val="000000" w:themeColor="text1"/>
                <w:szCs w:val="24"/>
              </w:rPr>
              <w:t>1920m³/d。项目生产废水产生量为1320.54m³/d，</w:t>
            </w:r>
            <w:r>
              <w:rPr>
                <w:rFonts w:hint="eastAsia"/>
                <w:color w:val="000000" w:themeColor="text1"/>
                <w:szCs w:val="24"/>
              </w:rPr>
              <w:t>而生产废水处理系统的规模可达到1920m³/d，其处理规模可达到要求，由本项目生产废水的特征污染物为SS，工艺可满足SS的处理要求，综上，项目生产废水</w:t>
            </w:r>
            <w:r>
              <w:rPr>
                <w:color w:val="000000" w:themeColor="text1"/>
                <w:szCs w:val="24"/>
              </w:rPr>
              <w:t>污染治理设施可行性</w:t>
            </w:r>
            <w:r>
              <w:rPr>
                <w:rFonts w:hint="eastAsia"/>
                <w:color w:val="000000" w:themeColor="text1"/>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隔油池环境影响减缓措施有效性分析</w:t>
            </w:r>
          </w:p>
          <w:p>
            <w:pPr>
              <w:pStyle w:val="41"/>
              <w:ind w:firstLine="480"/>
              <w:rPr>
                <w:rFonts w:eastAsiaTheme="minorEastAsia"/>
                <w:color w:val="000000" w:themeColor="text1"/>
                <w:szCs w:val="24"/>
              </w:rPr>
            </w:pPr>
            <w:r>
              <w:rPr>
                <w:rFonts w:eastAsiaTheme="minorEastAsia"/>
                <w:color w:val="000000" w:themeColor="text1"/>
                <w:szCs w:val="24"/>
              </w:rPr>
              <w:t>根据工程分析可知，本项目设置食堂，</w:t>
            </w:r>
            <w:r>
              <w:rPr>
                <w:rFonts w:hint="eastAsia" w:eastAsiaTheme="minorEastAsia"/>
                <w:color w:val="000000" w:themeColor="text1"/>
                <w:szCs w:val="24"/>
              </w:rPr>
              <w:t>新增</w:t>
            </w:r>
            <w:r>
              <w:rPr>
                <w:rFonts w:eastAsiaTheme="minorEastAsia"/>
                <w:color w:val="000000" w:themeColor="text1"/>
                <w:szCs w:val="24"/>
              </w:rPr>
              <w:t>食堂废水量约为</w:t>
            </w:r>
            <w:r>
              <w:rPr>
                <w:rFonts w:hint="eastAsia" w:eastAsiaTheme="minorEastAsia"/>
                <w:color w:val="000000" w:themeColor="text1"/>
                <w:szCs w:val="24"/>
              </w:rPr>
              <w:t>0.64</w:t>
            </w:r>
            <w:r>
              <w:rPr>
                <w:rFonts w:eastAsiaTheme="minorEastAsia"/>
                <w:color w:val="000000" w:themeColor="text1"/>
                <w:szCs w:val="24"/>
              </w:rPr>
              <w:t>m³/d，</w:t>
            </w:r>
            <w:r>
              <w:rPr>
                <w:rFonts w:hint="eastAsia" w:eastAsiaTheme="minorEastAsia"/>
                <w:color w:val="000000" w:themeColor="text1"/>
                <w:szCs w:val="24"/>
              </w:rPr>
              <w:t>原有</w:t>
            </w:r>
            <w:r>
              <w:rPr>
                <w:rFonts w:eastAsiaTheme="minorEastAsia"/>
                <w:color w:val="000000" w:themeColor="text1"/>
                <w:szCs w:val="24"/>
              </w:rPr>
              <w:t>食堂废水量</w:t>
            </w:r>
            <w:r>
              <w:rPr>
                <w:rFonts w:hint="eastAsia" w:eastAsiaTheme="minorEastAsia"/>
                <w:color w:val="000000" w:themeColor="text1"/>
                <w:szCs w:val="24"/>
              </w:rPr>
              <w:t>为1.52</w:t>
            </w:r>
            <w:r>
              <w:rPr>
                <w:rFonts w:eastAsiaTheme="minorEastAsia"/>
                <w:color w:val="000000" w:themeColor="text1"/>
                <w:szCs w:val="24"/>
              </w:rPr>
              <w:t>m³/d</w:t>
            </w:r>
            <w:r>
              <w:rPr>
                <w:rFonts w:hint="eastAsia" w:eastAsiaTheme="minorEastAsia"/>
                <w:color w:val="000000" w:themeColor="text1"/>
                <w:szCs w:val="24"/>
              </w:rPr>
              <w:t>，则项目建成后合计食堂废水产生量为2.64</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根据《建筑给排水设计规范》（（GB50015-2019），污水在隔油池内停留时间宜为30min，则本项目设置的1m³的隔油池可满足停留要求，隔油池设置合理。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41"/>
              <w:ind w:firstLine="480"/>
              <w:rPr>
                <w:rFonts w:eastAsiaTheme="minorEastAsia"/>
                <w:color w:val="000000" w:themeColor="text1"/>
                <w:szCs w:val="24"/>
              </w:rPr>
            </w:pPr>
            <w:r>
              <w:rPr>
                <w:rFonts w:eastAsiaTheme="minorEastAsia"/>
                <w:color w:val="000000" w:themeColor="text1"/>
                <w:szCs w:val="24"/>
              </w:rPr>
              <w:t>根据工程分析可知，</w:t>
            </w:r>
            <w:r>
              <w:rPr>
                <w:rFonts w:hint="eastAsia" w:eastAsiaTheme="minorEastAsia"/>
                <w:color w:val="000000" w:themeColor="text1"/>
                <w:szCs w:val="24"/>
              </w:rPr>
              <w:t>新增</w:t>
            </w:r>
            <w:r>
              <w:rPr>
                <w:rFonts w:eastAsiaTheme="minorEastAsia"/>
                <w:color w:val="000000" w:themeColor="text1"/>
                <w:szCs w:val="24"/>
              </w:rPr>
              <w:t>生活污水产生量约为</w:t>
            </w:r>
            <w:r>
              <w:rPr>
                <w:rFonts w:hint="eastAsia" w:eastAsiaTheme="minorEastAsia"/>
                <w:color w:val="000000" w:themeColor="text1"/>
                <w:szCs w:val="24"/>
              </w:rPr>
              <w:t>1.28</w:t>
            </w:r>
            <w:r>
              <w:rPr>
                <w:rFonts w:eastAsiaTheme="minorEastAsia"/>
                <w:color w:val="000000" w:themeColor="text1"/>
                <w:szCs w:val="24"/>
              </w:rPr>
              <w:t>m³/d，</w:t>
            </w:r>
            <w:r>
              <w:rPr>
                <w:rFonts w:hint="eastAsia" w:eastAsiaTheme="minorEastAsia"/>
                <w:color w:val="000000" w:themeColor="text1"/>
                <w:szCs w:val="24"/>
              </w:rPr>
              <w:t>原有生活废水产生量3.04</w:t>
            </w:r>
            <w:r>
              <w:rPr>
                <w:rFonts w:eastAsiaTheme="minorEastAsia"/>
                <w:color w:val="000000" w:themeColor="text1"/>
                <w:szCs w:val="24"/>
              </w:rPr>
              <w:t>m³/d</w:t>
            </w:r>
            <w:r>
              <w:rPr>
                <w:rFonts w:hint="eastAsia" w:eastAsiaTheme="minorEastAsia"/>
                <w:color w:val="000000" w:themeColor="text1"/>
                <w:szCs w:val="24"/>
              </w:rPr>
              <w:t>，则项目建成后合计生活污水产生量为4.32</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变化系数按照1.2计，则最大生活污水量约为</w:t>
            </w:r>
            <w:r>
              <w:rPr>
                <w:rFonts w:hint="eastAsia" w:eastAsiaTheme="minorEastAsia"/>
                <w:color w:val="000000" w:themeColor="text1"/>
                <w:szCs w:val="24"/>
              </w:rPr>
              <w:t>5.18</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根据《建筑给排水设计规范》（（GB50015-2019），化粪池总容积应满足废水停留时间12-24h的要求，并做好防渗处理，化粪池宜建在便于机动车清掏的位置；项目生活区旁已设置了1个有效容积为20m³的化粪池</w:t>
            </w:r>
            <w:r>
              <w:rPr>
                <w:rFonts w:hint="eastAsia" w:eastAsiaTheme="minorEastAsia"/>
                <w:color w:val="000000" w:themeColor="text1"/>
                <w:szCs w:val="24"/>
              </w:rPr>
              <w:t>可满足</w:t>
            </w:r>
            <w:r>
              <w:rPr>
                <w:rFonts w:eastAsiaTheme="minorEastAsia"/>
                <w:color w:val="000000" w:themeColor="text1"/>
                <w:szCs w:val="24"/>
              </w:rPr>
              <w:t>《建筑给排水设计规范》（（GB50015-2019）</w:t>
            </w:r>
            <w:r>
              <w:rPr>
                <w:rFonts w:hint="eastAsia" w:eastAsiaTheme="minorEastAsia"/>
                <w:color w:val="000000" w:themeColor="text1"/>
                <w:szCs w:val="24"/>
              </w:rPr>
              <w:t>化粪池的要求，</w:t>
            </w:r>
            <w:r>
              <w:rPr>
                <w:rFonts w:eastAsiaTheme="minorEastAsia"/>
                <w:color w:val="000000" w:themeColor="text1"/>
                <w:szCs w:val="24"/>
              </w:rPr>
              <w:t>因此化粪池设置合理。</w:t>
            </w:r>
          </w:p>
          <w:p>
            <w:pPr>
              <w:pStyle w:val="41"/>
              <w:ind w:firstLine="482"/>
              <w:rPr>
                <w:rFonts w:hAnsiTheme="minorEastAsia"/>
                <w:b/>
                <w:color w:val="000000" w:themeColor="text1"/>
                <w:szCs w:val="24"/>
              </w:rPr>
            </w:pPr>
            <w:r>
              <w:rPr>
                <w:rFonts w:hAnsiTheme="minorEastAsia"/>
                <w:b/>
                <w:color w:val="000000" w:themeColor="text1"/>
                <w:szCs w:val="24"/>
              </w:rPr>
              <w:fldChar w:fldCharType="begin"/>
            </w:r>
            <w:r>
              <w:rPr>
                <w:rFonts w:hAnsiTheme="minorEastAsia"/>
                <w:b/>
                <w:color w:val="000000" w:themeColor="text1"/>
                <w:szCs w:val="24"/>
              </w:rPr>
              <w:instrText xml:space="preserve"> </w:instrText>
            </w:r>
            <w:r>
              <w:rPr>
                <w:rFonts w:hint="eastAsia" w:hAnsiTheme="minorEastAsia"/>
                <w:b/>
                <w:color w:val="000000" w:themeColor="text1"/>
                <w:szCs w:val="24"/>
              </w:rPr>
              <w:instrText xml:space="preserve">= 3 \* GB2</w:instrText>
            </w:r>
            <w:r>
              <w:rPr>
                <w:rFonts w:hAnsiTheme="minorEastAsia"/>
                <w:b/>
                <w:color w:val="000000" w:themeColor="text1"/>
                <w:szCs w:val="24"/>
              </w:rPr>
              <w:instrText xml:space="preserve"> </w:instrText>
            </w:r>
            <w:r>
              <w:rPr>
                <w:rFonts w:hAnsiTheme="minorEastAsia"/>
                <w:b/>
                <w:color w:val="000000" w:themeColor="text1"/>
                <w:szCs w:val="24"/>
              </w:rPr>
              <w:fldChar w:fldCharType="separate"/>
            </w:r>
            <w:r>
              <w:rPr>
                <w:rFonts w:hint="eastAsia" w:hAnsiTheme="minorEastAsia"/>
                <w:b/>
                <w:color w:val="000000" w:themeColor="text1"/>
                <w:szCs w:val="24"/>
              </w:rPr>
              <w:t>⑶</w:t>
            </w:r>
            <w:r>
              <w:rPr>
                <w:rFonts w:hAnsiTheme="minorEastAsia"/>
                <w:b/>
                <w:color w:val="000000" w:themeColor="text1"/>
                <w:szCs w:val="24"/>
              </w:rPr>
              <w:fldChar w:fldCharType="end"/>
            </w:r>
            <w:r>
              <w:rPr>
                <w:rFonts w:hint="eastAsia" w:hAnsiTheme="minorEastAsia"/>
                <w:b/>
                <w:color w:val="000000" w:themeColor="text1"/>
                <w:szCs w:val="24"/>
              </w:rPr>
              <w:t>生活污水进入</w:t>
            </w:r>
            <w:r>
              <w:rPr>
                <w:rFonts w:hAnsiTheme="minorEastAsia"/>
                <w:b/>
                <w:color w:val="000000" w:themeColor="text1"/>
                <w:szCs w:val="24"/>
              </w:rPr>
              <w:t>四方地与碧谷园区污水处理厂</w:t>
            </w:r>
            <w:r>
              <w:rPr>
                <w:rFonts w:hint="eastAsia" w:hAnsiTheme="minorEastAsia"/>
                <w:b/>
                <w:color w:val="000000" w:themeColor="text1"/>
                <w:szCs w:val="24"/>
              </w:rPr>
              <w:t>可行</w:t>
            </w:r>
            <w:r>
              <w:rPr>
                <w:b/>
                <w:color w:val="000000" w:themeColor="text1"/>
                <w:szCs w:val="24"/>
              </w:rPr>
              <w:t>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四方地与碧谷园区污水处理厂位于龙东格公路西侧、大桥河以北、小江以东的三角地带，该污水处理厂于</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月委托云南省环境科学研究院编制完成了《云南省昆明市东川再就业特色产业园四方地与碧谷园区污染处理厂项目环境影响报告书》，</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19</w:t>
            </w:r>
            <w:r>
              <w:rPr>
                <w:rFonts w:ascii="Times New Roman" w:cs="Times New Roman" w:hAnsiTheme="minorEastAsia"/>
                <w:color w:val="000000" w:themeColor="text1"/>
                <w:sz w:val="24"/>
              </w:rPr>
              <w:t>号），</w:t>
            </w:r>
            <w:r>
              <w:rPr>
                <w:rFonts w:ascii="Times New Roman" w:hAnsi="Times New Roman" w:cs="Times New Roman"/>
                <w:color w:val="000000" w:themeColor="text1"/>
                <w:sz w:val="24"/>
              </w:rPr>
              <w:t>2015</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28</w:t>
            </w:r>
            <w:r>
              <w:rPr>
                <w:rFonts w:ascii="Times New Roman" w:cs="Times New Roman" w:hAnsiTheme="minorEastAsia"/>
                <w:color w:val="000000" w:themeColor="text1"/>
                <w:sz w:val="24"/>
              </w:rPr>
              <w:t>日通过环境保护竣工分段验收；并根据环办环监【</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61</w:t>
            </w:r>
            <w:r>
              <w:rPr>
                <w:rFonts w:ascii="Times New Roman" w:cs="Times New Roman" w:hAnsiTheme="minorEastAsia"/>
                <w:color w:val="000000" w:themeColor="text1"/>
                <w:sz w:val="24"/>
              </w:rPr>
              <w:t>号和云环通【</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178</w:t>
            </w:r>
            <w:r>
              <w:rPr>
                <w:rFonts w:ascii="Times New Roman" w:cs="Times New Roman" w:hAnsiTheme="minorEastAsia"/>
                <w:color w:val="000000" w:themeColor="text1"/>
                <w:sz w:val="24"/>
              </w:rPr>
              <w:t>号文件及相关环保技术规范的要求，安装了在线监测系统，截止</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年进水口在线监测分析仪为：流量、</w:t>
            </w:r>
            <w:r>
              <w:rPr>
                <w:rFonts w:ascii="Times New Roman" w:hAnsi="Times New Roman" w:cs="Times New Roman"/>
                <w:color w:val="000000" w:themeColor="text1"/>
                <w:sz w:val="24"/>
              </w:rPr>
              <w:t>PH</w:t>
            </w:r>
            <w:r>
              <w:rPr>
                <w:rFonts w:ascii="Times New Roman" w:cs="Times New Roman" w:hAnsiTheme="minorEastAsia"/>
                <w:color w:val="000000" w:themeColor="text1"/>
                <w:sz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、砷、铅、铜、总磷，共</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个参数；出水口在线分析仪为：流量、</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、砷、铅、铜、总磷、总氮，共</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四方地与碧谷园区污水处理厂总用地面积</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亩，总投资</w:t>
            </w:r>
            <w:r>
              <w:rPr>
                <w:rFonts w:ascii="Times New Roman" w:hAnsi="Times New Roman" w:cs="Times New Roman"/>
                <w:color w:val="000000" w:themeColor="text1"/>
                <w:sz w:val="24"/>
                <w:szCs w:val="24"/>
              </w:rPr>
              <w:t>3706.89</w:t>
            </w:r>
            <w:r>
              <w:rPr>
                <w:rFonts w:ascii="Times New Roman" w:cs="Times New Roman" w:hAnsiTheme="minorEastAsia"/>
                <w:color w:val="000000" w:themeColor="text1"/>
                <w:sz w:val="24"/>
                <w:szCs w:val="24"/>
              </w:rPr>
              <w:t>万元，一次性规划分期建设，一期</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，占地为</w:t>
            </w:r>
            <w:r>
              <w:rPr>
                <w:rFonts w:ascii="Times New Roman" w:hAnsi="Times New Roman" w:cs="Times New Roman"/>
                <w:color w:val="000000" w:themeColor="text1"/>
                <w:sz w:val="24"/>
                <w:szCs w:val="24"/>
              </w:rPr>
              <w:t>30.1</w:t>
            </w:r>
            <w:r>
              <w:rPr>
                <w:rFonts w:ascii="Times New Roman" w:cs="Times New Roman" w:hAnsiTheme="minorEastAsia"/>
                <w:color w:val="000000" w:themeColor="text1"/>
                <w:sz w:val="24"/>
                <w:szCs w:val="24"/>
              </w:rPr>
              <w:t>亩；二期扩建到</w:t>
            </w:r>
            <w:r>
              <w:rPr>
                <w:rFonts w:ascii="Times New Roman" w:hAnsi="Times New Roman" w:cs="Times New Roman"/>
                <w:color w:val="000000" w:themeColor="text1"/>
                <w:sz w:val="24"/>
                <w:szCs w:val="24"/>
              </w:rPr>
              <w:t>10000m³/d</w:t>
            </w:r>
            <w:r>
              <w:rPr>
                <w:rFonts w:ascii="Times New Roman" w:cs="Times New Roman" w:hAnsiTheme="minorEastAsia"/>
                <w:color w:val="000000" w:themeColor="text1"/>
                <w:sz w:val="24"/>
                <w:szCs w:val="24"/>
              </w:rPr>
              <w:t>，三期扩建到总建设规模</w:t>
            </w:r>
            <w:r>
              <w:rPr>
                <w:rFonts w:ascii="Times New Roman" w:hAnsi="Times New Roman" w:cs="Times New Roman"/>
                <w:color w:val="000000" w:themeColor="text1"/>
                <w:sz w:val="24"/>
                <w:szCs w:val="24"/>
              </w:rPr>
              <w:t>20000m³/d</w:t>
            </w:r>
            <w:r>
              <w:rPr>
                <w:rFonts w:ascii="Times New Roman" w:cs="Times New Roman" w:hAnsiTheme="minorEastAsia"/>
                <w:color w:val="000000" w:themeColor="text1"/>
                <w:sz w:val="24"/>
                <w:szCs w:val="24"/>
              </w:rPr>
              <w:t>。为降低成本，一期实际建设处理规模中土建工程</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，设备安装及处理能力为</w:t>
            </w:r>
            <w:r>
              <w:rPr>
                <w:rFonts w:ascii="Times New Roman" w:hAnsi="Times New Roman" w:cs="Times New Roman"/>
                <w:color w:val="000000" w:themeColor="text1"/>
                <w:sz w:val="24"/>
                <w:szCs w:val="24"/>
              </w:rPr>
              <w:t>2000m³/d</w:t>
            </w:r>
            <w:r>
              <w:rPr>
                <w:rFonts w:ascii="Times New Roman" w:cs="Times New Roman" w:hAnsiTheme="minorEastAsia"/>
                <w:color w:val="000000" w:themeColor="text1"/>
                <w:sz w:val="24"/>
                <w:szCs w:val="24"/>
              </w:rPr>
              <w:t>进行配置。工艺流程采用：两级混凝沉淀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臭氧氧化处理工艺；负责处理东川再就业特色产业园包括四方地和碧谷产业园企业产生的生产废水及生活污水。该污水处理厂目前处理生产废水及生活污水量约</w:t>
            </w:r>
            <w:r>
              <w:rPr>
                <w:rFonts w:hint="eastAsia"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0m³/d</w:t>
            </w:r>
            <w:r>
              <w:rPr>
                <w:rFonts w:ascii="Times New Roman" w:cs="Times New Roman" w:hAnsiTheme="minorEastAsia"/>
                <w:color w:val="000000" w:themeColor="text1"/>
                <w:sz w:val="24"/>
                <w:szCs w:val="24"/>
              </w:rPr>
              <w:t>，污水处理工艺系统至今正常稳定运行。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四方地与碧谷园区污水处理厂处理余量分析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根据工程分析可知，拟进入四方地与碧谷园区污水处理厂的生活污水，其产生量约为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w:t>
            </w:r>
            <w:r>
              <w:rPr>
                <w:rFonts w:hint="eastAsia" w:ascii="Times New Roman" w:cs="Times New Roman" w:hAnsiTheme="minorEastAsia"/>
                <w:color w:val="000000" w:themeColor="text1"/>
                <w:sz w:val="24"/>
                <w:szCs w:val="24"/>
              </w:rPr>
              <w:t>（422.4</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，经隔油池、化粪池处理达到《污水排入城镇下水道水质标准》（GB/T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-2015）B等级标准后，通过提升泵泵至厂区东侧小邓段公路污水管网进入四方地与碧谷园区污水处理厂处理；综上，项目进入四方地与碧谷园区污水处理厂的最大水量约为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m³/d，根据调查，目前实际运营规模约为</w:t>
            </w:r>
            <w:r>
              <w:rPr>
                <w:rFonts w:hint="eastAsia" w:ascii="Times New Roman" w:cs="Times New Roman" w:hAnsiTheme="minorEastAsia"/>
                <w:color w:val="000000" w:themeColor="text1"/>
                <w:sz w:val="24"/>
                <w:szCs w:val="24"/>
              </w:rPr>
              <w:t>40</w:t>
            </w:r>
            <w:r>
              <w:rPr>
                <w:rFonts w:ascii="Times New Roman" w:cs="Times New Roman" w:hAnsiTheme="minorEastAsia"/>
                <w:color w:val="000000" w:themeColor="text1"/>
                <w:sz w:val="24"/>
                <w:szCs w:val="24"/>
              </w:rPr>
              <w:t>0m³/d，处理余量较大，可满足本项目生产废水的处理要求。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w:instrText>
            </w:r>
            <w:r>
              <w:rPr>
                <w:rFonts w:hint="eastAsia" w:ascii="Times New Roman" w:hAnsi="Times New Roman" w:cs="Times New Roman"/>
                <w:b/>
                <w:color w:val="000000" w:themeColor="text1"/>
                <w:sz w:val="24"/>
              </w:rPr>
              <w:instrText xml:space="preserve">= 3 \* GB4</w:instrText>
            </w:r>
            <w:r>
              <w:rPr>
                <w:rFonts w:ascii="Times New Roman" w:hAnsi="Times New Roman" w:cs="Times New Roman"/>
                <w:b/>
                <w:color w:val="000000" w:themeColor="text1"/>
                <w:sz w:val="24"/>
              </w:rPr>
              <w:instrText xml:space="preserve"> </w:instrText>
            </w:r>
            <w:r>
              <w:rPr>
                <w:rFonts w:ascii="Times New Roman" w:hAnsi="Times New Roman" w:cs="Times New Roman"/>
                <w:b/>
                <w:color w:val="000000" w:themeColor="text1"/>
                <w:sz w:val="24"/>
              </w:rPr>
              <w:fldChar w:fldCharType="separate"/>
            </w:r>
            <w:r>
              <w:rPr>
                <w:rFonts w:hint="eastAsia" w:ascii="Times New Roman" w:hAnsi="Times New Roman" w:cs="Times New Roman"/>
                <w:b/>
                <w:color w:val="000000" w:themeColor="text1"/>
                <w:sz w:val="24"/>
              </w:rPr>
              <w:t>㈢</w:t>
            </w:r>
            <w:r>
              <w:rPr>
                <w:rFonts w:ascii="Times New Roman" w:hAnsi="Times New Roman" w:cs="Times New Roman"/>
                <w:b/>
                <w:color w:val="000000" w:themeColor="text1"/>
                <w:sz w:val="24"/>
              </w:rPr>
              <w:fldChar w:fldCharType="end"/>
            </w:r>
            <w:r>
              <w:rPr>
                <w:rFonts w:ascii="Times New Roman" w:cs="Times New Roman" w:hAnsiTheme="minorEastAsia"/>
                <w:b/>
                <w:color w:val="000000" w:themeColor="text1"/>
                <w:sz w:val="24"/>
                <w:szCs w:val="24"/>
              </w:rPr>
              <w:t>废水进入四方地与碧谷园区污水处理厂的可行性及达标性分析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根据调查，</w:t>
            </w:r>
            <w:r>
              <w:rPr>
                <w:rFonts w:hint="eastAsia" w:ascii="Times New Roman" w:cs="Times New Roman" w:hAnsiTheme="minorEastAsia"/>
                <w:color w:val="000000" w:themeColor="text1"/>
                <w:sz w:val="24"/>
                <w:szCs w:val="24"/>
              </w:rPr>
              <w:t>项目厂区现有生活污水已经化粪池处理后，通过园区管网全部进入</w:t>
            </w:r>
            <w:r>
              <w:rPr>
                <w:rFonts w:ascii="Times New Roman" w:cs="Times New Roman" w:hAnsiTheme="minorEastAsia"/>
                <w:color w:val="000000" w:themeColor="text1"/>
                <w:sz w:val="24"/>
                <w:szCs w:val="24"/>
              </w:rPr>
              <w:t>四方地与碧谷园区污水处理厂</w:t>
            </w:r>
            <w:r>
              <w:rPr>
                <w:rFonts w:hint="eastAsia" w:ascii="Times New Roman" w:cs="Times New Roman" w:hAnsiTheme="minorEastAsia"/>
                <w:color w:val="000000" w:themeColor="text1"/>
                <w:sz w:val="24"/>
                <w:szCs w:val="24"/>
              </w:rPr>
              <w:t>，因此项目生活污水</w:t>
            </w:r>
            <w:r>
              <w:rPr>
                <w:rFonts w:ascii="Times New Roman" w:cs="Times New Roman" w:hAnsiTheme="minorEastAsia"/>
                <w:color w:val="000000" w:themeColor="text1"/>
                <w:sz w:val="24"/>
                <w:szCs w:val="24"/>
              </w:rPr>
              <w:t>进入四方地与碧谷园区污水处理厂的可行</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根据工程分析，项目生活污水经隔油池、化粪池处理后可达到《污水排入城镇下水道水质标准》（GB/T</w:t>
            </w:r>
            <w:r>
              <w:rPr>
                <w:rFonts w:hint="eastAsia" w:ascii="Times New Roman" w:cs="Times New Roman" w:hAnsiTheme="minorEastAsia"/>
                <w:color w:val="000000" w:themeColor="text1"/>
                <w:sz w:val="24"/>
                <w:szCs w:val="24"/>
                <w:lang w:eastAsia="zh-CN"/>
              </w:rPr>
              <w:t>*****</w:t>
            </w:r>
            <w:r>
              <w:rPr>
                <w:rFonts w:ascii="Times New Roman" w:cs="Times New Roman" w:hAnsiTheme="minorEastAsia"/>
                <w:color w:val="000000" w:themeColor="text1"/>
                <w:sz w:val="24"/>
                <w:szCs w:val="24"/>
              </w:rPr>
              <w:t>-2015）B等级标准。</w:t>
            </w:r>
          </w:p>
          <w:p>
            <w:pPr>
              <w:pStyle w:val="41"/>
              <w:ind w:firstLine="480"/>
              <w:rPr>
                <w:rFonts w:eastAsiaTheme="minorEastAsia"/>
                <w:color w:val="000000" w:themeColor="text1"/>
                <w:szCs w:val="24"/>
              </w:rPr>
            </w:pPr>
            <w:r>
              <w:rPr>
                <w:rFonts w:hAnsiTheme="minorEastAsia"/>
                <w:color w:val="000000" w:themeColor="text1"/>
                <w:szCs w:val="24"/>
              </w:rPr>
              <w:t>综上，本项目产生的生活污水经隔油池、化粪池处理，达到《污水排入城镇下水道水质标准》（</w:t>
            </w:r>
            <w:r>
              <w:rPr>
                <w:color w:val="000000" w:themeColor="text1"/>
                <w:szCs w:val="24"/>
              </w:rPr>
              <w:t>GB/T</w:t>
            </w:r>
            <w:r>
              <w:rPr>
                <w:rFonts w:hint="eastAsia"/>
                <w:color w:val="000000" w:themeColor="text1"/>
                <w:szCs w:val="24"/>
                <w:lang w:eastAsia="zh-CN"/>
              </w:rPr>
              <w:t>*****</w:t>
            </w:r>
            <w:r>
              <w:rPr>
                <w:color w:val="000000" w:themeColor="text1"/>
                <w:szCs w:val="24"/>
              </w:rPr>
              <w:t>-2015</w:t>
            </w:r>
            <w:r>
              <w:rPr>
                <w:rFonts w:hAnsiTheme="minorEastAsia"/>
                <w:color w:val="000000" w:themeColor="text1"/>
                <w:szCs w:val="24"/>
              </w:rPr>
              <w:t>）</w:t>
            </w:r>
            <w:r>
              <w:rPr>
                <w:color w:val="000000" w:themeColor="text1"/>
                <w:szCs w:val="24"/>
              </w:rPr>
              <w:t>B</w:t>
            </w:r>
            <w:r>
              <w:rPr>
                <w:rFonts w:hAnsiTheme="minorEastAsia"/>
                <w:color w:val="000000" w:themeColor="text1"/>
                <w:szCs w:val="24"/>
              </w:rPr>
              <w:t>等级标准后，通过提升泵泵至厂区东侧小邓段公路污水管网进入四方地与碧谷园区污水处理厂处理集中处置，</w:t>
            </w:r>
            <w:r>
              <w:rPr>
                <w:rFonts w:eastAsiaTheme="minorEastAsia"/>
                <w:color w:val="000000" w:themeColor="text1"/>
                <w:szCs w:val="24"/>
              </w:rPr>
              <w:t>该措施合理可行。</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cs="Times New Roman" w:hAnsiTheme="minorEastAsia"/>
                <w:b/>
                <w:color w:val="000000" w:themeColor="text1"/>
                <w:sz w:val="24"/>
              </w:rPr>
              <w:t>③</w:t>
            </w:r>
            <w:r>
              <w:rPr>
                <w:rFonts w:ascii="Times New Roman" w:cs="Times New Roman" w:hAnsiTheme="minorEastAsia"/>
                <w:b/>
                <w:color w:val="000000" w:themeColor="text1"/>
                <w:sz w:val="24"/>
                <w:szCs w:val="24"/>
              </w:rPr>
              <w:t>初期雨水污染治理措施可行性分析</w:t>
            </w:r>
          </w:p>
          <w:p>
            <w:pPr>
              <w:pStyle w:val="41"/>
              <w:ind w:firstLine="480"/>
              <w:rPr>
                <w:color w:val="000000" w:themeColor="text1"/>
                <w:szCs w:val="21"/>
              </w:rPr>
            </w:pPr>
            <w:r>
              <w:rPr>
                <w:rFonts w:eastAsiaTheme="minorEastAsia"/>
                <w:color w:val="000000" w:themeColor="text1"/>
                <w:szCs w:val="24"/>
              </w:rPr>
              <w:t>根据工程分析可知，</w:t>
            </w:r>
            <w:r>
              <w:rPr>
                <w:rFonts w:hint="eastAsia" w:eastAsiaTheme="minorEastAsia"/>
                <w:color w:val="000000" w:themeColor="text1"/>
                <w:szCs w:val="24"/>
              </w:rPr>
              <w:t>本项目在现有厂区内建设，项目的建设不会改变现有厂区初期雨水的产生量；</w:t>
            </w:r>
            <w:r>
              <w:rPr>
                <w:rFonts w:hint="eastAsia"/>
                <w:color w:val="000000" w:themeColor="text1"/>
                <w:szCs w:val="21"/>
              </w:rPr>
              <w:t>现有厂区的初期雨水产生量约为32.35</w:t>
            </w:r>
            <w:r>
              <w:rPr>
                <w:color w:val="000000" w:themeColor="text1"/>
                <w:szCs w:val="21"/>
              </w:rPr>
              <w:t>m³/次，</w:t>
            </w:r>
            <w:r>
              <w:rPr>
                <w:rFonts w:eastAsiaTheme="minorEastAsia"/>
                <w:color w:val="000000" w:themeColor="text1"/>
                <w:szCs w:val="21"/>
              </w:rPr>
              <w:t>本项目现有厂区已设置了1个有效容积为150m³的1#初期雨水收集池和1个50.8m³的2#初期雨水收集池对其收集；整改后，拟再在厂区低处建设一个有效容积为5m³的3#初期雨水收集池，初期雨水经收集后，用于次氧化锌生产线原料堆场、厂区道路等区域进行洒水抑尘，不外排。</w:t>
            </w:r>
            <w:r>
              <w:rPr>
                <w:rFonts w:eastAsiaTheme="minorEastAsia"/>
                <w:color w:val="000000" w:themeColor="text1"/>
                <w:szCs w:val="24"/>
              </w:rPr>
              <w:t>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41"/>
              <w:ind w:firstLine="480"/>
              <w:rPr>
                <w:rFonts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污染影响类》的要求，项目竣工验收废水监测计划如下表所示。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 xml:space="preserve">8  </w:t>
            </w:r>
            <w:r>
              <w:rPr>
                <w:rFonts w:ascii="Times New Roman" w:hAnsi="Times New Roman" w:cs="Times New Roman"/>
                <w:b/>
                <w:color w:val="000000" w:themeColor="text1"/>
                <w:szCs w:val="24"/>
              </w:rPr>
              <w:t>项目废水</w:t>
            </w:r>
            <w:r>
              <w:rPr>
                <w:rFonts w:hint="eastAsia" w:ascii="Times New Roman" w:hAnsi="Times New Roman" w:cs="Times New Roman"/>
                <w:b/>
                <w:color w:val="000000" w:themeColor="text1"/>
                <w:szCs w:val="24"/>
              </w:rPr>
              <w:t>竣工验收</w:t>
            </w:r>
            <w:r>
              <w:rPr>
                <w:rFonts w:ascii="Times New Roman" w:hAnsi="Times New Roman" w:cs="Times New Roman"/>
                <w:b/>
                <w:color w:val="000000" w:themeColor="text1"/>
                <w:szCs w:val="24"/>
              </w:rPr>
              <w:t>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8"/>
              <w:gridCol w:w="2664"/>
              <w:gridCol w:w="1208"/>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266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12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3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w:t>
                  </w:r>
                </w:p>
              </w:tc>
              <w:tc>
                <w:tcPr>
                  <w:tcW w:w="1118" w:type="dxa"/>
                  <w:vAlign w:val="center"/>
                </w:tcPr>
                <w:p>
                  <w:pPr>
                    <w:pStyle w:val="33"/>
                    <w:spacing w:line="360" w:lineRule="exact"/>
                    <w:rPr>
                      <w:rFonts w:eastAsiaTheme="minorEastAsia"/>
                      <w:color w:val="000000" w:themeColor="text1"/>
                      <w:szCs w:val="21"/>
                    </w:rPr>
                  </w:pPr>
                  <w:r>
                    <w:rPr>
                      <w:rFonts w:hint="eastAsia"/>
                      <w:color w:val="000000" w:themeColor="text1"/>
                      <w:szCs w:val="24"/>
                    </w:rPr>
                    <w:t>废水收集循环池</w:t>
                  </w:r>
                </w:p>
              </w:tc>
              <w:tc>
                <w:tcPr>
                  <w:tcW w:w="2664" w:type="dxa"/>
                  <w:vAlign w:val="center"/>
                </w:tcPr>
                <w:p>
                  <w:pPr>
                    <w:pStyle w:val="33"/>
                    <w:spacing w:line="360" w:lineRule="exact"/>
                    <w:ind w:firstLine="210" w:firstLineChars="100"/>
                    <w:jc w:val="left"/>
                    <w:rPr>
                      <w:color w:val="000000" w:themeColor="text1"/>
                    </w:rPr>
                  </w:pP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rPr>
                    <w:t>氨氮</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color w:val="000000" w:themeColor="text1"/>
                      <w:szCs w:val="21"/>
                    </w:rPr>
                    <w:t>、</w:t>
                  </w:r>
                  <w:r>
                    <w:rPr>
                      <w:rFonts w:eastAsiaTheme="minorEastAsia"/>
                      <w:color w:val="000000" w:themeColor="text1"/>
                      <w:szCs w:val="21"/>
                    </w:rPr>
                    <w:t>镉</w:t>
                  </w:r>
                  <w:r>
                    <w:rPr>
                      <w:rFonts w:hint="eastAsia" w:eastAsiaTheme="minorEastAsia"/>
                      <w:color w:val="000000" w:themeColor="text1"/>
                      <w:szCs w:val="21"/>
                    </w:rPr>
                    <w:t>、</w:t>
                  </w:r>
                  <w:r>
                    <w:rPr>
                      <w:rFonts w:eastAsiaTheme="minorEastAsia"/>
                      <w:color w:val="000000" w:themeColor="text1"/>
                      <w:szCs w:val="21"/>
                    </w:rPr>
                    <w:t>铅</w:t>
                  </w:r>
                  <w:r>
                    <w:rPr>
                      <w:rFonts w:hint="eastAsia" w:eastAsiaTheme="minorEastAsia"/>
                      <w:color w:val="000000" w:themeColor="text1"/>
                      <w:szCs w:val="21"/>
                    </w:rPr>
                    <w:t>、</w:t>
                  </w:r>
                  <w:r>
                    <w:rPr>
                      <w:rFonts w:eastAsiaTheme="minorEastAsia"/>
                      <w:color w:val="000000" w:themeColor="text1"/>
                      <w:szCs w:val="21"/>
                    </w:rPr>
                    <w:t>铁</w:t>
                  </w:r>
                  <w:r>
                    <w:rPr>
                      <w:rFonts w:hint="eastAsia" w:eastAsiaTheme="minorEastAsia"/>
                      <w:color w:val="000000" w:themeColor="text1"/>
                      <w:szCs w:val="21"/>
                    </w:rPr>
                    <w:t>、</w:t>
                  </w:r>
                  <w:r>
                    <w:rPr>
                      <w:rFonts w:eastAsiaTheme="minorEastAsia"/>
                      <w:color w:val="000000" w:themeColor="text1"/>
                      <w:szCs w:val="21"/>
                    </w:rPr>
                    <w:t>锰</w:t>
                  </w:r>
                  <w:r>
                    <w:rPr>
                      <w:rFonts w:hint="eastAsia" w:eastAsiaTheme="minorEastAsia"/>
                      <w:color w:val="000000" w:themeColor="text1"/>
                      <w:szCs w:val="21"/>
                    </w:rPr>
                    <w:t>、</w:t>
                  </w:r>
                  <w:r>
                    <w:rPr>
                      <w:rFonts w:eastAsiaTheme="minorEastAsia"/>
                      <w:color w:val="000000" w:themeColor="text1"/>
                      <w:szCs w:val="21"/>
                    </w:rPr>
                    <w:t>氟化物</w:t>
                  </w:r>
                </w:p>
              </w:tc>
              <w:tc>
                <w:tcPr>
                  <w:tcW w:w="1208"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监测2天、每天4次</w:t>
                  </w:r>
                </w:p>
              </w:tc>
              <w:tc>
                <w:tcPr>
                  <w:tcW w:w="2733" w:type="dxa"/>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5" w:type="dxa"/>
                  <w:vMerge w:val="continue"/>
                  <w:vAlign w:val="center"/>
                </w:tcPr>
                <w:p>
                  <w:pPr>
                    <w:pStyle w:val="33"/>
                    <w:spacing w:line="360" w:lineRule="exact"/>
                    <w:rPr>
                      <w:rFonts w:eastAsiaTheme="minorEastAsia"/>
                      <w:color w:val="000000" w:themeColor="text1"/>
                      <w:szCs w:val="21"/>
                    </w:rPr>
                  </w:pP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化粪池排放口</w:t>
                  </w:r>
                </w:p>
              </w:tc>
              <w:tc>
                <w:tcPr>
                  <w:tcW w:w="2664" w:type="dxa"/>
                  <w:vAlign w:val="center"/>
                </w:tcPr>
                <w:p>
                  <w:pPr>
                    <w:pStyle w:val="33"/>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1208" w:type="dxa"/>
                  <w:vMerge w:val="continue"/>
                  <w:vAlign w:val="center"/>
                </w:tcPr>
                <w:p>
                  <w:pPr>
                    <w:pStyle w:val="33"/>
                    <w:spacing w:line="360" w:lineRule="exact"/>
                    <w:rPr>
                      <w:rFonts w:eastAsiaTheme="minorEastAsia"/>
                      <w:color w:val="000000" w:themeColor="text1"/>
                      <w:szCs w:val="21"/>
                    </w:rPr>
                  </w:pPr>
                </w:p>
              </w:tc>
              <w:tc>
                <w:tcPr>
                  <w:tcW w:w="2733" w:type="dxa"/>
                  <w:vAlign w:val="center"/>
                </w:tcPr>
                <w:p>
                  <w:pPr>
                    <w:pStyle w:val="33"/>
                    <w:spacing w:line="360" w:lineRule="exact"/>
                    <w:ind w:firstLine="210" w:firstLineChars="100"/>
                    <w:jc w:val="both"/>
                    <w:rPr>
                      <w:rFonts w:eastAsiaTheme="minorEastAsia"/>
                      <w:color w:val="000000" w:themeColor="text1"/>
                      <w:szCs w:val="21"/>
                    </w:rPr>
                  </w:pPr>
                  <w:r>
                    <w:rPr>
                      <w:color w:val="000000" w:themeColor="text1"/>
                    </w:rPr>
                    <w:t>《污水排入城镇下水道水质标准》（GB/T</w:t>
                  </w:r>
                  <w:r>
                    <w:rPr>
                      <w:rFonts w:hint="eastAsia"/>
                      <w:color w:val="000000" w:themeColor="text1"/>
                      <w:lang w:eastAsia="zh-CN"/>
                    </w:rPr>
                    <w:t>*****</w:t>
                  </w:r>
                  <w:r>
                    <w:rPr>
                      <w:color w:val="000000" w:themeColor="text1"/>
                    </w:rPr>
                    <w:t>-2015）的B等级标准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w:t>
            </w: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 xml:space="preserve">9 </w:t>
            </w:r>
            <w:r>
              <w:rPr>
                <w:rFonts w:ascii="Times New Roman" w:hAnsi="Times New Roman" w:cs="Times New Roman"/>
                <w:b/>
                <w:color w:val="000000" w:themeColor="text1"/>
                <w:szCs w:val="24"/>
              </w:rPr>
              <w:t>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18"/>
              <w:gridCol w:w="2664"/>
              <w:gridCol w:w="117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对象</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监测点位</w:t>
                  </w:r>
                </w:p>
              </w:tc>
              <w:tc>
                <w:tcPr>
                  <w:tcW w:w="266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监测因子</w:t>
                  </w:r>
                </w:p>
              </w:tc>
              <w:tc>
                <w:tcPr>
                  <w:tcW w:w="117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6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w:t>
                  </w:r>
                </w:p>
              </w:tc>
              <w:tc>
                <w:tcPr>
                  <w:tcW w:w="111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化粪池排放口</w:t>
                  </w:r>
                </w:p>
              </w:tc>
              <w:tc>
                <w:tcPr>
                  <w:tcW w:w="2664" w:type="dxa"/>
                  <w:vAlign w:val="center"/>
                </w:tcPr>
                <w:p>
                  <w:pPr>
                    <w:pStyle w:val="33"/>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117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1次/年</w:t>
                  </w:r>
                </w:p>
              </w:tc>
              <w:tc>
                <w:tcPr>
                  <w:tcW w:w="2767" w:type="dxa"/>
                  <w:vAlign w:val="center"/>
                </w:tcPr>
                <w:p>
                  <w:pPr>
                    <w:pStyle w:val="33"/>
                    <w:spacing w:line="360" w:lineRule="exact"/>
                    <w:ind w:firstLine="210" w:firstLineChars="100"/>
                    <w:jc w:val="both"/>
                    <w:rPr>
                      <w:rFonts w:eastAsiaTheme="minorEastAsia"/>
                      <w:color w:val="000000" w:themeColor="text1"/>
                      <w:szCs w:val="21"/>
                    </w:rPr>
                  </w:pPr>
                  <w:r>
                    <w:rPr>
                      <w:color w:val="000000" w:themeColor="text1"/>
                    </w:rPr>
                    <w:t>《污水排入城镇下水道水质标准》（GB/T</w:t>
                  </w:r>
                  <w:r>
                    <w:rPr>
                      <w:rFonts w:hint="eastAsia"/>
                      <w:color w:val="000000" w:themeColor="text1"/>
                      <w:lang w:eastAsia="zh-CN"/>
                    </w:rPr>
                    <w:t>*****</w:t>
                  </w:r>
                  <w:r>
                    <w:rPr>
                      <w:color w:val="000000" w:themeColor="text1"/>
                    </w:rPr>
                    <w:t>-2015）的B等级标准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8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雨水</w:t>
                  </w:r>
                </w:p>
              </w:tc>
              <w:tc>
                <w:tcPr>
                  <w:tcW w:w="111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664" w:type="dxa"/>
                  <w:vAlign w:val="center"/>
                </w:tcPr>
                <w:p>
                  <w:pPr>
                    <w:pStyle w:val="33"/>
                    <w:spacing w:line="360" w:lineRule="exact"/>
                    <w:ind w:firstLine="210" w:firstLineChars="100"/>
                    <w:jc w:val="left"/>
                    <w:rPr>
                      <w:color w:val="000000" w:themeColor="text1"/>
                    </w:rPr>
                  </w:pPr>
                  <w:r>
                    <w:rPr>
                      <w:rFonts w:hint="eastAsia"/>
                      <w:color w:val="000000" w:themeColor="text1"/>
                    </w:rPr>
                    <w:t>SS、</w:t>
                  </w:r>
                  <w:r>
                    <w:rPr>
                      <w:color w:val="000000" w:themeColor="text1"/>
                    </w:rPr>
                    <w:t>CODcr</w:t>
                  </w:r>
                  <w:r>
                    <w:rPr>
                      <w:rFonts w:hint="eastAsia"/>
                      <w:color w:val="000000" w:themeColor="text1"/>
                    </w:rPr>
                    <w:t>、石油类</w:t>
                  </w:r>
                </w:p>
              </w:tc>
              <w:tc>
                <w:tcPr>
                  <w:tcW w:w="1174"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1次/日</w:t>
                  </w:r>
                </w:p>
              </w:tc>
              <w:tc>
                <w:tcPr>
                  <w:tcW w:w="2767" w:type="dxa"/>
                  <w:vAlign w:val="center"/>
                </w:tcPr>
                <w:p>
                  <w:pPr>
                    <w:pStyle w:val="33"/>
                    <w:spacing w:line="360" w:lineRule="exact"/>
                    <w:ind w:firstLine="210" w:firstLineChars="100"/>
                    <w:jc w:val="both"/>
                    <w:rPr>
                      <w:color w:val="000000" w:themeColor="text1"/>
                    </w:rPr>
                  </w:pPr>
                  <w:r>
                    <w:rPr>
                      <w:rFonts w:hint="eastAsia"/>
                      <w:color w:val="000000" w:themeColor="text1"/>
                    </w:rPr>
                    <w:t>《污水综合排放标准》（GB</w:t>
                  </w:r>
                  <w:r>
                    <w:rPr>
                      <w:rFonts w:hint="eastAsia"/>
                      <w:color w:val="000000" w:themeColor="text1"/>
                      <w:lang w:eastAsia="zh-CN"/>
                    </w:rPr>
                    <w:t>****</w:t>
                  </w:r>
                  <w:r>
                    <w:rPr>
                      <w:rFonts w:hint="eastAsia"/>
                      <w:color w:val="000000" w:themeColor="text1"/>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8" w:type="dxa"/>
                  <w:gridSpan w:val="5"/>
                  <w:vAlign w:val="center"/>
                </w:tcPr>
                <w:p>
                  <w:pPr>
                    <w:pStyle w:val="33"/>
                    <w:spacing w:line="360" w:lineRule="exact"/>
                    <w:ind w:firstLine="210" w:firstLineChars="100"/>
                    <w:jc w:val="both"/>
                    <w:rPr>
                      <w:color w:val="000000" w:themeColor="text1"/>
                    </w:rPr>
                  </w:pPr>
                  <w:r>
                    <w:rPr>
                      <w:rFonts w:hint="eastAsia"/>
                      <w:color w:val="000000" w:themeColor="text1"/>
                    </w:rPr>
                    <w:t>备注：雨水排放口有流动水排放时开展监测，如监测一年无异常，按每季度有流量水时，开展监测。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cs="Times New Roman" w:hAnsiTheme="minorEastAsia"/>
                <w:b/>
                <w:color w:val="000000" w:themeColor="text1"/>
                <w:sz w:val="24"/>
              </w:rPr>
              <w:t>①生产废水</w:t>
            </w:r>
            <w:r>
              <w:rPr>
                <w:rFonts w:ascii="Times New Roman" w:cs="Times New Roman" w:hAnsiTheme="minorEastAsia"/>
                <w:b/>
                <w:color w:val="000000" w:themeColor="text1"/>
                <w:sz w:val="24"/>
              </w:rPr>
              <w:t>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项目生产废水为项目选别系统产生的选别废水，</w:t>
            </w:r>
            <w:r>
              <w:rPr>
                <w:rFonts w:hint="eastAsia" w:ascii="Times New Roman" w:hAnsi="Times New Roman" w:cs="Times New Roman"/>
                <w:bCs/>
                <w:color w:val="000000" w:themeColor="text1"/>
                <w:sz w:val="24"/>
                <w:szCs w:val="24"/>
              </w:rPr>
              <w:t>产生量为1320.54m³/d（435778.2</w:t>
            </w:r>
            <w:r>
              <w:rPr>
                <w:rFonts w:ascii="Times New Roman" w:hAnsi="Times New Roman" w:cs="Times New Roman"/>
                <w:bCs/>
                <w:color w:val="000000" w:themeColor="text1"/>
                <w:sz w:val="24"/>
                <w:szCs w:val="24"/>
              </w:rPr>
              <w:t>m³/a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rPr>
              <w:t>本项目选别系统为物理磁选、重选法，不添加任何药剂，</w:t>
            </w:r>
            <w:r>
              <w:rPr>
                <w:rFonts w:ascii="Times New Roman" w:hAnsi="Times New Roman" w:cs="Times New Roman"/>
                <w:bCs/>
                <w:color w:val="000000" w:themeColor="text1"/>
                <w:sz w:val="24"/>
                <w:szCs w:val="24"/>
              </w:rPr>
              <w:t>项目</w:t>
            </w:r>
            <w:r>
              <w:rPr>
                <w:rFonts w:hint="eastAsia" w:ascii="Times New Roman" w:hAnsi="Times New Roman" w:cs="Times New Roman"/>
                <w:bCs/>
                <w:color w:val="000000" w:themeColor="text1"/>
                <w:sz w:val="24"/>
                <w:szCs w:val="24"/>
              </w:rPr>
              <w:t>废水进入废水处理系统循环沉淀过滤处理后回用于生产，不外排。</w:t>
            </w:r>
            <w:r>
              <w:rPr>
                <w:rFonts w:hint="eastAsia"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422.4</w:t>
            </w:r>
            <w:r>
              <w:rPr>
                <w:rFonts w:ascii="Times New Roman" w:hAnsi="Times New Roman" w:cs="Times New Roman"/>
                <w:color w:val="000000" w:themeColor="text1"/>
                <w:sz w:val="24"/>
              </w:rPr>
              <w:t>m³/a；其中食堂废水约占生活污水量的50%，食堂废水量约为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m³/a）。目前项目已设置了1个1m³的隔油池、1个有效容积为20m³的化粪池对生活污水进行处理；项目生活污水经隔油池、化粪池处理后可达到《污水排入城镇下水道水质标准》（GB/T</w:t>
            </w:r>
            <w:r>
              <w:rPr>
                <w:rFonts w:hint="eastAsia" w:ascii="Times New Roman" w:hAnsi="Times New Roman" w:cs="Times New Roman"/>
                <w:color w:val="000000" w:themeColor="text1"/>
                <w:sz w:val="24"/>
                <w:lang w:eastAsia="zh-CN"/>
              </w:rPr>
              <w:t>*****</w:t>
            </w:r>
            <w:r>
              <w:rPr>
                <w:rFonts w:ascii="Times New Roman" w:hAnsi="Times New Roman" w:cs="Times New Roman"/>
                <w:color w:val="000000" w:themeColor="text1"/>
                <w:sz w:val="24"/>
              </w:rPr>
              <w:t>-2015）B等级标准后，</w:t>
            </w:r>
            <w:r>
              <w:rPr>
                <w:rFonts w:ascii="Times New Roman" w:cs="Times New Roman" w:hAnsiTheme="minorEastAsia"/>
                <w:color w:val="000000" w:themeColor="text1"/>
                <w:sz w:val="24"/>
                <w:szCs w:val="24"/>
              </w:rPr>
              <w:t>通过提升泵泵至厂区东侧小邓段公路污水管网</w:t>
            </w:r>
            <w:r>
              <w:rPr>
                <w:rFonts w:ascii="Times New Roman" w:hAnsi="Times New Roman" w:cs="Times New Roman"/>
                <w:color w:val="000000" w:themeColor="text1"/>
                <w:sz w:val="24"/>
              </w:rPr>
              <w:t>进入四方地与碧谷园区污水处理厂处理。</w:t>
            </w:r>
            <w:r>
              <w:rPr>
                <w:rFonts w:hint="eastAsia" w:ascii="Times New Roman" w:hAnsi="Times New Roman" w:cs="Times New Roman"/>
                <w:color w:val="000000" w:themeColor="text1"/>
                <w:sz w:val="24"/>
              </w:rPr>
              <w:t>对环境影响较小。</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③</w:t>
            </w:r>
            <w:r>
              <w:rPr>
                <w:rFonts w:ascii="Times New Roman" w:cs="Times New Roman" w:hAnsiTheme="minorEastAsia"/>
                <w:b/>
                <w:color w:val="000000" w:themeColor="text1"/>
                <w:sz w:val="24"/>
              </w:rPr>
              <w:t>初期雨水环境影响分析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根据工程分析可知，本项目</w:t>
            </w:r>
            <w:r>
              <w:rPr>
                <w:rFonts w:hint="eastAsia" w:ascii="Times New Roman" w:hAnsi="Times New Roman" w:cs="Times New Roman"/>
                <w:color w:val="000000" w:themeColor="text1"/>
                <w:sz w:val="24"/>
              </w:rPr>
              <w:t>现有厂区的初期雨水产生量约为32.35</w:t>
            </w:r>
            <w:r>
              <w:rPr>
                <w:rFonts w:ascii="Times New Roman" w:hAnsi="Times New Roman" w:cs="Times New Roman"/>
                <w:color w:val="000000" w:themeColor="text1"/>
                <w:sz w:val="24"/>
              </w:rPr>
              <w:t>m³/次，厂区设置雨污分流</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本项目现有厂区已设置了1个有效容积为150m³的1#初期雨水收集池和1个50.8m³的2#初期雨水收集池对其收集</w:t>
            </w:r>
            <w:r>
              <w:rPr>
                <w:rFonts w:hint="eastAsia" w:ascii="Times New Roman" w:hAnsi="Times New Roman" w:cs="Times New Roman"/>
                <w:color w:val="000000" w:themeColor="text1"/>
                <w:sz w:val="24"/>
              </w:rPr>
              <w:t>；整改后，拟再在</w:t>
            </w:r>
            <w:r>
              <w:rPr>
                <w:rFonts w:ascii="Times New Roman" w:hAnsi="Times New Roman" w:cs="Times New Roman"/>
                <w:color w:val="000000" w:themeColor="text1"/>
                <w:sz w:val="24"/>
              </w:rPr>
              <w:t>厂区</w:t>
            </w:r>
            <w:r>
              <w:rPr>
                <w:rFonts w:hint="eastAsia" w:ascii="Times New Roman" w:hAnsi="Times New Roman" w:cs="Times New Roman"/>
                <w:color w:val="000000" w:themeColor="text1"/>
                <w:sz w:val="24"/>
              </w:rPr>
              <w:t>低</w:t>
            </w:r>
            <w:r>
              <w:rPr>
                <w:rFonts w:ascii="Times New Roman" w:hAnsi="Times New Roman" w:cs="Times New Roman"/>
                <w:color w:val="000000" w:themeColor="text1"/>
                <w:sz w:val="24"/>
              </w:rPr>
              <w:t>处建设一个有效容积为5m³的</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初期雨水收集池</w:t>
            </w:r>
            <w:r>
              <w:rPr>
                <w:rFonts w:hint="eastAsia" w:ascii="Times New Roman" w:hAnsi="Times New Roman" w:cs="Times New Roman"/>
                <w:color w:val="000000" w:themeColor="text1"/>
                <w:sz w:val="24"/>
              </w:rPr>
              <w:t>，初期雨水经</w:t>
            </w:r>
            <w:r>
              <w:rPr>
                <w:rFonts w:ascii="Times New Roman" w:hAnsi="Times New Roman" w:cs="Times New Roman"/>
                <w:color w:val="000000" w:themeColor="text1"/>
                <w:sz w:val="24"/>
              </w:rPr>
              <w:t>收集后，</w:t>
            </w:r>
            <w:r>
              <w:rPr>
                <w:rFonts w:hint="eastAsia" w:ascii="Times New Roman" w:hAnsi="Times New Roman" w:cs="Times New Roman"/>
                <w:color w:val="000000" w:themeColor="text1"/>
                <w:sz w:val="24"/>
              </w:rPr>
              <w:t>用于次氧化锌生产线</w:t>
            </w:r>
            <w:r>
              <w:rPr>
                <w:rFonts w:ascii="Times New Roman" w:hAnsi="Times New Roman" w:cs="Times New Roman"/>
                <w:color w:val="000000" w:themeColor="text1"/>
                <w:sz w:val="24"/>
              </w:rPr>
              <w:t>原料堆场</w:t>
            </w:r>
            <w:r>
              <w:rPr>
                <w:rFonts w:hint="eastAsia" w:ascii="Times New Roman" w:hAnsi="Times New Roman" w:cs="Times New Roman"/>
                <w:color w:val="000000" w:themeColor="text1"/>
                <w:sz w:val="24"/>
              </w:rPr>
              <w:t>、厂区道路等区域进行洒水抑尘，不外排。</w:t>
            </w:r>
            <w:r>
              <w:rPr>
                <w:rFonts w:ascii="Times New Roman" w:hAnsi="Times New Roman" w:cs="Times New Roman"/>
                <w:color w:val="000000" w:themeColor="text1"/>
                <w:sz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根据项目特点，本项目在现有厂区范围内建设，其运营期噪声污染源强包括本项目噪声源强以及厂区内现有次氧化锌生产线噪声源强，具体如下。</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①本项目噪声源强</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w:t>
            </w: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表4.2.3-1</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项目噪声源强调查清单</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8"/>
              <w:gridCol w:w="739"/>
              <w:gridCol w:w="590"/>
              <w:gridCol w:w="618"/>
              <w:gridCol w:w="687"/>
              <w:gridCol w:w="567"/>
              <w:gridCol w:w="567"/>
              <w:gridCol w:w="567"/>
              <w:gridCol w:w="707"/>
              <w:gridCol w:w="708"/>
              <w:gridCol w:w="567"/>
              <w:gridCol w:w="708"/>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建筑物名称</w:t>
                  </w:r>
                </w:p>
              </w:tc>
              <w:tc>
                <w:tcPr>
                  <w:tcW w:w="739"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污染源名称</w:t>
                  </w:r>
                </w:p>
              </w:tc>
              <w:tc>
                <w:tcPr>
                  <w:tcW w:w="59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型号</w:t>
                  </w:r>
                </w:p>
              </w:tc>
              <w:tc>
                <w:tcPr>
                  <w:tcW w:w="6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声级/功率/dB（A）</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声源控制措施</w:t>
                  </w:r>
                </w:p>
              </w:tc>
              <w:tc>
                <w:tcPr>
                  <w:tcW w:w="1701" w:type="dxa"/>
                  <w:gridSpan w:val="3"/>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空间相对位置</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距</w:t>
                  </w:r>
                  <w:r>
                    <w:rPr>
                      <w:rFonts w:ascii="Times New Roman" w:hAnsi="Times New Roman" w:eastAsia="宋体" w:cs="Times New Roman"/>
                      <w:color w:val="000000" w:themeColor="text1"/>
                      <w:szCs w:val="20"/>
                    </w:rPr>
                    <w:t>室内边界距离距离m</w:t>
                  </w:r>
                </w:p>
              </w:tc>
              <w:tc>
                <w:tcPr>
                  <w:tcW w:w="70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室内边界声级/dB（A）</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运行时段</w:t>
                  </w:r>
                </w:p>
              </w:tc>
              <w:tc>
                <w:tcPr>
                  <w:tcW w:w="70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建筑物插入损失/dB（A）</w:t>
                  </w:r>
                </w:p>
              </w:tc>
              <w:tc>
                <w:tcPr>
                  <w:tcW w:w="1069" w:type="dxa"/>
                  <w:gridSpan w:val="2"/>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9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坐标X</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坐标Y</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离地高</w:t>
                  </w:r>
                  <w:r>
                    <w:rPr>
                      <w:rFonts w:hint="eastAsia" w:ascii="Times New Roman" w:hAnsi="Times New Roman" w:eastAsia="宋体" w:cs="Times New Roman"/>
                      <w:color w:val="000000" w:themeColor="text1"/>
                      <w:szCs w:val="20"/>
                    </w:rPr>
                    <w:t>Z</w:t>
                  </w: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声压级/dB（A）</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球磨分级系统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料斗</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54m³</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68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Times New Roman" w:eastAsia="宋体" w:cs="Times New Roman"/>
                      <w:color w:val="000000" w:themeColor="text1"/>
                      <w:szCs w:val="20"/>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75</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昼间、夜间</w:t>
                  </w: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选别系统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磁选机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CTB1021</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32"/>
                    </w:rPr>
                    <w:t>弱磁机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CTB0918</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摇床</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FNX-10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59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渣浆泵</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50ZJL-A35</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烘干系统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过滤机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GW-3</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4</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螺旋进料机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21t/h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烘干机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Φ1200*21000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ascii="Times New Roman" w:hAnsi="宋体" w:eastAsia="宋体" w:cs="Times New Roman"/>
                      <w:color w:val="000000" w:themeColor="text1"/>
                      <w:kern w:val="0"/>
                    </w:rPr>
                    <w:t>热风供应系统</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热风炉</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RFL型</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5</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Y5-47-4C</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Y5-47-6C</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6</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风机</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4-7Z-4.5A</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110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3</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8</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518" w:type="dxa"/>
                  <w:tcBorders>
                    <w:top w:val="single" w:color="auto" w:sz="4" w:space="0"/>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宋体" w:eastAsia="宋体" w:cs="Times New Roman"/>
                      <w:color w:val="000000" w:themeColor="text1"/>
                      <w:kern w:val="0"/>
                    </w:rPr>
                    <w:t>成品</w:t>
                  </w:r>
                  <w:r>
                    <w:rPr>
                      <w:rFonts w:ascii="Times New Roman" w:hAnsi="宋体" w:eastAsia="宋体" w:cs="Times New Roman"/>
                      <w:color w:val="000000" w:themeColor="text1"/>
                      <w:kern w:val="0"/>
                    </w:rPr>
                    <w:t>工序</w:t>
                  </w:r>
                </w:p>
              </w:tc>
              <w:tc>
                <w:tcPr>
                  <w:tcW w:w="739"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宋体" w:eastAsia="宋体" w:cs="Times New Roman"/>
                      <w:color w:val="000000" w:themeColor="text1"/>
                      <w:kern w:val="0"/>
                    </w:rPr>
                    <w:t>成品料斗</w:t>
                  </w:r>
                </w:p>
              </w:tc>
              <w:tc>
                <w:tcPr>
                  <w:tcW w:w="590"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Φ200*200</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68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9</w:t>
                  </w: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75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p>
              </w:tc>
              <w:tc>
                <w:tcPr>
                  <w:tcW w:w="708"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szCs w:val="20"/>
                    </w:rPr>
                  </w:pPr>
                  <w:r>
                    <w:rPr>
                      <w:rFonts w:hint="eastAsia" w:ascii="Times New Roman" w:hAnsi="Times New Roman" w:eastAsia="宋体" w:cs="Times New Roman"/>
                      <w:color w:val="000000" w:themeColor="text1"/>
                      <w:szCs w:val="20"/>
                    </w:rPr>
                    <w:t>1</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②现有次氧化锌生产线噪声源强</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现有次氧化锌生产线</w:t>
            </w:r>
            <w:r>
              <w:rPr>
                <w:rFonts w:ascii="Times New Roman" w:hAnsi="Times New Roman" w:cs="Times New Roman"/>
                <w:color w:val="000000" w:themeColor="text1"/>
                <w:sz w:val="24"/>
              </w:rPr>
              <w:t>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w:t>
            </w:r>
            <w:r>
              <w:rPr>
                <w:rFonts w:hint="eastAsia" w:ascii="Times New Roman" w:hAnsi="Times New Roman" w:cs="Times New Roman"/>
                <w:b/>
                <w:color w:val="000000" w:themeColor="text1"/>
                <w:szCs w:val="24"/>
              </w:rPr>
              <w:t>2 现有次氧化锌生产线</w:t>
            </w:r>
            <w:r>
              <w:rPr>
                <w:rFonts w:ascii="Times New Roman" w:hAnsi="Times New Roman" w:cs="Times New Roman"/>
                <w:b/>
                <w:color w:val="000000" w:themeColor="text1"/>
                <w:szCs w:val="24"/>
              </w:rPr>
              <w:t>噪声源强调查清单</w:t>
            </w:r>
          </w:p>
          <w:tbl>
            <w:tblPr>
              <w:tblStyle w:val="2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20"/>
              <w:gridCol w:w="740"/>
              <w:gridCol w:w="591"/>
              <w:gridCol w:w="618"/>
              <w:gridCol w:w="686"/>
              <w:gridCol w:w="567"/>
              <w:gridCol w:w="567"/>
              <w:gridCol w:w="567"/>
              <w:gridCol w:w="706"/>
              <w:gridCol w:w="707"/>
              <w:gridCol w:w="567"/>
              <w:gridCol w:w="707"/>
              <w:gridCol w:w="567"/>
              <w:gridCol w:w="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建筑物名称</w:t>
                  </w:r>
                </w:p>
              </w:tc>
              <w:tc>
                <w:tcPr>
                  <w:tcW w:w="74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污染源名称</w:t>
                  </w:r>
                </w:p>
              </w:tc>
              <w:tc>
                <w:tcPr>
                  <w:tcW w:w="591"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型号</w:t>
                  </w:r>
                </w:p>
              </w:tc>
              <w:tc>
                <w:tcPr>
                  <w:tcW w:w="618"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声级/功率/dB（A）</w:t>
                  </w:r>
                </w:p>
              </w:tc>
              <w:tc>
                <w:tcPr>
                  <w:tcW w:w="68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声源控制措施</w:t>
                  </w:r>
                </w:p>
              </w:tc>
              <w:tc>
                <w:tcPr>
                  <w:tcW w:w="1701" w:type="dxa"/>
                  <w:gridSpan w:val="3"/>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空间相对位置</w:t>
                  </w:r>
                </w:p>
              </w:tc>
              <w:tc>
                <w:tcPr>
                  <w:tcW w:w="70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距</w:t>
                  </w:r>
                  <w:r>
                    <w:rPr>
                      <w:rFonts w:ascii="Times New Roman" w:hAnsi="Times New Roman" w:eastAsia="宋体" w:cs="Times New Roman"/>
                      <w:color w:val="000000" w:themeColor="text1"/>
                      <w:kern w:val="32"/>
                    </w:rPr>
                    <w:t>室内边界距离距离m</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室内边界声级/dB（A）</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运行时段</w:t>
                  </w:r>
                </w:p>
              </w:tc>
              <w:tc>
                <w:tcPr>
                  <w:tcW w:w="70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建筑物插入损失/dB（A）</w:t>
                  </w:r>
                </w:p>
              </w:tc>
              <w:tc>
                <w:tcPr>
                  <w:tcW w:w="1069" w:type="dxa"/>
                  <w:gridSpan w:val="2"/>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91"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618"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坐标X</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坐标Y</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离地高</w:t>
                  </w:r>
                  <w:r>
                    <w:rPr>
                      <w:rFonts w:hint="eastAsia" w:ascii="Times New Roman" w:hAnsi="Times New Roman" w:eastAsia="宋体" w:cs="Times New Roman"/>
                      <w:color w:val="000000" w:themeColor="text1"/>
                      <w:kern w:val="32"/>
                    </w:rPr>
                    <w:t>Z</w:t>
                  </w:r>
                </w:p>
              </w:tc>
              <w:tc>
                <w:tcPr>
                  <w:tcW w:w="70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声压级/dB（A）</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配料车间</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上料机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10t/h</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85</w:t>
                  </w:r>
                </w:p>
              </w:tc>
              <w:tc>
                <w:tcPr>
                  <w:tcW w:w="686"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减震垫、消声器、墙体阻隔等</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67"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昼间、夜间</w:t>
                  </w: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皮带输送机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4.5×2kw</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破碎机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10kw</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焙烧段</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挥发回转窑</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w:t>
                  </w:r>
                  <w:r>
                    <w:rPr>
                      <w:rFonts w:hint="eastAsia" w:ascii="Times New Roman" w:hAnsi="Times New Roman" w:eastAsia="宋体" w:cs="Times New Roman"/>
                      <w:color w:val="000000" w:themeColor="text1"/>
                      <w:kern w:val="32"/>
                    </w:rPr>
                    <w:t>2.2×34m</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冷却及收尘段</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表冷收尘器</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布袋收尘器</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2826</w:t>
                  </w:r>
                  <w:r>
                    <w:rPr>
                      <w:rFonts w:ascii="Times New Roman" w:hAnsi="Times New Roman" w:eastAsia="宋体" w:cs="Times New Roman"/>
                      <w:color w:val="000000" w:themeColor="text1"/>
                      <w:kern w:val="32"/>
                    </w:rPr>
                    <w:t>m²</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其他</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离心引风机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Y8-39-10D</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罗茨鼓风机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RM364</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restart"/>
                  <w:tcBorders>
                    <w:top w:val="single" w:color="auto" w:sz="4" w:space="0"/>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储运工程</w:t>
                  </w: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0"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40"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591"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618"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95</w:t>
                  </w:r>
                </w:p>
              </w:tc>
              <w:tc>
                <w:tcPr>
                  <w:tcW w:w="686"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0</w:t>
                  </w:r>
                </w:p>
              </w:tc>
              <w:tc>
                <w:tcPr>
                  <w:tcW w:w="56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6"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w:t>
                  </w:r>
                </w:p>
              </w:tc>
              <w:tc>
                <w:tcPr>
                  <w:tcW w:w="707"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90</w:t>
                  </w:r>
                </w:p>
              </w:tc>
              <w:tc>
                <w:tcPr>
                  <w:tcW w:w="567" w:type="dxa"/>
                  <w:vMerge w:val="continue"/>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c>
                <w:tcPr>
                  <w:tcW w:w="70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w:t>
                  </w:r>
                </w:p>
              </w:tc>
              <w:tc>
                <w:tcPr>
                  <w:tcW w:w="567" w:type="dxa"/>
                  <w:tcBorders>
                    <w:tl2br w:val="nil"/>
                    <w:tr2bl w:val="nil"/>
                  </w:tcBorders>
                  <w:noWrap/>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502" w:type="dxa"/>
                  <w:tcBorders>
                    <w:tl2br w:val="nil"/>
                    <w:tr2bl w:val="nil"/>
                  </w:tcBorders>
                  <w:noWrap/>
                  <w:vAlign w:val="center"/>
                </w:tcPr>
                <w:p>
                  <w:pPr>
                    <w:spacing w:line="360" w:lineRule="exact"/>
                    <w:jc w:val="center"/>
                    <w:rPr>
                      <w:rFonts w:ascii="Times New Roman" w:hAnsi="Times New Roman" w:eastAsia="宋体" w:cs="Times New Roman"/>
                      <w:color w:val="000000" w:themeColor="text1"/>
                      <w:kern w:val="32"/>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w:t>
            </w:r>
            <w:r>
              <w:rPr>
                <w:rFonts w:hint="eastAsia" w:ascii="Times New Roman" w:hAnsi="Times New Roman" w:cs="Times New Roman"/>
                <w:color w:val="000000" w:themeColor="text1"/>
                <w:sz w:val="24"/>
                <w:szCs w:val="24"/>
              </w:rPr>
              <w:t>的贡献值</w:t>
            </w:r>
            <w:r>
              <w:rPr>
                <w:rFonts w:ascii="Times New Roman" w:hAnsi="Times New Roman" w:cs="Times New Roman"/>
                <w:color w:val="000000" w:themeColor="text1"/>
                <w:sz w:val="24"/>
                <w:szCs w:val="24"/>
              </w:rPr>
              <w:t>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Cambria Math" w:hAnsi="Cambria Math"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Cambria Math" w:hAnsi="Cambria Math" w:cs="Times New Roman"/>
                      <w:color w:val="000000" w:themeColor="text1"/>
                      <w:sz w:val="24"/>
                      <w:szCs w:val="24"/>
                    </w:rPr>
                    <m:t>π</m:t>
                  </m:r>
                  <m:sSup>
                    <m:sSupPr>
                      <m:ctrlPr>
                        <w:rPr>
                          <w:rFonts w:ascii="Cambria Math" w:hAnsi="Times New Roman" w:cs="Times New Roman"/>
                          <w:color w:val="000000" w:themeColor="text1"/>
                          <w:sz w:val="24"/>
                          <w:szCs w:val="24"/>
                        </w:rPr>
                      </m:ctrlPr>
                    </m:sSupPr>
                    <m:e>
                      <m:r>
                        <m:rP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m:rP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m:rP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m:rPr/>
                <w:rPr>
                  <w:rFonts w:ascii="Cambria Math" w:hAnsi="Cambria Math" w:cs="Times New Roman"/>
                  <w:color w:val="000000" w:themeColor="text1"/>
                  <w:sz w:val="24"/>
                  <w:szCs w:val="24"/>
                </w:rPr>
                <m:t>R</m:t>
              </m:r>
              <m:r>
                <m:rP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m:rP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Cambria Math" w:hAnsi="Cambria Math" w:cs="Times New Roman"/>
                  <w:color w:val="000000" w:themeColor="text1"/>
                  <w:sz w:val="24"/>
                  <w:szCs w:val="24"/>
                </w:rPr>
                <m:t>−</m:t>
              </m:r>
              <m:r>
                <m:rPr/>
                <w:rPr>
                  <w:rFonts w:ascii="Cambria Math" w:hAnsi="Cambria Math" w:cs="Times New Roman"/>
                  <w:color w:val="000000" w:themeColor="text1"/>
                  <w:sz w:val="24"/>
                  <w:szCs w:val="24"/>
                </w:rPr>
                <m:t>a</m:t>
              </m:r>
              <m:r>
                <m:rPr>
                  <m:sty m:val="p"/>
                </m:rPr>
                <w:rPr>
                  <w:rFonts w:ascii="Cambria Math" w:hAnsi="Cambria Math" w:cs="Times New Roman"/>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Cambria Math" w:hAnsi="Cambria Math" w:cs="Times New Roman"/>
                  <w:color w:val="000000" w:themeColor="text1"/>
                  <w:kern w:val="0"/>
                  <w:sz w:val="24"/>
                  <w:szCs w:val="24"/>
                </w:rPr>
                <m:t>（</m:t>
              </m:r>
              <m:r>
                <m:rPr/>
                <w:rPr>
                  <w:rFonts w:ascii="Cambria Math" w:hAnsi="Cambria Math" w:cs="Times New Roman"/>
                  <w:color w:val="000000" w:themeColor="text1"/>
                  <w:kern w:val="0"/>
                  <w:sz w:val="24"/>
                  <w:szCs w:val="24"/>
                </w:rPr>
                <m:t>T</m:t>
              </m:r>
              <m:r>
                <m:rPr>
                  <m:sty m:val="p"/>
                </m:rPr>
                <w:rPr>
                  <w:rFonts w:ascii="Cambria Math" w:hAnsi="Cambria Math" w:cs="Times New Roman"/>
                  <w:color w:val="000000" w:themeColor="text1"/>
                  <w:kern w:val="0"/>
                  <w:sz w:val="24"/>
                  <w:szCs w:val="24"/>
                </w:rPr>
                <m:t>）</m:t>
              </m:r>
              <m:r>
                <m:rP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Cambria Math" w:hAnsi="Cambria Math" w:cs="Times New Roman"/>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Cambria Math" w:hAnsi="Cambria Math" w:cs="Times New Roman"/>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Cambria Math" w:hAnsi="Cambria Math" w:cs="Times New Roman"/>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m:rP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m:rP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m:rP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m:rP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m:rP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m:rP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m:rPr/>
                                        <w:rPr>
                                          <w:rFonts w:ascii="Cambria Math" w:hAnsi="Times New Roman" w:cs="Times New Roman"/>
                                          <w:color w:val="000000" w:themeColor="text1"/>
                                          <w:sz w:val="24"/>
                                          <w:szCs w:val="24"/>
                                        </w:rPr>
                                        <m:t>1</m:t>
                                      </m:r>
                                      <m:r>
                                        <m:rP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③贡献</w:t>
            </w:r>
            <w:r>
              <w:rPr>
                <w:rFonts w:ascii="Times New Roman" w:hAnsi="Times New Roman" w:cs="Times New Roman"/>
                <w:b/>
                <w:color w:val="000000" w:themeColor="text1"/>
                <w:sz w:val="24"/>
                <w:szCs w:val="24"/>
              </w:rPr>
              <w:t>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贡献</w:t>
            </w:r>
            <w:r>
              <w:rPr>
                <w:rFonts w:ascii="Times New Roman" w:hAnsi="Times New Roman" w:cs="Times New Roman"/>
                <w:color w:val="000000" w:themeColor="text1"/>
                <w:sz w:val="24"/>
                <w:szCs w:val="24"/>
              </w:rPr>
              <w:t>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hint="eastAsia" w:ascii="Times New Roman" w:hAnsi="Times New Roman" w:cs="Times New Roman"/>
                <w:b/>
                <w:color w:val="000000" w:themeColor="text1"/>
                <w:sz w:val="24"/>
                <w:szCs w:val="24"/>
              </w:rPr>
              <w:t>贡献值</w:t>
            </w:r>
            <w:r>
              <w:rPr>
                <w:rFonts w:ascii="Times New Roman" w:hAnsi="Times New Roman" w:cs="Times New Roman"/>
                <w:b/>
                <w:color w:val="000000" w:themeColor="text1"/>
                <w:sz w:val="24"/>
                <w:szCs w:val="24"/>
              </w:rPr>
              <w:t>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w:t>
            </w:r>
            <w:r>
              <w:rPr>
                <w:rFonts w:hint="eastAsia" w:ascii="Times New Roman" w:hAnsi="Times New Roman" w:cs="Times New Roman"/>
                <w:color w:val="000000" w:themeColor="text1"/>
                <w:sz w:val="24"/>
                <w:szCs w:val="24"/>
              </w:rPr>
              <w:t>贡献</w:t>
            </w:r>
            <w:r>
              <w:rPr>
                <w:rFonts w:ascii="Times New Roman" w:hAnsi="Times New Roman" w:cs="Times New Roman"/>
                <w:color w:val="000000" w:themeColor="text1"/>
                <w:sz w:val="24"/>
                <w:szCs w:val="24"/>
              </w:rPr>
              <w:t>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项目建成后预测点的噪声</w:t>
            </w:r>
            <w:r>
              <w:rPr>
                <w:rFonts w:hint="eastAsia" w:ascii="Times New Roman" w:hAnsi="Times New Roman" w:cs="Times New Roman"/>
                <w:b/>
                <w:color w:val="000000" w:themeColor="text1"/>
                <w:szCs w:val="24"/>
              </w:rPr>
              <w:t>贡献</w:t>
            </w:r>
            <w:r>
              <w:rPr>
                <w:rFonts w:ascii="Times New Roman" w:hAnsi="Times New Roman" w:cs="Times New Roman"/>
                <w:b/>
                <w:color w:val="000000" w:themeColor="text1"/>
                <w:szCs w:val="24"/>
              </w:rPr>
              <w:t>值  单位：dB（A）</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02" w:type="dxa"/>
                  <w:vAlign w:val="center"/>
                </w:tcPr>
                <w:p>
                  <w:pPr>
                    <w:pStyle w:val="33"/>
                    <w:spacing w:line="360" w:lineRule="exact"/>
                    <w:rPr>
                      <w:color w:val="000000" w:themeColor="text1"/>
                      <w:szCs w:val="21"/>
                    </w:rPr>
                  </w:pPr>
                  <w:r>
                    <w:rPr>
                      <w:rFonts w:hint="eastAsia"/>
                      <w:color w:val="000000" w:themeColor="text1"/>
                      <w:szCs w:val="21"/>
                    </w:rPr>
                    <w:t>贡献</w:t>
                  </w:r>
                  <w:r>
                    <w:rPr>
                      <w:color w:val="000000" w:themeColor="text1"/>
                      <w:szCs w:val="21"/>
                    </w:rPr>
                    <w:t>值</w:t>
                  </w:r>
                </w:p>
              </w:tc>
              <w:tc>
                <w:tcPr>
                  <w:tcW w:w="1904" w:type="dxa"/>
                  <w:vAlign w:val="center"/>
                </w:tcPr>
                <w:p>
                  <w:pPr>
                    <w:pStyle w:val="33"/>
                    <w:spacing w:line="360" w:lineRule="exact"/>
                    <w:rPr>
                      <w:color w:val="000000" w:themeColor="text1"/>
                      <w:szCs w:val="21"/>
                    </w:rPr>
                  </w:pPr>
                  <w:r>
                    <w:rPr>
                      <w:color w:val="000000" w:themeColor="text1"/>
                      <w:szCs w:val="21"/>
                    </w:rPr>
                    <w:t>厂界东</w:t>
                  </w:r>
                </w:p>
              </w:tc>
              <w:tc>
                <w:tcPr>
                  <w:tcW w:w="1807" w:type="dxa"/>
                  <w:vAlign w:val="center"/>
                </w:tcPr>
                <w:p>
                  <w:pPr>
                    <w:pStyle w:val="33"/>
                    <w:spacing w:line="360" w:lineRule="exact"/>
                    <w:rPr>
                      <w:color w:val="000000" w:themeColor="text1"/>
                      <w:szCs w:val="21"/>
                    </w:rPr>
                  </w:pPr>
                  <w:r>
                    <w:rPr>
                      <w:color w:val="000000" w:themeColor="text1"/>
                      <w:szCs w:val="21"/>
                    </w:rPr>
                    <w:t>厂界南</w:t>
                  </w:r>
                </w:p>
              </w:tc>
              <w:tc>
                <w:tcPr>
                  <w:tcW w:w="1827" w:type="dxa"/>
                  <w:vAlign w:val="center"/>
                </w:tcPr>
                <w:p>
                  <w:pPr>
                    <w:pStyle w:val="33"/>
                    <w:spacing w:line="360" w:lineRule="exact"/>
                    <w:rPr>
                      <w:color w:val="000000" w:themeColor="text1"/>
                      <w:szCs w:val="21"/>
                    </w:rPr>
                  </w:pPr>
                  <w:r>
                    <w:rPr>
                      <w:color w:val="000000" w:themeColor="text1"/>
                      <w:szCs w:val="21"/>
                    </w:rPr>
                    <w:t>厂界西</w:t>
                  </w:r>
                </w:p>
              </w:tc>
              <w:tc>
                <w:tcPr>
                  <w:tcW w:w="1768" w:type="dxa"/>
                  <w:vAlign w:val="center"/>
                </w:tcPr>
                <w:p>
                  <w:pPr>
                    <w:pStyle w:val="33"/>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3"/>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55.7</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3"/>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55.7</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54.9</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4.3</w:t>
                  </w:r>
                </w:p>
              </w:tc>
            </w:tr>
          </w:tbl>
          <w:p>
            <w:pPr>
              <w:spacing w:beforeLines="50" w:line="360" w:lineRule="auto"/>
              <w:ind w:firstLine="360" w:firstLineChars="15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rPr>
              <w:t>-2008）3类标准要求。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1"/>
              <w:ind w:firstLine="480"/>
              <w:rPr>
                <w:rFonts w:eastAsiaTheme="minorEastAsia"/>
                <w:color w:val="000000" w:themeColor="text1"/>
                <w:szCs w:val="24"/>
              </w:rPr>
            </w:pPr>
            <w:r>
              <w:rPr>
                <w:rFonts w:eastAsiaTheme="minorEastAsia"/>
                <w:color w:val="000000" w:themeColor="text1"/>
                <w:szCs w:val="24"/>
              </w:rPr>
              <w:t>根据项目环境保护目标分布，项目区声环境</w:t>
            </w:r>
            <w:r>
              <w:rPr>
                <w:rFonts w:hint="eastAsia" w:eastAsiaTheme="minorEastAsia"/>
                <w:color w:val="000000" w:themeColor="text1"/>
                <w:szCs w:val="24"/>
              </w:rPr>
              <w:t>50m</w:t>
            </w:r>
            <w:r>
              <w:rPr>
                <w:rFonts w:eastAsiaTheme="minorEastAsia"/>
                <w:color w:val="000000" w:themeColor="text1"/>
                <w:szCs w:val="24"/>
              </w:rPr>
              <w:t>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spacing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①竣工验收监测要求</w:t>
            </w:r>
          </w:p>
          <w:p>
            <w:pPr>
              <w:pStyle w:val="41"/>
              <w:ind w:firstLine="480"/>
              <w:rPr>
                <w:rFonts w:eastAsiaTheme="minorEastAsia"/>
                <w:color w:val="000000" w:themeColor="text1"/>
                <w:szCs w:val="24"/>
              </w:rPr>
            </w:pPr>
            <w:r>
              <w:rPr>
                <w:rFonts w:hint="eastAsia" w:eastAsiaTheme="minorEastAsia"/>
                <w:color w:val="000000" w:themeColor="text1"/>
                <w:szCs w:val="24"/>
              </w:rPr>
              <w:t>根据《建设项目竣工环境保护验收技术指南</w:t>
            </w:r>
            <w:r>
              <w:rPr>
                <w:rFonts w:eastAsiaTheme="minorEastAsia"/>
                <w:color w:val="000000" w:themeColor="text1"/>
                <w:szCs w:val="24"/>
              </w:rPr>
              <w:t xml:space="preserve"> </w:t>
            </w:r>
            <w:r>
              <w:rPr>
                <w:rFonts w:hint="eastAsia" w:eastAsiaTheme="minorEastAsia"/>
                <w:color w:val="000000" w:themeColor="text1"/>
                <w:szCs w:val="24"/>
              </w:rPr>
              <w:t>污染影响类》的要求，项目竣工验收噪声监测计划如下表所示。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厂界噪声</w:t>
            </w:r>
            <w:r>
              <w:rPr>
                <w:rFonts w:hint="eastAsia" w:hAnsi="Times New Roman" w:eastAsiaTheme="minorEastAsia"/>
                <w:color w:val="000000" w:themeColor="text1"/>
                <w:sz w:val="21"/>
                <w:szCs w:val="21"/>
              </w:rPr>
              <w:t>竣工验收</w:t>
            </w:r>
            <w:r>
              <w:rPr>
                <w:rFonts w:hAnsi="Times New Roman" w:eastAsiaTheme="minorEastAsia"/>
                <w:color w:val="000000" w:themeColor="text1"/>
                <w:sz w:val="21"/>
                <w:szCs w:val="21"/>
              </w:rPr>
              <w:t>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监测频率</w:t>
                  </w:r>
                </w:p>
              </w:tc>
              <w:tc>
                <w:tcPr>
                  <w:tcW w:w="3476" w:type="dxa"/>
                  <w:vAlign w:val="center"/>
                </w:tcPr>
                <w:p>
                  <w:pPr>
                    <w:pStyle w:val="33"/>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3"/>
                    <w:widowControl w:val="0"/>
                    <w:spacing w:line="360" w:lineRule="exact"/>
                    <w:rPr>
                      <w:rFonts w:eastAsiaTheme="minorEastAsia"/>
                      <w:color w:val="000000" w:themeColor="text1"/>
                    </w:rPr>
                  </w:pPr>
                  <w:r>
                    <w:rPr>
                      <w:rFonts w:hint="eastAsia" w:eastAsiaTheme="minorEastAsia"/>
                      <w:color w:val="000000" w:themeColor="text1"/>
                      <w:szCs w:val="21"/>
                    </w:rPr>
                    <w:t>监测2天、每天昼夜各</w:t>
                  </w:r>
                  <w:r>
                    <w:rPr>
                      <w:rFonts w:eastAsiaTheme="minorEastAsia"/>
                      <w:color w:val="000000" w:themeColor="text1"/>
                      <w:szCs w:val="21"/>
                    </w:rPr>
                    <w:t>1</w:t>
                  </w:r>
                  <w:r>
                    <w:rPr>
                      <w:rFonts w:hint="eastAsia" w:eastAsiaTheme="minorEastAsia"/>
                      <w:color w:val="000000" w:themeColor="text1"/>
                      <w:szCs w:val="21"/>
                    </w:rPr>
                    <w:t>次</w:t>
                  </w:r>
                </w:p>
              </w:tc>
              <w:tc>
                <w:tcPr>
                  <w:tcW w:w="3476" w:type="dxa"/>
                  <w:vAlign w:val="center"/>
                </w:tcPr>
                <w:p>
                  <w:pPr>
                    <w:pStyle w:val="33"/>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w:t>
                  </w:r>
                  <w:r>
                    <w:rPr>
                      <w:rFonts w:hint="eastAsia"/>
                      <w:color w:val="000000" w:themeColor="text1"/>
                      <w:szCs w:val="21"/>
                    </w:rPr>
                    <w:t>3</w:t>
                  </w:r>
                  <w:r>
                    <w:rPr>
                      <w:color w:val="000000" w:themeColor="text1"/>
                      <w:szCs w:val="21"/>
                    </w:rPr>
                    <w:t>类标准</w:t>
                  </w:r>
                </w:p>
              </w:tc>
            </w:tr>
          </w:tbl>
          <w:p>
            <w:pPr>
              <w:spacing w:beforeLines="50" w:line="360" w:lineRule="auto"/>
              <w:ind w:firstLine="482" w:firstLineChars="200"/>
              <w:rPr>
                <w:rFonts w:ascii="Times New Roman" w:hAnsi="Times New Roman"/>
                <w:b/>
                <w:color w:val="000000" w:themeColor="text1"/>
                <w:sz w:val="24"/>
                <w:szCs w:val="24"/>
              </w:rPr>
            </w:pPr>
            <w:r>
              <w:rPr>
                <w:rFonts w:hint="eastAsia" w:ascii="Times New Roman" w:hAnsi="Times New Roman"/>
                <w:b/>
                <w:color w:val="000000" w:themeColor="text1"/>
                <w:sz w:val="24"/>
                <w:szCs w:val="24"/>
              </w:rPr>
              <w:t>②自行监测要求</w:t>
            </w:r>
          </w:p>
          <w:p>
            <w:pPr>
              <w:pStyle w:val="41"/>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5</w:t>
            </w:r>
            <w:r>
              <w:rPr>
                <w:rFonts w:hAnsi="Times New Roman" w:eastAsiaTheme="minorEastAsia"/>
                <w:color w:val="000000" w:themeColor="text1"/>
                <w:sz w:val="21"/>
                <w:szCs w:val="21"/>
              </w:rPr>
              <w:t xml:space="preserve">  厂界噪声自行监测计划一览表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3"/>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3"/>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3"/>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w:t>
                  </w:r>
                  <w:r>
                    <w:rPr>
                      <w:rFonts w:hint="eastAsia"/>
                      <w:color w:val="000000" w:themeColor="text1"/>
                      <w:szCs w:val="21"/>
                      <w:lang w:eastAsia="zh-CN"/>
                    </w:rPr>
                    <w:t>*****</w:t>
                  </w:r>
                  <w:r>
                    <w:rPr>
                      <w:color w:val="000000" w:themeColor="text1"/>
                      <w:szCs w:val="21"/>
                    </w:rPr>
                    <w:t>-2008）中3类标准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41"/>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w:t>
            </w:r>
            <w:r>
              <w:rPr>
                <w:rFonts w:hint="eastAsia" w:eastAsiaTheme="minorEastAsia"/>
                <w:color w:val="000000" w:themeColor="text1"/>
                <w:szCs w:val="24"/>
              </w:rPr>
              <w:t>项目对氧化锌尾渣（水淬渣）利用后剩余的废渣、袋式除尘器收集烟尘、</w:t>
            </w:r>
            <w:r>
              <w:rPr>
                <w:rFonts w:eastAsiaTheme="minorEastAsia"/>
                <w:color w:val="000000" w:themeColor="text1"/>
                <w:szCs w:val="24"/>
              </w:rPr>
              <w:t>旋风除尘器</w:t>
            </w:r>
            <w:r>
              <w:rPr>
                <w:rFonts w:hint="eastAsia" w:eastAsiaTheme="minorEastAsia"/>
                <w:color w:val="000000" w:themeColor="text1"/>
                <w:szCs w:val="24"/>
              </w:rPr>
              <w:t>+</w:t>
            </w:r>
            <w:r>
              <w:rPr>
                <w:rFonts w:eastAsiaTheme="minorEastAsia"/>
                <w:color w:val="000000" w:themeColor="text1"/>
                <w:szCs w:val="24"/>
              </w:rPr>
              <w:t>袋式除尘器收集粉尘、</w:t>
            </w:r>
            <w:r>
              <w:rPr>
                <w:rFonts w:hint="eastAsia" w:eastAsiaTheme="minorEastAsia"/>
                <w:color w:val="000000" w:themeColor="text1"/>
                <w:szCs w:val="24"/>
              </w:rPr>
              <w:t>热风炉燃烧产生的灰渣、</w:t>
            </w:r>
            <w:r>
              <w:rPr>
                <w:rFonts w:eastAsiaTheme="minorEastAsia"/>
                <w:color w:val="000000" w:themeColor="text1"/>
                <w:szCs w:val="24"/>
              </w:rPr>
              <w:t>设备维修产生的废机油及废弃沾油抹布、生活垃圾。具体如下：</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①废渣</w:t>
            </w:r>
          </w:p>
          <w:p>
            <w:pPr>
              <w:pStyle w:val="41"/>
              <w:ind w:firstLine="480"/>
              <w:rPr>
                <w:rFonts w:eastAsiaTheme="minorEastAsia"/>
                <w:color w:val="000000" w:themeColor="text1"/>
                <w:szCs w:val="24"/>
              </w:rPr>
            </w:pPr>
            <w:r>
              <w:rPr>
                <w:rFonts w:eastAsiaTheme="minorEastAsia"/>
                <w:color w:val="000000" w:themeColor="text1"/>
                <w:szCs w:val="24"/>
              </w:rPr>
              <w:t>根据物料平衡可知，本项目</w:t>
            </w:r>
            <w:r>
              <w:rPr>
                <w:rFonts w:hint="eastAsia" w:eastAsiaTheme="minorEastAsia"/>
                <w:color w:val="000000" w:themeColor="text1"/>
                <w:szCs w:val="24"/>
              </w:rPr>
              <w:t>浓密+真空过滤后的废渣</w:t>
            </w:r>
            <w:r>
              <w:rPr>
                <w:rFonts w:eastAsiaTheme="minorEastAsia"/>
                <w:color w:val="000000" w:themeColor="text1"/>
                <w:szCs w:val="24"/>
              </w:rPr>
              <w:t>产生</w:t>
            </w:r>
            <w:r>
              <w:rPr>
                <w:rFonts w:hint="eastAsia" w:eastAsiaTheme="minorEastAsia"/>
                <w:color w:val="000000" w:themeColor="text1"/>
                <w:szCs w:val="24"/>
              </w:rPr>
              <w:t>量</w:t>
            </w:r>
            <w:r>
              <w:rPr>
                <w:rFonts w:eastAsiaTheme="minorEastAsia"/>
                <w:color w:val="000000" w:themeColor="text1"/>
                <w:szCs w:val="24"/>
              </w:rPr>
              <w:t>约1</w:t>
            </w:r>
            <w:r>
              <w:rPr>
                <w:rFonts w:hint="eastAsia" w:eastAsiaTheme="minorEastAsia"/>
                <w:color w:val="000000" w:themeColor="text1"/>
                <w:szCs w:val="24"/>
              </w:rPr>
              <w:t>1.96</w:t>
            </w:r>
            <w:r>
              <w:rPr>
                <w:rFonts w:eastAsiaTheme="minorEastAsia"/>
                <w:color w:val="000000" w:themeColor="text1"/>
                <w:szCs w:val="24"/>
              </w:rPr>
              <w:t>万t/a，本项目通过物理磁选、重选的方式回收氧化锌尾渣（水淬渣）中有利用价值的铁，而根据建设单位委托监测单位对氧化锌尾渣（水淬渣）进行的属性鉴别，氧化锌尾渣（水淬渣）属于第I类一般工业固体废物，而经物理选别后的尾渣同样属于一般工业固体废物。项目已设置了1个600m²废渣暂存库对其进行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②袋式除尘器收集烟尘</w:t>
            </w:r>
          </w:p>
          <w:p>
            <w:pPr>
              <w:pStyle w:val="41"/>
              <w:ind w:firstLine="480"/>
              <w:rPr>
                <w:rFonts w:eastAsiaTheme="minorEastAsia"/>
                <w:color w:val="000000" w:themeColor="text1"/>
                <w:szCs w:val="24"/>
              </w:rPr>
            </w:pPr>
            <w:r>
              <w:rPr>
                <w:rFonts w:eastAsiaTheme="minorEastAsia"/>
                <w:color w:val="000000" w:themeColor="text1"/>
                <w:szCs w:val="24"/>
              </w:rPr>
              <w:t>针对热风炉燃烧烟气中的</w:t>
            </w:r>
            <w:r>
              <w:rPr>
                <w:rFonts w:hint="eastAsia" w:eastAsiaTheme="minorEastAsia"/>
                <w:color w:val="000000" w:themeColor="text1"/>
                <w:szCs w:val="24"/>
              </w:rPr>
              <w:t>颗粒物</w:t>
            </w:r>
            <w:r>
              <w:rPr>
                <w:rFonts w:eastAsiaTheme="minorEastAsia"/>
                <w:color w:val="000000" w:themeColor="text1"/>
                <w:szCs w:val="24"/>
              </w:rPr>
              <w:t>，项目拟布袋除尘器对其进行处理，1#布袋除尘除尘效率为99.7%，根据废气去除效率分析可知，本项目燃烧烟气袋式除尘器收集烟尘收集量为37t/a，统一收集进入废渣暂存库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旋风除尘器</w:t>
            </w:r>
            <w:r>
              <w:rPr>
                <w:rFonts w:hint="eastAsia" w:ascii="宋体" w:hAnsi="宋体" w:cs="宋体"/>
                <w:b/>
                <w:color w:val="000000" w:themeColor="text1"/>
                <w:szCs w:val="24"/>
              </w:rPr>
              <w:t>+</w:t>
            </w:r>
            <w:r>
              <w:rPr>
                <w:rFonts w:ascii="宋体" w:hAnsi="宋体" w:cs="宋体"/>
                <w:b/>
                <w:color w:val="000000" w:themeColor="text1"/>
                <w:szCs w:val="24"/>
              </w:rPr>
              <w:t>袋式除尘器收集粉尘</w:t>
            </w:r>
          </w:p>
          <w:p>
            <w:pPr>
              <w:pStyle w:val="41"/>
              <w:ind w:firstLine="480"/>
              <w:rPr>
                <w:rFonts w:eastAsiaTheme="minorEastAsia"/>
                <w:color w:val="000000" w:themeColor="text1"/>
                <w:szCs w:val="24"/>
              </w:rPr>
            </w:pPr>
            <w:r>
              <w:rPr>
                <w:rFonts w:hint="eastAsia" w:eastAsiaTheme="minorEastAsia"/>
                <w:color w:val="000000" w:themeColor="text1"/>
                <w:szCs w:val="24"/>
              </w:rPr>
              <w:t>针对烘干工序将产生烘干粉尘（颗粒物），项目拟设置旋风除尘+布袋除尘器处理，其中旋风除尘效率为70%，2#布袋除尘除尘效率为98.4%，则综合除尘效率约为99.5%，</w:t>
            </w:r>
            <w:r>
              <w:rPr>
                <w:rFonts w:eastAsiaTheme="minorEastAsia"/>
                <w:color w:val="000000" w:themeColor="text1"/>
                <w:szCs w:val="24"/>
              </w:rPr>
              <w:t>根据废气去除效率分析可知，本项目旋风除尘器</w:t>
            </w:r>
            <w:r>
              <w:rPr>
                <w:rFonts w:hint="eastAsia" w:eastAsiaTheme="minorEastAsia"/>
                <w:color w:val="000000" w:themeColor="text1"/>
                <w:szCs w:val="24"/>
              </w:rPr>
              <w:t>+</w:t>
            </w:r>
            <w:r>
              <w:rPr>
                <w:rFonts w:eastAsiaTheme="minorEastAsia"/>
                <w:color w:val="000000" w:themeColor="text1"/>
                <w:szCs w:val="24"/>
              </w:rPr>
              <w:t>袋式除尘器收集粉尘</w:t>
            </w:r>
            <w:r>
              <w:rPr>
                <w:rFonts w:hint="eastAsia" w:eastAsiaTheme="minorEastAsia"/>
                <w:color w:val="000000" w:themeColor="text1"/>
                <w:szCs w:val="24"/>
              </w:rPr>
              <w:t>量为21.91</w:t>
            </w:r>
            <w:r>
              <w:rPr>
                <w:rFonts w:eastAsiaTheme="minorEastAsia"/>
                <w:color w:val="000000" w:themeColor="text1"/>
                <w:szCs w:val="24"/>
              </w:rPr>
              <w:t>t/a</w:t>
            </w:r>
            <w:r>
              <w:rPr>
                <w:rFonts w:hint="eastAsia" w:eastAsiaTheme="minorEastAsia"/>
                <w:color w:val="000000" w:themeColor="text1"/>
                <w:szCs w:val="24"/>
              </w:rPr>
              <w:t>；该粉尘的主要成分为铁粉，该收集粉尘收集后返回生产工序烘干包装后外卖。处置率100%。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④灰渣</w:t>
            </w:r>
          </w:p>
          <w:p>
            <w:pPr>
              <w:pStyle w:val="41"/>
              <w:ind w:firstLine="480"/>
              <w:rPr>
                <w:rFonts w:eastAsiaTheme="minorEastAsia"/>
                <w:color w:val="000000" w:themeColor="text1"/>
                <w:szCs w:val="24"/>
              </w:rPr>
            </w:pPr>
            <w:r>
              <w:rPr>
                <w:rFonts w:hint="eastAsia" w:eastAsiaTheme="minorEastAsia"/>
                <w:color w:val="000000" w:themeColor="text1"/>
                <w:szCs w:val="24"/>
              </w:rPr>
              <w:t>项目</w:t>
            </w:r>
            <w:r>
              <w:rPr>
                <w:rFonts w:eastAsiaTheme="minorEastAsia"/>
                <w:color w:val="000000" w:themeColor="text1"/>
                <w:szCs w:val="24"/>
              </w:rPr>
              <w:t>烘干系统</w:t>
            </w:r>
            <w:r>
              <w:rPr>
                <w:rFonts w:hint="eastAsia" w:eastAsiaTheme="minorEastAsia"/>
                <w:color w:val="000000" w:themeColor="text1"/>
                <w:szCs w:val="24"/>
              </w:rPr>
              <w:t>设置了</w:t>
            </w:r>
            <w:r>
              <w:rPr>
                <w:rFonts w:eastAsiaTheme="minorEastAsia"/>
                <w:color w:val="000000" w:themeColor="text1"/>
                <w:szCs w:val="24"/>
              </w:rPr>
              <w:t>1套RFL型圆筒型热风炉</w:t>
            </w:r>
            <w:r>
              <w:rPr>
                <w:rFonts w:hint="eastAsia" w:eastAsiaTheme="minorEastAsia"/>
                <w:color w:val="000000" w:themeColor="text1"/>
                <w:szCs w:val="24"/>
              </w:rPr>
              <w:t>，热风炉使用生物质作为燃料，该生物质燃料使用量为1000t/a，其灰分约为</w:t>
            </w:r>
            <w:r>
              <w:rPr>
                <w:rFonts w:eastAsiaTheme="minorEastAsia"/>
                <w:color w:val="000000" w:themeColor="text1"/>
                <w:szCs w:val="24"/>
              </w:rPr>
              <w:t>3.07%</w:t>
            </w:r>
            <w:r>
              <w:rPr>
                <w:rFonts w:hint="eastAsia" w:eastAsiaTheme="minorEastAsia"/>
                <w:color w:val="000000" w:themeColor="text1"/>
                <w:szCs w:val="24"/>
              </w:rPr>
              <w:t>，飞灰份额约为0.95，则</w:t>
            </w:r>
            <w:r>
              <w:rPr>
                <w:rFonts w:eastAsiaTheme="minorEastAsia"/>
                <w:color w:val="000000" w:themeColor="text1"/>
                <w:szCs w:val="24"/>
              </w:rPr>
              <w:t>热风炉</w:t>
            </w:r>
            <w:r>
              <w:rPr>
                <w:rFonts w:hint="eastAsia" w:eastAsiaTheme="minorEastAsia"/>
                <w:color w:val="000000" w:themeColor="text1"/>
                <w:szCs w:val="24"/>
              </w:rPr>
              <w:t>燃烧过程产生的额灰渣量约为1.54t/a，</w:t>
            </w:r>
            <w:r>
              <w:rPr>
                <w:rFonts w:eastAsiaTheme="minorEastAsia"/>
                <w:color w:val="000000" w:themeColor="text1"/>
                <w:szCs w:val="24"/>
              </w:rPr>
              <w:t>统一收集进入废渣暂存库暂存后，委托四方地工业园区弃渣场处置。处置率100%。</w:t>
            </w:r>
          </w:p>
          <w:p>
            <w:pPr>
              <w:pStyle w:val="41"/>
              <w:ind w:firstLine="482"/>
              <w:rPr>
                <w:rFonts w:ascii="宋体" w:hAnsi="宋体" w:cs="宋体"/>
                <w:b/>
                <w:color w:val="000000" w:themeColor="text1"/>
                <w:szCs w:val="24"/>
              </w:rPr>
            </w:pPr>
            <w:r>
              <w:rPr>
                <w:rFonts w:hint="eastAsia" w:ascii="宋体" w:hAnsi="宋体" w:cs="宋体"/>
                <w:b/>
                <w:color w:val="000000" w:themeColor="text1"/>
                <w:szCs w:val="24"/>
              </w:rPr>
              <w:t>⑤</w:t>
            </w:r>
            <w:r>
              <w:rPr>
                <w:rFonts w:ascii="宋体" w:hAnsi="宋体" w:cs="宋体"/>
                <w:b/>
                <w:color w:val="000000" w:themeColor="text1"/>
                <w:szCs w:val="24"/>
              </w:rPr>
              <w:t>废机油及废弃沾油抹布</w:t>
            </w:r>
          </w:p>
          <w:p>
            <w:pPr>
              <w:pStyle w:val="41"/>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833"/>
              <w:gridCol w:w="1197"/>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项目危废</w:t>
                  </w:r>
                </w:p>
              </w:tc>
              <w:tc>
                <w:tcPr>
                  <w:tcW w:w="830" w:type="pct"/>
                  <w:vAlign w:val="center"/>
                </w:tcPr>
                <w:p>
                  <w:pPr>
                    <w:pStyle w:val="33"/>
                    <w:spacing w:line="360" w:lineRule="exact"/>
                    <w:rPr>
                      <w:color w:val="000000" w:themeColor="text1"/>
                      <w:szCs w:val="21"/>
                    </w:rPr>
                  </w:pPr>
                  <w:r>
                    <w:rPr>
                      <w:color w:val="000000" w:themeColor="text1"/>
                      <w:szCs w:val="21"/>
                    </w:rPr>
                    <w:t>废物类别</w:t>
                  </w:r>
                </w:p>
              </w:tc>
              <w:tc>
                <w:tcPr>
                  <w:tcW w:w="484" w:type="pct"/>
                  <w:vAlign w:val="center"/>
                </w:tcPr>
                <w:p>
                  <w:pPr>
                    <w:pStyle w:val="33"/>
                    <w:spacing w:line="360" w:lineRule="exact"/>
                    <w:rPr>
                      <w:color w:val="000000" w:themeColor="text1"/>
                      <w:szCs w:val="21"/>
                    </w:rPr>
                  </w:pPr>
                  <w:r>
                    <w:rPr>
                      <w:color w:val="000000" w:themeColor="text1"/>
                      <w:szCs w:val="21"/>
                    </w:rPr>
                    <w:t>行业来源</w:t>
                  </w:r>
                </w:p>
              </w:tc>
              <w:tc>
                <w:tcPr>
                  <w:tcW w:w="695" w:type="pct"/>
                  <w:vAlign w:val="center"/>
                </w:tcPr>
                <w:p>
                  <w:pPr>
                    <w:pStyle w:val="33"/>
                    <w:spacing w:line="360" w:lineRule="exact"/>
                    <w:rPr>
                      <w:color w:val="000000" w:themeColor="text1"/>
                      <w:szCs w:val="21"/>
                    </w:rPr>
                  </w:pPr>
                  <w:r>
                    <w:rPr>
                      <w:color w:val="000000" w:themeColor="text1"/>
                      <w:szCs w:val="21"/>
                    </w:rPr>
                    <w:t>废物代码</w:t>
                  </w:r>
                </w:p>
              </w:tc>
              <w:tc>
                <w:tcPr>
                  <w:tcW w:w="1732" w:type="pct"/>
                  <w:vAlign w:val="center"/>
                </w:tcPr>
                <w:p>
                  <w:pPr>
                    <w:pStyle w:val="33"/>
                    <w:spacing w:line="360" w:lineRule="exact"/>
                    <w:rPr>
                      <w:color w:val="000000" w:themeColor="text1"/>
                      <w:szCs w:val="21"/>
                    </w:rPr>
                  </w:pPr>
                  <w:r>
                    <w:rPr>
                      <w:color w:val="000000" w:themeColor="text1"/>
                      <w:szCs w:val="21"/>
                    </w:rPr>
                    <w:t>危险废物</w:t>
                  </w:r>
                </w:p>
              </w:tc>
              <w:tc>
                <w:tcPr>
                  <w:tcW w:w="583" w:type="pct"/>
                  <w:vAlign w:val="center"/>
                </w:tcPr>
                <w:p>
                  <w:pPr>
                    <w:pStyle w:val="33"/>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废机油</w:t>
                  </w:r>
                </w:p>
              </w:tc>
              <w:tc>
                <w:tcPr>
                  <w:tcW w:w="830" w:type="pct"/>
                  <w:vAlign w:val="center"/>
                </w:tcPr>
                <w:p>
                  <w:pPr>
                    <w:pStyle w:val="33"/>
                    <w:spacing w:line="360" w:lineRule="exact"/>
                    <w:rPr>
                      <w:color w:val="000000" w:themeColor="text1"/>
                      <w:szCs w:val="21"/>
                    </w:rPr>
                  </w:pPr>
                  <w:r>
                    <w:rPr>
                      <w:color w:val="000000" w:themeColor="text1"/>
                      <w:szCs w:val="21"/>
                    </w:rPr>
                    <w:t>HW08废矿物油与含矿物油废物</w:t>
                  </w:r>
                </w:p>
              </w:tc>
              <w:tc>
                <w:tcPr>
                  <w:tcW w:w="484" w:type="pct"/>
                  <w:vAlign w:val="center"/>
                </w:tcPr>
                <w:p>
                  <w:pPr>
                    <w:pStyle w:val="33"/>
                    <w:spacing w:line="360" w:lineRule="exact"/>
                    <w:rPr>
                      <w:color w:val="000000" w:themeColor="text1"/>
                      <w:szCs w:val="21"/>
                    </w:rPr>
                  </w:pPr>
                  <w:r>
                    <w:rPr>
                      <w:color w:val="000000" w:themeColor="text1"/>
                      <w:szCs w:val="21"/>
                    </w:rPr>
                    <w:t>非特定行业</w:t>
                  </w:r>
                </w:p>
              </w:tc>
              <w:tc>
                <w:tcPr>
                  <w:tcW w:w="695" w:type="pct"/>
                  <w:vAlign w:val="center"/>
                </w:tcPr>
                <w:p>
                  <w:pPr>
                    <w:pStyle w:val="33"/>
                    <w:spacing w:line="360" w:lineRule="exact"/>
                    <w:rPr>
                      <w:color w:val="000000" w:themeColor="text1"/>
                      <w:szCs w:val="21"/>
                    </w:rPr>
                  </w:pPr>
                  <w:r>
                    <w:rPr>
                      <w:color w:val="000000" w:themeColor="text1"/>
                      <w:szCs w:val="21"/>
                    </w:rPr>
                    <w:t>900-214-08</w:t>
                  </w:r>
                </w:p>
              </w:tc>
              <w:tc>
                <w:tcPr>
                  <w:tcW w:w="1732" w:type="pct"/>
                  <w:vAlign w:val="center"/>
                </w:tcPr>
                <w:p>
                  <w:pPr>
                    <w:pStyle w:val="33"/>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583" w:type="pct"/>
                  <w:vAlign w:val="center"/>
                </w:tcPr>
                <w:p>
                  <w:pPr>
                    <w:pStyle w:val="33"/>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pStyle w:val="33"/>
                    <w:spacing w:line="360" w:lineRule="exact"/>
                    <w:rPr>
                      <w:color w:val="000000" w:themeColor="text1"/>
                      <w:szCs w:val="21"/>
                    </w:rPr>
                  </w:pPr>
                  <w:r>
                    <w:rPr>
                      <w:color w:val="000000" w:themeColor="text1"/>
                      <w:szCs w:val="21"/>
                    </w:rPr>
                    <w:t>沾油的抹布</w:t>
                  </w:r>
                </w:p>
              </w:tc>
              <w:tc>
                <w:tcPr>
                  <w:tcW w:w="830" w:type="pct"/>
                  <w:vAlign w:val="center"/>
                </w:tcPr>
                <w:p>
                  <w:pPr>
                    <w:pStyle w:val="33"/>
                    <w:spacing w:line="360" w:lineRule="exact"/>
                    <w:rPr>
                      <w:color w:val="000000" w:themeColor="text1"/>
                      <w:szCs w:val="21"/>
                    </w:rPr>
                  </w:pPr>
                  <w:r>
                    <w:rPr>
                      <w:color w:val="000000" w:themeColor="text1"/>
                      <w:szCs w:val="21"/>
                    </w:rPr>
                    <w:t>HW49其他废物</w:t>
                  </w:r>
                </w:p>
              </w:tc>
              <w:tc>
                <w:tcPr>
                  <w:tcW w:w="484" w:type="pct"/>
                  <w:vAlign w:val="center"/>
                </w:tcPr>
                <w:p>
                  <w:pPr>
                    <w:pStyle w:val="33"/>
                    <w:spacing w:line="360" w:lineRule="exact"/>
                    <w:rPr>
                      <w:color w:val="000000" w:themeColor="text1"/>
                      <w:szCs w:val="21"/>
                    </w:rPr>
                  </w:pPr>
                  <w:r>
                    <w:rPr>
                      <w:color w:val="000000" w:themeColor="text1"/>
                      <w:szCs w:val="21"/>
                    </w:rPr>
                    <w:t>非特定行业</w:t>
                  </w:r>
                </w:p>
              </w:tc>
              <w:tc>
                <w:tcPr>
                  <w:tcW w:w="695" w:type="pct"/>
                  <w:vAlign w:val="center"/>
                </w:tcPr>
                <w:p>
                  <w:pPr>
                    <w:pStyle w:val="33"/>
                    <w:spacing w:line="360" w:lineRule="exact"/>
                    <w:rPr>
                      <w:color w:val="000000" w:themeColor="text1"/>
                      <w:szCs w:val="21"/>
                    </w:rPr>
                  </w:pPr>
                  <w:r>
                    <w:rPr>
                      <w:color w:val="000000" w:themeColor="text1"/>
                      <w:szCs w:val="21"/>
                    </w:rPr>
                    <w:t>900-041-49</w:t>
                  </w:r>
                </w:p>
              </w:tc>
              <w:tc>
                <w:tcPr>
                  <w:tcW w:w="1732" w:type="pct"/>
                  <w:vAlign w:val="center"/>
                </w:tcPr>
                <w:p>
                  <w:pPr>
                    <w:pStyle w:val="33"/>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583" w:type="pct"/>
                  <w:vAlign w:val="center"/>
                </w:tcPr>
                <w:p>
                  <w:pPr>
                    <w:pStyle w:val="33"/>
                    <w:spacing w:line="360" w:lineRule="exact"/>
                    <w:rPr>
                      <w:color w:val="000000" w:themeColor="text1"/>
                      <w:szCs w:val="21"/>
                    </w:rPr>
                  </w:pPr>
                  <w:r>
                    <w:rPr>
                      <w:color w:val="000000" w:themeColor="text1"/>
                      <w:szCs w:val="21"/>
                    </w:rPr>
                    <w:t>T/In</w:t>
                  </w:r>
                </w:p>
              </w:tc>
            </w:tr>
          </w:tbl>
          <w:p>
            <w:pPr>
              <w:pStyle w:val="41"/>
              <w:spacing w:beforeLines="50"/>
              <w:ind w:firstLine="480"/>
              <w:rPr>
                <w:color w:val="000000" w:themeColor="text1"/>
                <w:szCs w:val="21"/>
              </w:rPr>
            </w:pPr>
            <w:r>
              <w:rPr>
                <w:color w:val="000000" w:themeColor="text1"/>
                <w:szCs w:val="24"/>
              </w:rPr>
              <w:t>根据设计，项目区每年废机油产生量约为80kg，废弃沾油抹布产生量为10kg；</w:t>
            </w:r>
            <w:r>
              <w:rPr>
                <w:rFonts w:hint="eastAsia"/>
                <w:color w:val="000000" w:themeColor="text1"/>
                <w:szCs w:val="21"/>
              </w:rPr>
              <w:t xml:space="preserve"> </w:t>
            </w:r>
            <w:r>
              <w:rPr>
                <w:color w:val="000000" w:themeColor="text1"/>
                <w:szCs w:val="24"/>
              </w:rPr>
              <w:t>根据《国家危险废物名录》（2021版）“危险废物豁免管理清单”的要求，本项目豁免危险废物清单如下：</w:t>
            </w:r>
          </w:p>
          <w:p>
            <w:pPr>
              <w:jc w:val="center"/>
              <w:rPr>
                <w:rFonts w:ascii="Times New Roman" w:hAnsi="Times New Roman"/>
                <w:b/>
                <w:color w:val="000000" w:themeColor="text1"/>
                <w:szCs w:val="24"/>
              </w:rPr>
            </w:pPr>
            <w:r>
              <w:rPr>
                <w:rFonts w:ascii="Times New Roman" w:hAnsi="Times New Roman"/>
                <w:b/>
                <w:color w:val="000000" w:themeColor="text1"/>
                <w:szCs w:val="24"/>
              </w:rPr>
              <w:t>表4.2.4-</w:t>
            </w:r>
            <w:r>
              <w:rPr>
                <w:rFonts w:hint="eastAsia" w:ascii="Times New Roman" w:hAnsi="Times New Roman"/>
                <w:b/>
                <w:color w:val="000000" w:themeColor="text1"/>
                <w:szCs w:val="24"/>
              </w:rPr>
              <w:t>2</w:t>
            </w:r>
            <w:r>
              <w:rPr>
                <w:rFonts w:ascii="Times New Roman" w:hAnsi="Times New Roman"/>
                <w:b/>
                <w:color w:val="000000" w:themeColor="text1"/>
                <w:szCs w:val="24"/>
              </w:rPr>
              <w:t xml:space="preserve"> 本项目豁免危险废物清单一览表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3"/>
                    <w:spacing w:line="360" w:lineRule="exact"/>
                    <w:rPr>
                      <w:color w:val="000000" w:themeColor="text1"/>
                      <w:szCs w:val="21"/>
                    </w:rPr>
                  </w:pPr>
                  <w:r>
                    <w:rPr>
                      <w:color w:val="000000" w:themeColor="text1"/>
                      <w:szCs w:val="21"/>
                    </w:rPr>
                    <w:t>废物类别</w:t>
                  </w:r>
                </w:p>
              </w:tc>
              <w:tc>
                <w:tcPr>
                  <w:tcW w:w="860" w:type="pct"/>
                  <w:vAlign w:val="center"/>
                </w:tcPr>
                <w:p>
                  <w:pPr>
                    <w:pStyle w:val="33"/>
                    <w:spacing w:line="360" w:lineRule="exact"/>
                    <w:rPr>
                      <w:color w:val="000000" w:themeColor="text1"/>
                      <w:szCs w:val="21"/>
                    </w:rPr>
                  </w:pPr>
                  <w:r>
                    <w:rPr>
                      <w:color w:val="000000" w:themeColor="text1"/>
                      <w:szCs w:val="21"/>
                    </w:rPr>
                    <w:t>危险废物</w:t>
                  </w:r>
                </w:p>
              </w:tc>
              <w:tc>
                <w:tcPr>
                  <w:tcW w:w="727" w:type="pct"/>
                  <w:vAlign w:val="center"/>
                </w:tcPr>
                <w:p>
                  <w:pPr>
                    <w:pStyle w:val="33"/>
                    <w:spacing w:line="360" w:lineRule="exact"/>
                    <w:rPr>
                      <w:color w:val="000000" w:themeColor="text1"/>
                      <w:szCs w:val="21"/>
                    </w:rPr>
                  </w:pPr>
                  <w:r>
                    <w:rPr>
                      <w:color w:val="000000" w:themeColor="text1"/>
                      <w:szCs w:val="21"/>
                    </w:rPr>
                    <w:t>豁免环节</w:t>
                  </w:r>
                </w:p>
              </w:tc>
              <w:tc>
                <w:tcPr>
                  <w:tcW w:w="962" w:type="pct"/>
                  <w:vAlign w:val="center"/>
                </w:tcPr>
                <w:p>
                  <w:pPr>
                    <w:pStyle w:val="33"/>
                    <w:spacing w:line="360" w:lineRule="exact"/>
                    <w:rPr>
                      <w:color w:val="000000" w:themeColor="text1"/>
                      <w:szCs w:val="21"/>
                    </w:rPr>
                  </w:pPr>
                  <w:r>
                    <w:rPr>
                      <w:color w:val="000000" w:themeColor="text1"/>
                      <w:szCs w:val="21"/>
                    </w:rPr>
                    <w:t>豁免条件</w:t>
                  </w:r>
                </w:p>
              </w:tc>
              <w:tc>
                <w:tcPr>
                  <w:tcW w:w="1562" w:type="pct"/>
                  <w:vAlign w:val="center"/>
                </w:tcPr>
                <w:p>
                  <w:pPr>
                    <w:pStyle w:val="33"/>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pct"/>
                  <w:vAlign w:val="center"/>
                </w:tcPr>
                <w:p>
                  <w:pPr>
                    <w:pStyle w:val="33"/>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bCs/>
                      <w:snapToGrid w:val="0"/>
                      <w:color w:val="000000" w:themeColor="text1"/>
                      <w:kern w:val="32"/>
                      <w:lang w:val="zh-CN"/>
                    </w:rPr>
                  </w:pPr>
                  <w:r>
                    <w:rPr>
                      <w:rFonts w:ascii="Times New Roman" w:hAnsi="Times New Roman"/>
                      <w:bCs/>
                      <w:snapToGrid w:val="0"/>
                      <w:color w:val="000000" w:themeColor="text1"/>
                      <w:kern w:val="32"/>
                      <w:lang w:val="zh-CN"/>
                    </w:rPr>
                    <w:t>废弃的含油抹布、劳保用品</w:t>
                  </w:r>
                </w:p>
              </w:tc>
              <w:tc>
                <w:tcPr>
                  <w:tcW w:w="727" w:type="pct"/>
                  <w:vAlign w:val="center"/>
                </w:tcPr>
                <w:p>
                  <w:pPr>
                    <w:pStyle w:val="33"/>
                    <w:spacing w:line="360" w:lineRule="exact"/>
                    <w:rPr>
                      <w:color w:val="000000" w:themeColor="text1"/>
                      <w:szCs w:val="21"/>
                    </w:rPr>
                  </w:pPr>
                  <w:r>
                    <w:rPr>
                      <w:color w:val="000000" w:themeColor="text1"/>
                      <w:szCs w:val="21"/>
                    </w:rPr>
                    <w:t>全部环节</w:t>
                  </w:r>
                </w:p>
              </w:tc>
              <w:tc>
                <w:tcPr>
                  <w:tcW w:w="962" w:type="pct"/>
                  <w:vAlign w:val="center"/>
                </w:tcPr>
                <w:p>
                  <w:pPr>
                    <w:pStyle w:val="33"/>
                    <w:spacing w:line="360" w:lineRule="exact"/>
                    <w:rPr>
                      <w:color w:val="000000" w:themeColor="text1"/>
                      <w:szCs w:val="21"/>
                    </w:rPr>
                  </w:pPr>
                  <w:r>
                    <w:rPr>
                      <w:color w:val="000000" w:themeColor="text1"/>
                      <w:szCs w:val="21"/>
                    </w:rPr>
                    <w:t>未分类收集</w:t>
                  </w:r>
                </w:p>
              </w:tc>
              <w:tc>
                <w:tcPr>
                  <w:tcW w:w="1562" w:type="pct"/>
                  <w:vAlign w:val="center"/>
                </w:tcPr>
                <w:p>
                  <w:pPr>
                    <w:pStyle w:val="33"/>
                    <w:spacing w:line="360" w:lineRule="exact"/>
                    <w:rPr>
                      <w:color w:val="000000" w:themeColor="text1"/>
                      <w:szCs w:val="21"/>
                    </w:rPr>
                  </w:pPr>
                  <w:r>
                    <w:rPr>
                      <w:color w:val="000000" w:themeColor="text1"/>
                      <w:szCs w:val="21"/>
                    </w:rPr>
                    <w:t>全过程不按危险废物管理</w:t>
                  </w:r>
                </w:p>
              </w:tc>
            </w:tr>
          </w:tbl>
          <w:p>
            <w:pPr>
              <w:pStyle w:val="41"/>
              <w:spacing w:beforeLines="50"/>
              <w:ind w:firstLine="480"/>
              <w:rPr>
                <w:color w:val="000000" w:themeColor="text1"/>
                <w:szCs w:val="21"/>
              </w:rPr>
            </w:pPr>
            <w:r>
              <w:rPr>
                <w:color w:val="000000" w:themeColor="text1"/>
                <w:szCs w:val="24"/>
              </w:rPr>
              <w:t>由上表可知，项目产生的废弃沾油抹布全部环节已被豁免，按一般固体废物管理要求管理；针对项目产生的废机油和废弃沾油抹布，厂区已建设了1个15m²的危险废物贮存间对项目区废机油进行暂存；</w:t>
            </w:r>
            <w:r>
              <w:rPr>
                <w:rFonts w:hint="eastAsia"/>
                <w:color w:val="000000" w:themeColor="text1"/>
                <w:szCs w:val="21"/>
              </w:rPr>
              <w:t>并</w:t>
            </w:r>
            <w:r>
              <w:rPr>
                <w:color w:val="000000" w:themeColor="text1"/>
                <w:szCs w:val="21"/>
              </w:rPr>
              <w:t>委托有资质的单位处置。</w:t>
            </w:r>
          </w:p>
          <w:p>
            <w:pPr>
              <w:pStyle w:val="41"/>
              <w:ind w:firstLine="482"/>
              <w:rPr>
                <w:rFonts w:eastAsiaTheme="minorEastAsia"/>
                <w:b/>
                <w:color w:val="000000" w:themeColor="text1"/>
                <w:szCs w:val="24"/>
              </w:rPr>
            </w:pPr>
            <w:r>
              <w:rPr>
                <w:rFonts w:hint="eastAsia" w:ascii="宋体" w:hAnsi="宋体" w:cs="宋体"/>
                <w:b/>
                <w:color w:val="000000" w:themeColor="text1"/>
                <w:szCs w:val="24"/>
              </w:rPr>
              <w:t>⑥</w:t>
            </w:r>
            <w:r>
              <w:rPr>
                <w:rFonts w:eastAsiaTheme="minorEastAsia"/>
                <w:b/>
                <w:color w:val="000000" w:themeColor="text1"/>
                <w:szCs w:val="24"/>
              </w:rPr>
              <w:t>生活垃圾</w:t>
            </w:r>
          </w:p>
          <w:p>
            <w:pPr>
              <w:pStyle w:val="41"/>
              <w:ind w:firstLine="480"/>
              <w:rPr>
                <w:rFonts w:eastAsiaTheme="minorEastAsia"/>
                <w:color w:val="000000" w:themeColor="text1"/>
                <w:szCs w:val="24"/>
              </w:rPr>
            </w:pPr>
            <w:r>
              <w:rPr>
                <w:rFonts w:eastAsiaTheme="minorEastAsia"/>
                <w:color w:val="000000" w:themeColor="text1"/>
                <w:szCs w:val="24"/>
              </w:rPr>
              <w:t>根据项目特点可知，</w:t>
            </w:r>
            <w:r>
              <w:rPr>
                <w:rFonts w:hint="eastAsia" w:eastAsiaTheme="minorEastAsia"/>
                <w:color w:val="000000" w:themeColor="text1"/>
                <w:szCs w:val="24"/>
              </w:rPr>
              <w:t>本项目新增</w:t>
            </w:r>
            <w:r>
              <w:rPr>
                <w:rFonts w:eastAsiaTheme="minorEastAsia"/>
                <w:color w:val="000000" w:themeColor="text1"/>
                <w:szCs w:val="24"/>
              </w:rPr>
              <w:t>员工</w:t>
            </w:r>
            <w:r>
              <w:rPr>
                <w:rFonts w:hint="eastAsia" w:eastAsiaTheme="minorEastAsia"/>
                <w:color w:val="000000" w:themeColor="text1"/>
                <w:szCs w:val="24"/>
              </w:rPr>
              <w:t>20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20</w:t>
            </w:r>
            <w:r>
              <w:rPr>
                <w:rFonts w:eastAsiaTheme="minorEastAsia"/>
                <w:color w:val="000000" w:themeColor="text1"/>
                <w:szCs w:val="24"/>
              </w:rPr>
              <w:t>kg/d（</w:t>
            </w:r>
            <w:r>
              <w:rPr>
                <w:rFonts w:hint="eastAsia" w:eastAsiaTheme="minorEastAsia"/>
                <w:color w:val="000000" w:themeColor="text1"/>
                <w:szCs w:val="24"/>
              </w:rPr>
              <w:t>6.6</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1"/>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3"/>
              <w:gridCol w:w="995"/>
              <w:gridCol w:w="952"/>
              <w:gridCol w:w="860"/>
              <w:gridCol w:w="859"/>
              <w:gridCol w:w="1724"/>
              <w:gridCol w:w="1822"/>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序号</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产生环节</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名称</w:t>
                  </w:r>
                </w:p>
              </w:tc>
              <w:tc>
                <w:tcPr>
                  <w:tcW w:w="86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属性</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产生量</w:t>
                  </w:r>
                </w:p>
              </w:tc>
              <w:tc>
                <w:tcPr>
                  <w:tcW w:w="1724"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贮存方式</w:t>
                  </w:r>
                </w:p>
              </w:tc>
              <w:tc>
                <w:tcPr>
                  <w:tcW w:w="182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724" w:type="dxa"/>
                  <w:vMerge w:val="restart"/>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w:t>
                  </w:r>
                </w:p>
              </w:tc>
              <w:tc>
                <w:tcPr>
                  <w:tcW w:w="1822" w:type="dxa"/>
                  <w:vMerge w:val="restart"/>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委托四方地工业园区弃渣场处置。</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热风炉配套环保设施</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724" w:type="dxa"/>
                  <w:vMerge w:val="continue"/>
                  <w:vAlign w:val="center"/>
                </w:tcPr>
                <w:p>
                  <w:pPr>
                    <w:pStyle w:val="33"/>
                    <w:spacing w:line="360" w:lineRule="exact"/>
                    <w:ind w:firstLine="210" w:firstLineChars="100"/>
                    <w:jc w:val="both"/>
                    <w:rPr>
                      <w:rFonts w:eastAsiaTheme="minorEastAsia"/>
                      <w:color w:val="000000" w:themeColor="text1"/>
                      <w:szCs w:val="24"/>
                    </w:rPr>
                  </w:pPr>
                </w:p>
              </w:tc>
              <w:tc>
                <w:tcPr>
                  <w:tcW w:w="1822" w:type="dxa"/>
                  <w:vMerge w:val="continue"/>
                  <w:vAlign w:val="center"/>
                </w:tcPr>
                <w:p>
                  <w:pPr>
                    <w:pStyle w:val="33"/>
                    <w:spacing w:line="360" w:lineRule="exact"/>
                    <w:ind w:firstLine="210" w:firstLineChars="100"/>
                    <w:jc w:val="both"/>
                    <w:rPr>
                      <w:rFonts w:eastAsiaTheme="minorEastAsia"/>
                      <w:color w:val="000000" w:themeColor="text1"/>
                      <w:szCs w:val="24"/>
                    </w:rPr>
                  </w:pP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3</w:t>
                  </w:r>
                </w:p>
              </w:tc>
              <w:tc>
                <w:tcPr>
                  <w:tcW w:w="99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烘干机配套环保设施</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主要成分铁粉</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收集后返回生产工序烘干包装后外卖。</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21.91</w:t>
                  </w:r>
                  <w:r>
                    <w:rPr>
                      <w:rFonts w:eastAsiaTheme="minorEastAsia"/>
                      <w:color w:val="000000" w:themeColor="text1"/>
                      <w:szCs w:val="24"/>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4</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热风炉</w:t>
                  </w:r>
                </w:p>
              </w:tc>
              <w:tc>
                <w:tcPr>
                  <w:tcW w:w="95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860"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委托四方地工业园区弃渣场处置。</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4"/>
                    </w:rPr>
                    <w:t>1.54t/a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 w:hRule="atLeast"/>
              </w:trPr>
              <w:tc>
                <w:tcPr>
                  <w:tcW w:w="453" w:type="dxa"/>
                  <w:vMerge w:val="restart"/>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5</w:t>
                  </w:r>
                </w:p>
              </w:tc>
              <w:tc>
                <w:tcPr>
                  <w:tcW w:w="995"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设备维护</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860"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724"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 w:val="24"/>
                      <w:szCs w:val="24"/>
                    </w:rPr>
                  </w:pPr>
                  <w:r>
                    <w:rPr>
                      <w:rFonts w:hint="eastAsia" w:eastAsiaTheme="minorEastAsia"/>
                      <w:color w:val="000000" w:themeColor="text1"/>
                      <w:szCs w:val="24"/>
                    </w:rPr>
                    <w:t>厂区已建设了1个15m²的危险废物贮存间</w:t>
                  </w:r>
                  <w:r>
                    <w:rPr>
                      <w:rFonts w:eastAsiaTheme="minorEastAsia"/>
                      <w:color w:val="000000" w:themeColor="text1"/>
                      <w:szCs w:val="24"/>
                    </w:rPr>
                    <w:t>对项目区废机油进行暂存</w:t>
                  </w:r>
                  <w:r>
                    <w:rPr>
                      <w:rFonts w:hint="eastAsia" w:eastAsiaTheme="minorEastAsia"/>
                      <w:color w:val="000000" w:themeColor="text1"/>
                      <w:szCs w:val="24"/>
                    </w:rPr>
                    <w:t>。</w:t>
                  </w:r>
                </w:p>
              </w:tc>
              <w:tc>
                <w:tcPr>
                  <w:tcW w:w="1822"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color w:val="000000" w:themeColor="text1"/>
                      <w:szCs w:val="21"/>
                    </w:rPr>
                    <w:t>委托有资质的单位处置。</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Merge w:val="continue"/>
                  <w:vAlign w:val="center"/>
                </w:tcPr>
                <w:p>
                  <w:pPr>
                    <w:pStyle w:val="33"/>
                    <w:spacing w:line="360" w:lineRule="exact"/>
                    <w:rPr>
                      <w:rFonts w:eastAsiaTheme="minorEastAsia"/>
                      <w:color w:val="000000" w:themeColor="text1"/>
                      <w:szCs w:val="21"/>
                    </w:rPr>
                  </w:pPr>
                </w:p>
              </w:tc>
              <w:tc>
                <w:tcPr>
                  <w:tcW w:w="995" w:type="dxa"/>
                  <w:vMerge w:val="continue"/>
                  <w:vAlign w:val="center"/>
                </w:tcPr>
                <w:p>
                  <w:pPr>
                    <w:pStyle w:val="33"/>
                    <w:spacing w:line="360" w:lineRule="exact"/>
                    <w:rPr>
                      <w:rFonts w:eastAsiaTheme="minorEastAsia"/>
                      <w:color w:val="000000" w:themeColor="text1"/>
                      <w:szCs w:val="21"/>
                    </w:rPr>
                  </w:pP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60" w:type="dxa"/>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豁免的危险废物</w:t>
                  </w:r>
                </w:p>
              </w:tc>
              <w:tc>
                <w:tcPr>
                  <w:tcW w:w="8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724"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w:t>
                  </w:r>
                  <w:r>
                    <w:rPr>
                      <w:rFonts w:hint="eastAsia" w:eastAsiaTheme="minorEastAsia"/>
                      <w:color w:val="000000" w:themeColor="text1"/>
                      <w:szCs w:val="24"/>
                    </w:rPr>
                    <w:t>。</w:t>
                  </w:r>
                </w:p>
              </w:tc>
              <w:tc>
                <w:tcPr>
                  <w:tcW w:w="1822"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w:t>
                  </w:r>
                </w:p>
              </w:tc>
              <w:tc>
                <w:tcPr>
                  <w:tcW w:w="99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员工生活</w:t>
                  </w:r>
                </w:p>
              </w:tc>
              <w:tc>
                <w:tcPr>
                  <w:tcW w:w="95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860"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生活固废</w:t>
                  </w:r>
                </w:p>
              </w:tc>
              <w:tc>
                <w:tcPr>
                  <w:tcW w:w="859"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c>
                <w:tcPr>
                  <w:tcW w:w="1724"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r>
                    <w:rPr>
                      <w:rFonts w:hint="eastAsia" w:eastAsiaTheme="minorEastAsia"/>
                      <w:color w:val="000000" w:themeColor="text1"/>
                      <w:szCs w:val="24"/>
                    </w:rPr>
                    <w:t>。</w:t>
                  </w:r>
                </w:p>
              </w:tc>
              <w:tc>
                <w:tcPr>
                  <w:tcW w:w="1822"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r>
          </w:tbl>
          <w:p>
            <w:pPr>
              <w:pStyle w:val="41"/>
              <w:spacing w:beforeLines="50"/>
              <w:ind w:firstLine="480"/>
              <w:rPr>
                <w:color w:val="000000" w:themeColor="text1"/>
                <w:szCs w:val="24"/>
              </w:rPr>
            </w:pPr>
            <w:r>
              <w:rPr>
                <w:color w:val="000000" w:themeColor="text1"/>
                <w:szCs w:val="24"/>
              </w:rPr>
              <w:t>由上表可知，项目针对固废废物采取的保护措施具体实施如下：</w:t>
            </w:r>
          </w:p>
          <w:p>
            <w:pPr>
              <w:pStyle w:val="41"/>
              <w:ind w:firstLine="480"/>
              <w:rPr>
                <w:rFonts w:eastAsiaTheme="minorEastAsia"/>
                <w:color w:val="000000" w:themeColor="text1"/>
                <w:szCs w:val="21"/>
              </w:rPr>
            </w:pPr>
            <w:r>
              <w:rPr>
                <w:rFonts w:hint="eastAsia" w:eastAsiaTheme="minorEastAsia"/>
                <w:color w:val="000000" w:themeColor="text1"/>
                <w:szCs w:val="21"/>
              </w:rPr>
              <w:t>①</w:t>
            </w:r>
            <w:r>
              <w:rPr>
                <w:rFonts w:eastAsiaTheme="minorEastAsia"/>
                <w:color w:val="000000" w:themeColor="text1"/>
                <w:szCs w:val="21"/>
              </w:rPr>
              <w:t>项目产生的</w:t>
            </w:r>
            <w:r>
              <w:rPr>
                <w:rFonts w:hint="eastAsia" w:eastAsiaTheme="minorEastAsia"/>
                <w:color w:val="000000" w:themeColor="text1"/>
                <w:szCs w:val="21"/>
              </w:rPr>
              <w:t>废渣、袋式除尘器收集烟尘、灰渣为一般工业固废，项目已设置了1个600m²废渣暂存库对其进行暂存，委托四方地工业园区弃渣场处置。</w:t>
            </w:r>
          </w:p>
          <w:p>
            <w:pPr>
              <w:pStyle w:val="41"/>
              <w:ind w:firstLine="480"/>
              <w:rPr>
                <w:rFonts w:eastAsiaTheme="minorEastAsia"/>
                <w:color w:val="000000" w:themeColor="text1"/>
                <w:szCs w:val="21"/>
              </w:rPr>
            </w:pPr>
            <w:r>
              <w:rPr>
                <w:rFonts w:hint="eastAsia" w:eastAsiaTheme="minorEastAsia"/>
                <w:color w:val="000000" w:themeColor="text1"/>
                <w:szCs w:val="21"/>
              </w:rPr>
              <w:t>②</w:t>
            </w: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r>
              <w:rPr>
                <w:rFonts w:hint="eastAsia" w:eastAsiaTheme="minorEastAsia"/>
                <w:color w:val="000000" w:themeColor="text1"/>
                <w:szCs w:val="21"/>
              </w:rPr>
              <w:t>主要成分铁粉，收集后返回生产工序烘干包装后外卖。</w:t>
            </w:r>
          </w:p>
          <w:p>
            <w:pPr>
              <w:pStyle w:val="41"/>
              <w:ind w:firstLine="480"/>
              <w:rPr>
                <w:rFonts w:eastAsiaTheme="minorEastAsia"/>
                <w:color w:val="000000" w:themeColor="text1"/>
                <w:szCs w:val="21"/>
              </w:rPr>
            </w:pPr>
            <w:r>
              <w:rPr>
                <w:rFonts w:hint="eastAsia" w:eastAsiaTheme="minorEastAsia"/>
                <w:color w:val="000000" w:themeColor="text1"/>
                <w:szCs w:val="21"/>
              </w:rPr>
              <w:t>③</w:t>
            </w:r>
            <w:r>
              <w:rPr>
                <w:rFonts w:eastAsiaTheme="minorEastAsia"/>
                <w:color w:val="000000" w:themeColor="text1"/>
                <w:szCs w:val="21"/>
              </w:rPr>
              <w:t>针对项目产生的废机油，厂区</w:t>
            </w:r>
            <w:r>
              <w:rPr>
                <w:rFonts w:hint="eastAsia" w:eastAsiaTheme="minorEastAsia"/>
                <w:color w:val="000000" w:themeColor="text1"/>
                <w:szCs w:val="21"/>
              </w:rPr>
              <w:t>已建设了1个15m²的危险废物贮存间</w:t>
            </w:r>
            <w:r>
              <w:rPr>
                <w:rFonts w:eastAsiaTheme="minorEastAsia"/>
                <w:color w:val="000000" w:themeColor="text1"/>
                <w:szCs w:val="21"/>
              </w:rPr>
              <w:t>对危险废物进行暂存。委托有资质的单位处置，危险废物贮存间严格进行地面和裙墙防腐防渗，内部设置导流渠和收集池，规范设置标识标牌等。</w:t>
            </w:r>
          </w:p>
          <w:p>
            <w:pPr>
              <w:pStyle w:val="41"/>
              <w:ind w:firstLine="480"/>
              <w:rPr>
                <w:rFonts w:eastAsiaTheme="minorEastAsia"/>
                <w:color w:val="000000" w:themeColor="text1"/>
                <w:szCs w:val="21"/>
              </w:rPr>
            </w:pPr>
            <w:r>
              <w:rPr>
                <w:rFonts w:hint="eastAsia" w:eastAsiaTheme="minorEastAsia"/>
                <w:color w:val="000000" w:themeColor="text1"/>
                <w:szCs w:val="21"/>
              </w:rPr>
              <w:t>④</w:t>
            </w:r>
            <w:r>
              <w:rPr>
                <w:rFonts w:eastAsiaTheme="minorEastAsia"/>
                <w:color w:val="000000" w:themeColor="text1"/>
                <w:szCs w:val="21"/>
              </w:rPr>
              <w:t>针对员生活垃圾</w:t>
            </w:r>
            <w:r>
              <w:rPr>
                <w:rFonts w:hint="eastAsia" w:eastAsiaTheme="minorEastAsia"/>
                <w:color w:val="000000" w:themeColor="text1"/>
                <w:szCs w:val="21"/>
              </w:rPr>
              <w:t>和</w:t>
            </w:r>
            <w:r>
              <w:rPr>
                <w:rFonts w:eastAsiaTheme="minorEastAsia"/>
                <w:color w:val="000000" w:themeColor="text1"/>
                <w:szCs w:val="21"/>
              </w:rPr>
              <w:t>废弃沾油抹布，委托环卫部门定期清运处置</w:t>
            </w:r>
            <w:r>
              <w:rPr>
                <w:rFonts w:hint="eastAsia" w:eastAsiaTheme="minorEastAsia"/>
                <w:color w:val="000000" w:themeColor="text1"/>
                <w:szCs w:val="21"/>
              </w:rPr>
              <w:t>。</w:t>
            </w:r>
          </w:p>
          <w:p>
            <w:pPr>
              <w:pStyle w:val="41"/>
              <w:ind w:firstLine="480"/>
              <w:rPr>
                <w:rFonts w:eastAsiaTheme="minorEastAsia"/>
                <w:color w:val="000000" w:themeColor="text1"/>
                <w:szCs w:val="21"/>
              </w:rPr>
            </w:pPr>
            <w:r>
              <w:rPr>
                <w:rFonts w:eastAsiaTheme="minorEastAsia"/>
                <w:color w:val="000000" w:themeColor="text1"/>
                <w:szCs w:val="21"/>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41"/>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危险废物管理要求</w:t>
            </w:r>
          </w:p>
          <w:p>
            <w:pPr>
              <w:pStyle w:val="41"/>
              <w:ind w:firstLine="480"/>
              <w:rPr>
                <w:color w:val="000000" w:themeColor="text1"/>
                <w:szCs w:val="24"/>
              </w:rPr>
            </w:pPr>
            <w:r>
              <w:rPr>
                <w:color w:val="000000" w:themeColor="text1"/>
                <w:szCs w:val="24"/>
              </w:rPr>
              <w:t>针对项目产生的危险废物，项目在日常管理过程中，必须严格按照《危险废物贮存污染控制标准》（GB</w:t>
            </w:r>
            <w:r>
              <w:rPr>
                <w:rFonts w:hint="eastAsia"/>
                <w:color w:val="000000" w:themeColor="text1"/>
                <w:szCs w:val="24"/>
                <w:lang w:eastAsia="zh-CN"/>
              </w:rPr>
              <w:t>*****</w:t>
            </w:r>
            <w:r>
              <w:rPr>
                <w:color w:val="000000" w:themeColor="text1"/>
                <w:szCs w:val="24"/>
              </w:rPr>
              <w:t>-2023）的要求，做到下表提出的要求。</w:t>
            </w:r>
          </w:p>
          <w:p>
            <w:pPr>
              <w:pStyle w:val="16"/>
              <w:rPr>
                <w:color w:val="000000" w:themeColor="text1"/>
              </w:rPr>
            </w:pPr>
            <w:r>
              <w:rPr>
                <w:color w:val="000000" w:themeColor="text1"/>
              </w:rPr>
              <w:t>表4.2.4-</w:t>
            </w:r>
            <w:r>
              <w:rPr>
                <w:rFonts w:hint="eastAsia"/>
                <w:color w:val="000000" w:themeColor="text1"/>
              </w:rPr>
              <w:t>4</w:t>
            </w:r>
            <w:r>
              <w:rPr>
                <w:color w:val="000000" w:themeColor="text1"/>
              </w:rPr>
              <w:t xml:space="preserve"> 项目危险废物管理要求一览表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环节</w:t>
                  </w:r>
                </w:p>
              </w:tc>
              <w:tc>
                <w:tcPr>
                  <w:tcW w:w="772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rPr>
                    <w:t>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rPr>
                  </w:pPr>
                  <w:r>
                    <w:rPr>
                      <w:rFonts w:hint="eastAsia"/>
                      <w:color w:val="000000" w:themeColor="text1"/>
                      <w:szCs w:val="18"/>
                    </w:rPr>
                    <w:t>总体</w:t>
                  </w:r>
                  <w:r>
                    <w:rPr>
                      <w:color w:val="000000" w:themeColor="text1"/>
                      <w:szCs w:val="18"/>
                    </w:rPr>
                    <w:t>要求</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color w:val="000000" w:themeColor="text1"/>
                    </w:rPr>
                  </w:pPr>
                  <w:r>
                    <w:rPr>
                      <w:rFonts w:hint="eastAsia"/>
                      <w:color w:val="000000" w:themeColor="text1"/>
                    </w:rPr>
                    <w:t>①贮存危险废物应根据危险废物的类别、形态、物理化学性质和污染防治要求进行分类贮存，且应避免危险废物与不相容的物质或材料接触</w:t>
                  </w:r>
                  <w:r>
                    <w:rPr>
                      <w:color w:val="000000" w:themeColor="text1"/>
                    </w:rPr>
                    <w:t>；</w:t>
                  </w:r>
                </w:p>
                <w:p>
                  <w:pPr>
                    <w:pStyle w:val="52"/>
                    <w:spacing w:line="360" w:lineRule="exact"/>
                    <w:ind w:firstLine="210" w:firstLineChars="100"/>
                    <w:rPr>
                      <w:color w:val="000000" w:themeColor="text1"/>
                    </w:rPr>
                  </w:pPr>
                  <w:r>
                    <w:rPr>
                      <w:rFonts w:hint="eastAsia" w:ascii="宋体" w:hAnsi="宋体" w:cs="宋体"/>
                      <w:color w:val="000000" w:themeColor="text1"/>
                      <w:szCs w:val="24"/>
                    </w:rPr>
                    <w:t>②</w:t>
                  </w:r>
                  <w:r>
                    <w:rPr>
                      <w:rFonts w:cs="sans-serif"/>
                      <w:color w:val="000000" w:themeColor="text1"/>
                      <w:szCs w:val="24"/>
                    </w:rPr>
                    <w:t>危险废物贮存过程产生的液态废物和固态废物应分类收集，按其环境管理要求妥善处理</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ascii="宋体" w:hAnsi="宋体" w:cs="宋体"/>
                      <w:color w:val="000000" w:themeColor="text1"/>
                      <w:szCs w:val="24"/>
                    </w:rPr>
                    <w:t>③</w:t>
                  </w:r>
                  <w:r>
                    <w:rPr>
                      <w:rFonts w:cs="sans-serif"/>
                      <w:color w:val="000000" w:themeColor="text1"/>
                      <w:szCs w:val="24"/>
                    </w:rPr>
                    <w:t xml:space="preserve">贮存设施或场所、容器和包装物应按 </w:t>
                  </w:r>
                  <w:r>
                    <w:rPr>
                      <w:rFonts w:cs="serif"/>
                      <w:color w:val="000000" w:themeColor="text1"/>
                      <w:szCs w:val="24"/>
                    </w:rPr>
                    <w:t xml:space="preserve">HJ 1276 </w:t>
                  </w:r>
                  <w:r>
                    <w:rPr>
                      <w:rFonts w:cs="sans-serif"/>
                      <w:color w:val="000000" w:themeColor="text1"/>
                      <w:szCs w:val="24"/>
                    </w:rPr>
                    <w:t>要求设置危险废物贮存设施或场所标志、危险废物贮存分区标志和危险废物标签等危险废物识别标志</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right w:val="single" w:color="auto" w:sz="4" w:space="0"/>
                  </w:tcBorders>
                  <w:noWrap/>
                  <w:vAlign w:val="center"/>
                </w:tcPr>
                <w:p>
                  <w:pPr>
                    <w:spacing w:line="360" w:lineRule="exact"/>
                    <w:jc w:val="center"/>
                    <w:rPr>
                      <w:color w:val="000000" w:themeColor="text1"/>
                      <w:szCs w:val="18"/>
                    </w:rPr>
                  </w:pPr>
                  <w:r>
                    <w:rPr>
                      <w:color w:val="000000" w:themeColor="text1"/>
                      <w:szCs w:val="18"/>
                    </w:rPr>
                    <w:t>贮存设施</w:t>
                  </w:r>
                  <w:r>
                    <w:rPr>
                      <w:rFonts w:hint="eastAsia"/>
                      <w:color w:val="000000" w:themeColor="text1"/>
                      <w:szCs w:val="18"/>
                    </w:rPr>
                    <w:t>污染控制要求一般规定</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贮存设施应根据危险废物的形态、物理化学性质、包装形式和污染物迁移途径，采取必要的防风、防晒、防雨、防漏、防渗、防腐以及其他环境污染防治措施，不应露天堆放危险废物</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②</w:t>
                  </w:r>
                  <w:r>
                    <w:rPr>
                      <w:rFonts w:cs="sans-serif"/>
                      <w:color w:val="000000" w:themeColor="text1"/>
                      <w:szCs w:val="24"/>
                    </w:rPr>
                    <w:t>贮存设施应根据危险废物的类别、数量、形态、物理化学性质和污染防治等要求设置必要的贮存分区，避免不相容的危险废物接触、混合</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③</w:t>
                  </w:r>
                  <w:r>
                    <w:rPr>
                      <w:rFonts w:cs="sans-serif"/>
                      <w:color w:val="000000" w:themeColor="text1"/>
                      <w:szCs w:val="24"/>
                    </w:rPr>
                    <w:t>贮存设施或贮存分区内地面、墙面裙脚、堵截泄漏的围堰、接触危险废物的隔板和墙体等应采用坚固的材料建造，表面无裂缝</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④</w:t>
                  </w:r>
                  <w:r>
                    <w:rPr>
                      <w:rFonts w:cs="sans-serif"/>
                      <w:color w:val="000000" w:themeColor="text1"/>
                      <w:szCs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 10-10 cm/s），或其他防渗性能等效的材料</w:t>
                  </w:r>
                  <w:r>
                    <w:rPr>
                      <w:rFonts w:hint="eastAsia" w:cs="sans-serif"/>
                      <w:color w:val="000000" w:themeColor="text1"/>
                      <w:szCs w:val="24"/>
                    </w:rPr>
                    <w:t>；</w:t>
                  </w:r>
                </w:p>
                <w:p>
                  <w:pPr>
                    <w:pStyle w:val="52"/>
                    <w:spacing w:line="360" w:lineRule="exact"/>
                    <w:ind w:firstLine="210" w:firstLineChars="100"/>
                    <w:rPr>
                      <w:rFonts w:cs="sans-serif"/>
                      <w:color w:val="000000" w:themeColor="text1"/>
                      <w:szCs w:val="24"/>
                    </w:rPr>
                  </w:pPr>
                  <w:r>
                    <w:rPr>
                      <w:rFonts w:hint="eastAsia" w:cs="sans-serif"/>
                      <w:color w:val="000000" w:themeColor="text1"/>
                      <w:szCs w:val="24"/>
                    </w:rPr>
                    <w:t>⑤</w:t>
                  </w:r>
                  <w:r>
                    <w:rPr>
                      <w:rFonts w:cs="sans-serif"/>
                      <w:color w:val="000000" w:themeColor="text1"/>
                      <w:szCs w:val="24"/>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cs="sans-serif"/>
                      <w:color w:val="000000" w:themeColor="text1"/>
                      <w:szCs w:val="24"/>
                    </w:rPr>
                    <w:t>⑥</w:t>
                  </w:r>
                  <w:r>
                    <w:rPr>
                      <w:rFonts w:cs="sans-serif"/>
                      <w:color w:val="000000" w:themeColor="text1"/>
                      <w:szCs w:val="24"/>
                    </w:rPr>
                    <w:t>贮存设施应采取技术和管理措施防止无关人员进入</w:t>
                  </w:r>
                  <w:r>
                    <w:rPr>
                      <w:rFonts w:hint="eastAsia" w:cs="sans-serif"/>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themeColor="text1"/>
                      <w:szCs w:val="18"/>
                    </w:rPr>
                  </w:pPr>
                  <w:r>
                    <w:rPr>
                      <w:rFonts w:hint="eastAsia"/>
                      <w:color w:val="000000" w:themeColor="text1"/>
                      <w:szCs w:val="18"/>
                    </w:rPr>
                    <w:t>贮存过程污染控制要求</w:t>
                  </w:r>
                </w:p>
              </w:tc>
              <w:tc>
                <w:tcPr>
                  <w:tcW w:w="7728" w:type="dxa"/>
                  <w:tcBorders>
                    <w:top w:val="single" w:color="auto" w:sz="4" w:space="0"/>
                    <w:left w:val="single" w:color="auto" w:sz="4" w:space="0"/>
                    <w:right w:val="single" w:color="auto" w:sz="4" w:space="0"/>
                  </w:tcBorders>
                  <w:noWrap/>
                  <w:vAlign w:val="center"/>
                </w:tcPr>
                <w:p>
                  <w:pPr>
                    <w:pStyle w:val="52"/>
                    <w:spacing w:line="360" w:lineRule="exact"/>
                    <w:ind w:firstLine="210" w:firstLineChars="100"/>
                    <w:rPr>
                      <w:rFonts w:cs="sans-serif"/>
                      <w:color w:val="000000" w:themeColor="text1"/>
                      <w:szCs w:val="24"/>
                    </w:rPr>
                  </w:pPr>
                  <w:r>
                    <w:rPr>
                      <w:rFonts w:hint="eastAsia" w:cs="sans-serif"/>
                      <w:color w:val="000000" w:themeColor="text1"/>
                      <w:szCs w:val="24"/>
                    </w:rPr>
                    <w:t>①</w:t>
                  </w:r>
                  <w:r>
                    <w:rPr>
                      <w:rFonts w:cs="sans-serif"/>
                      <w:color w:val="000000" w:themeColor="text1"/>
                      <w:szCs w:val="24"/>
                    </w:rPr>
                    <w:t>危险废物存入贮存设施前应对危险废物类别和特性与危险废物标签等危险废物识别标志的一致性进行核验，不一致的或类别、特性不明的不应存入</w:t>
                  </w:r>
                  <w:r>
                    <w:rPr>
                      <w:rFonts w:hint="eastAsia" w:cs="sans-serif"/>
                      <w:color w:val="000000" w:themeColor="text1"/>
                      <w:szCs w:val="24"/>
                    </w:rPr>
                    <w:t>；</w:t>
                  </w:r>
                  <w:r>
                    <w:rPr>
                      <w:rFonts w:cs="sans-serif"/>
                      <w:color w:val="000000" w:themeColor="text1"/>
                      <w:szCs w:val="24"/>
                    </w:rPr>
                    <w:t>应定期检查危险废物的贮存状况，及时清理贮存设施地面，更换破损泄漏的危险废物贮存容器和包装物，保证堆存危险废物的防雨、防风、防扬尘等设施功能完好</w:t>
                  </w:r>
                  <w:r>
                    <w:rPr>
                      <w:rFonts w:hint="eastAsia" w:cs="sans-serif"/>
                      <w:color w:val="000000" w:themeColor="text1"/>
                      <w:szCs w:val="24"/>
                    </w:rPr>
                    <w:t>；</w:t>
                  </w:r>
                  <w:r>
                    <w:rPr>
                      <w:rFonts w:cs="sans-serif"/>
                      <w:color w:val="000000" w:themeColor="text1"/>
                      <w:szCs w:val="24"/>
                    </w:rPr>
                    <w:t>作业设备及车辆等结束作业离开贮存设施时，应对其残留的危险废物进行清理，清理的废物或清洗废水应收集处理</w:t>
                  </w:r>
                  <w:r>
                    <w:rPr>
                      <w:rFonts w:hint="eastAsia" w:cs="sans-serif"/>
                      <w:color w:val="000000" w:themeColor="text1"/>
                      <w:szCs w:val="24"/>
                    </w:rPr>
                    <w:t>；</w:t>
                  </w:r>
                  <w:r>
                    <w:rPr>
                      <w:rFonts w:cs="sans-serif"/>
                      <w:color w:val="000000" w:themeColor="text1"/>
                      <w:szCs w:val="24"/>
                    </w:rPr>
                    <w:t>贮存设施运行期间，应按国家有关标准和规定建立危险废物管理台账并保存</w:t>
                  </w:r>
                  <w:r>
                    <w:rPr>
                      <w:rFonts w:hint="eastAsia" w:cs="sans-serif"/>
                      <w:color w:val="000000" w:themeColor="text1"/>
                      <w:szCs w:val="24"/>
                    </w:rPr>
                    <w:t>；</w:t>
                  </w:r>
                  <w:r>
                    <w:rPr>
                      <w:rFonts w:cs="sans-serif"/>
                      <w:color w:val="000000" w:themeColor="text1"/>
                      <w:szCs w:val="24"/>
                    </w:rPr>
                    <w:t>贮存设施所有者或运营者应建立贮存设施环境管理制度、管理人员岗位职责制度、设施运行操作制度、人员岗位培训制度等</w:t>
                  </w:r>
                  <w:r>
                    <w:rPr>
                      <w:rFonts w:hint="eastAsia" w:cs="sans-serif"/>
                      <w:color w:val="000000" w:themeColor="text1"/>
                      <w:szCs w:val="24"/>
                    </w:rPr>
                    <w:t>；</w:t>
                  </w:r>
                  <w:r>
                    <w:rPr>
                      <w:rFonts w:cs="sans-serif"/>
                      <w:color w:val="000000" w:themeColor="text1"/>
                      <w:szCs w:val="24"/>
                    </w:rPr>
                    <w:t>贮存设施所有者或运营者应依据国家土壤和地下水污染防治的有关规定，结合贮存设施特点建立土壤和地下水污染隐患排查制度，并定期开展隐患排查；发现隐患应及时采取措施消除隐患，并建立档案</w:t>
                  </w:r>
                  <w:r>
                    <w:rPr>
                      <w:rFonts w:hint="eastAsia" w:cs="sans-serif"/>
                      <w:color w:val="000000" w:themeColor="text1"/>
                      <w:szCs w:val="24"/>
                    </w:rPr>
                    <w:t>；</w:t>
                  </w:r>
                  <w:r>
                    <w:rPr>
                      <w:rFonts w:cs="sans-serif"/>
                      <w:color w:val="000000" w:themeColor="text1"/>
                      <w:szCs w:val="24"/>
                    </w:rPr>
                    <w:t>贮存设施所有者或运营者应建立贮存设施全部档案，包括设计、施工、验收、运行、监测和环境应急等，应按国家有关档案管理的法律法规进行整理和归档</w:t>
                  </w:r>
                  <w:r>
                    <w:rPr>
                      <w:rFonts w:hint="eastAsia" w:cs="sans-serif"/>
                      <w:color w:val="000000" w:themeColor="text1"/>
                      <w:szCs w:val="24"/>
                    </w:rPr>
                    <w:t>；</w:t>
                  </w:r>
                </w:p>
                <w:p>
                  <w:pPr>
                    <w:pStyle w:val="52"/>
                    <w:spacing w:line="360" w:lineRule="exact"/>
                    <w:ind w:firstLine="210" w:firstLineChars="100"/>
                    <w:rPr>
                      <w:color w:val="000000" w:themeColor="text1"/>
                    </w:rPr>
                  </w:pPr>
                  <w:r>
                    <w:rPr>
                      <w:rFonts w:hint="eastAsia" w:cs="sans-serif"/>
                      <w:color w:val="000000" w:themeColor="text1"/>
                      <w:szCs w:val="24"/>
                    </w:rPr>
                    <w:t>②</w:t>
                  </w:r>
                  <w:r>
                    <w:rPr>
                      <w:rFonts w:cs="sans-serif"/>
                      <w:color w:val="000000" w:themeColor="text1"/>
                      <w:szCs w:val="24"/>
                    </w:rPr>
                    <w:t>贮存点应具有固定的区域边界，并应采取与其他区域进行隔离的措施</w:t>
                  </w:r>
                  <w:r>
                    <w:rPr>
                      <w:rFonts w:hint="eastAsia" w:cs="sans-serif"/>
                      <w:color w:val="000000" w:themeColor="text1"/>
                      <w:szCs w:val="24"/>
                    </w:rPr>
                    <w:t>；</w:t>
                  </w:r>
                  <w:r>
                    <w:rPr>
                      <w:rFonts w:cs="sans-serif"/>
                      <w:color w:val="000000" w:themeColor="text1"/>
                      <w:szCs w:val="24"/>
                    </w:rPr>
                    <w:t>贮存点应采取防风、防雨、防晒和防止危险废物流失、扬散等措施</w:t>
                  </w:r>
                  <w:r>
                    <w:rPr>
                      <w:rFonts w:hint="eastAsia" w:cs="sans-serif"/>
                      <w:color w:val="000000" w:themeColor="text1"/>
                      <w:szCs w:val="24"/>
                    </w:rPr>
                    <w:t>；</w:t>
                  </w:r>
                  <w:r>
                    <w:rPr>
                      <w:rFonts w:cs="sans-serif"/>
                      <w:color w:val="000000" w:themeColor="text1"/>
                      <w:szCs w:val="24"/>
                    </w:rPr>
                    <w:t>贮存点贮存的危险废物应置于容器或包装物中，不应直接散堆</w:t>
                  </w:r>
                  <w:r>
                    <w:rPr>
                      <w:rFonts w:hint="eastAsia" w:cs="sans-serif"/>
                      <w:color w:val="000000" w:themeColor="text1"/>
                      <w:szCs w:val="24"/>
                    </w:rPr>
                    <w:t>；</w:t>
                  </w:r>
                  <w:r>
                    <w:rPr>
                      <w:rFonts w:cs="sans-serif"/>
                      <w:color w:val="000000" w:themeColor="text1"/>
                      <w:szCs w:val="24"/>
                    </w:rPr>
                    <w:t>贮存点应根据危险废物的形态、物理化学性质、包装形式等，采取防渗、防漏等污染防治措施或采用具有相应功能的装置</w:t>
                  </w:r>
                  <w:r>
                    <w:rPr>
                      <w:rFonts w:hint="eastAsia" w:cs="sans-serif"/>
                      <w:color w:val="000000" w:themeColor="text1"/>
                      <w:szCs w:val="24"/>
                    </w:rPr>
                    <w:t>；</w:t>
                  </w:r>
                  <w:r>
                    <w:rPr>
                      <w:rFonts w:cs="sans-serif"/>
                      <w:color w:val="000000" w:themeColor="text1"/>
                      <w:szCs w:val="24"/>
                    </w:rPr>
                    <w:t>贮存点应及时清运贮存的危险废物，实时贮存量不应超过 3 吨</w:t>
                  </w:r>
                  <w:r>
                    <w:rPr>
                      <w:rFonts w:hint="eastAsia" w:cs="sans-serif"/>
                      <w:color w:val="000000" w:themeColor="text1"/>
                      <w:szCs w:val="24"/>
                    </w:rPr>
                    <w:t>。</w:t>
                  </w:r>
                </w:p>
              </w:tc>
            </w:tr>
          </w:tbl>
          <w:p>
            <w:pPr>
              <w:pStyle w:val="41"/>
              <w:spacing w:beforeLines="50"/>
              <w:ind w:firstLine="482"/>
              <w:jc w:val="left"/>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生活垃圾管理要求</w:t>
            </w:r>
          </w:p>
          <w:p>
            <w:pPr>
              <w:pStyle w:val="41"/>
              <w:ind w:firstLine="480"/>
              <w:rPr>
                <w:rFonts w:eastAsiaTheme="minorEastAsia"/>
                <w:color w:val="000000" w:themeColor="text1"/>
                <w:szCs w:val="24"/>
              </w:rPr>
            </w:pPr>
            <w:r>
              <w:rPr>
                <w:color w:val="000000" w:themeColor="text1"/>
                <w:szCs w:val="24"/>
              </w:rPr>
              <w:t>项目产生的生活垃圾应做到日产日清。</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污染物从污染源进入地下水、土壤所经过的路径称为地下水、土壤污染途径，地下水、土壤污染途径是多种多样的</w:t>
            </w:r>
            <w:r>
              <w:rPr>
                <w:rFonts w:hint="eastAsia" w:ascii="Times New Roman" w:hAnsi="Times New Roman" w:cs="Times New Roman"/>
                <w:color w:val="000000" w:themeColor="text1"/>
                <w:sz w:val="24"/>
                <w:szCs w:val="24"/>
              </w:rPr>
              <w:t>。本项目对地下水、土壤环境的影响主要为氧化锌尾渣（水淬渣）、废渣和废机油贮存不当，废水处理系统渗漏等，污染地下水水质和土壤。</w:t>
            </w:r>
            <w:r>
              <w:rPr>
                <w:rFonts w:ascii="Times New Roman" w:hAnsi="Times New Roman" w:cs="Times New Roman"/>
                <w:color w:val="000000" w:themeColor="text1"/>
                <w:sz w:val="24"/>
                <w:szCs w:val="24"/>
              </w:rPr>
              <w:t>其污染物类型包括石油类</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镉</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铅</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铁</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锰</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氟化物</w:t>
            </w:r>
            <w:r>
              <w:rPr>
                <w:rFonts w:hint="eastAsia" w:ascii="Times New Roman" w:hAnsi="Times New Roman" w:cs="Times New Roman"/>
                <w:color w:val="000000" w:themeColor="text1"/>
                <w:sz w:val="24"/>
                <w:szCs w:val="24"/>
              </w:rPr>
              <w:t>等。</w:t>
            </w:r>
          </w:p>
          <w:p>
            <w:pPr>
              <w:pStyle w:val="41"/>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41"/>
              <w:ind w:firstLine="480"/>
              <w:rPr>
                <w:color w:val="000000" w:themeColor="text1"/>
                <w:szCs w:val="24"/>
              </w:rPr>
            </w:pPr>
            <w:r>
              <w:rPr>
                <w:color w:val="000000" w:themeColor="text1"/>
                <w:szCs w:val="24"/>
              </w:rPr>
              <w:t>根据项目的特点，本项目可能对地下水、土壤造成污染的途径主要有：</w:t>
            </w:r>
          </w:p>
          <w:p>
            <w:pPr>
              <w:pStyle w:val="41"/>
              <w:ind w:firstLine="482"/>
              <w:rPr>
                <w:b/>
                <w:color w:val="000000" w:themeColor="text1"/>
                <w:szCs w:val="24"/>
              </w:rPr>
            </w:pPr>
            <w:r>
              <w:rPr>
                <w:rFonts w:hint="eastAsia"/>
                <w:b/>
                <w:color w:val="000000" w:themeColor="text1"/>
                <w:szCs w:val="24"/>
              </w:rPr>
              <w:t>①</w:t>
            </w:r>
            <w:r>
              <w:rPr>
                <w:b/>
                <w:color w:val="000000" w:themeColor="text1"/>
                <w:szCs w:val="24"/>
              </w:rPr>
              <w:t>废机油</w:t>
            </w:r>
            <w:r>
              <w:rPr>
                <w:rFonts w:hint="eastAsia"/>
                <w:b/>
                <w:color w:val="000000" w:themeColor="text1"/>
                <w:szCs w:val="24"/>
              </w:rPr>
              <w:t>污染途径</w:t>
            </w:r>
          </w:p>
          <w:p>
            <w:pPr>
              <w:pStyle w:val="41"/>
              <w:ind w:firstLine="480"/>
              <w:rPr>
                <w:color w:val="000000" w:themeColor="text1"/>
                <w:szCs w:val="24"/>
              </w:rPr>
            </w:pPr>
            <w:r>
              <w:rPr>
                <w:color w:val="000000" w:themeColor="text1"/>
                <w:szCs w:val="24"/>
              </w:rPr>
              <w:t>废机油在地面防渗层发生破损的情况下会发生渗漏，对地下水、土壤造成污染。</w:t>
            </w:r>
          </w:p>
          <w:p>
            <w:pPr>
              <w:pStyle w:val="41"/>
              <w:ind w:firstLine="482"/>
              <w:rPr>
                <w:b/>
                <w:color w:val="000000" w:themeColor="text1"/>
                <w:szCs w:val="24"/>
              </w:rPr>
            </w:pPr>
            <w:r>
              <w:rPr>
                <w:rFonts w:hint="eastAsia"/>
                <w:b/>
                <w:color w:val="000000" w:themeColor="text1"/>
                <w:szCs w:val="24"/>
              </w:rPr>
              <w:t>②选别废水污染途径</w:t>
            </w:r>
          </w:p>
          <w:p>
            <w:pPr>
              <w:pStyle w:val="41"/>
              <w:ind w:firstLine="480"/>
              <w:rPr>
                <w:color w:val="000000" w:themeColor="text1"/>
                <w:szCs w:val="24"/>
              </w:rPr>
            </w:pPr>
            <w:r>
              <w:rPr>
                <w:rFonts w:hint="eastAsia"/>
                <w:color w:val="000000" w:themeColor="text1"/>
                <w:szCs w:val="24"/>
              </w:rPr>
              <w:t>正常运行工况下，选别废水全部流入</w:t>
            </w:r>
            <w:r>
              <w:rPr>
                <w:rFonts w:hint="eastAsia"/>
                <w:bCs/>
                <w:color w:val="000000" w:themeColor="text1"/>
                <w:szCs w:val="24"/>
              </w:rPr>
              <w:t>废水处理系统循环沉淀过滤处理后回用于生产，不外排</w:t>
            </w:r>
            <w:r>
              <w:rPr>
                <w:rFonts w:hint="eastAsia"/>
                <w:color w:val="000000" w:themeColor="text1"/>
                <w:szCs w:val="24"/>
              </w:rPr>
              <w:t>。主要途径为事故情况下，工艺废水溢出生产设施与设备，选别废水外溢对</w:t>
            </w:r>
            <w:r>
              <w:rPr>
                <w:color w:val="000000" w:themeColor="text1"/>
                <w:szCs w:val="24"/>
              </w:rPr>
              <w:t>地下水、土壤</w:t>
            </w:r>
            <w:r>
              <w:rPr>
                <w:rFonts w:hint="eastAsia"/>
                <w:color w:val="000000" w:themeColor="text1"/>
                <w:szCs w:val="24"/>
              </w:rPr>
              <w:t>造成污染。</w:t>
            </w:r>
          </w:p>
          <w:p>
            <w:pPr>
              <w:pStyle w:val="41"/>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41"/>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41"/>
              <w:ind w:firstLine="482"/>
              <w:rPr>
                <w:b/>
                <w:color w:val="000000" w:themeColor="text1"/>
                <w:szCs w:val="24"/>
              </w:rPr>
            </w:pPr>
            <w:r>
              <w:rPr>
                <w:b/>
                <w:color w:val="000000" w:themeColor="text1"/>
                <w:szCs w:val="24"/>
              </w:rPr>
              <w:t>①源头控制措施</w:t>
            </w:r>
          </w:p>
          <w:p>
            <w:pPr>
              <w:pStyle w:val="41"/>
              <w:ind w:firstLine="480"/>
              <w:rPr>
                <w:color w:val="000000" w:themeColor="text1"/>
                <w:szCs w:val="24"/>
              </w:rPr>
            </w:pPr>
            <w:r>
              <w:rPr>
                <w:color w:val="000000" w:themeColor="text1"/>
                <w:szCs w:val="24"/>
              </w:rPr>
              <w:t>严格按照公司制定的规范管理要求进行危险废物的管理。</w:t>
            </w:r>
          </w:p>
          <w:p>
            <w:pPr>
              <w:pStyle w:val="41"/>
              <w:ind w:firstLine="482"/>
              <w:rPr>
                <w:b/>
                <w:color w:val="000000" w:themeColor="text1"/>
                <w:szCs w:val="24"/>
              </w:rPr>
            </w:pPr>
            <w:r>
              <w:rPr>
                <w:b/>
                <w:color w:val="000000" w:themeColor="text1"/>
                <w:szCs w:val="24"/>
              </w:rPr>
              <w:t>②分区控制措施</w:t>
            </w:r>
          </w:p>
          <w:p>
            <w:pPr>
              <w:pStyle w:val="41"/>
              <w:ind w:firstLine="480"/>
              <w:rPr>
                <w:color w:val="000000" w:themeColor="text1"/>
                <w:szCs w:val="24"/>
              </w:rPr>
            </w:pPr>
            <w:r>
              <w:rPr>
                <w:color w:val="000000" w:themeColor="text1"/>
                <w:szCs w:val="24"/>
              </w:rPr>
              <w:t>根据《环境影响评价技术导则-地下水环境》（HJ610-2016），项目分区防控措施根据建设项目场地天然包气带防污性能、污染控制难易程度和污染物特性提出防渗技术要求。污染控制难易程度分级如下表所示。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4.2.5-1  </w:t>
            </w:r>
            <w:r>
              <w:rPr>
                <w:rFonts w:ascii="Times New Roman" w:cs="Times New Roman" w:hAnsiTheme="minorEastAsia"/>
                <w:b/>
                <w:color w:val="000000" w:themeColor="text1"/>
              </w:rPr>
              <w:t>污染控制难易程度分级参照表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污染物控制难易程度</w:t>
                  </w:r>
                </w:p>
              </w:tc>
              <w:tc>
                <w:tcPr>
                  <w:tcW w:w="6875"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6875"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6875"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4.2.5-2  </w:t>
            </w:r>
            <w:r>
              <w:rPr>
                <w:rFonts w:ascii="Times New Roman" w:cs="Times New Roman" w:hAnsiTheme="minorEastAsia"/>
                <w:b/>
                <w:color w:val="000000" w:themeColor="text1"/>
              </w:rPr>
              <w:t>天然包气带防污性能分级</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分级</w:t>
                  </w:r>
                </w:p>
              </w:tc>
              <w:tc>
                <w:tcPr>
                  <w:tcW w:w="7867"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0.5m≤Mb</w:t>
                  </w:r>
                  <w:r>
                    <w:rPr>
                      <w:rFonts w:hAnsiTheme="minorEastAsia" w:eastAsiaTheme="minorEastAsia"/>
                      <w:color w:val="000000" w:themeColor="text1"/>
                      <w:szCs w:val="21"/>
                    </w:rPr>
                    <w:t>＜</w:t>
                  </w:r>
                  <w:r>
                    <w:rPr>
                      <w:rFonts w:eastAsiaTheme="minorEastAsia"/>
                      <w:color w:val="000000" w:themeColor="text1"/>
                      <w:szCs w:val="21"/>
                    </w:rPr>
                    <w:t>1.0m</w:t>
                  </w:r>
                  <w:r>
                    <w:rPr>
                      <w:rFonts w:hAnsiTheme="minorEastAsia" w:eastAsiaTheme="minorEastAsia"/>
                      <w:color w:val="000000" w:themeColor="text1"/>
                      <w:szCs w:val="21"/>
                    </w:rPr>
                    <w:t>，渗透系数</w:t>
                  </w:r>
                  <w:r>
                    <w:rPr>
                      <w:rFonts w:eastAsiaTheme="minorEastAsia"/>
                      <w:color w:val="000000" w:themeColor="text1"/>
                      <w:szCs w:val="21"/>
                    </w:rPr>
                    <w:t>K≤10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，且分布连续、稳定；</w:t>
                  </w:r>
                </w:p>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岩（土）单层厚度</w:t>
                  </w:r>
                  <w:r>
                    <w:rPr>
                      <w:rFonts w:eastAsiaTheme="minorEastAsia"/>
                      <w:color w:val="000000" w:themeColor="text1"/>
                      <w:szCs w:val="21"/>
                    </w:rPr>
                    <w:t>Mb≥1.0m</w:t>
                  </w:r>
                  <w:r>
                    <w:rPr>
                      <w:rFonts w:hAnsiTheme="minorEastAsia" w:eastAsiaTheme="minorEastAsia"/>
                      <w:color w:val="000000" w:themeColor="text1"/>
                      <w:szCs w:val="21"/>
                    </w:rPr>
                    <w:t>，渗透系数</w:t>
                  </w:r>
                  <w:r>
                    <w:rPr>
                      <w:rFonts w:eastAsiaTheme="minorEastAsia"/>
                      <w:color w:val="000000" w:themeColor="text1"/>
                      <w:szCs w:val="21"/>
                    </w:rPr>
                    <w:t>10</w:t>
                  </w:r>
                  <w:r>
                    <w:rPr>
                      <w:rFonts w:eastAsiaTheme="minorEastAsia"/>
                      <w:color w:val="000000" w:themeColor="text1"/>
                      <w:szCs w:val="21"/>
                      <w:vertAlign w:val="superscript"/>
                    </w:rPr>
                    <w:t>-6</w:t>
                  </w:r>
                  <w:r>
                    <w:rPr>
                      <w:rFonts w:eastAsiaTheme="minorEastAsia"/>
                      <w:color w:val="000000" w:themeColor="text1"/>
                      <w:szCs w:val="21"/>
                    </w:rPr>
                    <w:t>cm/s</w:t>
                  </w:r>
                  <w:r>
                    <w:rPr>
                      <w:rFonts w:hAnsiTheme="minorEastAsia" w:eastAsiaTheme="minorEastAsia"/>
                      <w:color w:val="000000" w:themeColor="text1"/>
                      <w:szCs w:val="21"/>
                    </w:rPr>
                    <w:t>＜</w:t>
                  </w:r>
                  <w:r>
                    <w:rPr>
                      <w:rFonts w:eastAsiaTheme="minorEastAsia"/>
                      <w:color w:val="000000" w:themeColor="text1"/>
                      <w:szCs w:val="21"/>
                    </w:rPr>
                    <w:t>K≤10</w:t>
                  </w:r>
                  <w:r>
                    <w:rPr>
                      <w:rFonts w:eastAsiaTheme="minorEastAsia"/>
                      <w:color w:val="000000" w:themeColor="text1"/>
                      <w:szCs w:val="21"/>
                      <w:vertAlign w:val="superscript"/>
                    </w:rPr>
                    <w:t>-4</w:t>
                  </w:r>
                  <w:r>
                    <w:rPr>
                      <w:rFonts w:eastAsiaTheme="minorEastAsia"/>
                      <w:color w:val="000000" w:themeColor="text1"/>
                      <w:szCs w:val="21"/>
                    </w:rPr>
                    <w:t>cm/s</w:t>
                  </w:r>
                  <w:r>
                    <w:rPr>
                      <w:rFonts w:hAnsiTheme="minorEastAsia" w:eastAsiaTheme="minorEastAsia"/>
                      <w:color w:val="000000" w:themeColor="text1"/>
                      <w:szCs w:val="21"/>
                    </w:rPr>
                    <w:t>，且分布连续、稳定。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岩（土）层不满足上述</w:t>
                  </w:r>
                  <w:r>
                    <w:rPr>
                      <w:rFonts w:eastAsiaTheme="minorEastAsia"/>
                      <w:color w:val="000000" w:themeColor="text1"/>
                      <w:szCs w:val="21"/>
                    </w:rPr>
                    <w:t>“</w:t>
                  </w:r>
                  <w:r>
                    <w:rPr>
                      <w:rFonts w:hAnsiTheme="minorEastAsia" w:eastAsiaTheme="minorEastAsia"/>
                      <w:color w:val="000000" w:themeColor="text1"/>
                      <w:szCs w:val="21"/>
                    </w:rPr>
                    <w:t>强</w:t>
                  </w:r>
                  <w:r>
                    <w:rPr>
                      <w:rFonts w:eastAsiaTheme="minorEastAsia"/>
                      <w:color w:val="000000" w:themeColor="text1"/>
                      <w:szCs w:val="21"/>
                    </w:rPr>
                    <w:t>”</w:t>
                  </w:r>
                  <w:r>
                    <w:rPr>
                      <w:rFonts w:hAnsiTheme="minorEastAsia" w:eastAsiaTheme="minorEastAsia"/>
                      <w:color w:val="000000" w:themeColor="text1"/>
                      <w:szCs w:val="21"/>
                    </w:rPr>
                    <w:t>和</w:t>
                  </w:r>
                  <w:r>
                    <w:rPr>
                      <w:rFonts w:eastAsiaTheme="minorEastAsia"/>
                      <w:color w:val="000000" w:themeColor="text1"/>
                      <w:szCs w:val="21"/>
                    </w:rPr>
                    <w:t>“</w:t>
                  </w: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备注</w:t>
                  </w:r>
                </w:p>
              </w:tc>
              <w:tc>
                <w:tcPr>
                  <w:tcW w:w="7867" w:type="dxa"/>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项目区地下水类型主要为岩溶水，含水层岩性主要为古生界石炭系大塘阶组（</w:t>
                  </w:r>
                  <w:r>
                    <w:rPr>
                      <w:rFonts w:eastAsiaTheme="minorEastAsia"/>
                      <w:color w:val="000000" w:themeColor="text1"/>
                      <w:szCs w:val="21"/>
                    </w:rPr>
                    <w:t>C1d</w:t>
                  </w:r>
                  <w:r>
                    <w:rPr>
                      <w:rFonts w:hAnsiTheme="minorEastAsia" w:eastAsiaTheme="minorEastAsia"/>
                      <w:color w:val="000000" w:themeColor="text1"/>
                      <w:szCs w:val="21"/>
                    </w:rPr>
                    <w:t>）浅海相泥质灰岩或白云岩，综上确定包气带防污性能为</w:t>
                  </w:r>
                  <w:r>
                    <w:rPr>
                      <w:rFonts w:eastAsiaTheme="minorEastAsia"/>
                      <w:color w:val="000000" w:themeColor="text1"/>
                      <w:szCs w:val="21"/>
                    </w:rPr>
                    <w:t>“</w:t>
                  </w:r>
                  <w:r>
                    <w:rPr>
                      <w:rFonts w:hAnsiTheme="minorEastAsia" w:eastAsiaTheme="minorEastAsia"/>
                      <w:color w:val="000000" w:themeColor="text1"/>
                      <w:szCs w:val="21"/>
                    </w:rPr>
                    <w:t>弱</w:t>
                  </w:r>
                  <w:r>
                    <w:rPr>
                      <w:rFonts w:eastAsiaTheme="minorEastAsia"/>
                      <w:color w:val="000000" w:themeColor="text1"/>
                      <w:szCs w:val="21"/>
                    </w:rPr>
                    <w:t>”</w:t>
                  </w:r>
                  <w:r>
                    <w:rPr>
                      <w:rFonts w:hAnsiTheme="minorEastAsia" w:eastAsiaTheme="minorEastAsia"/>
                      <w:color w:val="000000" w:themeColor="text1"/>
                      <w:szCs w:val="21"/>
                    </w:rPr>
                    <w:t>。</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4.2.5-3  </w:t>
            </w:r>
            <w:r>
              <w:rPr>
                <w:rFonts w:ascii="Times New Roman" w:cs="Times New Roman" w:hAnsiTheme="minorEastAsia"/>
                <w:b/>
                <w:color w:val="000000" w:themeColor="text1"/>
              </w:rPr>
              <w:t>地下水污染防渗分区</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419"/>
              <w:gridCol w:w="1560"/>
              <w:gridCol w:w="156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防渗分区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天然包气带防污性能</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污染控制难易程度</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污染物类型</w:t>
                  </w:r>
                </w:p>
              </w:tc>
              <w:tc>
                <w:tcPr>
                  <w:tcW w:w="1608"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7"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重点防渗区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restar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Mb≥6.0m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GB18598</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一般防渗区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弱</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r>
                    <w:rPr>
                      <w:rFonts w:eastAsiaTheme="minorEastAsia"/>
                      <w:color w:val="000000" w:themeColor="text1"/>
                      <w:szCs w:val="21"/>
                    </w:rPr>
                    <w:t>-</w:t>
                  </w:r>
                  <w:r>
                    <w:rPr>
                      <w:rFonts w:hAnsiTheme="minorEastAsia" w:eastAsiaTheme="minorEastAsia"/>
                      <w:color w:val="000000" w:themeColor="text1"/>
                      <w:szCs w:val="21"/>
                    </w:rPr>
                    <w:t>难</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Merge w:val="restar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等效黏土防渗层</w:t>
                  </w:r>
                  <w:r>
                    <w:rPr>
                      <w:rFonts w:eastAsiaTheme="minorEastAsia"/>
                      <w:color w:val="000000" w:themeColor="text1"/>
                      <w:szCs w:val="21"/>
                    </w:rPr>
                    <w:t>Mb≥1.5m</w:t>
                  </w:r>
                  <w:r>
                    <w:rPr>
                      <w:rFonts w:hAnsiTheme="minorEastAsia" w:eastAsiaTheme="minorEastAsia"/>
                      <w:color w:val="000000" w:themeColor="text1"/>
                      <w:szCs w:val="21"/>
                    </w:rPr>
                    <w:t>，</w:t>
                  </w:r>
                  <w:r>
                    <w:rPr>
                      <w:rFonts w:eastAsiaTheme="minorEastAsia"/>
                      <w:color w:val="000000" w:themeColor="text1"/>
                      <w:szCs w:val="21"/>
                    </w:rPr>
                    <w:t>K≤1×10</w:t>
                  </w:r>
                  <w:r>
                    <w:rPr>
                      <w:rFonts w:eastAsiaTheme="minorEastAsia"/>
                      <w:color w:val="000000" w:themeColor="text1"/>
                      <w:szCs w:val="21"/>
                      <w:vertAlign w:val="superscript"/>
                    </w:rPr>
                    <w:t>-7</w:t>
                  </w:r>
                  <w:r>
                    <w:rPr>
                      <w:rFonts w:eastAsiaTheme="minorEastAsia"/>
                      <w:color w:val="000000" w:themeColor="text1"/>
                      <w:szCs w:val="21"/>
                    </w:rPr>
                    <w:t>cm/s</w:t>
                  </w:r>
                  <w:r>
                    <w:rPr>
                      <w:rFonts w:hAnsiTheme="minorEastAsia" w:eastAsiaTheme="minorEastAsia"/>
                      <w:color w:val="000000" w:themeColor="text1"/>
                      <w:szCs w:val="21"/>
                    </w:rPr>
                    <w:t>；或参照</w:t>
                  </w:r>
                  <w:r>
                    <w:rPr>
                      <w:rFonts w:eastAsiaTheme="minorEastAsia"/>
                      <w:color w:val="000000" w:themeColor="text1"/>
                      <w:szCs w:val="21"/>
                    </w:rPr>
                    <w:t>GB16889</w:t>
                  </w:r>
                  <w:r>
                    <w:rPr>
                      <w:rFonts w:hAnsiTheme="minorEastAsia" w:eastAsiaTheme="minorEastAsia"/>
                      <w:color w:val="000000" w:themeColor="text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难</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restar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重金属、持久性有机污染物</w:t>
                  </w: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Merge w:val="continue"/>
                  <w:vAlign w:val="center"/>
                </w:tcPr>
                <w:p>
                  <w:pPr>
                    <w:pStyle w:val="33"/>
                    <w:spacing w:line="360" w:lineRule="exact"/>
                    <w:rPr>
                      <w:rFonts w:eastAsiaTheme="minorEastAsia"/>
                      <w:color w:val="000000" w:themeColor="text1"/>
                      <w:szCs w:val="21"/>
                    </w:rPr>
                  </w:pP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Merge w:val="continue"/>
                  <w:vAlign w:val="center"/>
                </w:tcPr>
                <w:p>
                  <w:pPr>
                    <w:pStyle w:val="33"/>
                    <w:spacing w:line="360" w:lineRule="exact"/>
                    <w:rPr>
                      <w:rFonts w:eastAsiaTheme="minorEastAsia"/>
                      <w:color w:val="000000" w:themeColor="text1"/>
                      <w:szCs w:val="21"/>
                    </w:rPr>
                  </w:pPr>
                </w:p>
              </w:tc>
              <w:tc>
                <w:tcPr>
                  <w:tcW w:w="1608" w:type="pct"/>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简单防渗区</w:t>
                  </w:r>
                </w:p>
              </w:tc>
              <w:tc>
                <w:tcPr>
                  <w:tcW w:w="824"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中</w:t>
                  </w:r>
                  <w:r>
                    <w:rPr>
                      <w:rFonts w:eastAsiaTheme="minorEastAsia"/>
                      <w:color w:val="000000" w:themeColor="text1"/>
                      <w:szCs w:val="21"/>
                    </w:rPr>
                    <w:t>-</w:t>
                  </w:r>
                  <w:r>
                    <w:rPr>
                      <w:rFonts w:hAnsiTheme="minorEastAsia" w:eastAsiaTheme="minorEastAsia"/>
                      <w:color w:val="000000" w:themeColor="text1"/>
                      <w:szCs w:val="21"/>
                    </w:rPr>
                    <w:t>强</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易</w:t>
                  </w:r>
                </w:p>
              </w:tc>
              <w:tc>
                <w:tcPr>
                  <w:tcW w:w="906" w:type="pct"/>
                  <w:vAlign w:val="center"/>
                </w:tcPr>
                <w:p>
                  <w:pPr>
                    <w:pStyle w:val="33"/>
                    <w:spacing w:line="360" w:lineRule="exact"/>
                    <w:rPr>
                      <w:rFonts w:eastAsiaTheme="minorEastAsia"/>
                      <w:color w:val="000000" w:themeColor="text1"/>
                      <w:szCs w:val="21"/>
                    </w:rPr>
                  </w:pPr>
                  <w:r>
                    <w:rPr>
                      <w:rFonts w:hAnsiTheme="minorEastAsia" w:eastAsiaTheme="minorEastAsia"/>
                      <w:color w:val="000000" w:themeColor="text1"/>
                      <w:szCs w:val="21"/>
                    </w:rPr>
                    <w:t>其他类型</w:t>
                  </w:r>
                </w:p>
              </w:tc>
              <w:tc>
                <w:tcPr>
                  <w:tcW w:w="1608" w:type="pct"/>
                  <w:vAlign w:val="center"/>
                </w:tcPr>
                <w:p>
                  <w:pPr>
                    <w:pStyle w:val="33"/>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一般地面硬化</w:t>
                  </w:r>
                </w:p>
              </w:tc>
            </w:tr>
          </w:tbl>
          <w:p>
            <w:pPr>
              <w:pStyle w:val="41"/>
              <w:spacing w:beforeLines="50"/>
              <w:ind w:firstLine="480"/>
              <w:rPr>
                <w:color w:val="000000" w:themeColor="text1"/>
                <w:szCs w:val="24"/>
              </w:rPr>
            </w:pPr>
            <w:r>
              <w:rPr>
                <w:color w:val="000000" w:themeColor="text1"/>
                <w:szCs w:val="24"/>
              </w:rPr>
              <w:t>根据以上分区原则可知，项目分区防渗具体如下：</w:t>
            </w:r>
          </w:p>
          <w:p>
            <w:pPr>
              <w:pStyle w:val="41"/>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b/>
                <w:color w:val="000000" w:themeColor="text1"/>
                <w:szCs w:val="24"/>
              </w:rPr>
              <w:t>⑴</w:t>
            </w:r>
            <w:r>
              <w:rPr>
                <w:b/>
                <w:color w:val="000000" w:themeColor="text1"/>
                <w:szCs w:val="24"/>
              </w:rPr>
              <w:fldChar w:fldCharType="end"/>
            </w:r>
            <w:r>
              <w:rPr>
                <w:b/>
                <w:color w:val="000000" w:themeColor="text1"/>
                <w:szCs w:val="24"/>
              </w:rPr>
              <w:t>重点防渗区</w:t>
            </w:r>
          </w:p>
          <w:p>
            <w:pPr>
              <w:pStyle w:val="41"/>
              <w:ind w:firstLine="480"/>
              <w:rPr>
                <w:color w:val="000000" w:themeColor="text1"/>
                <w:szCs w:val="24"/>
              </w:rPr>
            </w:pPr>
            <w:r>
              <w:rPr>
                <w:color w:val="000000" w:themeColor="text1"/>
                <w:szCs w:val="24"/>
              </w:rPr>
              <w:t>项目重点防渗区为危险废物贮存间</w:t>
            </w:r>
            <w:r>
              <w:rPr>
                <w:rFonts w:hint="eastAsia"/>
                <w:color w:val="000000" w:themeColor="text1"/>
                <w:szCs w:val="24"/>
              </w:rPr>
              <w:t>：</w:t>
            </w:r>
            <w:r>
              <w:rPr>
                <w:color w:val="000000" w:themeColor="text1"/>
                <w:szCs w:val="24"/>
              </w:rPr>
              <w:t>危险废物贮存间</w:t>
            </w:r>
            <w:r>
              <w:rPr>
                <w:rFonts w:hint="eastAsia"/>
                <w:color w:val="000000" w:themeColor="text1"/>
                <w:szCs w:val="24"/>
              </w:rPr>
              <w:t>地面及裙墙已采用了</w:t>
            </w:r>
            <w:r>
              <w:rPr>
                <w:color w:val="000000" w:themeColor="text1"/>
                <w:szCs w:val="24"/>
              </w:rPr>
              <w:t>2mm后的HDPE膜进行防渗，使其渗透系数≤10</w:t>
            </w:r>
            <w:r>
              <w:rPr>
                <w:color w:val="000000" w:themeColor="text1"/>
                <w:szCs w:val="24"/>
                <w:vertAlign w:val="superscript"/>
              </w:rPr>
              <w:t>-10</w:t>
            </w:r>
            <w:r>
              <w:rPr>
                <w:color w:val="000000" w:themeColor="text1"/>
                <w:szCs w:val="24"/>
              </w:rPr>
              <w:t>cm/s；</w:t>
            </w:r>
          </w:p>
          <w:p>
            <w:pPr>
              <w:pStyle w:val="41"/>
              <w:ind w:firstLine="482"/>
              <w:rPr>
                <w:b/>
                <w:color w:val="000000" w:themeColor="text1"/>
                <w:szCs w:val="24"/>
              </w:rPr>
            </w:pPr>
            <w:r>
              <w:rPr>
                <w:b/>
                <w:color w:val="000000" w:themeColor="text1"/>
                <w:szCs w:val="24"/>
              </w:rPr>
              <w:fldChar w:fldCharType="begin"/>
            </w:r>
            <w:r>
              <w:rPr>
                <w:b/>
                <w:color w:val="000000" w:themeColor="text1"/>
                <w:szCs w:val="24"/>
              </w:rPr>
              <w:instrText xml:space="preserve"> = 2 \* GB2 </w:instrText>
            </w:r>
            <w:r>
              <w:rPr>
                <w:b/>
                <w:color w:val="000000" w:themeColor="text1"/>
                <w:szCs w:val="24"/>
              </w:rPr>
              <w:fldChar w:fldCharType="separate"/>
            </w:r>
            <w:r>
              <w:rPr>
                <w:b/>
                <w:color w:val="000000" w:themeColor="text1"/>
                <w:szCs w:val="24"/>
              </w:rPr>
              <w:t>⑵</w:t>
            </w:r>
            <w:r>
              <w:rPr>
                <w:b/>
                <w:color w:val="000000" w:themeColor="text1"/>
                <w:szCs w:val="24"/>
              </w:rPr>
              <w:fldChar w:fldCharType="end"/>
            </w:r>
            <w:r>
              <w:rPr>
                <w:b/>
                <w:color w:val="000000" w:themeColor="text1"/>
                <w:szCs w:val="24"/>
              </w:rPr>
              <w:t>一般防渗区</w:t>
            </w:r>
          </w:p>
          <w:p>
            <w:pPr>
              <w:pStyle w:val="41"/>
              <w:ind w:firstLine="480"/>
              <w:rPr>
                <w:color w:val="000000" w:themeColor="text1"/>
                <w:szCs w:val="24"/>
              </w:rPr>
            </w:pPr>
            <w:r>
              <w:rPr>
                <w:rFonts w:hint="eastAsia"/>
                <w:color w:val="000000" w:themeColor="text1"/>
                <w:szCs w:val="24"/>
              </w:rPr>
              <w:t>根据分区防渗规范要求，项目生产车间、废水处理系统、水淬渣暂存库、废渣暂存库区域均划定为一般防渗区</w:t>
            </w:r>
            <w:r>
              <w:rPr>
                <w:color w:val="000000" w:themeColor="text1"/>
                <w:szCs w:val="24"/>
              </w:rPr>
              <w:t>，</w:t>
            </w:r>
            <w:r>
              <w:rPr>
                <w:rFonts w:hint="eastAsia"/>
                <w:color w:val="000000" w:themeColor="text1"/>
                <w:szCs w:val="24"/>
              </w:rPr>
              <w:t>根据业主介绍，废水处理系统已采取了防腐防渗措施，其</w:t>
            </w:r>
            <w:r>
              <w:rPr>
                <w:color w:val="000000" w:themeColor="text1"/>
                <w:szCs w:val="24"/>
              </w:rPr>
              <w:t>渗透系数≤1.0×10</w:t>
            </w:r>
            <w:r>
              <w:rPr>
                <w:color w:val="000000" w:themeColor="text1"/>
                <w:szCs w:val="24"/>
                <w:vertAlign w:val="superscript"/>
              </w:rPr>
              <w:t>-</w:t>
            </w:r>
            <w:r>
              <w:rPr>
                <w:rFonts w:hint="eastAsia"/>
                <w:color w:val="000000" w:themeColor="text1"/>
                <w:szCs w:val="24"/>
                <w:vertAlign w:val="superscript"/>
              </w:rPr>
              <w:t>10</w:t>
            </w:r>
            <w:r>
              <w:rPr>
                <w:color w:val="000000" w:themeColor="text1"/>
                <w:szCs w:val="24"/>
              </w:rPr>
              <w:t>cm/s</w:t>
            </w:r>
            <w:r>
              <w:rPr>
                <w:rFonts w:hint="eastAsia"/>
                <w:color w:val="000000" w:themeColor="text1"/>
                <w:szCs w:val="24"/>
              </w:rPr>
              <w:t>；而水淬渣暂存库和废渣暂存库均已进行了防渗施工，其</w:t>
            </w:r>
            <w:r>
              <w:rPr>
                <w:color w:val="000000" w:themeColor="text1"/>
                <w:szCs w:val="24"/>
              </w:rPr>
              <w:t>渗透系数≤1.0×10</w:t>
            </w:r>
            <w:r>
              <w:rPr>
                <w:color w:val="000000" w:themeColor="text1"/>
                <w:szCs w:val="24"/>
                <w:vertAlign w:val="superscript"/>
              </w:rPr>
              <w:t>-</w:t>
            </w:r>
            <w:r>
              <w:rPr>
                <w:rFonts w:hint="eastAsia"/>
                <w:color w:val="000000" w:themeColor="text1"/>
                <w:szCs w:val="24"/>
                <w:vertAlign w:val="superscript"/>
              </w:rPr>
              <w:t>7</w:t>
            </w:r>
            <w:r>
              <w:rPr>
                <w:color w:val="000000" w:themeColor="text1"/>
                <w:szCs w:val="24"/>
              </w:rPr>
              <w:t>cm/s</w:t>
            </w:r>
            <w:r>
              <w:rPr>
                <w:rFonts w:hint="eastAsia"/>
                <w:color w:val="000000" w:themeColor="text1"/>
                <w:szCs w:val="24"/>
              </w:rPr>
              <w:t>；生产车间各区域已采用粘土铺底</w:t>
            </w:r>
            <w:r>
              <w:rPr>
                <w:color w:val="000000" w:themeColor="text1"/>
                <w:szCs w:val="24"/>
              </w:rPr>
              <w:t>，并在上层铺30cm的混凝土进行硬化。确保防渗性能，使其渗透系数≤1.0×10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本项目主要对厂区次氧化锌生产线产生的水淬渣进行资源综合利用，属于一般工业固体废物综合利用项目，</w:t>
            </w:r>
            <w:r>
              <w:rPr>
                <w:rFonts w:ascii="Times New Roman" w:hAnsi="Times New Roman" w:cs="Times New Roman"/>
                <w:color w:val="000000" w:themeColor="text1"/>
                <w:sz w:val="24"/>
                <w:szCs w:val="24"/>
              </w:rPr>
              <w:t>项目地下水影响较小，因此本项目不设置地下水环境影响跟踪监测计划。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本项目位于云南东川产业园区四方地片区昆明合旺有色金属有限公司厂区内，属于工业园区，且不新增用地，生态环境影响较小。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1"/>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危险特性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92"/>
              <w:gridCol w:w="1134"/>
              <w:gridCol w:w="992"/>
              <w:gridCol w:w="993"/>
              <w:gridCol w:w="992"/>
              <w:gridCol w:w="27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8" w:type="dxa"/>
                  <w:vAlign w:val="center"/>
                </w:tcPr>
                <w:p>
                  <w:pPr>
                    <w:pStyle w:val="33"/>
                    <w:spacing w:line="360" w:lineRule="exact"/>
                    <w:rPr>
                      <w:color w:val="000000" w:themeColor="text1"/>
                      <w:szCs w:val="21"/>
                    </w:rPr>
                  </w:pPr>
                  <w:r>
                    <w:rPr>
                      <w:color w:val="000000" w:themeColor="text1"/>
                      <w:szCs w:val="21"/>
                    </w:rPr>
                    <w:t>产生环节</w:t>
                  </w:r>
                </w:p>
              </w:tc>
              <w:tc>
                <w:tcPr>
                  <w:tcW w:w="992" w:type="dxa"/>
                  <w:vAlign w:val="center"/>
                </w:tcPr>
                <w:p>
                  <w:pPr>
                    <w:pStyle w:val="33"/>
                    <w:spacing w:line="360" w:lineRule="exact"/>
                    <w:rPr>
                      <w:color w:val="000000" w:themeColor="text1"/>
                      <w:szCs w:val="21"/>
                    </w:rPr>
                  </w:pPr>
                  <w:r>
                    <w:rPr>
                      <w:color w:val="000000" w:themeColor="text1"/>
                      <w:szCs w:val="21"/>
                    </w:rPr>
                    <w:t>危险物质</w:t>
                  </w:r>
                </w:p>
              </w:tc>
              <w:tc>
                <w:tcPr>
                  <w:tcW w:w="1134" w:type="dxa"/>
                  <w:vAlign w:val="center"/>
                </w:tcPr>
                <w:p>
                  <w:pPr>
                    <w:pStyle w:val="33"/>
                    <w:spacing w:line="360" w:lineRule="exact"/>
                    <w:rPr>
                      <w:color w:val="000000" w:themeColor="text1"/>
                      <w:szCs w:val="21"/>
                    </w:rPr>
                  </w:pPr>
                  <w:r>
                    <w:rPr>
                      <w:color w:val="000000" w:themeColor="text1"/>
                      <w:szCs w:val="21"/>
                    </w:rPr>
                    <w:t>年使用/产生量</w:t>
                  </w:r>
                </w:p>
              </w:tc>
              <w:tc>
                <w:tcPr>
                  <w:tcW w:w="992" w:type="dxa"/>
                  <w:tcBorders>
                    <w:right w:val="single" w:color="auto" w:sz="4" w:space="0"/>
                  </w:tcBorders>
                  <w:vAlign w:val="center"/>
                </w:tcPr>
                <w:p>
                  <w:pPr>
                    <w:pStyle w:val="33"/>
                    <w:spacing w:line="360" w:lineRule="exact"/>
                    <w:rPr>
                      <w:color w:val="000000" w:themeColor="text1"/>
                      <w:szCs w:val="21"/>
                    </w:rPr>
                  </w:pPr>
                  <w:r>
                    <w:rPr>
                      <w:color w:val="000000" w:themeColor="text1"/>
                      <w:szCs w:val="21"/>
                    </w:rPr>
                    <w:t>最大储存量</w:t>
                  </w:r>
                </w:p>
              </w:tc>
              <w:tc>
                <w:tcPr>
                  <w:tcW w:w="993" w:type="dxa"/>
                  <w:tcBorders>
                    <w:left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临界量</w:t>
                  </w:r>
                </w:p>
              </w:tc>
              <w:tc>
                <w:tcPr>
                  <w:tcW w:w="992" w:type="dxa"/>
                  <w:tcBorders>
                    <w:left w:val="single" w:color="auto" w:sz="4" w:space="0"/>
                  </w:tcBorders>
                  <w:vAlign w:val="center"/>
                </w:tcPr>
                <w:p>
                  <w:pPr>
                    <w:pStyle w:val="33"/>
                    <w:spacing w:line="360" w:lineRule="exact"/>
                    <w:rPr>
                      <w:color w:val="000000" w:themeColor="text1"/>
                      <w:szCs w:val="21"/>
                    </w:rPr>
                  </w:pPr>
                  <w:r>
                    <w:rPr>
                      <w:rFonts w:hint="eastAsia"/>
                      <w:color w:val="000000" w:themeColor="text1"/>
                      <w:szCs w:val="21"/>
                    </w:rPr>
                    <w:t>Q值</w:t>
                  </w:r>
                </w:p>
              </w:tc>
              <w:tc>
                <w:tcPr>
                  <w:tcW w:w="2767" w:type="dxa"/>
                  <w:vAlign w:val="center"/>
                </w:tcPr>
                <w:p>
                  <w:pPr>
                    <w:pStyle w:val="33"/>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738" w:type="dxa"/>
                  <w:vAlign w:val="center"/>
                </w:tcPr>
                <w:p>
                  <w:pPr>
                    <w:pStyle w:val="33"/>
                    <w:spacing w:line="360" w:lineRule="exact"/>
                    <w:rPr>
                      <w:color w:val="000000" w:themeColor="text1"/>
                      <w:szCs w:val="21"/>
                    </w:rPr>
                  </w:pPr>
                  <w:r>
                    <w:rPr>
                      <w:color w:val="000000" w:themeColor="text1"/>
                      <w:szCs w:val="21"/>
                    </w:rPr>
                    <w:t>产生污染物</w:t>
                  </w:r>
                </w:p>
              </w:tc>
              <w:tc>
                <w:tcPr>
                  <w:tcW w:w="992" w:type="dxa"/>
                  <w:vAlign w:val="center"/>
                </w:tcPr>
                <w:p>
                  <w:pPr>
                    <w:pStyle w:val="33"/>
                    <w:spacing w:line="360" w:lineRule="exact"/>
                    <w:rPr>
                      <w:color w:val="000000" w:themeColor="text1"/>
                      <w:szCs w:val="21"/>
                    </w:rPr>
                  </w:pPr>
                  <w:r>
                    <w:rPr>
                      <w:color w:val="000000" w:themeColor="text1"/>
                      <w:szCs w:val="21"/>
                    </w:rPr>
                    <w:t>废机油</w:t>
                  </w:r>
                </w:p>
              </w:tc>
              <w:tc>
                <w:tcPr>
                  <w:tcW w:w="1134" w:type="dxa"/>
                  <w:vAlign w:val="center"/>
                </w:tcPr>
                <w:p>
                  <w:pPr>
                    <w:pStyle w:val="33"/>
                    <w:spacing w:line="360" w:lineRule="exact"/>
                    <w:rPr>
                      <w:color w:val="000000" w:themeColor="text1"/>
                      <w:szCs w:val="21"/>
                    </w:rPr>
                  </w:pPr>
                  <w:r>
                    <w:rPr>
                      <w:color w:val="000000" w:themeColor="text1"/>
                      <w:szCs w:val="21"/>
                    </w:rPr>
                    <w:t>80kg/a</w:t>
                  </w:r>
                </w:p>
              </w:tc>
              <w:tc>
                <w:tcPr>
                  <w:tcW w:w="992" w:type="dxa"/>
                  <w:tcBorders>
                    <w:right w:val="single" w:color="auto" w:sz="4" w:space="0"/>
                  </w:tcBorders>
                  <w:vAlign w:val="center"/>
                </w:tcPr>
                <w:p>
                  <w:pPr>
                    <w:pStyle w:val="33"/>
                    <w:spacing w:line="360" w:lineRule="exact"/>
                    <w:rPr>
                      <w:color w:val="000000" w:themeColor="text1"/>
                      <w:szCs w:val="21"/>
                    </w:rPr>
                  </w:pPr>
                  <w:r>
                    <w:rPr>
                      <w:color w:val="000000" w:themeColor="text1"/>
                      <w:szCs w:val="21"/>
                    </w:rPr>
                    <w:t>0.08t/a</w:t>
                  </w:r>
                </w:p>
              </w:tc>
              <w:tc>
                <w:tcPr>
                  <w:tcW w:w="993" w:type="dxa"/>
                  <w:tcBorders>
                    <w:left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2500</w:t>
                  </w:r>
                  <w:r>
                    <w:rPr>
                      <w:color w:val="000000" w:themeColor="text1"/>
                      <w:szCs w:val="21"/>
                    </w:rPr>
                    <w:t>t/a</w:t>
                  </w:r>
                </w:p>
              </w:tc>
              <w:tc>
                <w:tcPr>
                  <w:tcW w:w="992" w:type="dxa"/>
                  <w:tcBorders>
                    <w:left w:val="single" w:color="auto" w:sz="4" w:space="0"/>
                  </w:tcBorders>
                  <w:vAlign w:val="center"/>
                </w:tcPr>
                <w:p>
                  <w:pPr>
                    <w:jc w:val="center"/>
                    <w:rPr>
                      <w:color w:val="000000" w:themeColor="text1"/>
                    </w:rPr>
                  </w:pPr>
                  <w:r>
                    <w:rPr>
                      <w:rFonts w:hint="eastAsia" w:ascii="Times New Roman" w:hAnsi="Times New Roman" w:eastAsia="宋体" w:cs="Times New Roman"/>
                      <w:bCs/>
                      <w:snapToGrid w:val="0"/>
                      <w:color w:val="000000" w:themeColor="text1"/>
                      <w:kern w:val="32"/>
                      <w:lang w:val="zh-CN"/>
                    </w:rPr>
                    <w:t>0.000032</w:t>
                  </w:r>
                </w:p>
              </w:tc>
              <w:tc>
                <w:tcPr>
                  <w:tcW w:w="2767" w:type="dxa"/>
                  <w:vAlign w:val="center"/>
                </w:tcPr>
                <w:p>
                  <w:pPr>
                    <w:pStyle w:val="33"/>
                    <w:spacing w:line="360" w:lineRule="exact"/>
                    <w:ind w:left="11" w:firstLine="210" w:firstLineChars="100"/>
                    <w:jc w:val="both"/>
                    <w:rPr>
                      <w:rFonts w:eastAsiaTheme="minorEastAsia"/>
                      <w:color w:val="000000" w:themeColor="text1"/>
                      <w:szCs w:val="21"/>
                    </w:rPr>
                  </w:pPr>
                  <w:r>
                    <w:rPr>
                      <w:rFonts w:hint="eastAsia" w:eastAsiaTheme="minorEastAsia"/>
                      <w:color w:val="000000" w:themeColor="text1"/>
                      <w:szCs w:val="21"/>
                    </w:rPr>
                    <w:t>已</w:t>
                  </w:r>
                  <w:r>
                    <w:rPr>
                      <w:rFonts w:eastAsiaTheme="minorEastAsia"/>
                      <w:color w:val="000000" w:themeColor="text1"/>
                      <w:szCs w:val="21"/>
                    </w:rPr>
                    <w:t>设置1个15m²的危险废物贮存间，对项目产生的危险废物进行分类暂存。</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 xml:space="preserve">表4.2.7-2 </w:t>
            </w:r>
            <w:r>
              <w:rPr>
                <w:rFonts w:hint="eastAsia" w:hAnsi="Times New Roman" w:eastAsiaTheme="minorEastAsia"/>
                <w:color w:val="000000" w:themeColor="text1"/>
                <w:sz w:val="21"/>
                <w:szCs w:val="21"/>
              </w:rPr>
              <w:t xml:space="preserve"> </w:t>
            </w:r>
            <w:r>
              <w:rPr>
                <w:rFonts w:hAnsi="Times New Roman" w:eastAsiaTheme="minorEastAsia"/>
                <w:color w:val="000000" w:themeColor="text1"/>
                <w:sz w:val="21"/>
                <w:szCs w:val="21"/>
              </w:rPr>
              <w:t>危险物质主要成分基本性质一览表</w:t>
            </w:r>
          </w:p>
          <w:tbl>
            <w:tblPr>
              <w:tblStyle w:val="2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3"/>
              <w:gridCol w:w="1349"/>
              <w:gridCol w:w="6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restart"/>
                  <w:vAlign w:val="center"/>
                </w:tcPr>
                <w:p>
                  <w:pPr>
                    <w:pStyle w:val="33"/>
                    <w:spacing w:line="360" w:lineRule="exact"/>
                    <w:rPr>
                      <w:color w:val="000000" w:themeColor="text1"/>
                      <w:szCs w:val="21"/>
                    </w:rPr>
                  </w:pPr>
                  <w:r>
                    <w:rPr>
                      <w:color w:val="000000" w:themeColor="text1"/>
                      <w:szCs w:val="21"/>
                    </w:rPr>
                    <w:t>废机油</w:t>
                  </w:r>
                </w:p>
              </w:tc>
              <w:tc>
                <w:tcPr>
                  <w:tcW w:w="1349" w:type="dxa"/>
                </w:tcPr>
                <w:p>
                  <w:pPr>
                    <w:pStyle w:val="33"/>
                    <w:spacing w:line="360" w:lineRule="exact"/>
                    <w:rPr>
                      <w:color w:val="000000" w:themeColor="text1"/>
                      <w:szCs w:val="21"/>
                    </w:rPr>
                  </w:pPr>
                  <w:r>
                    <w:rPr>
                      <w:color w:val="000000" w:themeColor="text1"/>
                      <w:szCs w:val="21"/>
                    </w:rPr>
                    <w:t>废物类别</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废物代码</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危险特征</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3" w:type="dxa"/>
                  <w:vMerge w:val="continue"/>
                  <w:vAlign w:val="center"/>
                </w:tcPr>
                <w:p>
                  <w:pPr>
                    <w:pStyle w:val="33"/>
                    <w:spacing w:line="360" w:lineRule="exact"/>
                    <w:rPr>
                      <w:color w:val="000000" w:themeColor="text1"/>
                      <w:szCs w:val="21"/>
                    </w:rPr>
                  </w:pPr>
                </w:p>
              </w:tc>
              <w:tc>
                <w:tcPr>
                  <w:tcW w:w="1349" w:type="dxa"/>
                  <w:vAlign w:val="center"/>
                </w:tcPr>
                <w:p>
                  <w:pPr>
                    <w:pStyle w:val="33"/>
                    <w:spacing w:line="360" w:lineRule="exact"/>
                    <w:rPr>
                      <w:color w:val="000000" w:themeColor="text1"/>
                      <w:szCs w:val="21"/>
                    </w:rPr>
                  </w:pPr>
                  <w:r>
                    <w:rPr>
                      <w:color w:val="000000" w:themeColor="text1"/>
                      <w:szCs w:val="21"/>
                    </w:rPr>
                    <w:t>危险特性</w:t>
                  </w:r>
                </w:p>
              </w:tc>
              <w:tc>
                <w:tcPr>
                  <w:tcW w:w="6096" w:type="dxa"/>
                  <w:vAlign w:val="center"/>
                </w:tcPr>
                <w:p>
                  <w:pPr>
                    <w:pStyle w:val="33"/>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1"/>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②操作人员</w:t>
            </w:r>
            <w:r>
              <w:rPr>
                <w:rFonts w:ascii="Times New Roman" w:hAnsi="Times New Roman" w:cs="Times New Roman"/>
                <w:color w:val="000000" w:themeColor="text1"/>
                <w:sz w:val="24"/>
                <w:szCs w:val="24"/>
              </w:rPr>
              <w:t>违规操作</w:t>
            </w:r>
            <w:r>
              <w:rPr>
                <w:rFonts w:hint="eastAsia" w:ascii="Times New Roman" w:hAnsi="Times New Roman" w:cs="Times New Roman"/>
                <w:color w:val="000000" w:themeColor="text1"/>
                <w:sz w:val="24"/>
                <w:szCs w:val="24"/>
              </w:rPr>
              <w:t>，如</w:t>
            </w:r>
            <w:r>
              <w:rPr>
                <w:rFonts w:ascii="Times New Roman" w:hAnsi="Times New Roman" w:cs="Times New Roman"/>
                <w:color w:val="000000" w:themeColor="text1"/>
                <w:sz w:val="24"/>
                <w:szCs w:val="24"/>
              </w:rPr>
              <w:t>在设备内检维修作业时，未采取可靠隔离、切断电源、通风置换等措施，则可能发生火灾爆炸等</w:t>
            </w:r>
            <w:r>
              <w:rPr>
                <w:rFonts w:hint="eastAsia" w:ascii="Times New Roman" w:hAnsi="Times New Roman" w:cs="Times New Roman"/>
                <w:color w:val="000000" w:themeColor="text1"/>
                <w:sz w:val="24"/>
                <w:szCs w:val="24"/>
              </w:rPr>
              <w:t>风险</w:t>
            </w:r>
            <w:r>
              <w:rPr>
                <w:rFonts w:ascii="Times New Roman" w:hAnsi="Times New Roman" w:cs="Times New Roman"/>
                <w:color w:val="000000" w:themeColor="text1"/>
                <w:sz w:val="24"/>
                <w:szCs w:val="24"/>
              </w:rPr>
              <w:t>。</w:t>
            </w:r>
          </w:p>
          <w:p>
            <w:pPr>
              <w:pStyle w:val="41"/>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⑥项目将厂区内的</w:t>
            </w:r>
            <w:r>
              <w:rPr>
                <w:rFonts w:ascii="Times New Roman" w:hAnsi="Times New Roman" w:cs="Times New Roman"/>
                <w:color w:val="000000" w:themeColor="text1"/>
                <w:sz w:val="24"/>
                <w:szCs w:val="24"/>
              </w:rPr>
              <w:t>最后1个循环水池作为事故池使用，该循环水池的尺寸均为Φ4.6m、深4.5m的圆柱体，其有效容积为80m³</w:t>
            </w:r>
            <w:r>
              <w:rPr>
                <w:rFonts w:hint="eastAsia" w:ascii="Times New Roman" w:hAnsi="Times New Roman" w:cs="Times New Roman"/>
                <w:color w:val="000000" w:themeColor="text1"/>
                <w:sz w:val="24"/>
                <w:szCs w:val="24"/>
              </w:rPr>
              <w:t>，对风险事故废水进行收集，以满足事故状态下收集泄漏物料、污染消防水、污染雨水和生活污水的需要。</w:t>
            </w:r>
          </w:p>
          <w:p>
            <w:pPr>
              <w:pStyle w:val="41"/>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bookmarkStart w:id="11" w:name="_Toc72228649"/>
            <w:r>
              <w:rPr>
                <w:rFonts w:ascii="Times New Roman" w:hAnsi="Times New Roman" w:cs="Times New Roman"/>
                <w:b/>
                <w:color w:val="000000" w:themeColor="text1"/>
                <w:sz w:val="24"/>
                <w:szCs w:val="24"/>
              </w:rPr>
              <w:t>4.3 环保投资估算</w:t>
            </w:r>
            <w:bookmarkEnd w:id="11"/>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项目总投资688.23万元，其中基建环保投资为</w:t>
            </w:r>
            <w:r>
              <w:rPr>
                <w:rFonts w:hint="eastAsia" w:ascii="Times New Roman" w:hAnsi="Times New Roman" w:cs="Times New Roman"/>
                <w:color w:val="000000" w:themeColor="text1"/>
                <w:sz w:val="24"/>
                <w:szCs w:val="24"/>
              </w:rPr>
              <w:t>137.81</w:t>
            </w:r>
            <w:r>
              <w:rPr>
                <w:rFonts w:ascii="Times New Roman" w:hAnsi="Times New Roman" w:cs="Times New Roman"/>
                <w:color w:val="000000" w:themeColor="text1"/>
                <w:sz w:val="24"/>
                <w:szCs w:val="24"/>
              </w:rPr>
              <w:t>万元，占总投资的20.024%。年环保投资运行费用约为12.8万元，项目拟采取措施的具体内容、责任主体、实施时段及环境保护投入资金如下表所示。</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97"/>
              <w:gridCol w:w="673"/>
              <w:gridCol w:w="1422"/>
              <w:gridCol w:w="2553"/>
              <w:gridCol w:w="852"/>
              <w:gridCol w:w="708"/>
              <w:gridCol w:w="644"/>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restart"/>
                  <w:vAlign w:val="center"/>
                </w:tcPr>
                <w:p>
                  <w:pPr>
                    <w:pStyle w:val="33"/>
                    <w:spacing w:line="360" w:lineRule="exact"/>
                    <w:rPr>
                      <w:color w:val="000000" w:themeColor="text1"/>
                      <w:szCs w:val="21"/>
                    </w:rPr>
                  </w:pPr>
                  <w:r>
                    <w:rPr>
                      <w:color w:val="000000" w:themeColor="text1"/>
                      <w:szCs w:val="21"/>
                    </w:rPr>
                    <w:t>时期</w:t>
                  </w:r>
                </w:p>
              </w:tc>
              <w:tc>
                <w:tcPr>
                  <w:tcW w:w="738" w:type="pct"/>
                  <w:gridSpan w:val="2"/>
                  <w:vMerge w:val="restart"/>
                  <w:vAlign w:val="center"/>
                </w:tcPr>
                <w:p>
                  <w:pPr>
                    <w:pStyle w:val="33"/>
                    <w:spacing w:line="360" w:lineRule="exact"/>
                    <w:rPr>
                      <w:color w:val="000000" w:themeColor="text1"/>
                      <w:szCs w:val="21"/>
                    </w:rPr>
                  </w:pPr>
                  <w:r>
                    <w:rPr>
                      <w:color w:val="000000" w:themeColor="text1"/>
                      <w:szCs w:val="21"/>
                    </w:rPr>
                    <w:t>类型</w:t>
                  </w:r>
                </w:p>
              </w:tc>
              <w:tc>
                <w:tcPr>
                  <w:tcW w:w="2309" w:type="pct"/>
                  <w:gridSpan w:val="2"/>
                  <w:vAlign w:val="center"/>
                </w:tcPr>
                <w:p>
                  <w:pPr>
                    <w:pStyle w:val="33"/>
                    <w:spacing w:line="360" w:lineRule="exact"/>
                    <w:rPr>
                      <w:color w:val="000000" w:themeColor="text1"/>
                      <w:szCs w:val="21"/>
                    </w:rPr>
                  </w:pPr>
                  <w:r>
                    <w:rPr>
                      <w:color w:val="000000" w:themeColor="text1"/>
                      <w:szCs w:val="21"/>
                    </w:rPr>
                    <w:t>环保措施</w:t>
                  </w:r>
                </w:p>
              </w:tc>
              <w:tc>
                <w:tcPr>
                  <w:tcW w:w="906" w:type="pct"/>
                  <w:gridSpan w:val="2"/>
                  <w:vAlign w:val="center"/>
                </w:tcPr>
                <w:p>
                  <w:pPr>
                    <w:pStyle w:val="33"/>
                    <w:spacing w:line="360" w:lineRule="exact"/>
                    <w:rPr>
                      <w:color w:val="000000" w:themeColor="text1"/>
                      <w:szCs w:val="21"/>
                    </w:rPr>
                  </w:pPr>
                  <w:r>
                    <w:rPr>
                      <w:color w:val="000000" w:themeColor="text1"/>
                      <w:szCs w:val="21"/>
                    </w:rPr>
                    <w:t>建设期资金投入（万元）</w:t>
                  </w:r>
                </w:p>
              </w:tc>
              <w:tc>
                <w:tcPr>
                  <w:tcW w:w="782" w:type="pct"/>
                  <w:gridSpan w:val="2"/>
                  <w:vAlign w:val="center"/>
                </w:tcPr>
                <w:p>
                  <w:pPr>
                    <w:pStyle w:val="33"/>
                    <w:spacing w:line="360" w:lineRule="exact"/>
                    <w:rPr>
                      <w:color w:val="000000" w:themeColor="text1"/>
                      <w:szCs w:val="21"/>
                    </w:rPr>
                  </w:pPr>
                  <w:r>
                    <w:rPr>
                      <w:color w:val="000000" w:themeColor="text1"/>
                      <w:szCs w:val="21"/>
                    </w:rPr>
                    <w:t>运行资金投入（万元/a）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环保项目</w:t>
                  </w:r>
                </w:p>
              </w:tc>
              <w:tc>
                <w:tcPr>
                  <w:tcW w:w="1483" w:type="pct"/>
                  <w:vAlign w:val="center"/>
                </w:tcPr>
                <w:p>
                  <w:pPr>
                    <w:pStyle w:val="33"/>
                    <w:spacing w:line="360" w:lineRule="exact"/>
                    <w:rPr>
                      <w:color w:val="000000" w:themeColor="text1"/>
                      <w:szCs w:val="21"/>
                    </w:rPr>
                  </w:pPr>
                  <w:r>
                    <w:rPr>
                      <w:color w:val="000000" w:themeColor="text1"/>
                      <w:szCs w:val="21"/>
                    </w:rPr>
                    <w:t>数量</w:t>
                  </w:r>
                </w:p>
              </w:tc>
              <w:tc>
                <w:tcPr>
                  <w:tcW w:w="495" w:type="pct"/>
                  <w:vAlign w:val="center"/>
                </w:tcPr>
                <w:p>
                  <w:pPr>
                    <w:pStyle w:val="33"/>
                    <w:spacing w:line="360" w:lineRule="exact"/>
                    <w:rPr>
                      <w:color w:val="000000" w:themeColor="text1"/>
                      <w:szCs w:val="21"/>
                    </w:rPr>
                  </w:pPr>
                  <w:r>
                    <w:rPr>
                      <w:color w:val="000000" w:themeColor="text1"/>
                      <w:szCs w:val="21"/>
                    </w:rPr>
                    <w:t>建设费用</w:t>
                  </w:r>
                </w:p>
              </w:tc>
              <w:tc>
                <w:tcPr>
                  <w:tcW w:w="411" w:type="pct"/>
                  <w:vAlign w:val="center"/>
                </w:tcPr>
                <w:p>
                  <w:pPr>
                    <w:pStyle w:val="33"/>
                    <w:spacing w:line="360" w:lineRule="exact"/>
                    <w:rPr>
                      <w:color w:val="000000" w:themeColor="text1"/>
                      <w:szCs w:val="21"/>
                    </w:rPr>
                  </w:pPr>
                  <w:r>
                    <w:rPr>
                      <w:color w:val="000000" w:themeColor="text1"/>
                      <w:szCs w:val="21"/>
                    </w:rPr>
                    <w:t>责任主体</w:t>
                  </w:r>
                </w:p>
              </w:tc>
              <w:tc>
                <w:tcPr>
                  <w:tcW w:w="374" w:type="pct"/>
                  <w:vAlign w:val="center"/>
                </w:tcPr>
                <w:p>
                  <w:pPr>
                    <w:pStyle w:val="33"/>
                    <w:spacing w:line="360" w:lineRule="exact"/>
                    <w:rPr>
                      <w:color w:val="000000" w:themeColor="text1"/>
                      <w:szCs w:val="21"/>
                    </w:rPr>
                  </w:pPr>
                  <w:r>
                    <w:rPr>
                      <w:color w:val="000000" w:themeColor="text1"/>
                      <w:szCs w:val="21"/>
                    </w:rPr>
                    <w:t>运行维护费用</w:t>
                  </w:r>
                </w:p>
              </w:tc>
              <w:tc>
                <w:tcPr>
                  <w:tcW w:w="408" w:type="pct"/>
                  <w:vAlign w:val="center"/>
                </w:tcPr>
                <w:p>
                  <w:pPr>
                    <w:pStyle w:val="33"/>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265" w:type="pct"/>
                  <w:vMerge w:val="restart"/>
                  <w:vAlign w:val="center"/>
                </w:tcPr>
                <w:p>
                  <w:pPr>
                    <w:pStyle w:val="33"/>
                    <w:spacing w:line="360" w:lineRule="exact"/>
                    <w:rPr>
                      <w:color w:val="000000" w:themeColor="text1"/>
                      <w:szCs w:val="21"/>
                    </w:rPr>
                  </w:pPr>
                  <w:r>
                    <w:rPr>
                      <w:color w:val="000000" w:themeColor="text1"/>
                      <w:szCs w:val="21"/>
                    </w:rPr>
                    <w:t>运营期污染源</w:t>
                  </w:r>
                </w:p>
              </w:tc>
              <w:tc>
                <w:tcPr>
                  <w:tcW w:w="347" w:type="pct"/>
                  <w:vMerge w:val="restart"/>
                  <w:vAlign w:val="center"/>
                </w:tcPr>
                <w:p>
                  <w:pPr>
                    <w:pStyle w:val="33"/>
                    <w:spacing w:line="360" w:lineRule="exact"/>
                    <w:rPr>
                      <w:color w:val="000000" w:themeColor="text1"/>
                      <w:szCs w:val="21"/>
                    </w:rPr>
                  </w:pPr>
                  <w:r>
                    <w:rPr>
                      <w:color w:val="000000" w:themeColor="text1"/>
                      <w:szCs w:val="21"/>
                    </w:rPr>
                    <w:t>废气</w:t>
                  </w:r>
                </w:p>
              </w:tc>
              <w:tc>
                <w:tcPr>
                  <w:tcW w:w="391" w:type="pct"/>
                  <w:vAlign w:val="center"/>
                </w:tcPr>
                <w:p>
                  <w:pPr>
                    <w:pStyle w:val="33"/>
                    <w:spacing w:line="360" w:lineRule="exact"/>
                    <w:rPr>
                      <w:color w:val="000000" w:themeColor="text1"/>
                      <w:szCs w:val="21"/>
                    </w:rPr>
                  </w:pPr>
                  <w:r>
                    <w:rPr>
                      <w:color w:val="000000" w:themeColor="text1"/>
                      <w:szCs w:val="21"/>
                    </w:rPr>
                    <w:t>燃烧烟气</w:t>
                  </w:r>
                </w:p>
              </w:tc>
              <w:tc>
                <w:tcPr>
                  <w:tcW w:w="826" w:type="pct"/>
                  <w:vAlign w:val="center"/>
                </w:tcPr>
                <w:p>
                  <w:pPr>
                    <w:pStyle w:val="33"/>
                    <w:spacing w:line="360" w:lineRule="exact"/>
                    <w:rPr>
                      <w:color w:val="000000" w:themeColor="text1"/>
                      <w:szCs w:val="21"/>
                    </w:rPr>
                  </w:pPr>
                  <w:r>
                    <w:rPr>
                      <w:color w:val="000000" w:themeColor="text1"/>
                      <w:szCs w:val="21"/>
                    </w:rPr>
                    <w:t>燃烧烟气处理系统</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1套，由低氮燃烧+非催化还原（SNCR）脱硝技术+袋式除尘器组成，其中低氮燃烧+非催化还原（SNCR）脱硝的NOx去除效率为45.4%，1#布袋除尘除尘效率为99.7%，燃烧烟气经处理后通过1根Φ0.4m、高</w:t>
                  </w:r>
                  <w:r>
                    <w:rPr>
                      <w:rFonts w:hint="eastAsia"/>
                      <w:color w:val="000000" w:themeColor="text1"/>
                      <w:szCs w:val="21"/>
                    </w:rPr>
                    <w:t>20</w:t>
                  </w:r>
                  <w:r>
                    <w:rPr>
                      <w:color w:val="000000" w:themeColor="text1"/>
                      <w:szCs w:val="21"/>
                    </w:rPr>
                    <w:t>m的排气筒（DA003）外排。</w:t>
                  </w:r>
                </w:p>
              </w:tc>
              <w:tc>
                <w:tcPr>
                  <w:tcW w:w="495" w:type="pct"/>
                  <w:vAlign w:val="center"/>
                </w:tcPr>
                <w:p>
                  <w:pPr>
                    <w:pStyle w:val="33"/>
                    <w:spacing w:line="360" w:lineRule="exact"/>
                    <w:rPr>
                      <w:color w:val="000000" w:themeColor="text1"/>
                      <w:szCs w:val="21"/>
                    </w:rPr>
                  </w:pPr>
                  <w:r>
                    <w:rPr>
                      <w:color w:val="000000" w:themeColor="text1"/>
                      <w:szCs w:val="21"/>
                    </w:rPr>
                    <w:t>16</w:t>
                  </w:r>
                </w:p>
              </w:tc>
              <w:tc>
                <w:tcPr>
                  <w:tcW w:w="411" w:type="pct"/>
                  <w:vMerge w:val="restart"/>
                  <w:vAlign w:val="center"/>
                </w:tcPr>
                <w:p>
                  <w:pPr>
                    <w:pStyle w:val="33"/>
                    <w:spacing w:line="360" w:lineRule="exact"/>
                    <w:rPr>
                      <w:color w:val="000000" w:themeColor="text1"/>
                      <w:szCs w:val="21"/>
                    </w:rPr>
                  </w:pPr>
                  <w:r>
                    <w:rPr>
                      <w:color w:val="000000" w:themeColor="text1"/>
                      <w:szCs w:val="21"/>
                    </w:rPr>
                    <w:t>施工单位</w:t>
                  </w:r>
                </w:p>
              </w:tc>
              <w:tc>
                <w:tcPr>
                  <w:tcW w:w="374" w:type="pct"/>
                  <w:vAlign w:val="center"/>
                </w:tcPr>
                <w:p>
                  <w:pPr>
                    <w:pStyle w:val="33"/>
                    <w:spacing w:line="360" w:lineRule="exact"/>
                    <w:rPr>
                      <w:color w:val="000000" w:themeColor="text1"/>
                      <w:szCs w:val="21"/>
                    </w:rPr>
                  </w:pPr>
                  <w:r>
                    <w:rPr>
                      <w:color w:val="000000" w:themeColor="text1"/>
                      <w:szCs w:val="21"/>
                    </w:rPr>
                    <w:t>1.3</w:t>
                  </w:r>
                </w:p>
              </w:tc>
              <w:tc>
                <w:tcPr>
                  <w:tcW w:w="408" w:type="pct"/>
                  <w:vMerge w:val="restart"/>
                  <w:vAlign w:val="center"/>
                </w:tcPr>
                <w:p>
                  <w:pPr>
                    <w:pStyle w:val="33"/>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烘干粉尘</w:t>
                  </w:r>
                </w:p>
              </w:tc>
              <w:tc>
                <w:tcPr>
                  <w:tcW w:w="826" w:type="pct"/>
                  <w:vAlign w:val="center"/>
                </w:tcPr>
                <w:p>
                  <w:pPr>
                    <w:pStyle w:val="33"/>
                    <w:spacing w:line="360" w:lineRule="exact"/>
                    <w:rPr>
                      <w:color w:val="000000" w:themeColor="text1"/>
                      <w:szCs w:val="21"/>
                    </w:rPr>
                  </w:pPr>
                  <w:r>
                    <w:rPr>
                      <w:color w:val="000000" w:themeColor="text1"/>
                      <w:szCs w:val="21"/>
                    </w:rPr>
                    <w:t>烘干粉尘处理系统</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1套，由旋风除尘+袋式除尘器组成，其中旋风除尘效率为70%，2#布袋除尘除尘效率为98.4%，则综合除尘效率约为99.5%，烘干粉尘经处理后通过1根Φ0.5m、高15m的排气筒（DA004）外排。</w:t>
                  </w:r>
                </w:p>
              </w:tc>
              <w:tc>
                <w:tcPr>
                  <w:tcW w:w="495" w:type="pct"/>
                  <w:vAlign w:val="center"/>
                </w:tcPr>
                <w:p>
                  <w:pPr>
                    <w:pStyle w:val="33"/>
                    <w:spacing w:line="360" w:lineRule="exact"/>
                    <w:rPr>
                      <w:color w:val="000000" w:themeColor="text1"/>
                      <w:szCs w:val="21"/>
                    </w:rPr>
                  </w:pPr>
                  <w:r>
                    <w:rPr>
                      <w:color w:val="000000" w:themeColor="text1"/>
                      <w:szCs w:val="21"/>
                    </w:rPr>
                    <w:t>23</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1.5</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堆场扬尘</w:t>
                  </w:r>
                </w:p>
              </w:tc>
              <w:tc>
                <w:tcPr>
                  <w:tcW w:w="826" w:type="pct"/>
                  <w:vAlign w:val="center"/>
                </w:tcPr>
                <w:p>
                  <w:pPr>
                    <w:pStyle w:val="33"/>
                    <w:spacing w:line="360" w:lineRule="exact"/>
                    <w:rPr>
                      <w:color w:val="000000" w:themeColor="text1"/>
                      <w:szCs w:val="21"/>
                    </w:rPr>
                  </w:pPr>
                  <w:r>
                    <w:rPr>
                      <w:color w:val="000000" w:themeColor="text1"/>
                      <w:szCs w:val="21"/>
                    </w:rPr>
                    <w:t>围挡及顶棚</w:t>
                  </w:r>
                </w:p>
              </w:tc>
              <w:tc>
                <w:tcPr>
                  <w:tcW w:w="1483" w:type="pct"/>
                  <w:vAlign w:val="center"/>
                </w:tcPr>
                <w:p>
                  <w:pPr>
                    <w:pStyle w:val="33"/>
                    <w:spacing w:line="360" w:lineRule="exact"/>
                    <w:ind w:firstLine="210" w:firstLineChars="100"/>
                    <w:jc w:val="both"/>
                    <w:rPr>
                      <w:color w:val="000000" w:themeColor="text1"/>
                      <w:szCs w:val="21"/>
                    </w:rPr>
                  </w:pPr>
                  <w:r>
                    <w:rPr>
                      <w:color w:val="000000" w:themeColor="text1"/>
                      <w:szCs w:val="21"/>
                    </w:rPr>
                    <w:t>水淬渣暂存库设有顶棚和三面围挡设施。渣库设有顶棚和三面围挡，但围挡与顶棚之间存在空隙，未完全封闭，应加高围挡进行封闭，应对其进行修善。围挡及顶棚扬尘抑制率约为60%。</w:t>
                  </w:r>
                </w:p>
              </w:tc>
              <w:tc>
                <w:tcPr>
                  <w:tcW w:w="495" w:type="pct"/>
                  <w:vAlign w:val="center"/>
                </w:tcPr>
                <w:p>
                  <w:pPr>
                    <w:pStyle w:val="33"/>
                    <w:spacing w:line="360" w:lineRule="exact"/>
                    <w:rPr>
                      <w:color w:val="000000" w:themeColor="text1"/>
                      <w:szCs w:val="21"/>
                    </w:rPr>
                  </w:pPr>
                  <w:r>
                    <w:rPr>
                      <w:color w:val="000000" w:themeColor="text1"/>
                      <w:szCs w:val="21"/>
                    </w:rPr>
                    <w:t>29</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restart"/>
                  <w:vAlign w:val="center"/>
                </w:tcPr>
                <w:p>
                  <w:pPr>
                    <w:pStyle w:val="33"/>
                    <w:spacing w:line="360" w:lineRule="exact"/>
                    <w:rPr>
                      <w:color w:val="000000" w:themeColor="text1"/>
                      <w:szCs w:val="21"/>
                    </w:rPr>
                  </w:pPr>
                  <w:r>
                    <w:rPr>
                      <w:color w:val="000000" w:themeColor="text1"/>
                      <w:szCs w:val="21"/>
                    </w:rPr>
                    <w:t>废水</w:t>
                  </w:r>
                </w:p>
              </w:tc>
              <w:tc>
                <w:tcPr>
                  <w:tcW w:w="1217" w:type="pct"/>
                  <w:gridSpan w:val="2"/>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雨污分流</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雨水管网及污水管网</w:t>
                  </w:r>
                </w:p>
              </w:tc>
              <w:tc>
                <w:tcPr>
                  <w:tcW w:w="495" w:type="pct"/>
                  <w:vAlign w:val="center"/>
                </w:tcPr>
                <w:p>
                  <w:pPr>
                    <w:pStyle w:val="33"/>
                    <w:spacing w:line="360" w:lineRule="exact"/>
                    <w:rPr>
                      <w:color w:val="000000" w:themeColor="text1"/>
                      <w:szCs w:val="21"/>
                    </w:rPr>
                  </w:pP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生产废水</w:t>
                  </w:r>
                </w:p>
              </w:tc>
              <w:tc>
                <w:tcPr>
                  <w:tcW w:w="826" w:type="pct"/>
                  <w:vAlign w:val="center"/>
                </w:tcPr>
                <w:p>
                  <w:pPr>
                    <w:pStyle w:val="33"/>
                    <w:spacing w:line="360" w:lineRule="exact"/>
                    <w:rPr>
                      <w:rFonts w:eastAsiaTheme="minorEastAsia"/>
                      <w:color w:val="000000" w:themeColor="text1"/>
                      <w:szCs w:val="21"/>
                    </w:rPr>
                  </w:pPr>
                  <w:r>
                    <w:rPr>
                      <w:color w:val="000000" w:themeColor="text1"/>
                      <w:szCs w:val="21"/>
                    </w:rPr>
                    <w:t>废水处理系统</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废水处理系统由</w:t>
                  </w:r>
                  <w:r>
                    <w:rPr>
                      <w:rFonts w:hint="eastAsia"/>
                      <w:color w:val="000000" w:themeColor="text1"/>
                      <w:szCs w:val="21"/>
                    </w:rPr>
                    <w:t>11个总容积为858m³废水收集循环池；1#废水收集循环池有效容积为</w:t>
                  </w:r>
                  <w:r>
                    <w:rPr>
                      <w:color w:val="000000" w:themeColor="text1"/>
                      <w:szCs w:val="21"/>
                    </w:rPr>
                    <w:t>18m³</w:t>
                  </w:r>
                  <w:r>
                    <w:rPr>
                      <w:rFonts w:hint="eastAsia"/>
                      <w:color w:val="000000" w:themeColor="text1"/>
                      <w:szCs w:val="21"/>
                    </w:rPr>
                    <w:t>，2#和3#废水收集循环池有效容积为200</w:t>
                  </w:r>
                  <w:r>
                    <w:rPr>
                      <w:color w:val="000000" w:themeColor="text1"/>
                      <w:szCs w:val="21"/>
                    </w:rPr>
                    <w:t>m³</w:t>
                  </w:r>
                  <w:r>
                    <w:rPr>
                      <w:rFonts w:hint="eastAsia"/>
                      <w:color w:val="000000" w:themeColor="text1"/>
                      <w:szCs w:val="21"/>
                    </w:rPr>
                    <w:t>，4#-11#废水收集循环池有效容积为64</w:t>
                  </w:r>
                  <w:r>
                    <w:rPr>
                      <w:color w:val="000000" w:themeColor="text1"/>
                      <w:szCs w:val="21"/>
                    </w:rPr>
                    <w:t>0m³</w:t>
                  </w:r>
                  <w:r>
                    <w:rPr>
                      <w:rFonts w:hint="eastAsia"/>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46</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2</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初期雨水</w:t>
                  </w:r>
                </w:p>
              </w:tc>
              <w:tc>
                <w:tcPr>
                  <w:tcW w:w="826" w:type="pct"/>
                  <w:vAlign w:val="center"/>
                </w:tcPr>
                <w:p>
                  <w:pPr>
                    <w:pStyle w:val="33"/>
                    <w:spacing w:line="360" w:lineRule="exact"/>
                    <w:rPr>
                      <w:color w:val="000000" w:themeColor="text1"/>
                      <w:szCs w:val="21"/>
                    </w:rPr>
                  </w:pPr>
                  <w:r>
                    <w:rPr>
                      <w:color w:val="000000" w:themeColor="text1"/>
                      <w:szCs w:val="21"/>
                    </w:rPr>
                    <w:t>初期雨水收集池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1个有效容积为150m³的1#初期雨水收集池</w:t>
                  </w:r>
                  <w:r>
                    <w:rPr>
                      <w:rFonts w:hint="eastAsia"/>
                      <w:color w:val="000000" w:themeColor="text1"/>
                      <w:szCs w:val="21"/>
                    </w:rPr>
                    <w:t>、</w:t>
                  </w:r>
                  <w:r>
                    <w:rPr>
                      <w:color w:val="000000" w:themeColor="text1"/>
                      <w:szCs w:val="21"/>
                    </w:rPr>
                    <w:t>1个50.8m³的2#初期雨水收集池</w:t>
                  </w:r>
                  <w:r>
                    <w:rPr>
                      <w:rFonts w:hint="eastAsia"/>
                      <w:color w:val="000000" w:themeColor="text1"/>
                      <w:szCs w:val="21"/>
                    </w:rPr>
                    <w:t>和1</w:t>
                  </w:r>
                  <w:r>
                    <w:rPr>
                      <w:color w:val="000000" w:themeColor="text1"/>
                      <w:szCs w:val="21"/>
                    </w:rPr>
                    <w:t>个有效容积为5m³的</w:t>
                  </w:r>
                  <w:r>
                    <w:rPr>
                      <w:rFonts w:hint="eastAsia"/>
                      <w:color w:val="000000" w:themeColor="text1"/>
                      <w:szCs w:val="21"/>
                    </w:rPr>
                    <w:t>3#</w:t>
                  </w:r>
                  <w:r>
                    <w:rPr>
                      <w:color w:val="000000" w:themeColor="text1"/>
                      <w:szCs w:val="21"/>
                    </w:rPr>
                    <w:t>初期雨水收集池</w:t>
                  </w:r>
                  <w:r>
                    <w:rPr>
                      <w:rFonts w:hint="eastAsia"/>
                      <w:color w:val="000000" w:themeColor="text1"/>
                      <w:szCs w:val="21"/>
                    </w:rPr>
                    <w:t>。</w:t>
                  </w:r>
                  <w:r>
                    <w:rPr>
                      <w:color w:val="000000" w:themeColor="text1"/>
                      <w:szCs w:val="21"/>
                    </w:rPr>
                    <w:t xml:space="preserve"> </w:t>
                  </w:r>
                </w:p>
              </w:tc>
              <w:tc>
                <w:tcPr>
                  <w:tcW w:w="495" w:type="pct"/>
                  <w:vAlign w:val="center"/>
                </w:tcPr>
                <w:p>
                  <w:pPr>
                    <w:pStyle w:val="33"/>
                    <w:spacing w:line="360" w:lineRule="exact"/>
                    <w:rPr>
                      <w:color w:val="000000" w:themeColor="text1"/>
                      <w:szCs w:val="21"/>
                    </w:rPr>
                  </w:pPr>
                  <w:r>
                    <w:rPr>
                      <w:color w:val="000000" w:themeColor="text1"/>
                      <w:szCs w:val="21"/>
                    </w:rPr>
                    <w:t>“9”</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restart"/>
                  <w:vAlign w:val="center"/>
                </w:tcPr>
                <w:p>
                  <w:pPr>
                    <w:pStyle w:val="33"/>
                    <w:spacing w:line="360" w:lineRule="exact"/>
                    <w:rPr>
                      <w:color w:val="000000" w:themeColor="text1"/>
                      <w:szCs w:val="21"/>
                    </w:rPr>
                  </w:pPr>
                  <w:r>
                    <w:rPr>
                      <w:color w:val="000000" w:themeColor="text1"/>
                      <w:szCs w:val="21"/>
                    </w:rPr>
                    <w:t>生活污水</w:t>
                  </w:r>
                </w:p>
              </w:tc>
              <w:tc>
                <w:tcPr>
                  <w:tcW w:w="826" w:type="pct"/>
                  <w:vAlign w:val="center"/>
                </w:tcPr>
                <w:p>
                  <w:pPr>
                    <w:pStyle w:val="33"/>
                    <w:spacing w:line="360" w:lineRule="exact"/>
                    <w:rPr>
                      <w:color w:val="000000" w:themeColor="text1"/>
                      <w:szCs w:val="21"/>
                    </w:rPr>
                  </w:pPr>
                  <w:r>
                    <w:rPr>
                      <w:color w:val="000000" w:themeColor="text1"/>
                      <w:szCs w:val="21"/>
                    </w:rPr>
                    <w:t>隔油池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 xml:space="preserve">1个，1m³ </w:t>
                  </w:r>
                </w:p>
              </w:tc>
              <w:tc>
                <w:tcPr>
                  <w:tcW w:w="495" w:type="pct"/>
                  <w:vAlign w:val="center"/>
                </w:tcPr>
                <w:p>
                  <w:pPr>
                    <w:pStyle w:val="33"/>
                    <w:spacing w:line="360" w:lineRule="exact"/>
                    <w:rPr>
                      <w:color w:val="000000" w:themeColor="text1"/>
                      <w:szCs w:val="21"/>
                    </w:rPr>
                  </w:pPr>
                  <w:r>
                    <w:rPr>
                      <w:color w:val="000000" w:themeColor="text1"/>
                      <w:szCs w:val="21"/>
                    </w:rPr>
                    <w:t>0.5</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化粪池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 xml:space="preserve">1个，有效容积为20m³ </w:t>
                  </w:r>
                </w:p>
              </w:tc>
              <w:tc>
                <w:tcPr>
                  <w:tcW w:w="495" w:type="pct"/>
                  <w:vAlign w:val="center"/>
                </w:tcPr>
                <w:p>
                  <w:pPr>
                    <w:pStyle w:val="33"/>
                    <w:spacing w:line="360" w:lineRule="exact"/>
                    <w:rPr>
                      <w:color w:val="000000" w:themeColor="text1"/>
                      <w:szCs w:val="21"/>
                    </w:rPr>
                  </w:pPr>
                  <w:r>
                    <w:rPr>
                      <w:color w:val="000000" w:themeColor="text1"/>
                      <w:szCs w:val="21"/>
                    </w:rPr>
                    <w:t>1.2</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restart"/>
                  <w:vAlign w:val="center"/>
                </w:tcPr>
                <w:p>
                  <w:pPr>
                    <w:pStyle w:val="33"/>
                    <w:spacing w:line="360" w:lineRule="exact"/>
                    <w:rPr>
                      <w:color w:val="000000" w:themeColor="text1"/>
                      <w:szCs w:val="21"/>
                    </w:rPr>
                  </w:pPr>
                  <w:r>
                    <w:rPr>
                      <w:color w:val="000000" w:themeColor="text1"/>
                      <w:szCs w:val="21"/>
                    </w:rPr>
                    <w:t>地下水防渗</w:t>
                  </w:r>
                </w:p>
              </w:tc>
              <w:tc>
                <w:tcPr>
                  <w:tcW w:w="826" w:type="pct"/>
                  <w:vAlign w:val="center"/>
                </w:tcPr>
                <w:p>
                  <w:pPr>
                    <w:pStyle w:val="33"/>
                    <w:spacing w:line="360" w:lineRule="exact"/>
                    <w:rPr>
                      <w:color w:val="000000" w:themeColor="text1"/>
                      <w:szCs w:val="21"/>
                    </w:rPr>
                  </w:pPr>
                  <w:r>
                    <w:rPr>
                      <w:color w:val="000000" w:themeColor="text1"/>
                      <w:szCs w:val="21"/>
                    </w:rPr>
                    <w:t>重点防渗区</w:t>
                  </w:r>
                </w:p>
              </w:tc>
              <w:tc>
                <w:tcPr>
                  <w:tcW w:w="1483" w:type="pct"/>
                  <w:vAlign w:val="center"/>
                </w:tcPr>
                <w:p>
                  <w:pPr>
                    <w:pStyle w:val="33"/>
                    <w:spacing w:line="360" w:lineRule="exact"/>
                    <w:ind w:firstLine="210" w:firstLineChars="100"/>
                    <w:jc w:val="left"/>
                    <w:rPr>
                      <w:color w:val="000000" w:themeColor="text1"/>
                      <w:szCs w:val="21"/>
                      <w:lang w:val="en-US"/>
                    </w:rPr>
                  </w:pPr>
                  <w:r>
                    <w:rPr>
                      <w:color w:val="000000" w:themeColor="text1"/>
                      <w:szCs w:val="21"/>
                    </w:rPr>
                    <w:t>危险废物贮存间地面及裙墙已采用了2mm后的HDPE膜进行防渗，其渗透系数≤10</w:t>
                  </w:r>
                  <w:r>
                    <w:rPr>
                      <w:color w:val="000000" w:themeColor="text1"/>
                      <w:szCs w:val="21"/>
                      <w:vertAlign w:val="superscript"/>
                    </w:rPr>
                    <w:t>-10</w:t>
                  </w:r>
                  <w:r>
                    <w:rPr>
                      <w:color w:val="000000" w:themeColor="text1"/>
                      <w:szCs w:val="21"/>
                    </w:rPr>
                    <w:t>cm/s</w:t>
                  </w:r>
                </w:p>
              </w:tc>
              <w:tc>
                <w:tcPr>
                  <w:tcW w:w="495" w:type="pct"/>
                  <w:vAlign w:val="center"/>
                </w:tcPr>
                <w:p>
                  <w:pPr>
                    <w:pStyle w:val="33"/>
                    <w:spacing w:line="360" w:lineRule="exact"/>
                    <w:rPr>
                      <w:color w:val="000000" w:themeColor="text1"/>
                      <w:szCs w:val="21"/>
                    </w:rPr>
                  </w:pPr>
                  <w:r>
                    <w:rPr>
                      <w:color w:val="000000" w:themeColor="text1"/>
                      <w:szCs w:val="21"/>
                    </w:rPr>
                    <w:t>“0.8”</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738" w:type="pct"/>
                  <w:gridSpan w:val="2"/>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一般防渗区</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废水处理系统已采取了防腐防渗措施，其渗透系数≤1.0×10</w:t>
                  </w:r>
                  <w:r>
                    <w:rPr>
                      <w:color w:val="000000" w:themeColor="text1"/>
                      <w:szCs w:val="21"/>
                      <w:vertAlign w:val="superscript"/>
                    </w:rPr>
                    <w:t>-10</w:t>
                  </w:r>
                  <w:r>
                    <w:rPr>
                      <w:color w:val="000000" w:themeColor="text1"/>
                      <w:szCs w:val="21"/>
                    </w:rPr>
                    <w:t>cm/s；水淬渣暂存库和废渣暂存库均已进行了防渗施工，其渗透系数≤1.0×10</w:t>
                  </w:r>
                  <w:r>
                    <w:rPr>
                      <w:color w:val="000000" w:themeColor="text1"/>
                      <w:szCs w:val="21"/>
                      <w:vertAlign w:val="superscript"/>
                    </w:rPr>
                    <w:t>-7</w:t>
                  </w:r>
                  <w:r>
                    <w:rPr>
                      <w:color w:val="000000" w:themeColor="text1"/>
                      <w:szCs w:val="21"/>
                    </w:rPr>
                    <w:t>cm/s；生产车间各区域已采用粘土铺底，并在上层铺30cm的混凝土进行硬化，其渗透系数≤1.0×10</w:t>
                  </w:r>
                  <w:r>
                    <w:rPr>
                      <w:color w:val="000000" w:themeColor="text1"/>
                      <w:szCs w:val="21"/>
                      <w:vertAlign w:val="superscript"/>
                    </w:rPr>
                    <w:t>-7</w:t>
                  </w:r>
                  <w:r>
                    <w:rPr>
                      <w:color w:val="000000" w:themeColor="text1"/>
                      <w:szCs w:val="21"/>
                    </w:rPr>
                    <w:t>cm/s。</w:t>
                  </w:r>
                </w:p>
              </w:tc>
              <w:tc>
                <w:tcPr>
                  <w:tcW w:w="495" w:type="pct"/>
                  <w:vAlign w:val="center"/>
                </w:tcPr>
                <w:p>
                  <w:pPr>
                    <w:pStyle w:val="33"/>
                    <w:spacing w:line="360" w:lineRule="exact"/>
                    <w:rPr>
                      <w:color w:val="000000" w:themeColor="text1"/>
                      <w:szCs w:val="21"/>
                    </w:rPr>
                  </w:pPr>
                  <w:r>
                    <w:rPr>
                      <w:color w:val="000000" w:themeColor="text1"/>
                      <w:szCs w:val="21"/>
                    </w:rPr>
                    <w:t>“60”</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噪声</w:t>
                  </w:r>
                </w:p>
              </w:tc>
              <w:tc>
                <w:tcPr>
                  <w:tcW w:w="391" w:type="pct"/>
                  <w:vAlign w:val="center"/>
                </w:tcPr>
                <w:p>
                  <w:pPr>
                    <w:pStyle w:val="33"/>
                    <w:spacing w:line="360" w:lineRule="exact"/>
                    <w:rPr>
                      <w:color w:val="000000" w:themeColor="text1"/>
                      <w:szCs w:val="21"/>
                    </w:rPr>
                  </w:pPr>
                  <w:r>
                    <w:rPr>
                      <w:color w:val="000000" w:themeColor="text1"/>
                      <w:szCs w:val="21"/>
                    </w:rPr>
                    <w:t>设备噪声</w:t>
                  </w:r>
                </w:p>
              </w:tc>
              <w:tc>
                <w:tcPr>
                  <w:tcW w:w="826" w:type="pct"/>
                  <w:vAlign w:val="center"/>
                </w:tcPr>
                <w:p>
                  <w:pPr>
                    <w:pStyle w:val="33"/>
                    <w:spacing w:line="360" w:lineRule="exact"/>
                    <w:rPr>
                      <w:color w:val="000000" w:themeColor="text1"/>
                      <w:szCs w:val="21"/>
                    </w:rPr>
                  </w:pPr>
                  <w:r>
                    <w:rPr>
                      <w:color w:val="000000" w:themeColor="text1"/>
                      <w:szCs w:val="21"/>
                    </w:rPr>
                    <w:t>减震垫、消声器等</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95" w:type="pct"/>
                  <w:vAlign w:val="center"/>
                </w:tcPr>
                <w:p>
                  <w:pPr>
                    <w:pStyle w:val="33"/>
                    <w:spacing w:line="360" w:lineRule="exact"/>
                    <w:rPr>
                      <w:color w:val="000000" w:themeColor="text1"/>
                      <w:szCs w:val="21"/>
                    </w:rPr>
                  </w:pPr>
                  <w:r>
                    <w:rPr>
                      <w:rFonts w:hint="eastAsia"/>
                      <w:color w:val="000000" w:themeColor="text1"/>
                      <w:szCs w:val="21"/>
                    </w:rPr>
                    <w:t>2</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restart"/>
                  <w:vAlign w:val="center"/>
                </w:tcPr>
                <w:p>
                  <w:pPr>
                    <w:pStyle w:val="33"/>
                    <w:spacing w:line="360" w:lineRule="exact"/>
                    <w:rPr>
                      <w:color w:val="000000" w:themeColor="text1"/>
                      <w:szCs w:val="21"/>
                    </w:rPr>
                  </w:pPr>
                  <w:r>
                    <w:rPr>
                      <w:color w:val="000000" w:themeColor="text1"/>
                      <w:szCs w:val="21"/>
                    </w:rPr>
                    <w:t>固废</w:t>
                  </w:r>
                </w:p>
              </w:tc>
              <w:tc>
                <w:tcPr>
                  <w:tcW w:w="391" w:type="pct"/>
                  <w:vMerge w:val="restart"/>
                  <w:vAlign w:val="center"/>
                </w:tcPr>
                <w:p>
                  <w:pPr>
                    <w:pStyle w:val="33"/>
                    <w:spacing w:line="360" w:lineRule="exact"/>
                    <w:rPr>
                      <w:color w:val="000000" w:themeColor="text1"/>
                      <w:szCs w:val="21"/>
                    </w:rPr>
                  </w:pPr>
                  <w:r>
                    <w:rPr>
                      <w:color w:val="000000" w:themeColor="text1"/>
                      <w:szCs w:val="21"/>
                    </w:rPr>
                    <w:t>废渣等</w:t>
                  </w:r>
                </w:p>
              </w:tc>
              <w:tc>
                <w:tcPr>
                  <w:tcW w:w="826" w:type="pct"/>
                  <w:vAlign w:val="center"/>
                </w:tcPr>
                <w:p>
                  <w:pPr>
                    <w:pStyle w:val="33"/>
                    <w:spacing w:line="360" w:lineRule="exact"/>
                    <w:rPr>
                      <w:color w:val="000000" w:themeColor="text1"/>
                      <w:szCs w:val="21"/>
                    </w:rPr>
                  </w:pPr>
                  <w:r>
                    <w:rPr>
                      <w:rFonts w:hint="eastAsia"/>
                      <w:color w:val="000000" w:themeColor="text1"/>
                      <w:szCs w:val="21"/>
                    </w:rPr>
                    <w:t>尾渣处理系统</w:t>
                  </w:r>
                </w:p>
              </w:tc>
              <w:tc>
                <w:tcPr>
                  <w:tcW w:w="1483" w:type="pct"/>
                  <w:vAlign w:val="center"/>
                </w:tcPr>
                <w:p>
                  <w:pPr>
                    <w:pStyle w:val="33"/>
                    <w:spacing w:line="360" w:lineRule="exact"/>
                    <w:ind w:firstLine="210" w:firstLineChars="100"/>
                    <w:jc w:val="left"/>
                    <w:rPr>
                      <w:color w:val="000000" w:themeColor="text1"/>
                      <w:szCs w:val="21"/>
                    </w:rPr>
                  </w:pPr>
                  <w:r>
                    <w:rPr>
                      <w:rFonts w:hint="eastAsia"/>
                      <w:color w:val="000000" w:themeColor="text1"/>
                      <w:szCs w:val="21"/>
                    </w:rPr>
                    <w:t>尾渣处理系统包括浓密+真空过滤工艺，处理后其含水率约为10%。</w:t>
                  </w:r>
                </w:p>
              </w:tc>
              <w:tc>
                <w:tcPr>
                  <w:tcW w:w="495" w:type="pct"/>
                  <w:vAlign w:val="center"/>
                </w:tcPr>
                <w:p>
                  <w:pPr>
                    <w:pStyle w:val="33"/>
                    <w:spacing w:line="360" w:lineRule="exact"/>
                    <w:rPr>
                      <w:color w:val="000000" w:themeColor="text1"/>
                      <w:szCs w:val="21"/>
                    </w:rPr>
                  </w:pPr>
                  <w:r>
                    <w:rPr>
                      <w:rFonts w:hint="eastAsia"/>
                      <w:color w:val="000000" w:themeColor="text1"/>
                      <w:szCs w:val="21"/>
                    </w:rPr>
                    <w:t>20</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rFonts w:hint="eastAsia"/>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Merge w:val="continue"/>
                  <w:vAlign w:val="center"/>
                </w:tcPr>
                <w:p>
                  <w:pPr>
                    <w:pStyle w:val="33"/>
                    <w:spacing w:line="360" w:lineRule="exact"/>
                    <w:rPr>
                      <w:color w:val="000000" w:themeColor="text1"/>
                      <w:szCs w:val="21"/>
                    </w:rPr>
                  </w:pPr>
                </w:p>
              </w:tc>
              <w:tc>
                <w:tcPr>
                  <w:tcW w:w="826" w:type="pct"/>
                  <w:vAlign w:val="center"/>
                </w:tcPr>
                <w:p>
                  <w:pPr>
                    <w:pStyle w:val="33"/>
                    <w:spacing w:line="360" w:lineRule="exact"/>
                    <w:rPr>
                      <w:color w:val="000000" w:themeColor="text1"/>
                      <w:szCs w:val="21"/>
                    </w:rPr>
                  </w:pPr>
                  <w:r>
                    <w:rPr>
                      <w:color w:val="000000" w:themeColor="text1"/>
                      <w:szCs w:val="21"/>
                    </w:rPr>
                    <w:t>废渣暂存库</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1个600m²，设有顶棚和三面围挡。</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30</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rFonts w:hint="eastAsia"/>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危险废物</w:t>
                  </w:r>
                </w:p>
              </w:tc>
              <w:tc>
                <w:tcPr>
                  <w:tcW w:w="826" w:type="pct"/>
                  <w:vAlign w:val="center"/>
                </w:tcPr>
                <w:p>
                  <w:pPr>
                    <w:pStyle w:val="33"/>
                    <w:spacing w:line="360" w:lineRule="exact"/>
                    <w:rPr>
                      <w:color w:val="000000" w:themeColor="text1"/>
                      <w:szCs w:val="21"/>
                    </w:rPr>
                  </w:pPr>
                  <w:r>
                    <w:rPr>
                      <w:color w:val="000000" w:themeColor="text1"/>
                      <w:szCs w:val="21"/>
                    </w:rPr>
                    <w:t>危险废物贮存间</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15</w:t>
                  </w:r>
                  <w:r>
                    <w:rPr>
                      <w:color w:val="000000" w:themeColor="text1"/>
                      <w:szCs w:val="21"/>
                    </w:rPr>
                    <w:t>m²</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1.5</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6</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Merge w:val="continue"/>
                  <w:vAlign w:val="center"/>
                </w:tcPr>
                <w:p>
                  <w:pPr>
                    <w:pStyle w:val="33"/>
                    <w:spacing w:line="360" w:lineRule="exact"/>
                    <w:rPr>
                      <w:color w:val="000000" w:themeColor="text1"/>
                      <w:szCs w:val="21"/>
                    </w:rPr>
                  </w:pPr>
                </w:p>
              </w:tc>
              <w:tc>
                <w:tcPr>
                  <w:tcW w:w="391" w:type="pct"/>
                  <w:vAlign w:val="center"/>
                </w:tcPr>
                <w:p>
                  <w:pPr>
                    <w:pStyle w:val="33"/>
                    <w:spacing w:line="360" w:lineRule="exact"/>
                    <w:rPr>
                      <w:color w:val="000000" w:themeColor="text1"/>
                      <w:szCs w:val="21"/>
                    </w:rPr>
                  </w:pPr>
                  <w:r>
                    <w:rPr>
                      <w:color w:val="000000" w:themeColor="text1"/>
                      <w:szCs w:val="21"/>
                    </w:rPr>
                    <w:t>生活垃圾</w:t>
                  </w:r>
                </w:p>
              </w:tc>
              <w:tc>
                <w:tcPr>
                  <w:tcW w:w="826" w:type="pct"/>
                  <w:vAlign w:val="center"/>
                </w:tcPr>
                <w:p>
                  <w:pPr>
                    <w:pStyle w:val="33"/>
                    <w:spacing w:line="360" w:lineRule="exact"/>
                    <w:rPr>
                      <w:color w:val="000000" w:themeColor="text1"/>
                      <w:szCs w:val="21"/>
                    </w:rPr>
                  </w:pPr>
                  <w:r>
                    <w:rPr>
                      <w:color w:val="000000" w:themeColor="text1"/>
                      <w:szCs w:val="21"/>
                    </w:rPr>
                    <w:t>生活垃圾桶</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0.01</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2</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环境风险</w:t>
                  </w:r>
                </w:p>
              </w:tc>
              <w:tc>
                <w:tcPr>
                  <w:tcW w:w="391" w:type="pct"/>
                  <w:vAlign w:val="center"/>
                </w:tcPr>
                <w:p>
                  <w:pPr>
                    <w:pStyle w:val="33"/>
                    <w:spacing w:line="360" w:lineRule="exact"/>
                    <w:rPr>
                      <w:color w:val="000000" w:themeColor="text1"/>
                      <w:szCs w:val="21"/>
                    </w:rPr>
                  </w:pPr>
                  <w:r>
                    <w:rPr>
                      <w:color w:val="000000" w:themeColor="text1"/>
                      <w:szCs w:val="21"/>
                    </w:rPr>
                    <w:t>事故废水</w:t>
                  </w:r>
                </w:p>
              </w:tc>
              <w:tc>
                <w:tcPr>
                  <w:tcW w:w="826" w:type="pct"/>
                  <w:vAlign w:val="center"/>
                </w:tcPr>
                <w:p>
                  <w:pPr>
                    <w:pStyle w:val="33"/>
                    <w:spacing w:line="360" w:lineRule="exact"/>
                    <w:rPr>
                      <w:color w:val="000000" w:themeColor="text1"/>
                      <w:szCs w:val="21"/>
                    </w:rPr>
                  </w:pPr>
                  <w:r>
                    <w:rPr>
                      <w:color w:val="000000" w:themeColor="text1"/>
                      <w:szCs w:val="21"/>
                    </w:rPr>
                    <w:t>事故池</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1个，尺寸为Φ4.6m、深4.5m的圆柱体，其有效容积为80m³。</w:t>
                  </w:r>
                </w:p>
              </w:tc>
              <w:tc>
                <w:tcPr>
                  <w:tcW w:w="495" w:type="pct"/>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3</w:t>
                  </w:r>
                  <w:r>
                    <w:rPr>
                      <w:color w:val="000000" w:themeColor="text1"/>
                      <w:szCs w:val="21"/>
                    </w:rPr>
                    <w:t>”</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Merge w:val="continue"/>
                  <w:vAlign w:val="center"/>
                </w:tcPr>
                <w:p>
                  <w:pPr>
                    <w:pStyle w:val="33"/>
                    <w:spacing w:line="360" w:lineRule="exact"/>
                    <w:rPr>
                      <w:color w:val="000000" w:themeColor="text1"/>
                      <w:szCs w:val="21"/>
                    </w:rPr>
                  </w:pPr>
                </w:p>
              </w:tc>
              <w:tc>
                <w:tcPr>
                  <w:tcW w:w="347" w:type="pct"/>
                  <w:vAlign w:val="center"/>
                </w:tcPr>
                <w:p>
                  <w:pPr>
                    <w:pStyle w:val="33"/>
                    <w:spacing w:line="360" w:lineRule="exact"/>
                    <w:rPr>
                      <w:color w:val="000000" w:themeColor="text1"/>
                      <w:szCs w:val="21"/>
                    </w:rPr>
                  </w:pPr>
                  <w:r>
                    <w:rPr>
                      <w:color w:val="000000" w:themeColor="text1"/>
                      <w:szCs w:val="21"/>
                    </w:rPr>
                    <w:t>其他</w:t>
                  </w:r>
                </w:p>
              </w:tc>
              <w:tc>
                <w:tcPr>
                  <w:tcW w:w="1217" w:type="pct"/>
                  <w:gridSpan w:val="2"/>
                  <w:vAlign w:val="center"/>
                </w:tcPr>
                <w:p>
                  <w:pPr>
                    <w:pStyle w:val="33"/>
                    <w:spacing w:line="360" w:lineRule="exact"/>
                    <w:rPr>
                      <w:color w:val="000000" w:themeColor="text1"/>
                      <w:szCs w:val="21"/>
                    </w:rPr>
                  </w:pPr>
                  <w:r>
                    <w:rPr>
                      <w:color w:val="000000" w:themeColor="text1"/>
                      <w:szCs w:val="21"/>
                    </w:rPr>
                    <w:t>标识牌</w:t>
                  </w:r>
                </w:p>
              </w:tc>
              <w:tc>
                <w:tcPr>
                  <w:tcW w:w="1483" w:type="pct"/>
                  <w:vAlign w:val="center"/>
                </w:tcPr>
                <w:p>
                  <w:pPr>
                    <w:pStyle w:val="33"/>
                    <w:spacing w:line="360" w:lineRule="exact"/>
                    <w:ind w:firstLine="210" w:firstLineChars="100"/>
                    <w:jc w:val="left"/>
                    <w:rPr>
                      <w:color w:val="000000" w:themeColor="text1"/>
                      <w:szCs w:val="21"/>
                    </w:rPr>
                  </w:pPr>
                  <w:r>
                    <w:rPr>
                      <w:color w:val="000000" w:themeColor="text1"/>
                      <w:szCs w:val="21"/>
                    </w:rPr>
                    <w:t>--</w:t>
                  </w:r>
                </w:p>
              </w:tc>
              <w:tc>
                <w:tcPr>
                  <w:tcW w:w="495" w:type="pct"/>
                  <w:vAlign w:val="center"/>
                </w:tcPr>
                <w:p>
                  <w:pPr>
                    <w:pStyle w:val="33"/>
                    <w:spacing w:line="360" w:lineRule="exact"/>
                    <w:rPr>
                      <w:color w:val="000000" w:themeColor="text1"/>
                      <w:szCs w:val="21"/>
                    </w:rPr>
                  </w:pPr>
                  <w:r>
                    <w:rPr>
                      <w:color w:val="000000" w:themeColor="text1"/>
                      <w:szCs w:val="21"/>
                    </w:rPr>
                    <w:t>0.1</w:t>
                  </w:r>
                </w:p>
              </w:tc>
              <w:tc>
                <w:tcPr>
                  <w:tcW w:w="411" w:type="pct"/>
                  <w:vMerge w:val="continue"/>
                  <w:vAlign w:val="center"/>
                </w:tcPr>
                <w:p>
                  <w:pPr>
                    <w:pStyle w:val="33"/>
                    <w:spacing w:line="360" w:lineRule="exact"/>
                    <w:rPr>
                      <w:color w:val="000000" w:themeColor="text1"/>
                      <w:szCs w:val="21"/>
                    </w:rPr>
                  </w:pPr>
                </w:p>
              </w:tc>
              <w:tc>
                <w:tcPr>
                  <w:tcW w:w="374" w:type="pct"/>
                  <w:vAlign w:val="center"/>
                </w:tcPr>
                <w:p>
                  <w:pPr>
                    <w:pStyle w:val="33"/>
                    <w:spacing w:line="360" w:lineRule="exact"/>
                    <w:rPr>
                      <w:color w:val="000000" w:themeColor="text1"/>
                      <w:szCs w:val="21"/>
                    </w:rPr>
                  </w:pPr>
                  <w:r>
                    <w:rPr>
                      <w:color w:val="000000" w:themeColor="text1"/>
                      <w:szCs w:val="21"/>
                    </w:rPr>
                    <w:t>0</w:t>
                  </w:r>
                </w:p>
              </w:tc>
              <w:tc>
                <w:tcPr>
                  <w:tcW w:w="408" w:type="pct"/>
                  <w:vMerge w:val="continue"/>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pct"/>
                  <w:gridSpan w:val="5"/>
                  <w:vAlign w:val="center"/>
                </w:tcPr>
                <w:p>
                  <w:pPr>
                    <w:pStyle w:val="33"/>
                    <w:spacing w:line="360" w:lineRule="exact"/>
                    <w:rPr>
                      <w:color w:val="000000" w:themeColor="text1"/>
                      <w:szCs w:val="21"/>
                    </w:rPr>
                  </w:pPr>
                  <w:r>
                    <w:rPr>
                      <w:color w:val="000000" w:themeColor="text1"/>
                      <w:szCs w:val="21"/>
                    </w:rPr>
                    <w:t>管理相关费用</w:t>
                  </w:r>
                </w:p>
              </w:tc>
              <w:tc>
                <w:tcPr>
                  <w:tcW w:w="1688" w:type="pct"/>
                  <w:gridSpan w:val="4"/>
                  <w:vAlign w:val="center"/>
                </w:tcPr>
                <w:p>
                  <w:pPr>
                    <w:pStyle w:val="33"/>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pct"/>
                  <w:gridSpan w:val="5"/>
                  <w:vAlign w:val="center"/>
                </w:tcPr>
                <w:p>
                  <w:pPr>
                    <w:pStyle w:val="33"/>
                    <w:spacing w:line="360" w:lineRule="exact"/>
                    <w:rPr>
                      <w:color w:val="000000" w:themeColor="text1"/>
                      <w:szCs w:val="21"/>
                    </w:rPr>
                  </w:pPr>
                  <w:r>
                    <w:rPr>
                      <w:color w:val="000000" w:themeColor="text1"/>
                      <w:szCs w:val="21"/>
                    </w:rPr>
                    <w:t>合计</w:t>
                  </w:r>
                </w:p>
              </w:tc>
              <w:tc>
                <w:tcPr>
                  <w:tcW w:w="495" w:type="pct"/>
                  <w:vAlign w:val="center"/>
                </w:tcPr>
                <w:p>
                  <w:pPr>
                    <w:pStyle w:val="33"/>
                    <w:spacing w:line="360" w:lineRule="exact"/>
                    <w:rPr>
                      <w:color w:val="000000" w:themeColor="text1"/>
                      <w:szCs w:val="21"/>
                    </w:rPr>
                  </w:pPr>
                  <w:r>
                    <w:rPr>
                      <w:color w:val="000000" w:themeColor="text1"/>
                      <w:szCs w:val="21"/>
                    </w:rPr>
                    <w:t>137.81</w:t>
                  </w:r>
                </w:p>
              </w:tc>
              <w:tc>
                <w:tcPr>
                  <w:tcW w:w="411" w:type="pct"/>
                  <w:vAlign w:val="center"/>
                </w:tcPr>
                <w:p>
                  <w:pPr>
                    <w:pStyle w:val="33"/>
                    <w:spacing w:line="360" w:lineRule="exact"/>
                    <w:rPr>
                      <w:color w:val="000000" w:themeColor="text1"/>
                      <w:szCs w:val="21"/>
                    </w:rPr>
                  </w:pPr>
                  <w:r>
                    <w:rPr>
                      <w:color w:val="000000" w:themeColor="text1"/>
                      <w:szCs w:val="21"/>
                    </w:rPr>
                    <w:t>--</w:t>
                  </w:r>
                </w:p>
              </w:tc>
              <w:tc>
                <w:tcPr>
                  <w:tcW w:w="374" w:type="pct"/>
                  <w:vAlign w:val="center"/>
                </w:tcPr>
                <w:p>
                  <w:pPr>
                    <w:pStyle w:val="33"/>
                    <w:spacing w:line="360" w:lineRule="exact"/>
                    <w:rPr>
                      <w:color w:val="000000" w:themeColor="text1"/>
                      <w:szCs w:val="21"/>
                    </w:rPr>
                  </w:pPr>
                  <w:r>
                    <w:rPr>
                      <w:color w:val="000000" w:themeColor="text1"/>
                      <w:szCs w:val="21"/>
                    </w:rPr>
                    <w:t>12.8</w:t>
                  </w:r>
                </w:p>
              </w:tc>
              <w:tc>
                <w:tcPr>
                  <w:tcW w:w="408" w:type="pct"/>
                  <w:vAlign w:val="center"/>
                </w:tcPr>
                <w:p>
                  <w:pPr>
                    <w:pStyle w:val="33"/>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pStyle w:val="33"/>
                    <w:spacing w:line="360" w:lineRule="exact"/>
                    <w:ind w:firstLine="210" w:firstLineChars="100"/>
                    <w:jc w:val="left"/>
                    <w:rPr>
                      <w:color w:val="000000" w:themeColor="text1"/>
                      <w:szCs w:val="21"/>
                    </w:rPr>
                  </w:pPr>
                  <w:r>
                    <w:rPr>
                      <w:color w:val="000000" w:themeColor="text1"/>
                      <w:szCs w:val="21"/>
                    </w:rPr>
                    <w:t>备注：“”表示已投资，不进行重复计算</w:t>
                  </w:r>
                </w:p>
              </w:tc>
            </w:tr>
          </w:tbl>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p>
            <w:pPr>
              <w:pStyle w:val="41"/>
              <w:ind w:firstLine="480"/>
              <w:rPr>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bookmarkStart w:id="12" w:name="_Toc151133522"/>
      <w:r>
        <w:rPr>
          <w:rFonts w:ascii="Times New Roman" w:hAnsi="Times New Roman" w:cs="Times New Roman"/>
          <w:b/>
          <w:color w:val="000000" w:themeColor="text1"/>
          <w:sz w:val="28"/>
          <w:szCs w:val="20"/>
        </w:rPr>
        <w:t>五、环境保护措施监督检查清单</w:t>
      </w:r>
      <w:bookmarkEnd w:id="12"/>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850"/>
        <w:gridCol w:w="851"/>
        <w:gridCol w:w="850"/>
        <w:gridCol w:w="1297"/>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29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0" w:type="dxa"/>
            <w:vMerge w:val="restart"/>
            <w:vAlign w:val="center"/>
          </w:tcPr>
          <w:p>
            <w:pPr>
              <w:pStyle w:val="33"/>
              <w:spacing w:line="360" w:lineRule="exact"/>
              <w:rPr>
                <w:color w:val="000000" w:themeColor="text1"/>
                <w:szCs w:val="21"/>
              </w:rPr>
            </w:pPr>
            <w:r>
              <w:rPr>
                <w:color w:val="000000" w:themeColor="text1"/>
                <w:szCs w:val="21"/>
              </w:rPr>
              <w:t>烘干系统</w:t>
            </w:r>
          </w:p>
        </w:tc>
        <w:tc>
          <w:tcPr>
            <w:tcW w:w="851" w:type="dxa"/>
            <w:vAlign w:val="center"/>
          </w:tcPr>
          <w:p>
            <w:pPr>
              <w:pStyle w:val="33"/>
              <w:spacing w:line="360" w:lineRule="exact"/>
              <w:rPr>
                <w:color w:val="000000" w:themeColor="text1"/>
                <w:szCs w:val="21"/>
              </w:rPr>
            </w:pPr>
            <w:r>
              <w:rPr>
                <w:color w:val="000000" w:themeColor="text1"/>
                <w:szCs w:val="21"/>
              </w:rPr>
              <w:t>热风炉</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297" w:type="dxa"/>
            <w:vAlign w:val="center"/>
          </w:tcPr>
          <w:p>
            <w:pPr>
              <w:pStyle w:val="33"/>
              <w:rPr>
                <w:rFonts w:eastAsiaTheme="minorEastAsia"/>
                <w:color w:val="000000" w:themeColor="text1"/>
                <w:szCs w:val="21"/>
              </w:rPr>
            </w:pPr>
            <w:r>
              <w:rPr>
                <w:rFonts w:hint="eastAsia"/>
                <w:color w:val="000000" w:themeColor="text1"/>
                <w:szCs w:val="21"/>
              </w:rPr>
              <w:t>颗粒物</w:t>
            </w:r>
            <w:r>
              <w:rPr>
                <w:color w:val="000000" w:themeColor="text1"/>
                <w:szCs w:val="21"/>
              </w:rPr>
              <w:t>、SO</w:t>
            </w:r>
            <w:r>
              <w:rPr>
                <w:color w:val="000000" w:themeColor="text1"/>
                <w:szCs w:val="21"/>
                <w:vertAlign w:val="subscript"/>
              </w:rPr>
              <w:t>2</w:t>
            </w:r>
            <w:r>
              <w:rPr>
                <w:color w:val="000000" w:themeColor="text1"/>
                <w:szCs w:val="21"/>
              </w:rPr>
              <w:t>、NOx</w:t>
            </w:r>
          </w:p>
        </w:tc>
        <w:tc>
          <w:tcPr>
            <w:tcW w:w="2983" w:type="dxa"/>
            <w:vAlign w:val="center"/>
          </w:tcPr>
          <w:p>
            <w:pPr>
              <w:pStyle w:val="33"/>
              <w:spacing w:line="360" w:lineRule="exact"/>
              <w:ind w:firstLine="210" w:firstLineChars="100"/>
              <w:jc w:val="both"/>
              <w:rPr>
                <w:color w:val="000000" w:themeColor="text1"/>
                <w:szCs w:val="21"/>
              </w:rPr>
            </w:pPr>
            <w:r>
              <w:rPr>
                <w:color w:val="000000" w:themeColor="text1"/>
                <w:szCs w:val="21"/>
              </w:rPr>
              <w:t>针对燃烧烟气，项目拟通过低氮燃烧+非催化还原（SNCR）脱硝技术+袋式除尘器处理，其中低氮燃烧+非催化还原（SNCR）脱硝的NOx去除效率为45.4%，1#布袋除尘除尘效率为99.7%，燃烧烟气经处理后通过1根Φ0.4m、高</w:t>
            </w:r>
            <w:r>
              <w:rPr>
                <w:rFonts w:hint="eastAsia"/>
                <w:color w:val="000000" w:themeColor="text1"/>
                <w:szCs w:val="21"/>
              </w:rPr>
              <w:t>20</w:t>
            </w:r>
            <w:r>
              <w:rPr>
                <w:color w:val="000000" w:themeColor="text1"/>
                <w:szCs w:val="21"/>
              </w:rPr>
              <w:t>m的排气筒（DA003）外排。</w:t>
            </w:r>
          </w:p>
        </w:tc>
        <w:tc>
          <w:tcPr>
            <w:tcW w:w="1719" w:type="dxa"/>
            <w:tcBorders>
              <w:bottom w:val="single" w:color="auto" w:sz="4" w:space="0"/>
            </w:tcBorders>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《锅炉大气污染物排放标准》（GB</w:t>
            </w:r>
            <w:r>
              <w:rPr>
                <w:rFonts w:hint="eastAsia"/>
                <w:color w:val="000000" w:themeColor="text1"/>
                <w:szCs w:val="21"/>
                <w:lang w:eastAsia="zh-CN"/>
              </w:rPr>
              <w:t>*****</w:t>
            </w:r>
            <w:r>
              <w:rPr>
                <w:rFonts w:hint="eastAsia"/>
                <w:color w:val="000000" w:themeColor="text1"/>
                <w:szCs w:val="21"/>
              </w:rPr>
              <w:t>-2014）表2标准限值。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851" w:type="dxa"/>
            <w:vAlign w:val="center"/>
          </w:tcPr>
          <w:p>
            <w:pPr>
              <w:pStyle w:val="33"/>
              <w:spacing w:line="360" w:lineRule="exact"/>
              <w:rPr>
                <w:color w:val="000000" w:themeColor="text1"/>
                <w:szCs w:val="21"/>
              </w:rPr>
            </w:pPr>
            <w:r>
              <w:rPr>
                <w:color w:val="000000" w:themeColor="text1"/>
                <w:szCs w:val="21"/>
              </w:rPr>
              <w:t>烘干机</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有组织</w:t>
            </w:r>
          </w:p>
        </w:tc>
        <w:tc>
          <w:tcPr>
            <w:tcW w:w="1297" w:type="dxa"/>
            <w:vAlign w:val="center"/>
          </w:tcPr>
          <w:p>
            <w:pPr>
              <w:pStyle w:val="33"/>
              <w:rPr>
                <w:color w:val="000000" w:themeColor="text1"/>
                <w:szCs w:val="21"/>
              </w:rPr>
            </w:pPr>
            <w:r>
              <w:rPr>
                <w:color w:val="000000" w:themeColor="text1"/>
                <w:szCs w:val="21"/>
              </w:rPr>
              <w:t>颗粒物</w:t>
            </w:r>
          </w:p>
        </w:tc>
        <w:tc>
          <w:tcPr>
            <w:tcW w:w="2983"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针对烘干粉尘，项目拟通过旋风除尘+袋式除尘器处理，其中旋风除尘效率为70%，2#布袋除尘除尘效率为98.4%，则综合除尘效率约为99.5%，烘干粉尘经处理后通过</w:t>
            </w:r>
            <w:r>
              <w:rPr>
                <w:color w:val="000000" w:themeColor="text1"/>
                <w:szCs w:val="21"/>
              </w:rPr>
              <w:t>1根Φ</w:t>
            </w:r>
            <w:r>
              <w:rPr>
                <w:rFonts w:hint="eastAsia"/>
                <w:color w:val="000000" w:themeColor="text1"/>
                <w:szCs w:val="21"/>
              </w:rPr>
              <w:t>0.5</w:t>
            </w:r>
            <w:r>
              <w:rPr>
                <w:color w:val="000000" w:themeColor="text1"/>
                <w:szCs w:val="21"/>
              </w:rPr>
              <w:t>m、高</w:t>
            </w:r>
            <w:r>
              <w:rPr>
                <w:rFonts w:hint="eastAsia"/>
                <w:color w:val="000000" w:themeColor="text1"/>
                <w:szCs w:val="21"/>
              </w:rPr>
              <w:t>15</w:t>
            </w:r>
            <w:r>
              <w:rPr>
                <w:color w:val="000000" w:themeColor="text1"/>
                <w:szCs w:val="21"/>
              </w:rPr>
              <w:t>m</w:t>
            </w:r>
            <w:r>
              <w:rPr>
                <w:rFonts w:hint="eastAsia"/>
                <w:color w:val="000000" w:themeColor="text1"/>
                <w:szCs w:val="21"/>
              </w:rPr>
              <w:t>的</w:t>
            </w:r>
            <w:r>
              <w:rPr>
                <w:color w:val="000000" w:themeColor="text1"/>
                <w:szCs w:val="21"/>
              </w:rPr>
              <w:t>排气筒（DA004）</w:t>
            </w:r>
            <w:r>
              <w:rPr>
                <w:rFonts w:hint="eastAsia"/>
                <w:color w:val="000000" w:themeColor="text1"/>
                <w:szCs w:val="21"/>
              </w:rPr>
              <w:t>外排。</w:t>
            </w:r>
          </w:p>
        </w:tc>
        <w:tc>
          <w:tcPr>
            <w:tcW w:w="1719" w:type="dxa"/>
            <w:tcBorders>
              <w:bottom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-1996）中二级标准限值。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3"/>
              <w:spacing w:line="360" w:lineRule="exact"/>
              <w:rPr>
                <w:color w:val="000000" w:themeColor="text1"/>
                <w:szCs w:val="21"/>
              </w:rPr>
            </w:pPr>
            <w:r>
              <w:rPr>
                <w:rFonts w:hint="eastAsia"/>
                <w:color w:val="000000" w:themeColor="text1"/>
                <w:szCs w:val="21"/>
              </w:rPr>
              <w:t>水淬渣暂存库和废渣暂存库</w:t>
            </w:r>
          </w:p>
        </w:tc>
        <w:tc>
          <w:tcPr>
            <w:tcW w:w="851" w:type="dxa"/>
            <w:vAlign w:val="center"/>
          </w:tcPr>
          <w:p>
            <w:pPr>
              <w:pStyle w:val="33"/>
              <w:spacing w:line="360" w:lineRule="exact"/>
              <w:rPr>
                <w:color w:val="000000" w:themeColor="text1"/>
                <w:szCs w:val="21"/>
              </w:rPr>
            </w:pPr>
            <w:r>
              <w:rPr>
                <w:rFonts w:hint="eastAsia"/>
                <w:color w:val="000000" w:themeColor="text1"/>
                <w:szCs w:val="21"/>
              </w:rPr>
              <w:t>装卸、暂存</w:t>
            </w:r>
          </w:p>
        </w:tc>
        <w:tc>
          <w:tcPr>
            <w:tcW w:w="850" w:type="dxa"/>
            <w:vAlign w:val="center"/>
          </w:tcPr>
          <w:p>
            <w:pPr>
              <w:pStyle w:val="33"/>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无</w:t>
            </w:r>
            <w:r>
              <w:rPr>
                <w:rFonts w:eastAsiaTheme="minorEastAsia"/>
                <w:bCs w:val="0"/>
                <w:snapToGrid/>
                <w:color w:val="000000" w:themeColor="text1"/>
                <w:kern w:val="0"/>
                <w:szCs w:val="21"/>
                <w:lang w:val="en-US"/>
              </w:rPr>
              <w:t>组织</w:t>
            </w:r>
          </w:p>
        </w:tc>
        <w:tc>
          <w:tcPr>
            <w:tcW w:w="1297" w:type="dxa"/>
            <w:vAlign w:val="center"/>
          </w:tcPr>
          <w:p>
            <w:pPr>
              <w:pStyle w:val="33"/>
              <w:rPr>
                <w:color w:val="000000" w:themeColor="text1"/>
                <w:szCs w:val="21"/>
              </w:rPr>
            </w:pPr>
            <w:r>
              <w:rPr>
                <w:color w:val="000000" w:themeColor="text1"/>
                <w:szCs w:val="21"/>
              </w:rPr>
              <w:t>颗粒物</w:t>
            </w:r>
          </w:p>
        </w:tc>
        <w:tc>
          <w:tcPr>
            <w:tcW w:w="2983" w:type="dxa"/>
            <w:vAlign w:val="center"/>
          </w:tcPr>
          <w:p>
            <w:pPr>
              <w:pStyle w:val="33"/>
              <w:spacing w:line="360" w:lineRule="exact"/>
              <w:ind w:firstLine="210" w:firstLineChars="100"/>
              <w:jc w:val="both"/>
              <w:rPr>
                <w:color w:val="000000" w:themeColor="text1"/>
                <w:szCs w:val="21"/>
              </w:rPr>
            </w:pPr>
            <w:r>
              <w:rPr>
                <w:rFonts w:hint="eastAsia"/>
                <w:color w:val="000000" w:themeColor="text1"/>
                <w:szCs w:val="21"/>
              </w:rPr>
              <w:t>该水淬渣暂存库设有三面围挡和顶棚设施。而废渣暂存库设有顶棚和三面围挡，但围挡与顶棚之间存在空隙，未完全封闭，应加高围挡进行封闭，应对其进行修善。</w:t>
            </w:r>
          </w:p>
        </w:tc>
        <w:tc>
          <w:tcPr>
            <w:tcW w:w="1719" w:type="dxa"/>
            <w:tcBorders>
              <w:top w:val="single" w:color="auto" w:sz="4" w:space="0"/>
            </w:tcBorders>
            <w:vAlign w:val="center"/>
          </w:tcPr>
          <w:p>
            <w:pPr>
              <w:pStyle w:val="33"/>
              <w:spacing w:line="360" w:lineRule="exact"/>
              <w:ind w:firstLine="210" w:firstLineChars="100"/>
              <w:jc w:val="both"/>
              <w:rPr>
                <w:color w:val="000000" w:themeColor="text1"/>
                <w:szCs w:val="21"/>
              </w:rPr>
            </w:pPr>
            <w:r>
              <w:rPr>
                <w:color w:val="000000" w:themeColor="text1"/>
                <w:szCs w:val="21"/>
              </w:rPr>
              <w:t>《大气污染物综合排放标准》（GB</w:t>
            </w:r>
            <w:r>
              <w:rPr>
                <w:rFonts w:hint="eastAsia"/>
                <w:color w:val="000000" w:themeColor="text1"/>
                <w:szCs w:val="21"/>
                <w:lang w:eastAsia="zh-CN"/>
              </w:rPr>
              <w:t>*****</w:t>
            </w:r>
            <w:r>
              <w:rPr>
                <w:color w:val="000000" w:themeColor="text1"/>
                <w:szCs w:val="21"/>
              </w:rPr>
              <w:t>-1996）</w:t>
            </w:r>
            <w:r>
              <w:rPr>
                <w:rFonts w:hint="eastAsia"/>
                <w:color w:val="000000" w:themeColor="text1"/>
                <w:szCs w:val="21"/>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701" w:type="dxa"/>
            <w:gridSpan w:val="2"/>
            <w:vAlign w:val="center"/>
          </w:tcPr>
          <w:p>
            <w:pPr>
              <w:pStyle w:val="33"/>
              <w:spacing w:line="360" w:lineRule="exact"/>
              <w:rPr>
                <w:color w:val="000000" w:themeColor="text1"/>
                <w:szCs w:val="21"/>
              </w:rPr>
            </w:pPr>
            <w:r>
              <w:rPr>
                <w:rFonts w:hint="eastAsia" w:eastAsiaTheme="minorEastAsia"/>
                <w:color w:val="000000" w:themeColor="text1"/>
                <w:szCs w:val="21"/>
              </w:rPr>
              <w:t>生产车间</w:t>
            </w:r>
          </w:p>
        </w:tc>
        <w:tc>
          <w:tcPr>
            <w:tcW w:w="850" w:type="dxa"/>
            <w:vAlign w:val="center"/>
          </w:tcPr>
          <w:p>
            <w:pPr>
              <w:pStyle w:val="33"/>
              <w:spacing w:line="360" w:lineRule="exact"/>
              <w:rPr>
                <w:color w:val="000000" w:themeColor="text1"/>
                <w:szCs w:val="21"/>
              </w:rPr>
            </w:pPr>
            <w:r>
              <w:rPr>
                <w:color w:val="000000" w:themeColor="text1"/>
                <w:szCs w:val="21"/>
              </w:rPr>
              <w:t>不外排</w:t>
            </w:r>
          </w:p>
        </w:tc>
        <w:tc>
          <w:tcPr>
            <w:tcW w:w="1297"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生产废水（</w:t>
            </w:r>
            <w:r>
              <w:rPr>
                <w:rFonts w:eastAsiaTheme="minorEastAsia"/>
                <w:color w:val="000000" w:themeColor="text1"/>
                <w:szCs w:val="21"/>
                <w:lang w:val="en-US"/>
              </w:rPr>
              <w:t>pH</w:t>
            </w:r>
            <w:r>
              <w:rPr>
                <w:rFonts w:hint="eastAsia" w:eastAsiaTheme="minorEastAsia"/>
                <w:color w:val="000000" w:themeColor="text1"/>
                <w:szCs w:val="21"/>
              </w:rPr>
              <w:t>、</w:t>
            </w:r>
            <w:r>
              <w:rPr>
                <w:rFonts w:eastAsiaTheme="minorEastAsia"/>
                <w:color w:val="000000" w:themeColor="text1"/>
                <w:szCs w:val="21"/>
                <w:lang w:val="en-US"/>
              </w:rPr>
              <w:t>CODcr</w:t>
            </w:r>
            <w:r>
              <w:rPr>
                <w:rFonts w:hint="eastAsia"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rPr>
              <w:t>氨氮</w:t>
            </w:r>
            <w:r>
              <w:rPr>
                <w:rFonts w:hint="eastAsia" w:eastAsiaTheme="minorEastAsia"/>
                <w:color w:val="000000" w:themeColor="text1"/>
                <w:szCs w:val="21"/>
              </w:rPr>
              <w:t>、</w:t>
            </w:r>
            <w:r>
              <w:rPr>
                <w:rFonts w:eastAsiaTheme="minorEastAsia"/>
                <w:color w:val="000000" w:themeColor="text1"/>
                <w:szCs w:val="21"/>
              </w:rPr>
              <w:t>总磷</w:t>
            </w:r>
            <w:r>
              <w:rPr>
                <w:rFonts w:hint="eastAsia" w:eastAsiaTheme="minorEastAsia"/>
                <w:color w:val="000000" w:themeColor="text1"/>
                <w:szCs w:val="21"/>
              </w:rPr>
              <w:t>、</w:t>
            </w:r>
            <w:r>
              <w:rPr>
                <w:rFonts w:eastAsiaTheme="minorEastAsia"/>
                <w:color w:val="000000" w:themeColor="text1"/>
                <w:szCs w:val="21"/>
              </w:rPr>
              <w:t>总氮</w:t>
            </w:r>
            <w:r>
              <w:rPr>
                <w:rFonts w:hint="eastAsia" w:eastAsiaTheme="minorEastAsia"/>
                <w:color w:val="000000" w:themeColor="text1"/>
                <w:szCs w:val="21"/>
              </w:rPr>
              <w:t>、</w:t>
            </w:r>
            <w:r>
              <w:rPr>
                <w:rFonts w:eastAsiaTheme="minorEastAsia"/>
                <w:color w:val="000000" w:themeColor="text1"/>
                <w:szCs w:val="21"/>
              </w:rPr>
              <w:t>镉</w:t>
            </w:r>
            <w:r>
              <w:rPr>
                <w:rFonts w:hint="eastAsia" w:eastAsiaTheme="minorEastAsia"/>
                <w:color w:val="000000" w:themeColor="text1"/>
                <w:szCs w:val="21"/>
              </w:rPr>
              <w:t>、</w:t>
            </w:r>
            <w:r>
              <w:rPr>
                <w:rFonts w:eastAsiaTheme="minorEastAsia"/>
                <w:color w:val="000000" w:themeColor="text1"/>
                <w:szCs w:val="21"/>
              </w:rPr>
              <w:t>铅</w:t>
            </w:r>
            <w:r>
              <w:rPr>
                <w:rFonts w:hint="eastAsia" w:eastAsiaTheme="minorEastAsia"/>
                <w:color w:val="000000" w:themeColor="text1"/>
                <w:szCs w:val="21"/>
              </w:rPr>
              <w:t>、</w:t>
            </w:r>
            <w:r>
              <w:rPr>
                <w:rFonts w:eastAsiaTheme="minorEastAsia"/>
                <w:color w:val="000000" w:themeColor="text1"/>
                <w:szCs w:val="21"/>
              </w:rPr>
              <w:t>铁</w:t>
            </w:r>
            <w:r>
              <w:rPr>
                <w:rFonts w:hint="eastAsia" w:eastAsiaTheme="minorEastAsia"/>
                <w:color w:val="000000" w:themeColor="text1"/>
                <w:szCs w:val="21"/>
              </w:rPr>
              <w:t>、</w:t>
            </w:r>
            <w:r>
              <w:rPr>
                <w:rFonts w:eastAsiaTheme="minorEastAsia"/>
                <w:color w:val="000000" w:themeColor="text1"/>
                <w:szCs w:val="21"/>
              </w:rPr>
              <w:t>锰</w:t>
            </w:r>
            <w:r>
              <w:rPr>
                <w:rFonts w:hint="eastAsia" w:eastAsiaTheme="minorEastAsia"/>
                <w:color w:val="000000" w:themeColor="text1"/>
                <w:szCs w:val="21"/>
              </w:rPr>
              <w:t>、</w:t>
            </w:r>
            <w:r>
              <w:rPr>
                <w:rFonts w:eastAsiaTheme="minorEastAsia"/>
                <w:color w:val="000000" w:themeColor="text1"/>
                <w:szCs w:val="21"/>
              </w:rPr>
              <w:t>氟化物</w:t>
            </w:r>
            <w:r>
              <w:rPr>
                <w:rFonts w:hint="eastAsia" w:eastAsiaTheme="minorEastAsia"/>
                <w:color w:val="000000" w:themeColor="text1"/>
                <w:szCs w:val="21"/>
              </w:rPr>
              <w:t>）</w:t>
            </w:r>
          </w:p>
        </w:tc>
        <w:tc>
          <w:tcPr>
            <w:tcW w:w="2983" w:type="dxa"/>
            <w:vAlign w:val="center"/>
          </w:tcPr>
          <w:p>
            <w:pPr>
              <w:pStyle w:val="33"/>
              <w:spacing w:line="360" w:lineRule="exact"/>
              <w:ind w:firstLine="210" w:firstLineChars="100"/>
              <w:jc w:val="both"/>
              <w:rPr>
                <w:rFonts w:eastAsiaTheme="minorEastAsia"/>
                <w:color w:val="000000" w:themeColor="text1"/>
                <w:szCs w:val="21"/>
              </w:rPr>
            </w:pPr>
            <w:r>
              <w:rPr>
                <w:rFonts w:hint="eastAsia"/>
                <w:color w:val="000000" w:themeColor="text1"/>
                <w:szCs w:val="21"/>
              </w:rPr>
              <w:t>废水进入废水处理系统循环沉淀过滤处理后回用于生产，不外排。</w:t>
            </w:r>
          </w:p>
        </w:tc>
        <w:tc>
          <w:tcPr>
            <w:tcW w:w="1719"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pStyle w:val="33"/>
              <w:spacing w:line="360" w:lineRule="exact"/>
              <w:rPr>
                <w:rFonts w:eastAsiaTheme="minorEastAsia"/>
                <w:color w:val="000000" w:themeColor="text1"/>
                <w:szCs w:val="21"/>
              </w:rPr>
            </w:pPr>
            <w:r>
              <w:rPr>
                <w:color w:val="000000" w:themeColor="text1"/>
                <w:szCs w:val="21"/>
              </w:rPr>
              <w:t>员工生活</w:t>
            </w:r>
          </w:p>
        </w:tc>
        <w:tc>
          <w:tcPr>
            <w:tcW w:w="850" w:type="dxa"/>
            <w:vAlign w:val="center"/>
          </w:tcPr>
          <w:p>
            <w:pPr>
              <w:pStyle w:val="33"/>
              <w:spacing w:line="360" w:lineRule="exact"/>
              <w:rPr>
                <w:color w:val="000000" w:themeColor="text1"/>
                <w:szCs w:val="21"/>
              </w:rPr>
            </w:pPr>
            <w:r>
              <w:rPr>
                <w:rFonts w:eastAsiaTheme="minorEastAsia"/>
                <w:bCs w:val="0"/>
                <w:snapToGrid/>
                <w:color w:val="000000" w:themeColor="text1"/>
                <w:kern w:val="0"/>
                <w:szCs w:val="21"/>
                <w:lang w:val="en-US"/>
              </w:rPr>
              <w:t>隔油池、化粪池</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生活污水（pH、CODcr、BOD</w:t>
            </w:r>
            <w:r>
              <w:rPr>
                <w:rFonts w:eastAsiaTheme="minorEastAsia"/>
                <w:color w:val="000000" w:themeColor="text1"/>
                <w:szCs w:val="21"/>
                <w:vertAlign w:val="subscript"/>
              </w:rPr>
              <w:t>5</w:t>
            </w: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-N、SS、总磷、总氮、</w:t>
            </w:r>
            <w:r>
              <w:rPr>
                <w:rFonts w:hint="eastAsia" w:eastAsiaTheme="minorEastAsia"/>
                <w:color w:val="000000" w:themeColor="text1"/>
                <w:szCs w:val="21"/>
              </w:rPr>
              <w:t>动植物油、</w:t>
            </w:r>
            <w:r>
              <w:rPr>
                <w:rFonts w:eastAsiaTheme="minorEastAsia"/>
                <w:color w:val="000000" w:themeColor="text1"/>
                <w:szCs w:val="21"/>
              </w:rPr>
              <w:t>阴离子表面活性剂、粪大肠菌群数）</w:t>
            </w:r>
          </w:p>
        </w:tc>
        <w:tc>
          <w:tcPr>
            <w:tcW w:w="2983"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根据调查，目前项目已设置了1个1m³的隔油池、1个有效容积为20m³的化粪池对生活污水进行处理；项目生活污水经隔油池、化粪池处理后可达到《污水排入城镇下水道水质标准》（GB/T</w:t>
            </w:r>
            <w:r>
              <w:rPr>
                <w:rFonts w:hint="eastAsia" w:eastAsiaTheme="minorEastAsia"/>
                <w:color w:val="000000" w:themeColor="text1"/>
                <w:szCs w:val="21"/>
                <w:lang w:eastAsia="zh-CN"/>
              </w:rPr>
              <w:t>*****</w:t>
            </w:r>
            <w:r>
              <w:rPr>
                <w:rFonts w:eastAsiaTheme="minorEastAsia"/>
                <w:color w:val="000000" w:themeColor="text1"/>
                <w:szCs w:val="21"/>
              </w:rPr>
              <w:t>-2015）B等级标准后，通过提升泵泵至厂区东侧小邓段公路污水管网进入四方地与碧谷园区污水处理厂处理。</w:t>
            </w:r>
          </w:p>
        </w:tc>
        <w:tc>
          <w:tcPr>
            <w:tcW w:w="1719"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eastAsiaTheme="minorEastAsia"/>
                <w:color w:val="000000" w:themeColor="text1"/>
              </w:rPr>
              <w:t>《污水排入城镇下水道水质标准》（GB/T</w:t>
            </w:r>
            <w:r>
              <w:rPr>
                <w:rFonts w:hint="eastAsia" w:eastAsiaTheme="minorEastAsia"/>
                <w:color w:val="000000" w:themeColor="text1"/>
                <w:lang w:eastAsia="zh-CN"/>
              </w:rPr>
              <w:t>*****</w:t>
            </w:r>
            <w:r>
              <w:rPr>
                <w:rFonts w:eastAsiaTheme="minorEastAsia"/>
                <w:color w:val="000000" w:themeColor="text1"/>
              </w:rPr>
              <w:t>-2015）的B等级标准。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restart"/>
            <w:vAlign w:val="center"/>
          </w:tcPr>
          <w:p>
            <w:pPr>
              <w:pStyle w:val="33"/>
              <w:spacing w:line="360" w:lineRule="exact"/>
              <w:rPr>
                <w:color w:val="000000" w:themeColor="text1"/>
                <w:szCs w:val="21"/>
              </w:rPr>
            </w:pPr>
            <w:r>
              <w:rPr>
                <w:color w:val="000000" w:themeColor="text1"/>
                <w:szCs w:val="21"/>
              </w:rPr>
              <w:t>厂区范围</w:t>
            </w:r>
          </w:p>
        </w:tc>
        <w:tc>
          <w:tcPr>
            <w:tcW w:w="850" w:type="dxa"/>
            <w:vAlign w:val="center"/>
          </w:tcPr>
          <w:p>
            <w:pPr>
              <w:pStyle w:val="33"/>
              <w:spacing w:line="360" w:lineRule="exact"/>
              <w:rPr>
                <w:color w:val="000000" w:themeColor="text1"/>
                <w:szCs w:val="21"/>
              </w:rPr>
            </w:pPr>
            <w:r>
              <w:rPr>
                <w:color w:val="000000" w:themeColor="text1"/>
                <w:szCs w:val="21"/>
              </w:rPr>
              <w:t>不外排</w:t>
            </w:r>
          </w:p>
        </w:tc>
        <w:tc>
          <w:tcPr>
            <w:tcW w:w="1297" w:type="dxa"/>
            <w:vAlign w:val="center"/>
          </w:tcPr>
          <w:p>
            <w:pPr>
              <w:pStyle w:val="33"/>
              <w:spacing w:line="360" w:lineRule="exact"/>
              <w:rPr>
                <w:color w:val="000000" w:themeColor="text1"/>
                <w:szCs w:val="21"/>
              </w:rPr>
            </w:pPr>
            <w:r>
              <w:rPr>
                <w:color w:val="000000" w:themeColor="text1"/>
                <w:szCs w:val="21"/>
              </w:rPr>
              <w:t>初期雨水</w:t>
            </w:r>
          </w:p>
        </w:tc>
        <w:tc>
          <w:tcPr>
            <w:tcW w:w="2983" w:type="dxa"/>
            <w:vAlign w:val="center"/>
          </w:tcPr>
          <w:p>
            <w:pPr>
              <w:pStyle w:val="33"/>
              <w:spacing w:line="360" w:lineRule="exact"/>
              <w:ind w:firstLine="210" w:firstLineChars="100"/>
              <w:jc w:val="both"/>
              <w:rPr>
                <w:color w:val="000000" w:themeColor="text1"/>
                <w:szCs w:val="21"/>
              </w:rPr>
            </w:pPr>
            <w:r>
              <w:rPr>
                <w:rFonts w:eastAsiaTheme="minorEastAsia"/>
                <w:color w:val="000000" w:themeColor="text1"/>
                <w:szCs w:val="21"/>
              </w:rPr>
              <w:t>本项目现有厂区已设置了1个有效容积为150m³的1#初期雨水收集池和1个50.8m³的2#初期雨水收集池对其收集</w:t>
            </w:r>
            <w:r>
              <w:rPr>
                <w:rFonts w:hint="eastAsia" w:eastAsiaTheme="minorEastAsia"/>
                <w:color w:val="000000" w:themeColor="text1"/>
                <w:szCs w:val="21"/>
              </w:rPr>
              <w:t>；整改后，拟再在</w:t>
            </w:r>
            <w:r>
              <w:rPr>
                <w:rFonts w:eastAsiaTheme="minorEastAsia"/>
                <w:color w:val="000000" w:themeColor="text1"/>
                <w:szCs w:val="21"/>
              </w:rPr>
              <w:t>厂区</w:t>
            </w:r>
            <w:r>
              <w:rPr>
                <w:rFonts w:hint="eastAsia" w:eastAsiaTheme="minorEastAsia"/>
                <w:color w:val="000000" w:themeColor="text1"/>
                <w:szCs w:val="21"/>
              </w:rPr>
              <w:t>低</w:t>
            </w:r>
            <w:r>
              <w:rPr>
                <w:rFonts w:eastAsiaTheme="minorEastAsia"/>
                <w:color w:val="000000" w:themeColor="text1"/>
                <w:szCs w:val="21"/>
              </w:rPr>
              <w:t>处建设一个有效容积为5m³的</w:t>
            </w:r>
            <w:r>
              <w:rPr>
                <w:rFonts w:hint="eastAsia" w:eastAsiaTheme="minorEastAsia"/>
                <w:color w:val="000000" w:themeColor="text1"/>
                <w:szCs w:val="21"/>
              </w:rPr>
              <w:t>3#</w:t>
            </w:r>
            <w:r>
              <w:rPr>
                <w:rFonts w:eastAsiaTheme="minorEastAsia"/>
                <w:color w:val="000000" w:themeColor="text1"/>
                <w:szCs w:val="21"/>
              </w:rPr>
              <w:t>初期雨水收集池</w:t>
            </w:r>
            <w:r>
              <w:rPr>
                <w:rFonts w:hint="eastAsia" w:eastAsiaTheme="minorEastAsia"/>
                <w:color w:val="000000" w:themeColor="text1"/>
                <w:szCs w:val="21"/>
              </w:rPr>
              <w:t>，初期雨水经</w:t>
            </w:r>
            <w:r>
              <w:rPr>
                <w:rFonts w:eastAsiaTheme="minorEastAsia"/>
                <w:color w:val="000000" w:themeColor="text1"/>
                <w:szCs w:val="21"/>
              </w:rPr>
              <w:t>收集后，</w:t>
            </w:r>
            <w:r>
              <w:rPr>
                <w:rFonts w:hint="eastAsia" w:eastAsiaTheme="minorEastAsia"/>
                <w:color w:val="000000" w:themeColor="text1"/>
                <w:szCs w:val="21"/>
              </w:rPr>
              <w:t>用于次氧化锌生产线</w:t>
            </w:r>
            <w:r>
              <w:rPr>
                <w:rFonts w:eastAsiaTheme="minorEastAsia"/>
                <w:color w:val="000000" w:themeColor="text1"/>
                <w:szCs w:val="21"/>
              </w:rPr>
              <w:t>原料堆场</w:t>
            </w:r>
            <w:r>
              <w:rPr>
                <w:rFonts w:hint="eastAsia" w:eastAsiaTheme="minorEastAsia"/>
                <w:color w:val="000000" w:themeColor="text1"/>
                <w:szCs w:val="21"/>
              </w:rPr>
              <w:t>、厂区道路等区域进行洒水抑尘，不外排。</w:t>
            </w:r>
          </w:p>
        </w:tc>
        <w:tc>
          <w:tcPr>
            <w:tcW w:w="1719"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Merge w:val="continue"/>
            <w:vAlign w:val="center"/>
          </w:tcPr>
          <w:p>
            <w:pPr>
              <w:pStyle w:val="33"/>
              <w:spacing w:line="360" w:lineRule="exact"/>
              <w:rPr>
                <w:color w:val="000000" w:themeColor="text1"/>
                <w:szCs w:val="21"/>
              </w:rPr>
            </w:pPr>
          </w:p>
        </w:tc>
        <w:tc>
          <w:tcPr>
            <w:tcW w:w="850" w:type="dxa"/>
            <w:vAlign w:val="center"/>
          </w:tcPr>
          <w:p>
            <w:pPr>
              <w:pStyle w:val="33"/>
              <w:spacing w:line="360" w:lineRule="exact"/>
              <w:rPr>
                <w:color w:val="000000" w:themeColor="text1"/>
                <w:szCs w:val="21"/>
              </w:rPr>
            </w:pPr>
            <w:r>
              <w:rPr>
                <w:color w:val="000000" w:themeColor="text1"/>
                <w:szCs w:val="21"/>
              </w:rPr>
              <w:t>雨水口</w:t>
            </w:r>
          </w:p>
        </w:tc>
        <w:tc>
          <w:tcPr>
            <w:tcW w:w="1297" w:type="dxa"/>
            <w:vAlign w:val="center"/>
          </w:tcPr>
          <w:p>
            <w:pPr>
              <w:pStyle w:val="33"/>
              <w:spacing w:line="360" w:lineRule="exact"/>
              <w:rPr>
                <w:color w:val="000000" w:themeColor="text1"/>
                <w:szCs w:val="21"/>
              </w:rPr>
            </w:pPr>
            <w:r>
              <w:rPr>
                <w:color w:val="000000" w:themeColor="text1"/>
                <w:szCs w:val="21"/>
              </w:rPr>
              <w:t>雨水</w:t>
            </w:r>
          </w:p>
        </w:tc>
        <w:tc>
          <w:tcPr>
            <w:tcW w:w="2983" w:type="dxa"/>
            <w:vAlign w:val="center"/>
          </w:tcPr>
          <w:p>
            <w:pPr>
              <w:pStyle w:val="33"/>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3"/>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0" w:type="dxa"/>
            <w:vMerge w:val="restart"/>
            <w:vAlign w:val="center"/>
          </w:tcPr>
          <w:p>
            <w:pPr>
              <w:pStyle w:val="33"/>
              <w:spacing w:line="360" w:lineRule="exact"/>
              <w:rPr>
                <w:color w:val="000000" w:themeColor="text1"/>
                <w:szCs w:val="21"/>
              </w:rPr>
            </w:pPr>
            <w:r>
              <w:rPr>
                <w:color w:val="000000" w:themeColor="text1"/>
                <w:szCs w:val="21"/>
              </w:rPr>
              <w:t>球磨分级系统</w:t>
            </w: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料斗</w:t>
            </w:r>
          </w:p>
        </w:tc>
        <w:tc>
          <w:tcPr>
            <w:tcW w:w="1297"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w:t>
            </w:r>
            <w:r>
              <w:rPr>
                <w:rFonts w:hint="eastAsia" w:eastAsiaTheme="minorEastAsia"/>
                <w:color w:val="000000" w:themeColor="text1"/>
                <w:szCs w:val="21"/>
                <w:lang w:eastAsia="zh-CN"/>
              </w:rPr>
              <w:t>*****</w:t>
            </w:r>
            <w:r>
              <w:rPr>
                <w:rFonts w:eastAsiaTheme="minorEastAsia"/>
                <w:color w:val="000000" w:themeColor="text1"/>
                <w:szCs w:val="21"/>
              </w:rPr>
              <w:t>-2008）3类</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格子型球磨机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溢流型球磨机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高频细筛</w:t>
            </w:r>
            <w:r>
              <w:rPr>
                <w:rFonts w:hint="eastAsia" w:ascii="Times New Roman" w:hAnsi="Times New Roman" w:eastAsia="宋体" w:cs="Times New Roman"/>
                <w:color w:val="000000" w:themeColor="text1"/>
                <w:kern w:val="32"/>
              </w:rPr>
              <w:t>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选别系统</w:t>
            </w: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磁选机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弱磁机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摇床</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top w:val="single" w:color="auto" w:sz="4" w:space="0"/>
            </w:tcBorders>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斜管浓密箱</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板框压滤机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渣浆泵</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烘干系统</w:t>
            </w:r>
          </w:p>
        </w:tc>
        <w:tc>
          <w:tcPr>
            <w:tcW w:w="1701" w:type="dxa"/>
            <w:gridSpan w:val="2"/>
            <w:vAlign w:val="center"/>
          </w:tcPr>
          <w:p>
            <w:pPr>
              <w:pStyle w:val="33"/>
              <w:spacing w:line="360" w:lineRule="exact"/>
              <w:rPr>
                <w:color w:val="000000" w:themeColor="text1"/>
                <w:szCs w:val="21"/>
              </w:rPr>
            </w:pPr>
            <w:r>
              <w:rPr>
                <w:color w:val="000000" w:themeColor="text1"/>
                <w:szCs w:val="21"/>
              </w:rPr>
              <w:t>过滤机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螺旋进料机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烘干机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tcBorders>
              <w:top w:val="single" w:color="auto" w:sz="4" w:space="0"/>
            </w:tcBorders>
            <w:vAlign w:val="center"/>
          </w:tcPr>
          <w:p>
            <w:pPr>
              <w:pStyle w:val="33"/>
              <w:spacing w:line="360" w:lineRule="exact"/>
              <w:rPr>
                <w:color w:val="000000" w:themeColor="text1"/>
                <w:szCs w:val="21"/>
              </w:rPr>
            </w:pPr>
            <w:r>
              <w:rPr>
                <w:color w:val="000000" w:themeColor="text1"/>
                <w:szCs w:val="21"/>
              </w:rPr>
              <w:t>热风供应系统</w:t>
            </w:r>
          </w:p>
        </w:tc>
        <w:tc>
          <w:tcPr>
            <w:tcW w:w="1701" w:type="dxa"/>
            <w:gridSpan w:val="2"/>
            <w:vAlign w:val="center"/>
          </w:tcPr>
          <w:p>
            <w:pPr>
              <w:pStyle w:val="33"/>
              <w:spacing w:line="360" w:lineRule="exact"/>
              <w:rPr>
                <w:color w:val="000000" w:themeColor="text1"/>
                <w:szCs w:val="21"/>
              </w:rPr>
            </w:pPr>
            <w:r>
              <w:rPr>
                <w:color w:val="000000" w:themeColor="text1"/>
                <w:szCs w:val="21"/>
              </w:rPr>
              <w:t>热风炉</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pStyle w:val="33"/>
              <w:spacing w:line="360" w:lineRule="exact"/>
              <w:rPr>
                <w:color w:val="000000" w:themeColor="text1"/>
                <w:szCs w:val="21"/>
              </w:rPr>
            </w:pPr>
          </w:p>
        </w:tc>
        <w:tc>
          <w:tcPr>
            <w:tcW w:w="1701"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tcBorders>
              <w:bottom w:val="single" w:color="auto" w:sz="4" w:space="0"/>
            </w:tcBorders>
            <w:vAlign w:val="center"/>
          </w:tcPr>
          <w:p>
            <w:pPr>
              <w:pStyle w:val="33"/>
              <w:spacing w:line="360" w:lineRule="exact"/>
              <w:rPr>
                <w:color w:val="000000" w:themeColor="text1"/>
                <w:szCs w:val="21"/>
              </w:rPr>
            </w:pPr>
          </w:p>
        </w:tc>
        <w:tc>
          <w:tcPr>
            <w:tcW w:w="1701" w:type="dxa"/>
            <w:gridSpan w:val="2"/>
            <w:tcBorders>
              <w:bottom w:val="single" w:color="auto" w:sz="4" w:space="0"/>
            </w:tcBorders>
            <w:vAlign w:val="center"/>
          </w:tcPr>
          <w:p>
            <w:pPr>
              <w:pStyle w:val="33"/>
              <w:spacing w:line="360" w:lineRule="exact"/>
              <w:rPr>
                <w:color w:val="000000" w:themeColor="text1"/>
                <w:szCs w:val="21"/>
              </w:rPr>
            </w:pPr>
            <w:r>
              <w:rPr>
                <w:color w:val="000000" w:themeColor="text1"/>
                <w:szCs w:val="21"/>
              </w:rPr>
              <w:t>风机</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850" w:type="dxa"/>
            <w:tcBorders>
              <w:top w:val="single" w:color="auto" w:sz="4" w:space="0"/>
            </w:tcBorders>
            <w:vAlign w:val="center"/>
          </w:tcPr>
          <w:p>
            <w:pPr>
              <w:pStyle w:val="33"/>
              <w:spacing w:line="360" w:lineRule="exact"/>
              <w:rPr>
                <w:color w:val="000000" w:themeColor="text1"/>
                <w:szCs w:val="21"/>
              </w:rPr>
            </w:pPr>
            <w:r>
              <w:rPr>
                <w:rFonts w:hint="eastAsia"/>
                <w:color w:val="000000" w:themeColor="text1"/>
                <w:szCs w:val="21"/>
              </w:rPr>
              <w:t>包装</w:t>
            </w:r>
            <w:r>
              <w:rPr>
                <w:color w:val="000000" w:themeColor="text1"/>
                <w:szCs w:val="21"/>
              </w:rPr>
              <w:t>工序</w:t>
            </w:r>
          </w:p>
        </w:tc>
        <w:tc>
          <w:tcPr>
            <w:tcW w:w="1701" w:type="dxa"/>
            <w:gridSpan w:val="2"/>
            <w:tcBorders>
              <w:top w:val="single" w:color="auto" w:sz="4" w:space="0"/>
            </w:tcBorders>
            <w:vAlign w:val="center"/>
          </w:tcPr>
          <w:p>
            <w:pPr>
              <w:pStyle w:val="33"/>
              <w:spacing w:line="360" w:lineRule="exact"/>
              <w:rPr>
                <w:color w:val="000000" w:themeColor="text1"/>
                <w:szCs w:val="21"/>
              </w:rPr>
            </w:pPr>
            <w:r>
              <w:rPr>
                <w:color w:val="000000" w:themeColor="text1"/>
                <w:szCs w:val="21"/>
              </w:rPr>
              <w:t>成品料斗</w:t>
            </w:r>
          </w:p>
        </w:tc>
        <w:tc>
          <w:tcPr>
            <w:tcW w:w="1297"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3"/>
              <w:spacing w:line="360" w:lineRule="exact"/>
              <w:rPr>
                <w:rFonts w:eastAsiaTheme="minorEastAsia"/>
                <w:color w:val="000000" w:themeColor="text1"/>
                <w:szCs w:val="21"/>
              </w:rPr>
            </w:pP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51" w:type="dxa"/>
            <w:gridSpan w:val="3"/>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2983" w:type="dxa"/>
            <w:tcBorders>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restart"/>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tcBorders>
              <w:top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热风炉配套环保设施</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烘干机配套环保设施</w:t>
            </w:r>
          </w:p>
        </w:tc>
        <w:tc>
          <w:tcPr>
            <w:tcW w:w="1297" w:type="dxa"/>
            <w:tcBorders>
              <w:bottom w:val="single" w:color="auto" w:sz="4" w:space="0"/>
            </w:tcBorders>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收集后返回生产工序烘干包装后外卖。</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热风炉</w:t>
            </w:r>
          </w:p>
        </w:tc>
        <w:tc>
          <w:tcPr>
            <w:tcW w:w="1297" w:type="dxa"/>
            <w:tcBorders>
              <w:top w:val="single" w:color="auto" w:sz="4" w:space="0"/>
              <w:bottom w:val="single" w:color="auto" w:sz="4" w:space="0"/>
            </w:tcBorders>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项目已设置了1个600m²废渣暂存库对其进行暂存，委托四方地工业园区弃渣场处置。</w:t>
            </w:r>
          </w:p>
        </w:tc>
        <w:tc>
          <w:tcPr>
            <w:tcW w:w="1719" w:type="dxa"/>
            <w:vMerge w:val="continue"/>
            <w:vAlign w:val="center"/>
          </w:tcPr>
          <w:p>
            <w:pPr>
              <w:pStyle w:val="33"/>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厂区已建设了1个15m²的危险废物贮存间</w:t>
            </w:r>
            <w:r>
              <w:rPr>
                <w:rFonts w:eastAsiaTheme="minorEastAsia"/>
                <w:color w:val="000000" w:themeColor="text1"/>
                <w:szCs w:val="24"/>
              </w:rPr>
              <w:t>对项目区废机油进行暂存</w:t>
            </w:r>
            <w:r>
              <w:rPr>
                <w:rFonts w:hint="eastAsia" w:eastAsiaTheme="minorEastAsia"/>
                <w:color w:val="000000" w:themeColor="text1"/>
                <w:szCs w:val="24"/>
              </w:rPr>
              <w:t>，并委托有资质的单位处置</w:t>
            </w:r>
            <w:r>
              <w:rPr>
                <w:rFonts w:eastAsiaTheme="minorEastAsia"/>
                <w:color w:val="000000" w:themeColor="text1"/>
                <w:szCs w:val="24"/>
              </w:rPr>
              <w:t>。</w:t>
            </w:r>
          </w:p>
        </w:tc>
        <w:tc>
          <w:tcPr>
            <w:tcW w:w="1719" w:type="dxa"/>
            <w:tcBorders>
              <w:top w:val="single" w:color="auto" w:sz="4" w:space="0"/>
              <w:bottom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w:t>
            </w:r>
            <w:r>
              <w:rPr>
                <w:rFonts w:hint="eastAsia" w:eastAsiaTheme="minorEastAsia"/>
                <w:color w:val="000000" w:themeColor="text1"/>
                <w:szCs w:val="21"/>
                <w:lang w:eastAsia="zh-CN"/>
              </w:rPr>
              <w:t>*****</w:t>
            </w:r>
            <w:r>
              <w:rPr>
                <w:rFonts w:eastAsiaTheme="minorEastAsia"/>
                <w:color w:val="000000" w:themeColor="text1"/>
                <w:szCs w:val="21"/>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tcBorders>
              <w:top w:val="single" w:color="auto" w:sz="4" w:space="0"/>
            </w:tcBorders>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pStyle w:val="33"/>
              <w:spacing w:line="360" w:lineRule="exact"/>
              <w:rPr>
                <w:color w:val="000000" w:themeColor="text1"/>
                <w:szCs w:val="21"/>
              </w:rPr>
            </w:pPr>
            <w:r>
              <w:rPr>
                <w:color w:val="000000" w:themeColor="text1"/>
                <w:szCs w:val="21"/>
              </w:rPr>
              <w:t>员工生活</w:t>
            </w:r>
          </w:p>
        </w:tc>
        <w:tc>
          <w:tcPr>
            <w:tcW w:w="1297"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33"/>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Align w:val="center"/>
          </w:tcPr>
          <w:p>
            <w:pPr>
              <w:pStyle w:val="33"/>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w:t>
            </w:r>
            <w:r>
              <w:rPr>
                <w:rFonts w:hint="eastAsia" w:eastAsiaTheme="minorEastAsia"/>
                <w:color w:val="000000" w:themeColor="text1"/>
                <w:sz w:val="24"/>
                <w:szCs w:val="21"/>
              </w:rPr>
              <w:t>：</w:t>
            </w:r>
            <w:r>
              <w:rPr>
                <w:rFonts w:eastAsiaTheme="minorEastAsia"/>
                <w:color w:val="000000" w:themeColor="text1"/>
                <w:sz w:val="24"/>
                <w:szCs w:val="21"/>
              </w:rPr>
              <w:t>危险废物贮存间</w:t>
            </w:r>
            <w:r>
              <w:rPr>
                <w:rFonts w:hint="eastAsia" w:eastAsiaTheme="minorEastAsia"/>
                <w:color w:val="000000" w:themeColor="text1"/>
                <w:sz w:val="24"/>
                <w:szCs w:val="21"/>
              </w:rPr>
              <w:t>地面及裙墙已采用了</w:t>
            </w:r>
            <w:r>
              <w:rPr>
                <w:rFonts w:eastAsiaTheme="minorEastAsia"/>
                <w:color w:val="000000" w:themeColor="text1"/>
                <w:sz w:val="24"/>
                <w:szCs w:val="21"/>
              </w:rPr>
              <w:t>2mm后的HDPE膜进行防渗，使其渗透系数≤10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根据分区防渗规范要求，项目生产车间、废水处理系统、水淬渣暂存库、废渣暂存库区域均划定为一般防渗区</w:t>
            </w:r>
            <w:r>
              <w:rPr>
                <w:rFonts w:eastAsiaTheme="minorEastAsia"/>
                <w:color w:val="000000" w:themeColor="text1"/>
                <w:sz w:val="24"/>
                <w:szCs w:val="21"/>
              </w:rPr>
              <w:t>，</w:t>
            </w:r>
            <w:r>
              <w:rPr>
                <w:rFonts w:hint="eastAsia" w:eastAsiaTheme="minorEastAsia"/>
                <w:color w:val="000000" w:themeColor="text1"/>
                <w:sz w:val="24"/>
                <w:szCs w:val="21"/>
              </w:rPr>
              <w:t>根据业主介绍，废水处理系统已采取了防腐防渗措施，其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；而水淬渣暂存库和废渣暂存库均已进行了防渗施工，其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；生产车间各区域已采用粘土铺底</w:t>
            </w:r>
            <w:r>
              <w:rPr>
                <w:rFonts w:eastAsiaTheme="minorEastAsia"/>
                <w:color w:val="000000" w:themeColor="text1"/>
                <w:sz w:val="24"/>
                <w:szCs w:val="21"/>
              </w:rPr>
              <w:t>，并在上层铺30cm的混凝土进行硬化。确保防渗性能，使其渗透系数≤1.0×10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3"/>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根据本项目环境影响途经，提出以下风险防范措施：</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废机油应储存于规范的危险废物贮存间；</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项目区配备相应品种的消防器材；</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3"/>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3"/>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hint="eastAsia" w:eastAsiaTheme="minorEastAsia"/>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3"/>
              <w:spacing w:line="360" w:lineRule="auto"/>
              <w:ind w:firstLine="240" w:firstLineChars="100"/>
              <w:jc w:val="both"/>
              <w:rPr>
                <w:rFonts w:eastAsiaTheme="minorEastAsia"/>
                <w:color w:val="000000" w:themeColor="text1"/>
                <w:sz w:val="24"/>
                <w:szCs w:val="24"/>
                <w:lang w:val="en-US"/>
              </w:rPr>
            </w:pPr>
            <w:r>
              <w:rPr>
                <w:rFonts w:hint="eastAsia" w:eastAsiaTheme="minorEastAsia"/>
                <w:color w:val="000000" w:themeColor="text1"/>
                <w:sz w:val="24"/>
                <w:szCs w:val="21"/>
              </w:rPr>
              <w:t>⑥项目将厂区内的</w:t>
            </w:r>
            <w:r>
              <w:rPr>
                <w:rFonts w:eastAsiaTheme="minorEastAsia"/>
                <w:color w:val="000000" w:themeColor="text1"/>
                <w:sz w:val="24"/>
                <w:szCs w:val="21"/>
              </w:rPr>
              <w:t>最后1个</w:t>
            </w:r>
            <w:r>
              <w:rPr>
                <w:color w:val="000000" w:themeColor="text1"/>
                <w:sz w:val="24"/>
                <w:szCs w:val="24"/>
              </w:rPr>
              <w:t>循环水池</w:t>
            </w:r>
            <w:r>
              <w:rPr>
                <w:rFonts w:eastAsiaTheme="minorEastAsia"/>
                <w:color w:val="000000" w:themeColor="text1"/>
                <w:sz w:val="24"/>
                <w:szCs w:val="21"/>
              </w:rPr>
              <w:t>作为事故池使用，该</w:t>
            </w:r>
            <w:r>
              <w:rPr>
                <w:color w:val="000000" w:themeColor="text1"/>
                <w:sz w:val="24"/>
                <w:szCs w:val="24"/>
              </w:rPr>
              <w:t>循环水池</w:t>
            </w:r>
            <w:r>
              <w:rPr>
                <w:rFonts w:eastAsiaTheme="minorEastAsia"/>
                <w:color w:val="000000" w:themeColor="text1"/>
                <w:sz w:val="24"/>
                <w:szCs w:val="21"/>
              </w:rPr>
              <w:t>的尺寸均为Φ4.6m、深4.5m的圆柱体，其有效容积为80m³</w:t>
            </w:r>
            <w:r>
              <w:rPr>
                <w:rFonts w:hint="eastAsia" w:eastAsiaTheme="minorEastAsia"/>
                <w:color w:val="000000" w:themeColor="text1"/>
                <w:sz w:val="24"/>
                <w:szCs w:val="21"/>
              </w:rPr>
              <w:t>，对风险事故废水进行收集，以满足事故状态下收集泄漏物料、污染消防水、污染雨水和生活污水的需要。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3"/>
              <w:spacing w:beforeLines="50"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3"/>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w:t>
            </w:r>
            <w:r>
              <w:rPr>
                <w:rFonts w:hint="eastAsia" w:eastAsiaTheme="minorEastAsia"/>
                <w:color w:val="000000" w:themeColor="text1"/>
                <w:sz w:val="24"/>
                <w:szCs w:val="21"/>
              </w:rPr>
              <w:t>对现有的《</w:t>
            </w:r>
            <w:r>
              <w:rPr>
                <w:color w:val="000000" w:themeColor="text1"/>
                <w:sz w:val="24"/>
                <w:szCs w:val="24"/>
              </w:rPr>
              <w:t>昆明合旺有色金属有限公司</w:t>
            </w:r>
            <w:r>
              <w:rPr>
                <w:rFonts w:hint="eastAsia"/>
                <w:color w:val="000000" w:themeColor="text1"/>
                <w:sz w:val="24"/>
                <w:szCs w:val="24"/>
              </w:rPr>
              <w:t>突发环境事件应急预案</w:t>
            </w:r>
            <w:r>
              <w:rPr>
                <w:rFonts w:hint="eastAsia" w:eastAsiaTheme="minorEastAsia"/>
                <w:color w:val="000000" w:themeColor="text1"/>
                <w:sz w:val="24"/>
                <w:szCs w:val="21"/>
              </w:rPr>
              <w:t>》进行修订，</w:t>
            </w:r>
            <w:r>
              <w:rPr>
                <w:rFonts w:eastAsiaTheme="minorEastAsia"/>
                <w:color w:val="000000" w:themeColor="text1"/>
                <w:sz w:val="24"/>
                <w:szCs w:val="21"/>
              </w:rPr>
              <w:t>报所在地县级以上环境保护行政主管部门备案并按照预案要求每年组织演练。</w:t>
            </w: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ind w:firstLine="240" w:firstLineChars="100"/>
              <w:jc w:val="both"/>
              <w:rPr>
                <w:rFonts w:eastAsiaTheme="minorEastAsia"/>
                <w:color w:val="000000" w:themeColor="text1"/>
                <w:sz w:val="24"/>
                <w:szCs w:val="21"/>
              </w:rPr>
            </w:pPr>
          </w:p>
          <w:p>
            <w:pPr>
              <w:pStyle w:val="33"/>
              <w:spacing w:line="360" w:lineRule="auto"/>
              <w:jc w:val="both"/>
              <w:rPr>
                <w:rFonts w:eastAsiaTheme="minorEastAsia"/>
                <w:color w:val="000000" w:themeColor="text1"/>
                <w:szCs w:val="21"/>
              </w:rPr>
            </w:pPr>
            <w:r>
              <w:rPr>
                <w:rFonts w:hint="eastAsia" w:eastAsiaTheme="minorEastAsia"/>
                <w:color w:val="000000" w:themeColor="text1"/>
                <w:szCs w:val="21"/>
              </w:rPr>
              <w:t xml:space="preserve">  </w:t>
            </w:r>
          </w:p>
        </w:tc>
      </w:tr>
    </w:tbl>
    <w:p>
      <w:pPr>
        <w:spacing w:line="360" w:lineRule="auto"/>
        <w:jc w:val="left"/>
        <w:outlineLvl w:val="0"/>
        <w:rPr>
          <w:rFonts w:ascii="Times New Roman" w:hAnsi="Times New Roman" w:cs="Times New Roman"/>
          <w:b/>
          <w:color w:val="000000" w:themeColor="text1"/>
          <w:sz w:val="28"/>
          <w:szCs w:val="20"/>
        </w:rPr>
      </w:pPr>
      <w:bookmarkStart w:id="13" w:name="_Toc151133523"/>
      <w:r>
        <w:rPr>
          <w:rFonts w:ascii="Times New Roman" w:hAnsi="Times New Roman" w:cs="Times New Roman"/>
          <w:b/>
          <w:color w:val="000000" w:themeColor="text1"/>
          <w:sz w:val="28"/>
          <w:szCs w:val="20"/>
        </w:rPr>
        <w:t>六、结论</w:t>
      </w:r>
      <w:bookmarkEnd w:id="13"/>
    </w:p>
    <w:tbl>
      <w:tblPr>
        <w:tblStyle w:val="23"/>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拟建设的昆明合旺有色金属有限公司固体废物综合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pgNumType w:start="1"/>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bookmarkStart w:id="14" w:name="_Toc151133524"/>
      <w:r>
        <w:rPr>
          <w:rFonts w:ascii="Times New Roman" w:hAnsi="Times New Roman" w:cs="Times New Roman"/>
          <w:b/>
          <w:color w:val="000000" w:themeColor="text1"/>
          <w:sz w:val="28"/>
          <w:szCs w:val="20"/>
        </w:rPr>
        <w:t>附表</w:t>
      </w:r>
      <w:bookmarkEnd w:id="14"/>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3"/>
              <w:spacing w:line="360" w:lineRule="exact"/>
              <w:rPr>
                <w:color w:val="000000" w:themeColor="text1"/>
                <w:szCs w:val="21"/>
              </w:rPr>
            </w:pPr>
            <w:r>
              <w:rPr>
                <w:rFonts w:hint="eastAsia"/>
                <w:color w:val="000000" w:themeColor="text1"/>
                <w:szCs w:val="21"/>
              </w:rPr>
              <w:t>颗粒物（有组织）</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rFonts w:hint="eastAsia"/>
                <w:color w:val="000000" w:themeColor="text1"/>
                <w:szCs w:val="21"/>
              </w:rPr>
              <w:t>0.112</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rFonts w:hint="eastAsia"/>
                <w:color w:val="000000" w:themeColor="text1"/>
                <w:szCs w:val="21"/>
              </w:rPr>
              <w:t>0.112</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color w:val="000000" w:themeColor="text1"/>
                <w:szCs w:val="21"/>
              </w:rPr>
              <w:t>1.36t/a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color w:val="000000" w:themeColor="text1"/>
                <w:szCs w:val="21"/>
              </w:rPr>
              <w:t>1.36t/a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NOx</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color w:val="000000" w:themeColor="text1"/>
                <w:szCs w:val="21"/>
              </w:rPr>
              <w:t>0.56t/a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color w:val="000000" w:themeColor="text1"/>
                <w:szCs w:val="21"/>
              </w:rPr>
              <w:t>0.56t/a</w:t>
            </w:r>
          </w:p>
        </w:tc>
        <w:tc>
          <w:tcPr>
            <w:tcW w:w="130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color w:val="000000" w:themeColor="text1"/>
                <w:szCs w:val="21"/>
              </w:rPr>
            </w:pPr>
            <w:r>
              <w:rPr>
                <w:rFonts w:hint="eastAsia"/>
                <w:color w:val="000000" w:themeColor="text1"/>
                <w:szCs w:val="21"/>
              </w:rPr>
              <w:t>颗粒物（无组织）</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color w:val="000000" w:themeColor="text1"/>
                <w:szCs w:val="21"/>
              </w:rPr>
            </w:pPr>
            <w:r>
              <w:rPr>
                <w:rFonts w:hint="eastAsia"/>
                <w:color w:val="000000" w:themeColor="text1"/>
                <w:szCs w:val="21"/>
              </w:rPr>
              <w:t>32.09</w:t>
            </w:r>
            <w:r>
              <w:rPr>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color w:val="000000" w:themeColor="text1"/>
                <w:szCs w:val="21"/>
              </w:rPr>
            </w:pPr>
            <w:r>
              <w:rPr>
                <w:rFonts w:hint="eastAsia"/>
                <w:color w:val="000000" w:themeColor="text1"/>
                <w:szCs w:val="21"/>
              </w:rPr>
              <w:t>32.09</w:t>
            </w:r>
            <w:r>
              <w:rPr>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422.4m³/a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0.11t/a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0.11t/a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BOD5</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0.08t/a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NH3-N</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0.02t/a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0.001t/a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0.001t/a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0.002t/a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0.002t/a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0.001t/a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0.001t/a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4"/>
              </w:rPr>
              <w:t>1</w:t>
            </w:r>
            <w:r>
              <w:rPr>
                <w:rFonts w:hint="eastAsia" w:eastAsiaTheme="minorEastAsia"/>
                <w:color w:val="000000" w:themeColor="text1"/>
                <w:szCs w:val="24"/>
              </w:rPr>
              <w:t>1.96</w:t>
            </w:r>
            <w:r>
              <w:rPr>
                <w:rFonts w:eastAsiaTheme="minorEastAsia"/>
                <w:color w:val="000000" w:themeColor="text1"/>
                <w:szCs w:val="24"/>
              </w:rPr>
              <w:t>万t/a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袋式除尘器收集烟尘</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37t/a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旋风除尘器</w:t>
            </w:r>
            <w:r>
              <w:rPr>
                <w:rFonts w:hint="eastAsia" w:eastAsiaTheme="minorEastAsia"/>
                <w:color w:val="000000" w:themeColor="text1"/>
                <w:szCs w:val="21"/>
              </w:rPr>
              <w:t>+</w:t>
            </w:r>
            <w:r>
              <w:rPr>
                <w:rFonts w:eastAsiaTheme="minorEastAsia"/>
                <w:color w:val="000000" w:themeColor="text1"/>
                <w:szCs w:val="21"/>
              </w:rPr>
              <w:t>袋式除尘器收集粉尘</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21.91</w:t>
            </w:r>
            <w:r>
              <w:rPr>
                <w:rFonts w:eastAsiaTheme="minorEastAsia"/>
                <w:color w:val="000000" w:themeColor="text1"/>
                <w:szCs w:val="21"/>
              </w:rPr>
              <w:t>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灰渣</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1.54t/a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3"/>
              <w:spacing w:line="360" w:lineRule="exact"/>
              <w:rPr>
                <w:rFonts w:eastAsiaTheme="minorEastAsia"/>
                <w:color w:val="000000" w:themeColor="text1"/>
                <w:szCs w:val="21"/>
              </w:rPr>
            </w:pP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3"/>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3"/>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qj6iKPgLorFQCwUUz+IXp2ExO0c=" w:salt="FvYtZTfUhAaWnKUqtGwzZ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2314"/>
    <w:rsid w:val="00006965"/>
    <w:rsid w:val="00010518"/>
    <w:rsid w:val="0001072D"/>
    <w:rsid w:val="00010A49"/>
    <w:rsid w:val="00010CB7"/>
    <w:rsid w:val="00010E27"/>
    <w:rsid w:val="00012C80"/>
    <w:rsid w:val="00013833"/>
    <w:rsid w:val="00020BF9"/>
    <w:rsid w:val="00021721"/>
    <w:rsid w:val="0002285A"/>
    <w:rsid w:val="00022E88"/>
    <w:rsid w:val="0002600C"/>
    <w:rsid w:val="0002637E"/>
    <w:rsid w:val="00031A59"/>
    <w:rsid w:val="00031B65"/>
    <w:rsid w:val="00032B08"/>
    <w:rsid w:val="000344EF"/>
    <w:rsid w:val="00034809"/>
    <w:rsid w:val="00034BCB"/>
    <w:rsid w:val="00034E08"/>
    <w:rsid w:val="00035576"/>
    <w:rsid w:val="00035E53"/>
    <w:rsid w:val="0003626F"/>
    <w:rsid w:val="00037A96"/>
    <w:rsid w:val="00040A28"/>
    <w:rsid w:val="00040D99"/>
    <w:rsid w:val="00041527"/>
    <w:rsid w:val="00041801"/>
    <w:rsid w:val="00042762"/>
    <w:rsid w:val="000438CA"/>
    <w:rsid w:val="00044769"/>
    <w:rsid w:val="000464AC"/>
    <w:rsid w:val="00046D9B"/>
    <w:rsid w:val="00050973"/>
    <w:rsid w:val="00050E55"/>
    <w:rsid w:val="00051E67"/>
    <w:rsid w:val="00052BD5"/>
    <w:rsid w:val="00053C3A"/>
    <w:rsid w:val="00054F28"/>
    <w:rsid w:val="00055DB8"/>
    <w:rsid w:val="00057208"/>
    <w:rsid w:val="0005744F"/>
    <w:rsid w:val="00057FEE"/>
    <w:rsid w:val="000607FD"/>
    <w:rsid w:val="00062FAD"/>
    <w:rsid w:val="00063347"/>
    <w:rsid w:val="0006358B"/>
    <w:rsid w:val="00065728"/>
    <w:rsid w:val="00067BF4"/>
    <w:rsid w:val="00070F66"/>
    <w:rsid w:val="000740ED"/>
    <w:rsid w:val="00075144"/>
    <w:rsid w:val="00075FFD"/>
    <w:rsid w:val="000760FE"/>
    <w:rsid w:val="00077A07"/>
    <w:rsid w:val="000814E1"/>
    <w:rsid w:val="000816EB"/>
    <w:rsid w:val="00082602"/>
    <w:rsid w:val="00086577"/>
    <w:rsid w:val="000874EA"/>
    <w:rsid w:val="00092228"/>
    <w:rsid w:val="000937C3"/>
    <w:rsid w:val="000937C8"/>
    <w:rsid w:val="00094A5C"/>
    <w:rsid w:val="000954A9"/>
    <w:rsid w:val="00096181"/>
    <w:rsid w:val="0009690E"/>
    <w:rsid w:val="00096EF1"/>
    <w:rsid w:val="000A1339"/>
    <w:rsid w:val="000A210B"/>
    <w:rsid w:val="000A300A"/>
    <w:rsid w:val="000A68EF"/>
    <w:rsid w:val="000B04E4"/>
    <w:rsid w:val="000B1397"/>
    <w:rsid w:val="000B35C4"/>
    <w:rsid w:val="000B5F10"/>
    <w:rsid w:val="000B6EE8"/>
    <w:rsid w:val="000B7436"/>
    <w:rsid w:val="000B7547"/>
    <w:rsid w:val="000B7CA6"/>
    <w:rsid w:val="000C1A95"/>
    <w:rsid w:val="000C1E1D"/>
    <w:rsid w:val="000C3E43"/>
    <w:rsid w:val="000C7F4D"/>
    <w:rsid w:val="000D1B94"/>
    <w:rsid w:val="000D4915"/>
    <w:rsid w:val="000D4A13"/>
    <w:rsid w:val="000D4A25"/>
    <w:rsid w:val="000D4D91"/>
    <w:rsid w:val="000D6372"/>
    <w:rsid w:val="000D6CBC"/>
    <w:rsid w:val="000D758D"/>
    <w:rsid w:val="000E0211"/>
    <w:rsid w:val="000E2BC7"/>
    <w:rsid w:val="000E500A"/>
    <w:rsid w:val="000E6F05"/>
    <w:rsid w:val="000F27DA"/>
    <w:rsid w:val="000F2BCA"/>
    <w:rsid w:val="000F2C43"/>
    <w:rsid w:val="000F3504"/>
    <w:rsid w:val="000F3C38"/>
    <w:rsid w:val="000F5394"/>
    <w:rsid w:val="000F5DE9"/>
    <w:rsid w:val="000F6FB2"/>
    <w:rsid w:val="00101DC1"/>
    <w:rsid w:val="0010241D"/>
    <w:rsid w:val="001035AE"/>
    <w:rsid w:val="00103773"/>
    <w:rsid w:val="00104E12"/>
    <w:rsid w:val="00106B47"/>
    <w:rsid w:val="00106BF5"/>
    <w:rsid w:val="00111B02"/>
    <w:rsid w:val="00111F14"/>
    <w:rsid w:val="00113083"/>
    <w:rsid w:val="00116200"/>
    <w:rsid w:val="00121AAE"/>
    <w:rsid w:val="00122036"/>
    <w:rsid w:val="00124D61"/>
    <w:rsid w:val="001250CA"/>
    <w:rsid w:val="00125B5D"/>
    <w:rsid w:val="00126836"/>
    <w:rsid w:val="00127ECB"/>
    <w:rsid w:val="001307E7"/>
    <w:rsid w:val="00134859"/>
    <w:rsid w:val="00135F33"/>
    <w:rsid w:val="00136604"/>
    <w:rsid w:val="00137165"/>
    <w:rsid w:val="00141A1D"/>
    <w:rsid w:val="001441E0"/>
    <w:rsid w:val="00144A49"/>
    <w:rsid w:val="00144B2A"/>
    <w:rsid w:val="00144EFD"/>
    <w:rsid w:val="00145934"/>
    <w:rsid w:val="001463C7"/>
    <w:rsid w:val="001476D8"/>
    <w:rsid w:val="0015464F"/>
    <w:rsid w:val="001575F5"/>
    <w:rsid w:val="001603DF"/>
    <w:rsid w:val="001606EF"/>
    <w:rsid w:val="00160E25"/>
    <w:rsid w:val="001634F6"/>
    <w:rsid w:val="00164D60"/>
    <w:rsid w:val="00167C06"/>
    <w:rsid w:val="0017180C"/>
    <w:rsid w:val="001719D1"/>
    <w:rsid w:val="00171AF4"/>
    <w:rsid w:val="00172750"/>
    <w:rsid w:val="00172D3E"/>
    <w:rsid w:val="001731F9"/>
    <w:rsid w:val="001741B2"/>
    <w:rsid w:val="001750E1"/>
    <w:rsid w:val="00175408"/>
    <w:rsid w:val="001755BC"/>
    <w:rsid w:val="0017574F"/>
    <w:rsid w:val="0017654F"/>
    <w:rsid w:val="00177B07"/>
    <w:rsid w:val="0018006A"/>
    <w:rsid w:val="001801DD"/>
    <w:rsid w:val="00180383"/>
    <w:rsid w:val="0018089D"/>
    <w:rsid w:val="00182D5B"/>
    <w:rsid w:val="00182E34"/>
    <w:rsid w:val="00183565"/>
    <w:rsid w:val="00183AD8"/>
    <w:rsid w:val="001864CE"/>
    <w:rsid w:val="00187A7F"/>
    <w:rsid w:val="00187B44"/>
    <w:rsid w:val="00187D74"/>
    <w:rsid w:val="00192A77"/>
    <w:rsid w:val="00197070"/>
    <w:rsid w:val="001977B7"/>
    <w:rsid w:val="00197A97"/>
    <w:rsid w:val="00197C78"/>
    <w:rsid w:val="001A023F"/>
    <w:rsid w:val="001A4245"/>
    <w:rsid w:val="001A5927"/>
    <w:rsid w:val="001A6330"/>
    <w:rsid w:val="001A70EF"/>
    <w:rsid w:val="001B071C"/>
    <w:rsid w:val="001B0D06"/>
    <w:rsid w:val="001B0D8D"/>
    <w:rsid w:val="001B3F75"/>
    <w:rsid w:val="001B3FC9"/>
    <w:rsid w:val="001B4D27"/>
    <w:rsid w:val="001C04D4"/>
    <w:rsid w:val="001C0A81"/>
    <w:rsid w:val="001C1278"/>
    <w:rsid w:val="001C3FC6"/>
    <w:rsid w:val="001D1DBF"/>
    <w:rsid w:val="001D29FB"/>
    <w:rsid w:val="001D36CB"/>
    <w:rsid w:val="001D3CCB"/>
    <w:rsid w:val="001D510D"/>
    <w:rsid w:val="001E143D"/>
    <w:rsid w:val="001E1551"/>
    <w:rsid w:val="001E1D66"/>
    <w:rsid w:val="001E1D94"/>
    <w:rsid w:val="001E296E"/>
    <w:rsid w:val="001E35E6"/>
    <w:rsid w:val="001E5F00"/>
    <w:rsid w:val="001E68D7"/>
    <w:rsid w:val="001E6DE2"/>
    <w:rsid w:val="001E6F65"/>
    <w:rsid w:val="001E76C5"/>
    <w:rsid w:val="001E7F46"/>
    <w:rsid w:val="001F03FE"/>
    <w:rsid w:val="001F0A05"/>
    <w:rsid w:val="001F20F3"/>
    <w:rsid w:val="001F298D"/>
    <w:rsid w:val="001F2DED"/>
    <w:rsid w:val="001F348B"/>
    <w:rsid w:val="001F522D"/>
    <w:rsid w:val="001F6029"/>
    <w:rsid w:val="002003B8"/>
    <w:rsid w:val="002010C8"/>
    <w:rsid w:val="00203A93"/>
    <w:rsid w:val="00203E7C"/>
    <w:rsid w:val="00204DBF"/>
    <w:rsid w:val="0021020E"/>
    <w:rsid w:val="00213D48"/>
    <w:rsid w:val="0021516A"/>
    <w:rsid w:val="00215559"/>
    <w:rsid w:val="0021689F"/>
    <w:rsid w:val="002210A0"/>
    <w:rsid w:val="00224AFE"/>
    <w:rsid w:val="002340F7"/>
    <w:rsid w:val="00235720"/>
    <w:rsid w:val="00242446"/>
    <w:rsid w:val="0024363B"/>
    <w:rsid w:val="002449EE"/>
    <w:rsid w:val="00245CA3"/>
    <w:rsid w:val="00247689"/>
    <w:rsid w:val="0024786E"/>
    <w:rsid w:val="00247CF7"/>
    <w:rsid w:val="00252D41"/>
    <w:rsid w:val="002540E1"/>
    <w:rsid w:val="0025475F"/>
    <w:rsid w:val="002552FB"/>
    <w:rsid w:val="00257C11"/>
    <w:rsid w:val="0026029A"/>
    <w:rsid w:val="002615D7"/>
    <w:rsid w:val="002619C3"/>
    <w:rsid w:val="00262006"/>
    <w:rsid w:val="00262823"/>
    <w:rsid w:val="00264DB3"/>
    <w:rsid w:val="002666BE"/>
    <w:rsid w:val="00271EF2"/>
    <w:rsid w:val="002735A4"/>
    <w:rsid w:val="00273DDC"/>
    <w:rsid w:val="00275CD2"/>
    <w:rsid w:val="00277862"/>
    <w:rsid w:val="0028073B"/>
    <w:rsid w:val="002813AB"/>
    <w:rsid w:val="00281AA2"/>
    <w:rsid w:val="00282347"/>
    <w:rsid w:val="00283425"/>
    <w:rsid w:val="00283568"/>
    <w:rsid w:val="00283E7B"/>
    <w:rsid w:val="0029185D"/>
    <w:rsid w:val="00292D0B"/>
    <w:rsid w:val="002931E6"/>
    <w:rsid w:val="002947F6"/>
    <w:rsid w:val="002963A7"/>
    <w:rsid w:val="00296512"/>
    <w:rsid w:val="00296E3C"/>
    <w:rsid w:val="002A0F82"/>
    <w:rsid w:val="002A1028"/>
    <w:rsid w:val="002A17DA"/>
    <w:rsid w:val="002A1981"/>
    <w:rsid w:val="002A1BFA"/>
    <w:rsid w:val="002A1DB1"/>
    <w:rsid w:val="002A1EAA"/>
    <w:rsid w:val="002A736A"/>
    <w:rsid w:val="002A7A00"/>
    <w:rsid w:val="002B2BE4"/>
    <w:rsid w:val="002B40E5"/>
    <w:rsid w:val="002B4C32"/>
    <w:rsid w:val="002B5B05"/>
    <w:rsid w:val="002B62FB"/>
    <w:rsid w:val="002B7A5A"/>
    <w:rsid w:val="002C07C0"/>
    <w:rsid w:val="002C0B79"/>
    <w:rsid w:val="002C1CFF"/>
    <w:rsid w:val="002C1E30"/>
    <w:rsid w:val="002C2FBC"/>
    <w:rsid w:val="002C3853"/>
    <w:rsid w:val="002D0111"/>
    <w:rsid w:val="002D208B"/>
    <w:rsid w:val="002D2352"/>
    <w:rsid w:val="002D31B2"/>
    <w:rsid w:val="002D4D58"/>
    <w:rsid w:val="002D6140"/>
    <w:rsid w:val="002E21DE"/>
    <w:rsid w:val="002E25DE"/>
    <w:rsid w:val="002E3C02"/>
    <w:rsid w:val="002E3E71"/>
    <w:rsid w:val="002E3F5D"/>
    <w:rsid w:val="002E49EF"/>
    <w:rsid w:val="002E4EE2"/>
    <w:rsid w:val="002E5628"/>
    <w:rsid w:val="002E75FC"/>
    <w:rsid w:val="002F37F6"/>
    <w:rsid w:val="002F3854"/>
    <w:rsid w:val="002F6B45"/>
    <w:rsid w:val="00300220"/>
    <w:rsid w:val="003012BB"/>
    <w:rsid w:val="003015F8"/>
    <w:rsid w:val="0030173E"/>
    <w:rsid w:val="003024F2"/>
    <w:rsid w:val="0030385F"/>
    <w:rsid w:val="00304186"/>
    <w:rsid w:val="003041C9"/>
    <w:rsid w:val="0030568D"/>
    <w:rsid w:val="00305EB9"/>
    <w:rsid w:val="003115CF"/>
    <w:rsid w:val="0031189D"/>
    <w:rsid w:val="00314239"/>
    <w:rsid w:val="00317F26"/>
    <w:rsid w:val="00320B3A"/>
    <w:rsid w:val="00322356"/>
    <w:rsid w:val="00322C23"/>
    <w:rsid w:val="00322DCE"/>
    <w:rsid w:val="00322E15"/>
    <w:rsid w:val="00323170"/>
    <w:rsid w:val="003251CD"/>
    <w:rsid w:val="00325224"/>
    <w:rsid w:val="003268A6"/>
    <w:rsid w:val="00327766"/>
    <w:rsid w:val="0032793B"/>
    <w:rsid w:val="00332BCA"/>
    <w:rsid w:val="00332E06"/>
    <w:rsid w:val="00335E70"/>
    <w:rsid w:val="003372E0"/>
    <w:rsid w:val="00340DCE"/>
    <w:rsid w:val="0034317D"/>
    <w:rsid w:val="00344278"/>
    <w:rsid w:val="0034429D"/>
    <w:rsid w:val="00344442"/>
    <w:rsid w:val="00344B4D"/>
    <w:rsid w:val="00344F6A"/>
    <w:rsid w:val="003471CB"/>
    <w:rsid w:val="00354B52"/>
    <w:rsid w:val="00356629"/>
    <w:rsid w:val="00361C1A"/>
    <w:rsid w:val="00361CF9"/>
    <w:rsid w:val="0036211A"/>
    <w:rsid w:val="0036783D"/>
    <w:rsid w:val="00370595"/>
    <w:rsid w:val="00371986"/>
    <w:rsid w:val="00371B13"/>
    <w:rsid w:val="00372641"/>
    <w:rsid w:val="00372FF4"/>
    <w:rsid w:val="00377A08"/>
    <w:rsid w:val="00377DC3"/>
    <w:rsid w:val="003807A3"/>
    <w:rsid w:val="00384096"/>
    <w:rsid w:val="003852E6"/>
    <w:rsid w:val="00385DE6"/>
    <w:rsid w:val="00387588"/>
    <w:rsid w:val="003879AF"/>
    <w:rsid w:val="003900EB"/>
    <w:rsid w:val="00390401"/>
    <w:rsid w:val="003940B4"/>
    <w:rsid w:val="00394968"/>
    <w:rsid w:val="00394E91"/>
    <w:rsid w:val="003965C2"/>
    <w:rsid w:val="003A1A97"/>
    <w:rsid w:val="003A2287"/>
    <w:rsid w:val="003A2C94"/>
    <w:rsid w:val="003A4F39"/>
    <w:rsid w:val="003A593B"/>
    <w:rsid w:val="003A69BA"/>
    <w:rsid w:val="003B0CA6"/>
    <w:rsid w:val="003B149E"/>
    <w:rsid w:val="003B27A0"/>
    <w:rsid w:val="003B3E08"/>
    <w:rsid w:val="003B46F2"/>
    <w:rsid w:val="003B69D3"/>
    <w:rsid w:val="003B6B9D"/>
    <w:rsid w:val="003C01B9"/>
    <w:rsid w:val="003C1553"/>
    <w:rsid w:val="003C4D0F"/>
    <w:rsid w:val="003D03A2"/>
    <w:rsid w:val="003D15BD"/>
    <w:rsid w:val="003D2351"/>
    <w:rsid w:val="003D25E7"/>
    <w:rsid w:val="003D4831"/>
    <w:rsid w:val="003D587A"/>
    <w:rsid w:val="003D6EFF"/>
    <w:rsid w:val="003D7B53"/>
    <w:rsid w:val="003D7D56"/>
    <w:rsid w:val="003E0E2B"/>
    <w:rsid w:val="003E1314"/>
    <w:rsid w:val="003E1A39"/>
    <w:rsid w:val="003E1A96"/>
    <w:rsid w:val="003E24A1"/>
    <w:rsid w:val="003E2878"/>
    <w:rsid w:val="003E35D9"/>
    <w:rsid w:val="003E4647"/>
    <w:rsid w:val="003F03B7"/>
    <w:rsid w:val="003F0CB4"/>
    <w:rsid w:val="003F4B40"/>
    <w:rsid w:val="003F5310"/>
    <w:rsid w:val="003F6BE4"/>
    <w:rsid w:val="00400041"/>
    <w:rsid w:val="00404505"/>
    <w:rsid w:val="00405DB9"/>
    <w:rsid w:val="00406521"/>
    <w:rsid w:val="00406D99"/>
    <w:rsid w:val="00407D01"/>
    <w:rsid w:val="00412056"/>
    <w:rsid w:val="00412478"/>
    <w:rsid w:val="00412CB6"/>
    <w:rsid w:val="00413DDA"/>
    <w:rsid w:val="00416860"/>
    <w:rsid w:val="0042165D"/>
    <w:rsid w:val="0042483F"/>
    <w:rsid w:val="00431D91"/>
    <w:rsid w:val="0043268F"/>
    <w:rsid w:val="004329BC"/>
    <w:rsid w:val="00432FCA"/>
    <w:rsid w:val="00434AFC"/>
    <w:rsid w:val="004369B4"/>
    <w:rsid w:val="004407A6"/>
    <w:rsid w:val="00442410"/>
    <w:rsid w:val="004429ED"/>
    <w:rsid w:val="004431BA"/>
    <w:rsid w:val="0044352F"/>
    <w:rsid w:val="00445631"/>
    <w:rsid w:val="004459AB"/>
    <w:rsid w:val="00445CD5"/>
    <w:rsid w:val="0045161D"/>
    <w:rsid w:val="00451F9B"/>
    <w:rsid w:val="004521CF"/>
    <w:rsid w:val="00452F00"/>
    <w:rsid w:val="00460B11"/>
    <w:rsid w:val="00463BDC"/>
    <w:rsid w:val="00465080"/>
    <w:rsid w:val="00465AA2"/>
    <w:rsid w:val="004662C7"/>
    <w:rsid w:val="004670AB"/>
    <w:rsid w:val="00471AD5"/>
    <w:rsid w:val="004726FA"/>
    <w:rsid w:val="00476210"/>
    <w:rsid w:val="00477A89"/>
    <w:rsid w:val="0048039E"/>
    <w:rsid w:val="00482E80"/>
    <w:rsid w:val="004840C4"/>
    <w:rsid w:val="00484777"/>
    <w:rsid w:val="00486CFE"/>
    <w:rsid w:val="00490019"/>
    <w:rsid w:val="0049067C"/>
    <w:rsid w:val="00490DAF"/>
    <w:rsid w:val="00490ECA"/>
    <w:rsid w:val="00491554"/>
    <w:rsid w:val="004922A1"/>
    <w:rsid w:val="00492E0F"/>
    <w:rsid w:val="004A0E4C"/>
    <w:rsid w:val="004A1EEA"/>
    <w:rsid w:val="004A2FFF"/>
    <w:rsid w:val="004A30C2"/>
    <w:rsid w:val="004A37C5"/>
    <w:rsid w:val="004A3C94"/>
    <w:rsid w:val="004A4E36"/>
    <w:rsid w:val="004A52F5"/>
    <w:rsid w:val="004A5C36"/>
    <w:rsid w:val="004A7486"/>
    <w:rsid w:val="004A78E1"/>
    <w:rsid w:val="004B2C95"/>
    <w:rsid w:val="004B3714"/>
    <w:rsid w:val="004B47E3"/>
    <w:rsid w:val="004B5722"/>
    <w:rsid w:val="004C06E1"/>
    <w:rsid w:val="004C343F"/>
    <w:rsid w:val="004C55BF"/>
    <w:rsid w:val="004C7D2E"/>
    <w:rsid w:val="004D004C"/>
    <w:rsid w:val="004D07B2"/>
    <w:rsid w:val="004D164D"/>
    <w:rsid w:val="004D2751"/>
    <w:rsid w:val="004D3DA8"/>
    <w:rsid w:val="004D5133"/>
    <w:rsid w:val="004E0B6A"/>
    <w:rsid w:val="004E7972"/>
    <w:rsid w:val="004F046C"/>
    <w:rsid w:val="004F243F"/>
    <w:rsid w:val="004F43D6"/>
    <w:rsid w:val="004F441C"/>
    <w:rsid w:val="004F5D49"/>
    <w:rsid w:val="004F5E7C"/>
    <w:rsid w:val="004F79F0"/>
    <w:rsid w:val="004F7D4D"/>
    <w:rsid w:val="004F7ED7"/>
    <w:rsid w:val="00505002"/>
    <w:rsid w:val="005059D4"/>
    <w:rsid w:val="0050780B"/>
    <w:rsid w:val="00511B6E"/>
    <w:rsid w:val="00511E38"/>
    <w:rsid w:val="005123D3"/>
    <w:rsid w:val="00514944"/>
    <w:rsid w:val="005153FD"/>
    <w:rsid w:val="00515A1E"/>
    <w:rsid w:val="005164B3"/>
    <w:rsid w:val="00516F69"/>
    <w:rsid w:val="00522BBF"/>
    <w:rsid w:val="0052679C"/>
    <w:rsid w:val="00527BC5"/>
    <w:rsid w:val="00531AD8"/>
    <w:rsid w:val="00531E5D"/>
    <w:rsid w:val="005324D0"/>
    <w:rsid w:val="0053286F"/>
    <w:rsid w:val="00533467"/>
    <w:rsid w:val="00534075"/>
    <w:rsid w:val="005340F1"/>
    <w:rsid w:val="005342CF"/>
    <w:rsid w:val="005344D8"/>
    <w:rsid w:val="00534689"/>
    <w:rsid w:val="00534EF3"/>
    <w:rsid w:val="005356B8"/>
    <w:rsid w:val="00535FDC"/>
    <w:rsid w:val="00536875"/>
    <w:rsid w:val="00540530"/>
    <w:rsid w:val="00542078"/>
    <w:rsid w:val="005420E0"/>
    <w:rsid w:val="00543C10"/>
    <w:rsid w:val="00544F28"/>
    <w:rsid w:val="00550012"/>
    <w:rsid w:val="00551B30"/>
    <w:rsid w:val="00551E76"/>
    <w:rsid w:val="0055254C"/>
    <w:rsid w:val="005528F5"/>
    <w:rsid w:val="00552B40"/>
    <w:rsid w:val="0055331A"/>
    <w:rsid w:val="0055687A"/>
    <w:rsid w:val="005568AC"/>
    <w:rsid w:val="005571AA"/>
    <w:rsid w:val="00560C22"/>
    <w:rsid w:val="00561BEF"/>
    <w:rsid w:val="0056408D"/>
    <w:rsid w:val="00565D34"/>
    <w:rsid w:val="00570AC5"/>
    <w:rsid w:val="00570B7C"/>
    <w:rsid w:val="00570F48"/>
    <w:rsid w:val="00570FC3"/>
    <w:rsid w:val="005719DF"/>
    <w:rsid w:val="00572A09"/>
    <w:rsid w:val="0057365C"/>
    <w:rsid w:val="0057474D"/>
    <w:rsid w:val="00582D37"/>
    <w:rsid w:val="00582E9E"/>
    <w:rsid w:val="0058375C"/>
    <w:rsid w:val="00583FEB"/>
    <w:rsid w:val="00586942"/>
    <w:rsid w:val="00593696"/>
    <w:rsid w:val="00595DFB"/>
    <w:rsid w:val="00595DFF"/>
    <w:rsid w:val="005A040B"/>
    <w:rsid w:val="005A0B8C"/>
    <w:rsid w:val="005A390C"/>
    <w:rsid w:val="005A468F"/>
    <w:rsid w:val="005A4F7F"/>
    <w:rsid w:val="005A7C25"/>
    <w:rsid w:val="005B13F2"/>
    <w:rsid w:val="005B19F5"/>
    <w:rsid w:val="005B2F98"/>
    <w:rsid w:val="005B5075"/>
    <w:rsid w:val="005B60E2"/>
    <w:rsid w:val="005B6529"/>
    <w:rsid w:val="005C0E90"/>
    <w:rsid w:val="005C270F"/>
    <w:rsid w:val="005C2D3D"/>
    <w:rsid w:val="005C3240"/>
    <w:rsid w:val="005C358A"/>
    <w:rsid w:val="005C38F9"/>
    <w:rsid w:val="005C478B"/>
    <w:rsid w:val="005C5209"/>
    <w:rsid w:val="005C6ECF"/>
    <w:rsid w:val="005C780A"/>
    <w:rsid w:val="005D1BB5"/>
    <w:rsid w:val="005D20BC"/>
    <w:rsid w:val="005D2878"/>
    <w:rsid w:val="005D2DAC"/>
    <w:rsid w:val="005D40A7"/>
    <w:rsid w:val="005D6D94"/>
    <w:rsid w:val="005D7B1B"/>
    <w:rsid w:val="005E43DF"/>
    <w:rsid w:val="005E53C8"/>
    <w:rsid w:val="005E7578"/>
    <w:rsid w:val="005F1128"/>
    <w:rsid w:val="005F31C5"/>
    <w:rsid w:val="005F36DF"/>
    <w:rsid w:val="006002DA"/>
    <w:rsid w:val="00602BDF"/>
    <w:rsid w:val="00603452"/>
    <w:rsid w:val="00603BAF"/>
    <w:rsid w:val="00606ED5"/>
    <w:rsid w:val="00607B6F"/>
    <w:rsid w:val="0061026D"/>
    <w:rsid w:val="00611200"/>
    <w:rsid w:val="00611305"/>
    <w:rsid w:val="00613C50"/>
    <w:rsid w:val="00614617"/>
    <w:rsid w:val="00616F4F"/>
    <w:rsid w:val="006179D4"/>
    <w:rsid w:val="00617A01"/>
    <w:rsid w:val="0062045F"/>
    <w:rsid w:val="0062070A"/>
    <w:rsid w:val="00621929"/>
    <w:rsid w:val="006237D0"/>
    <w:rsid w:val="00623A6B"/>
    <w:rsid w:val="006247CC"/>
    <w:rsid w:val="00633250"/>
    <w:rsid w:val="0063362F"/>
    <w:rsid w:val="00634AB7"/>
    <w:rsid w:val="0063583F"/>
    <w:rsid w:val="00636BF7"/>
    <w:rsid w:val="00637600"/>
    <w:rsid w:val="006379C6"/>
    <w:rsid w:val="006411B3"/>
    <w:rsid w:val="006420B7"/>
    <w:rsid w:val="00642BBC"/>
    <w:rsid w:val="00645F0B"/>
    <w:rsid w:val="0064649D"/>
    <w:rsid w:val="00647C5E"/>
    <w:rsid w:val="00656365"/>
    <w:rsid w:val="0066259B"/>
    <w:rsid w:val="00663A36"/>
    <w:rsid w:val="00663F4D"/>
    <w:rsid w:val="006641F1"/>
    <w:rsid w:val="006641FE"/>
    <w:rsid w:val="0066506A"/>
    <w:rsid w:val="00667E93"/>
    <w:rsid w:val="00670366"/>
    <w:rsid w:val="00670600"/>
    <w:rsid w:val="00682443"/>
    <w:rsid w:val="006826DF"/>
    <w:rsid w:val="00684359"/>
    <w:rsid w:val="00685451"/>
    <w:rsid w:val="0068738A"/>
    <w:rsid w:val="00687932"/>
    <w:rsid w:val="00687D0A"/>
    <w:rsid w:val="006936CC"/>
    <w:rsid w:val="006946BA"/>
    <w:rsid w:val="006952FD"/>
    <w:rsid w:val="006956DC"/>
    <w:rsid w:val="006967FD"/>
    <w:rsid w:val="006975FA"/>
    <w:rsid w:val="006A0111"/>
    <w:rsid w:val="006A0148"/>
    <w:rsid w:val="006A1718"/>
    <w:rsid w:val="006A2739"/>
    <w:rsid w:val="006A310F"/>
    <w:rsid w:val="006A5256"/>
    <w:rsid w:val="006A7586"/>
    <w:rsid w:val="006B0FC1"/>
    <w:rsid w:val="006B11BA"/>
    <w:rsid w:val="006B179B"/>
    <w:rsid w:val="006B30E2"/>
    <w:rsid w:val="006B3849"/>
    <w:rsid w:val="006B6254"/>
    <w:rsid w:val="006B737C"/>
    <w:rsid w:val="006C0272"/>
    <w:rsid w:val="006C0B93"/>
    <w:rsid w:val="006C1364"/>
    <w:rsid w:val="006C1666"/>
    <w:rsid w:val="006C1D02"/>
    <w:rsid w:val="006C1F44"/>
    <w:rsid w:val="006C34B9"/>
    <w:rsid w:val="006C52A7"/>
    <w:rsid w:val="006C58DC"/>
    <w:rsid w:val="006C640B"/>
    <w:rsid w:val="006C7124"/>
    <w:rsid w:val="006D0C06"/>
    <w:rsid w:val="006D1F47"/>
    <w:rsid w:val="006D349D"/>
    <w:rsid w:val="006D449A"/>
    <w:rsid w:val="006D469B"/>
    <w:rsid w:val="006D4F2D"/>
    <w:rsid w:val="006D56E9"/>
    <w:rsid w:val="006D7038"/>
    <w:rsid w:val="006D705B"/>
    <w:rsid w:val="006E079D"/>
    <w:rsid w:val="006E20AC"/>
    <w:rsid w:val="006E20DA"/>
    <w:rsid w:val="006E2C47"/>
    <w:rsid w:val="006E3BBE"/>
    <w:rsid w:val="006E4148"/>
    <w:rsid w:val="006E5D90"/>
    <w:rsid w:val="006E69D9"/>
    <w:rsid w:val="006F2742"/>
    <w:rsid w:val="006F31A9"/>
    <w:rsid w:val="006F404F"/>
    <w:rsid w:val="006F6817"/>
    <w:rsid w:val="007008B2"/>
    <w:rsid w:val="007015CA"/>
    <w:rsid w:val="007019CF"/>
    <w:rsid w:val="00702658"/>
    <w:rsid w:val="00702A5D"/>
    <w:rsid w:val="00704E77"/>
    <w:rsid w:val="00710575"/>
    <w:rsid w:val="007106BC"/>
    <w:rsid w:val="00711E6E"/>
    <w:rsid w:val="00712452"/>
    <w:rsid w:val="0071387B"/>
    <w:rsid w:val="0071455A"/>
    <w:rsid w:val="00715081"/>
    <w:rsid w:val="007173A8"/>
    <w:rsid w:val="007205B9"/>
    <w:rsid w:val="00720B5F"/>
    <w:rsid w:val="007242B2"/>
    <w:rsid w:val="00727912"/>
    <w:rsid w:val="00733BA9"/>
    <w:rsid w:val="00734F3E"/>
    <w:rsid w:val="00736B7D"/>
    <w:rsid w:val="00740A4F"/>
    <w:rsid w:val="007411A2"/>
    <w:rsid w:val="007431C8"/>
    <w:rsid w:val="00745C1E"/>
    <w:rsid w:val="00746002"/>
    <w:rsid w:val="00747147"/>
    <w:rsid w:val="00751732"/>
    <w:rsid w:val="00751969"/>
    <w:rsid w:val="00755489"/>
    <w:rsid w:val="0075551E"/>
    <w:rsid w:val="00756F3F"/>
    <w:rsid w:val="00760397"/>
    <w:rsid w:val="00761524"/>
    <w:rsid w:val="007620A6"/>
    <w:rsid w:val="0076339E"/>
    <w:rsid w:val="0076372A"/>
    <w:rsid w:val="00764286"/>
    <w:rsid w:val="00765550"/>
    <w:rsid w:val="00766209"/>
    <w:rsid w:val="00766AE0"/>
    <w:rsid w:val="00766D22"/>
    <w:rsid w:val="0077006B"/>
    <w:rsid w:val="00771B0E"/>
    <w:rsid w:val="00771C0E"/>
    <w:rsid w:val="007721B1"/>
    <w:rsid w:val="007725F6"/>
    <w:rsid w:val="007752A9"/>
    <w:rsid w:val="00775FC8"/>
    <w:rsid w:val="00777A4B"/>
    <w:rsid w:val="007809B0"/>
    <w:rsid w:val="00781641"/>
    <w:rsid w:val="00782109"/>
    <w:rsid w:val="00785FBC"/>
    <w:rsid w:val="00786210"/>
    <w:rsid w:val="00786705"/>
    <w:rsid w:val="00786DA9"/>
    <w:rsid w:val="0079096A"/>
    <w:rsid w:val="00790D94"/>
    <w:rsid w:val="007910D2"/>
    <w:rsid w:val="007923CD"/>
    <w:rsid w:val="00793033"/>
    <w:rsid w:val="00793C8B"/>
    <w:rsid w:val="007942B5"/>
    <w:rsid w:val="007958EA"/>
    <w:rsid w:val="00797D3A"/>
    <w:rsid w:val="007A00E2"/>
    <w:rsid w:val="007A17E9"/>
    <w:rsid w:val="007A1811"/>
    <w:rsid w:val="007A25AA"/>
    <w:rsid w:val="007A3394"/>
    <w:rsid w:val="007A46C3"/>
    <w:rsid w:val="007A4B48"/>
    <w:rsid w:val="007A6586"/>
    <w:rsid w:val="007B0225"/>
    <w:rsid w:val="007B296B"/>
    <w:rsid w:val="007B31C4"/>
    <w:rsid w:val="007B4B4E"/>
    <w:rsid w:val="007B5504"/>
    <w:rsid w:val="007B5DB7"/>
    <w:rsid w:val="007B62A8"/>
    <w:rsid w:val="007B6A3A"/>
    <w:rsid w:val="007B741C"/>
    <w:rsid w:val="007C037E"/>
    <w:rsid w:val="007C0DE2"/>
    <w:rsid w:val="007C222D"/>
    <w:rsid w:val="007C32DA"/>
    <w:rsid w:val="007C48B8"/>
    <w:rsid w:val="007C68E9"/>
    <w:rsid w:val="007D01C3"/>
    <w:rsid w:val="007D01EC"/>
    <w:rsid w:val="007D04D8"/>
    <w:rsid w:val="007D180E"/>
    <w:rsid w:val="007D1959"/>
    <w:rsid w:val="007D28A1"/>
    <w:rsid w:val="007D3FF0"/>
    <w:rsid w:val="007D440B"/>
    <w:rsid w:val="007D66D8"/>
    <w:rsid w:val="007E0A1C"/>
    <w:rsid w:val="007E1BE0"/>
    <w:rsid w:val="007E2B38"/>
    <w:rsid w:val="007E5687"/>
    <w:rsid w:val="007E58CE"/>
    <w:rsid w:val="007E62B8"/>
    <w:rsid w:val="007E7373"/>
    <w:rsid w:val="007F4217"/>
    <w:rsid w:val="007F4C63"/>
    <w:rsid w:val="007F60A3"/>
    <w:rsid w:val="007F7111"/>
    <w:rsid w:val="007F72CF"/>
    <w:rsid w:val="007F7E77"/>
    <w:rsid w:val="00800713"/>
    <w:rsid w:val="0080313A"/>
    <w:rsid w:val="008037FF"/>
    <w:rsid w:val="00804005"/>
    <w:rsid w:val="00804BBD"/>
    <w:rsid w:val="008104AE"/>
    <w:rsid w:val="0081079E"/>
    <w:rsid w:val="00811309"/>
    <w:rsid w:val="00811780"/>
    <w:rsid w:val="008122FD"/>
    <w:rsid w:val="0081398F"/>
    <w:rsid w:val="00813D79"/>
    <w:rsid w:val="00814387"/>
    <w:rsid w:val="00820EEF"/>
    <w:rsid w:val="00821B76"/>
    <w:rsid w:val="008225CE"/>
    <w:rsid w:val="00824EC0"/>
    <w:rsid w:val="00826A71"/>
    <w:rsid w:val="008278FC"/>
    <w:rsid w:val="00827D2F"/>
    <w:rsid w:val="00827D85"/>
    <w:rsid w:val="008325C5"/>
    <w:rsid w:val="0083260C"/>
    <w:rsid w:val="008400C8"/>
    <w:rsid w:val="00840A79"/>
    <w:rsid w:val="00841CE0"/>
    <w:rsid w:val="00844558"/>
    <w:rsid w:val="008448B1"/>
    <w:rsid w:val="008468FB"/>
    <w:rsid w:val="00847A3B"/>
    <w:rsid w:val="00850229"/>
    <w:rsid w:val="00850DAA"/>
    <w:rsid w:val="0085166B"/>
    <w:rsid w:val="00853681"/>
    <w:rsid w:val="00854B7E"/>
    <w:rsid w:val="00856447"/>
    <w:rsid w:val="00857DB7"/>
    <w:rsid w:val="008610E2"/>
    <w:rsid w:val="00861F57"/>
    <w:rsid w:val="00862A78"/>
    <w:rsid w:val="0086307C"/>
    <w:rsid w:val="00864BD6"/>
    <w:rsid w:val="00866DAF"/>
    <w:rsid w:val="00866FD9"/>
    <w:rsid w:val="008710F5"/>
    <w:rsid w:val="00872FEB"/>
    <w:rsid w:val="0087341F"/>
    <w:rsid w:val="0087423C"/>
    <w:rsid w:val="00876278"/>
    <w:rsid w:val="0087758A"/>
    <w:rsid w:val="00877DC6"/>
    <w:rsid w:val="00877E2C"/>
    <w:rsid w:val="0088062A"/>
    <w:rsid w:val="00884880"/>
    <w:rsid w:val="008902AE"/>
    <w:rsid w:val="00892FB6"/>
    <w:rsid w:val="00893EF2"/>
    <w:rsid w:val="0089429D"/>
    <w:rsid w:val="008948EB"/>
    <w:rsid w:val="00897E97"/>
    <w:rsid w:val="00897FC9"/>
    <w:rsid w:val="008A1159"/>
    <w:rsid w:val="008A6FD6"/>
    <w:rsid w:val="008A7883"/>
    <w:rsid w:val="008B0590"/>
    <w:rsid w:val="008B06C1"/>
    <w:rsid w:val="008B21E0"/>
    <w:rsid w:val="008B250B"/>
    <w:rsid w:val="008B3268"/>
    <w:rsid w:val="008B702B"/>
    <w:rsid w:val="008C08AB"/>
    <w:rsid w:val="008C10CD"/>
    <w:rsid w:val="008C1FB7"/>
    <w:rsid w:val="008C33DC"/>
    <w:rsid w:val="008C3EFE"/>
    <w:rsid w:val="008C50F0"/>
    <w:rsid w:val="008C6990"/>
    <w:rsid w:val="008C7652"/>
    <w:rsid w:val="008C7927"/>
    <w:rsid w:val="008D15CE"/>
    <w:rsid w:val="008D164F"/>
    <w:rsid w:val="008D1CB6"/>
    <w:rsid w:val="008D2CBB"/>
    <w:rsid w:val="008D35CB"/>
    <w:rsid w:val="008D547C"/>
    <w:rsid w:val="008D63D5"/>
    <w:rsid w:val="008D71B5"/>
    <w:rsid w:val="008E150B"/>
    <w:rsid w:val="008E2D86"/>
    <w:rsid w:val="008E375A"/>
    <w:rsid w:val="008E56A4"/>
    <w:rsid w:val="008E608D"/>
    <w:rsid w:val="008F0ED1"/>
    <w:rsid w:val="008F15FB"/>
    <w:rsid w:val="008F1E24"/>
    <w:rsid w:val="008F4139"/>
    <w:rsid w:val="008F4CE6"/>
    <w:rsid w:val="008F5F3E"/>
    <w:rsid w:val="008F74C5"/>
    <w:rsid w:val="008F7660"/>
    <w:rsid w:val="008F77E1"/>
    <w:rsid w:val="008F7AE0"/>
    <w:rsid w:val="00901504"/>
    <w:rsid w:val="009020D0"/>
    <w:rsid w:val="00903A8B"/>
    <w:rsid w:val="009050A1"/>
    <w:rsid w:val="009053D8"/>
    <w:rsid w:val="00913273"/>
    <w:rsid w:val="00913BBF"/>
    <w:rsid w:val="00914885"/>
    <w:rsid w:val="00915356"/>
    <w:rsid w:val="00917C50"/>
    <w:rsid w:val="00917C58"/>
    <w:rsid w:val="009206AC"/>
    <w:rsid w:val="009252EF"/>
    <w:rsid w:val="00925E63"/>
    <w:rsid w:val="00927433"/>
    <w:rsid w:val="00927438"/>
    <w:rsid w:val="00927C70"/>
    <w:rsid w:val="00931F67"/>
    <w:rsid w:val="00935E07"/>
    <w:rsid w:val="00936AFA"/>
    <w:rsid w:val="009371D8"/>
    <w:rsid w:val="00942EAF"/>
    <w:rsid w:val="00945C5E"/>
    <w:rsid w:val="009512AA"/>
    <w:rsid w:val="00954268"/>
    <w:rsid w:val="009545F8"/>
    <w:rsid w:val="00955FBB"/>
    <w:rsid w:val="00961096"/>
    <w:rsid w:val="00962FE7"/>
    <w:rsid w:val="009657BE"/>
    <w:rsid w:val="00966221"/>
    <w:rsid w:val="0096793E"/>
    <w:rsid w:val="0097199A"/>
    <w:rsid w:val="00972136"/>
    <w:rsid w:val="00973DC5"/>
    <w:rsid w:val="00973FEE"/>
    <w:rsid w:val="00974646"/>
    <w:rsid w:val="009773F8"/>
    <w:rsid w:val="0097785B"/>
    <w:rsid w:val="009800F5"/>
    <w:rsid w:val="00981D79"/>
    <w:rsid w:val="00986814"/>
    <w:rsid w:val="00987D4A"/>
    <w:rsid w:val="00992423"/>
    <w:rsid w:val="00994933"/>
    <w:rsid w:val="0099505A"/>
    <w:rsid w:val="00997EBB"/>
    <w:rsid w:val="009A28F3"/>
    <w:rsid w:val="009A570D"/>
    <w:rsid w:val="009A5AE9"/>
    <w:rsid w:val="009A6B88"/>
    <w:rsid w:val="009A7332"/>
    <w:rsid w:val="009A76FF"/>
    <w:rsid w:val="009B1B10"/>
    <w:rsid w:val="009B4A69"/>
    <w:rsid w:val="009B4CB9"/>
    <w:rsid w:val="009B75EA"/>
    <w:rsid w:val="009B7740"/>
    <w:rsid w:val="009C091A"/>
    <w:rsid w:val="009C1384"/>
    <w:rsid w:val="009C166B"/>
    <w:rsid w:val="009C5216"/>
    <w:rsid w:val="009C6D9C"/>
    <w:rsid w:val="009D27CC"/>
    <w:rsid w:val="009D3066"/>
    <w:rsid w:val="009D368A"/>
    <w:rsid w:val="009D41A3"/>
    <w:rsid w:val="009E0D00"/>
    <w:rsid w:val="009E1F4B"/>
    <w:rsid w:val="009E20A5"/>
    <w:rsid w:val="009E33D7"/>
    <w:rsid w:val="009E461F"/>
    <w:rsid w:val="009E4666"/>
    <w:rsid w:val="009E5130"/>
    <w:rsid w:val="009E69BE"/>
    <w:rsid w:val="009E7159"/>
    <w:rsid w:val="009F0187"/>
    <w:rsid w:val="009F11FE"/>
    <w:rsid w:val="009F1793"/>
    <w:rsid w:val="009F2273"/>
    <w:rsid w:val="009F2D07"/>
    <w:rsid w:val="009F3906"/>
    <w:rsid w:val="009F7214"/>
    <w:rsid w:val="009F7C15"/>
    <w:rsid w:val="00A0047A"/>
    <w:rsid w:val="00A01FE3"/>
    <w:rsid w:val="00A05998"/>
    <w:rsid w:val="00A06B38"/>
    <w:rsid w:val="00A100F9"/>
    <w:rsid w:val="00A13648"/>
    <w:rsid w:val="00A13F7C"/>
    <w:rsid w:val="00A14CAB"/>
    <w:rsid w:val="00A158CC"/>
    <w:rsid w:val="00A22965"/>
    <w:rsid w:val="00A233C0"/>
    <w:rsid w:val="00A23664"/>
    <w:rsid w:val="00A23BE2"/>
    <w:rsid w:val="00A264E8"/>
    <w:rsid w:val="00A268CC"/>
    <w:rsid w:val="00A27475"/>
    <w:rsid w:val="00A32548"/>
    <w:rsid w:val="00A35FB8"/>
    <w:rsid w:val="00A3685D"/>
    <w:rsid w:val="00A378E7"/>
    <w:rsid w:val="00A37D8D"/>
    <w:rsid w:val="00A37D9B"/>
    <w:rsid w:val="00A402CD"/>
    <w:rsid w:val="00A40F4A"/>
    <w:rsid w:val="00A410A3"/>
    <w:rsid w:val="00A4202F"/>
    <w:rsid w:val="00A4354F"/>
    <w:rsid w:val="00A44C6C"/>
    <w:rsid w:val="00A457BA"/>
    <w:rsid w:val="00A4616E"/>
    <w:rsid w:val="00A46859"/>
    <w:rsid w:val="00A46CAF"/>
    <w:rsid w:val="00A46F3A"/>
    <w:rsid w:val="00A475BE"/>
    <w:rsid w:val="00A50C9A"/>
    <w:rsid w:val="00A52AFE"/>
    <w:rsid w:val="00A5362A"/>
    <w:rsid w:val="00A53A9D"/>
    <w:rsid w:val="00A53E67"/>
    <w:rsid w:val="00A54A27"/>
    <w:rsid w:val="00A61CCD"/>
    <w:rsid w:val="00A645DD"/>
    <w:rsid w:val="00A66D50"/>
    <w:rsid w:val="00A66E67"/>
    <w:rsid w:val="00A67B2E"/>
    <w:rsid w:val="00A70551"/>
    <w:rsid w:val="00A707E4"/>
    <w:rsid w:val="00A719DE"/>
    <w:rsid w:val="00A71C42"/>
    <w:rsid w:val="00A73A9F"/>
    <w:rsid w:val="00A74B4A"/>
    <w:rsid w:val="00A75CF9"/>
    <w:rsid w:val="00A75D5D"/>
    <w:rsid w:val="00A77714"/>
    <w:rsid w:val="00A809E1"/>
    <w:rsid w:val="00A80A3E"/>
    <w:rsid w:val="00A80C65"/>
    <w:rsid w:val="00A81757"/>
    <w:rsid w:val="00A84942"/>
    <w:rsid w:val="00A853F5"/>
    <w:rsid w:val="00A87C02"/>
    <w:rsid w:val="00A923EE"/>
    <w:rsid w:val="00A92F34"/>
    <w:rsid w:val="00A9542C"/>
    <w:rsid w:val="00A96334"/>
    <w:rsid w:val="00A9765C"/>
    <w:rsid w:val="00A97D54"/>
    <w:rsid w:val="00AA1BE8"/>
    <w:rsid w:val="00AA1FA5"/>
    <w:rsid w:val="00AA2FAB"/>
    <w:rsid w:val="00AA4DC1"/>
    <w:rsid w:val="00AA5A9C"/>
    <w:rsid w:val="00AA7709"/>
    <w:rsid w:val="00AA7855"/>
    <w:rsid w:val="00AB199B"/>
    <w:rsid w:val="00AB1FE8"/>
    <w:rsid w:val="00AB571D"/>
    <w:rsid w:val="00AB5A04"/>
    <w:rsid w:val="00AB68A8"/>
    <w:rsid w:val="00AB6D1E"/>
    <w:rsid w:val="00AC017B"/>
    <w:rsid w:val="00AC07DE"/>
    <w:rsid w:val="00AC2BFC"/>
    <w:rsid w:val="00AC6D60"/>
    <w:rsid w:val="00AD07F8"/>
    <w:rsid w:val="00AD1B30"/>
    <w:rsid w:val="00AD5A01"/>
    <w:rsid w:val="00AD70C8"/>
    <w:rsid w:val="00AD7371"/>
    <w:rsid w:val="00AE0377"/>
    <w:rsid w:val="00AE0565"/>
    <w:rsid w:val="00AE15E0"/>
    <w:rsid w:val="00AE1FB4"/>
    <w:rsid w:val="00AE2131"/>
    <w:rsid w:val="00AE2950"/>
    <w:rsid w:val="00AE343D"/>
    <w:rsid w:val="00AE48A8"/>
    <w:rsid w:val="00AE6373"/>
    <w:rsid w:val="00AF0DF7"/>
    <w:rsid w:val="00AF12AA"/>
    <w:rsid w:val="00AF16A4"/>
    <w:rsid w:val="00AF4315"/>
    <w:rsid w:val="00AF5A82"/>
    <w:rsid w:val="00AF65EC"/>
    <w:rsid w:val="00AF700C"/>
    <w:rsid w:val="00AF7020"/>
    <w:rsid w:val="00AF7529"/>
    <w:rsid w:val="00AF7CC5"/>
    <w:rsid w:val="00B007B5"/>
    <w:rsid w:val="00B00C4F"/>
    <w:rsid w:val="00B00E07"/>
    <w:rsid w:val="00B01382"/>
    <w:rsid w:val="00B02F03"/>
    <w:rsid w:val="00B059C2"/>
    <w:rsid w:val="00B11487"/>
    <w:rsid w:val="00B12184"/>
    <w:rsid w:val="00B12430"/>
    <w:rsid w:val="00B12986"/>
    <w:rsid w:val="00B1302D"/>
    <w:rsid w:val="00B13650"/>
    <w:rsid w:val="00B1473D"/>
    <w:rsid w:val="00B1487D"/>
    <w:rsid w:val="00B150A0"/>
    <w:rsid w:val="00B15497"/>
    <w:rsid w:val="00B1596E"/>
    <w:rsid w:val="00B20232"/>
    <w:rsid w:val="00B20653"/>
    <w:rsid w:val="00B20787"/>
    <w:rsid w:val="00B20ADE"/>
    <w:rsid w:val="00B20C7F"/>
    <w:rsid w:val="00B21DB0"/>
    <w:rsid w:val="00B2328E"/>
    <w:rsid w:val="00B244C6"/>
    <w:rsid w:val="00B25CC2"/>
    <w:rsid w:val="00B26AB9"/>
    <w:rsid w:val="00B27AAC"/>
    <w:rsid w:val="00B3109F"/>
    <w:rsid w:val="00B31882"/>
    <w:rsid w:val="00B32EBF"/>
    <w:rsid w:val="00B33013"/>
    <w:rsid w:val="00B33F22"/>
    <w:rsid w:val="00B36D8A"/>
    <w:rsid w:val="00B40F11"/>
    <w:rsid w:val="00B42B74"/>
    <w:rsid w:val="00B454E9"/>
    <w:rsid w:val="00B4575C"/>
    <w:rsid w:val="00B45819"/>
    <w:rsid w:val="00B45987"/>
    <w:rsid w:val="00B45CFC"/>
    <w:rsid w:val="00B46837"/>
    <w:rsid w:val="00B46E0F"/>
    <w:rsid w:val="00B5125D"/>
    <w:rsid w:val="00B53D4D"/>
    <w:rsid w:val="00B54312"/>
    <w:rsid w:val="00B55689"/>
    <w:rsid w:val="00B56333"/>
    <w:rsid w:val="00B56CF8"/>
    <w:rsid w:val="00B579EC"/>
    <w:rsid w:val="00B605C4"/>
    <w:rsid w:val="00B60665"/>
    <w:rsid w:val="00B620DD"/>
    <w:rsid w:val="00B62767"/>
    <w:rsid w:val="00B64B8F"/>
    <w:rsid w:val="00B658A9"/>
    <w:rsid w:val="00B70A90"/>
    <w:rsid w:val="00B71E97"/>
    <w:rsid w:val="00B7307D"/>
    <w:rsid w:val="00B73834"/>
    <w:rsid w:val="00B7584C"/>
    <w:rsid w:val="00B77609"/>
    <w:rsid w:val="00B77F51"/>
    <w:rsid w:val="00B80331"/>
    <w:rsid w:val="00B80C0C"/>
    <w:rsid w:val="00B8415E"/>
    <w:rsid w:val="00B8599C"/>
    <w:rsid w:val="00B85ADA"/>
    <w:rsid w:val="00B863DF"/>
    <w:rsid w:val="00B87833"/>
    <w:rsid w:val="00B9121B"/>
    <w:rsid w:val="00B935B0"/>
    <w:rsid w:val="00B9657F"/>
    <w:rsid w:val="00BA0DD2"/>
    <w:rsid w:val="00BA3923"/>
    <w:rsid w:val="00BA39DB"/>
    <w:rsid w:val="00BA4DC1"/>
    <w:rsid w:val="00BA5C31"/>
    <w:rsid w:val="00BA69CB"/>
    <w:rsid w:val="00BA79D2"/>
    <w:rsid w:val="00BB1999"/>
    <w:rsid w:val="00BB2F47"/>
    <w:rsid w:val="00BB5F36"/>
    <w:rsid w:val="00BC30F0"/>
    <w:rsid w:val="00BC42B9"/>
    <w:rsid w:val="00BC4C15"/>
    <w:rsid w:val="00BC5093"/>
    <w:rsid w:val="00BC545B"/>
    <w:rsid w:val="00BC5C9B"/>
    <w:rsid w:val="00BC6DA1"/>
    <w:rsid w:val="00BC78F6"/>
    <w:rsid w:val="00BD0523"/>
    <w:rsid w:val="00BD0FFC"/>
    <w:rsid w:val="00BD23B7"/>
    <w:rsid w:val="00BD317E"/>
    <w:rsid w:val="00BD3D55"/>
    <w:rsid w:val="00BD6D30"/>
    <w:rsid w:val="00BE0032"/>
    <w:rsid w:val="00BE0418"/>
    <w:rsid w:val="00BE2390"/>
    <w:rsid w:val="00BE3F4A"/>
    <w:rsid w:val="00BE4393"/>
    <w:rsid w:val="00BE65FF"/>
    <w:rsid w:val="00BE6965"/>
    <w:rsid w:val="00BE716A"/>
    <w:rsid w:val="00BE72AB"/>
    <w:rsid w:val="00BF0309"/>
    <w:rsid w:val="00BF0650"/>
    <w:rsid w:val="00BF0822"/>
    <w:rsid w:val="00BF117C"/>
    <w:rsid w:val="00BF204F"/>
    <w:rsid w:val="00BF35B2"/>
    <w:rsid w:val="00BF5489"/>
    <w:rsid w:val="00BF592F"/>
    <w:rsid w:val="00BF65DD"/>
    <w:rsid w:val="00BF739D"/>
    <w:rsid w:val="00BF7C1F"/>
    <w:rsid w:val="00C01A74"/>
    <w:rsid w:val="00C023BF"/>
    <w:rsid w:val="00C04D07"/>
    <w:rsid w:val="00C11EC6"/>
    <w:rsid w:val="00C1469D"/>
    <w:rsid w:val="00C15E0E"/>
    <w:rsid w:val="00C208DA"/>
    <w:rsid w:val="00C20A2D"/>
    <w:rsid w:val="00C21282"/>
    <w:rsid w:val="00C22A84"/>
    <w:rsid w:val="00C23A0D"/>
    <w:rsid w:val="00C23DA0"/>
    <w:rsid w:val="00C2445F"/>
    <w:rsid w:val="00C24616"/>
    <w:rsid w:val="00C256BE"/>
    <w:rsid w:val="00C2765D"/>
    <w:rsid w:val="00C30954"/>
    <w:rsid w:val="00C31F22"/>
    <w:rsid w:val="00C337D6"/>
    <w:rsid w:val="00C36564"/>
    <w:rsid w:val="00C37163"/>
    <w:rsid w:val="00C37EB4"/>
    <w:rsid w:val="00C416AA"/>
    <w:rsid w:val="00C43DEB"/>
    <w:rsid w:val="00C458A2"/>
    <w:rsid w:val="00C458C4"/>
    <w:rsid w:val="00C45A52"/>
    <w:rsid w:val="00C466EA"/>
    <w:rsid w:val="00C46C54"/>
    <w:rsid w:val="00C51A7A"/>
    <w:rsid w:val="00C520B8"/>
    <w:rsid w:val="00C529F7"/>
    <w:rsid w:val="00C5447A"/>
    <w:rsid w:val="00C557EE"/>
    <w:rsid w:val="00C5657F"/>
    <w:rsid w:val="00C56BD4"/>
    <w:rsid w:val="00C5703D"/>
    <w:rsid w:val="00C5732C"/>
    <w:rsid w:val="00C61FE5"/>
    <w:rsid w:val="00C62458"/>
    <w:rsid w:val="00C6321B"/>
    <w:rsid w:val="00C63515"/>
    <w:rsid w:val="00C635BA"/>
    <w:rsid w:val="00C63642"/>
    <w:rsid w:val="00C6386B"/>
    <w:rsid w:val="00C63B71"/>
    <w:rsid w:val="00C64149"/>
    <w:rsid w:val="00C64ECB"/>
    <w:rsid w:val="00C65C2B"/>
    <w:rsid w:val="00C66357"/>
    <w:rsid w:val="00C67694"/>
    <w:rsid w:val="00C71B72"/>
    <w:rsid w:val="00C726A2"/>
    <w:rsid w:val="00C72737"/>
    <w:rsid w:val="00C72DAD"/>
    <w:rsid w:val="00C73ECB"/>
    <w:rsid w:val="00C75065"/>
    <w:rsid w:val="00C7601F"/>
    <w:rsid w:val="00C7602A"/>
    <w:rsid w:val="00C77C13"/>
    <w:rsid w:val="00C83E9E"/>
    <w:rsid w:val="00C85CB3"/>
    <w:rsid w:val="00C87811"/>
    <w:rsid w:val="00C91CCF"/>
    <w:rsid w:val="00C92CDF"/>
    <w:rsid w:val="00C9314B"/>
    <w:rsid w:val="00C94A59"/>
    <w:rsid w:val="00C959F8"/>
    <w:rsid w:val="00C9674D"/>
    <w:rsid w:val="00CA0EDB"/>
    <w:rsid w:val="00CA1213"/>
    <w:rsid w:val="00CA12C1"/>
    <w:rsid w:val="00CA2ECA"/>
    <w:rsid w:val="00CA4BB4"/>
    <w:rsid w:val="00CA4DD5"/>
    <w:rsid w:val="00CA6918"/>
    <w:rsid w:val="00CA6CE9"/>
    <w:rsid w:val="00CB067B"/>
    <w:rsid w:val="00CB0CAB"/>
    <w:rsid w:val="00CB0D47"/>
    <w:rsid w:val="00CB20C7"/>
    <w:rsid w:val="00CB2F29"/>
    <w:rsid w:val="00CB6B6A"/>
    <w:rsid w:val="00CB7739"/>
    <w:rsid w:val="00CC2BD0"/>
    <w:rsid w:val="00CC3974"/>
    <w:rsid w:val="00CC4631"/>
    <w:rsid w:val="00CC5962"/>
    <w:rsid w:val="00CC5AB6"/>
    <w:rsid w:val="00CC600C"/>
    <w:rsid w:val="00CD0508"/>
    <w:rsid w:val="00CD0C29"/>
    <w:rsid w:val="00CD10E5"/>
    <w:rsid w:val="00CD19D9"/>
    <w:rsid w:val="00CD1F33"/>
    <w:rsid w:val="00CD232A"/>
    <w:rsid w:val="00CD42BA"/>
    <w:rsid w:val="00CD485D"/>
    <w:rsid w:val="00CD511C"/>
    <w:rsid w:val="00CE061B"/>
    <w:rsid w:val="00CE1B2D"/>
    <w:rsid w:val="00CE2306"/>
    <w:rsid w:val="00CE3245"/>
    <w:rsid w:val="00CE32C0"/>
    <w:rsid w:val="00CE3876"/>
    <w:rsid w:val="00CE4D56"/>
    <w:rsid w:val="00CE707C"/>
    <w:rsid w:val="00CF1F6F"/>
    <w:rsid w:val="00CF2AC6"/>
    <w:rsid w:val="00CF31B0"/>
    <w:rsid w:val="00CF3D6D"/>
    <w:rsid w:val="00CF5DE2"/>
    <w:rsid w:val="00CF64FE"/>
    <w:rsid w:val="00CF7FB1"/>
    <w:rsid w:val="00D02159"/>
    <w:rsid w:val="00D041BF"/>
    <w:rsid w:val="00D054A8"/>
    <w:rsid w:val="00D07345"/>
    <w:rsid w:val="00D1108B"/>
    <w:rsid w:val="00D11373"/>
    <w:rsid w:val="00D11CB4"/>
    <w:rsid w:val="00D11EC0"/>
    <w:rsid w:val="00D13852"/>
    <w:rsid w:val="00D13EA8"/>
    <w:rsid w:val="00D1449F"/>
    <w:rsid w:val="00D14861"/>
    <w:rsid w:val="00D1586F"/>
    <w:rsid w:val="00D166CF"/>
    <w:rsid w:val="00D17162"/>
    <w:rsid w:val="00D2157C"/>
    <w:rsid w:val="00D21A6D"/>
    <w:rsid w:val="00D21E22"/>
    <w:rsid w:val="00D22F9C"/>
    <w:rsid w:val="00D23738"/>
    <w:rsid w:val="00D243B7"/>
    <w:rsid w:val="00D2536F"/>
    <w:rsid w:val="00D26794"/>
    <w:rsid w:val="00D27F81"/>
    <w:rsid w:val="00D329B3"/>
    <w:rsid w:val="00D33433"/>
    <w:rsid w:val="00D33CC5"/>
    <w:rsid w:val="00D33F3C"/>
    <w:rsid w:val="00D347F2"/>
    <w:rsid w:val="00D426F0"/>
    <w:rsid w:val="00D428EC"/>
    <w:rsid w:val="00D441ED"/>
    <w:rsid w:val="00D454BB"/>
    <w:rsid w:val="00D45EAE"/>
    <w:rsid w:val="00D47800"/>
    <w:rsid w:val="00D47B8D"/>
    <w:rsid w:val="00D517AE"/>
    <w:rsid w:val="00D51EA8"/>
    <w:rsid w:val="00D52226"/>
    <w:rsid w:val="00D52D5B"/>
    <w:rsid w:val="00D52DC6"/>
    <w:rsid w:val="00D54364"/>
    <w:rsid w:val="00D54427"/>
    <w:rsid w:val="00D554CF"/>
    <w:rsid w:val="00D55CD0"/>
    <w:rsid w:val="00D56234"/>
    <w:rsid w:val="00D62262"/>
    <w:rsid w:val="00D66B7D"/>
    <w:rsid w:val="00D707F7"/>
    <w:rsid w:val="00D708CF"/>
    <w:rsid w:val="00D71E9C"/>
    <w:rsid w:val="00D72434"/>
    <w:rsid w:val="00D731D2"/>
    <w:rsid w:val="00D73B45"/>
    <w:rsid w:val="00D742BD"/>
    <w:rsid w:val="00D802C2"/>
    <w:rsid w:val="00D80E40"/>
    <w:rsid w:val="00D83485"/>
    <w:rsid w:val="00D84A5C"/>
    <w:rsid w:val="00D86B2B"/>
    <w:rsid w:val="00D875D1"/>
    <w:rsid w:val="00D87F06"/>
    <w:rsid w:val="00D911B2"/>
    <w:rsid w:val="00D91E59"/>
    <w:rsid w:val="00D965D5"/>
    <w:rsid w:val="00D96602"/>
    <w:rsid w:val="00D97FE5"/>
    <w:rsid w:val="00DA1769"/>
    <w:rsid w:val="00DA2FBA"/>
    <w:rsid w:val="00DA4341"/>
    <w:rsid w:val="00DA465B"/>
    <w:rsid w:val="00DA4F63"/>
    <w:rsid w:val="00DA6C99"/>
    <w:rsid w:val="00DA707D"/>
    <w:rsid w:val="00DA7AF5"/>
    <w:rsid w:val="00DB017B"/>
    <w:rsid w:val="00DB0213"/>
    <w:rsid w:val="00DB378E"/>
    <w:rsid w:val="00DB3F8F"/>
    <w:rsid w:val="00DB6353"/>
    <w:rsid w:val="00DB680A"/>
    <w:rsid w:val="00DC06F8"/>
    <w:rsid w:val="00DC1392"/>
    <w:rsid w:val="00DC1D24"/>
    <w:rsid w:val="00DC20B6"/>
    <w:rsid w:val="00DC2EEA"/>
    <w:rsid w:val="00DC2F9F"/>
    <w:rsid w:val="00DC36AC"/>
    <w:rsid w:val="00DC37CC"/>
    <w:rsid w:val="00DC5359"/>
    <w:rsid w:val="00DC63C6"/>
    <w:rsid w:val="00DC671C"/>
    <w:rsid w:val="00DC67B5"/>
    <w:rsid w:val="00DD0426"/>
    <w:rsid w:val="00DD0F54"/>
    <w:rsid w:val="00DD1999"/>
    <w:rsid w:val="00DD2265"/>
    <w:rsid w:val="00DD2721"/>
    <w:rsid w:val="00DD3936"/>
    <w:rsid w:val="00DD7A9F"/>
    <w:rsid w:val="00DE4B23"/>
    <w:rsid w:val="00DE5BCE"/>
    <w:rsid w:val="00DF1C7A"/>
    <w:rsid w:val="00DF31E2"/>
    <w:rsid w:val="00DF389A"/>
    <w:rsid w:val="00DF3B15"/>
    <w:rsid w:val="00DF42B8"/>
    <w:rsid w:val="00DF563E"/>
    <w:rsid w:val="00DF5A36"/>
    <w:rsid w:val="00DF7764"/>
    <w:rsid w:val="00E0084D"/>
    <w:rsid w:val="00E01BE9"/>
    <w:rsid w:val="00E01CDE"/>
    <w:rsid w:val="00E03CCC"/>
    <w:rsid w:val="00E03E1D"/>
    <w:rsid w:val="00E06F82"/>
    <w:rsid w:val="00E07CDE"/>
    <w:rsid w:val="00E1063F"/>
    <w:rsid w:val="00E107DF"/>
    <w:rsid w:val="00E13608"/>
    <w:rsid w:val="00E164F9"/>
    <w:rsid w:val="00E16C03"/>
    <w:rsid w:val="00E173DA"/>
    <w:rsid w:val="00E17E36"/>
    <w:rsid w:val="00E2185D"/>
    <w:rsid w:val="00E21B79"/>
    <w:rsid w:val="00E240F7"/>
    <w:rsid w:val="00E25E37"/>
    <w:rsid w:val="00E264C8"/>
    <w:rsid w:val="00E27815"/>
    <w:rsid w:val="00E303D4"/>
    <w:rsid w:val="00E30FB6"/>
    <w:rsid w:val="00E327E1"/>
    <w:rsid w:val="00E343D3"/>
    <w:rsid w:val="00E349A9"/>
    <w:rsid w:val="00E35AAF"/>
    <w:rsid w:val="00E37DA1"/>
    <w:rsid w:val="00E41921"/>
    <w:rsid w:val="00E4239A"/>
    <w:rsid w:val="00E42FBC"/>
    <w:rsid w:val="00E447CF"/>
    <w:rsid w:val="00E44DA7"/>
    <w:rsid w:val="00E463B2"/>
    <w:rsid w:val="00E46EA4"/>
    <w:rsid w:val="00E473A2"/>
    <w:rsid w:val="00E47D8B"/>
    <w:rsid w:val="00E47DD5"/>
    <w:rsid w:val="00E519CE"/>
    <w:rsid w:val="00E51BFD"/>
    <w:rsid w:val="00E52093"/>
    <w:rsid w:val="00E536F0"/>
    <w:rsid w:val="00E53D2E"/>
    <w:rsid w:val="00E56B18"/>
    <w:rsid w:val="00E60D48"/>
    <w:rsid w:val="00E631B4"/>
    <w:rsid w:val="00E63A4F"/>
    <w:rsid w:val="00E63B58"/>
    <w:rsid w:val="00E661F8"/>
    <w:rsid w:val="00E66A27"/>
    <w:rsid w:val="00E66D1F"/>
    <w:rsid w:val="00E6708D"/>
    <w:rsid w:val="00E67620"/>
    <w:rsid w:val="00E73632"/>
    <w:rsid w:val="00E73C73"/>
    <w:rsid w:val="00E74265"/>
    <w:rsid w:val="00E7474A"/>
    <w:rsid w:val="00E75E2F"/>
    <w:rsid w:val="00E76FE5"/>
    <w:rsid w:val="00E7725B"/>
    <w:rsid w:val="00E8453C"/>
    <w:rsid w:val="00E86ED5"/>
    <w:rsid w:val="00E87672"/>
    <w:rsid w:val="00E87BC1"/>
    <w:rsid w:val="00E908D5"/>
    <w:rsid w:val="00E914AF"/>
    <w:rsid w:val="00E9156B"/>
    <w:rsid w:val="00E91797"/>
    <w:rsid w:val="00E92C24"/>
    <w:rsid w:val="00E939F1"/>
    <w:rsid w:val="00E964EA"/>
    <w:rsid w:val="00E97084"/>
    <w:rsid w:val="00E9735A"/>
    <w:rsid w:val="00EA0CF8"/>
    <w:rsid w:val="00EA11BC"/>
    <w:rsid w:val="00EA3639"/>
    <w:rsid w:val="00EA3913"/>
    <w:rsid w:val="00EA4DCA"/>
    <w:rsid w:val="00EA5A64"/>
    <w:rsid w:val="00EA5BB4"/>
    <w:rsid w:val="00EA7D37"/>
    <w:rsid w:val="00EB0DD5"/>
    <w:rsid w:val="00EB0E32"/>
    <w:rsid w:val="00EB160B"/>
    <w:rsid w:val="00EB1CB2"/>
    <w:rsid w:val="00EB297D"/>
    <w:rsid w:val="00EB2C43"/>
    <w:rsid w:val="00EB3235"/>
    <w:rsid w:val="00EB4591"/>
    <w:rsid w:val="00EB681D"/>
    <w:rsid w:val="00EB6CFB"/>
    <w:rsid w:val="00EC0172"/>
    <w:rsid w:val="00EC01DC"/>
    <w:rsid w:val="00EC0446"/>
    <w:rsid w:val="00EC04E3"/>
    <w:rsid w:val="00EC4FEC"/>
    <w:rsid w:val="00EC57DC"/>
    <w:rsid w:val="00ED1DD8"/>
    <w:rsid w:val="00ED2D72"/>
    <w:rsid w:val="00ED2EC4"/>
    <w:rsid w:val="00ED35F4"/>
    <w:rsid w:val="00ED3963"/>
    <w:rsid w:val="00ED3A56"/>
    <w:rsid w:val="00ED71D0"/>
    <w:rsid w:val="00EE0F72"/>
    <w:rsid w:val="00EE14D0"/>
    <w:rsid w:val="00EE1F5D"/>
    <w:rsid w:val="00EE2861"/>
    <w:rsid w:val="00EE44A3"/>
    <w:rsid w:val="00EE506C"/>
    <w:rsid w:val="00EE65E6"/>
    <w:rsid w:val="00EE66D1"/>
    <w:rsid w:val="00EE6B20"/>
    <w:rsid w:val="00EE6FDE"/>
    <w:rsid w:val="00EF36F5"/>
    <w:rsid w:val="00EF3C0E"/>
    <w:rsid w:val="00EF4749"/>
    <w:rsid w:val="00EF5CDF"/>
    <w:rsid w:val="00EF5D4E"/>
    <w:rsid w:val="00EF62C3"/>
    <w:rsid w:val="00F003D2"/>
    <w:rsid w:val="00F020A5"/>
    <w:rsid w:val="00F02D22"/>
    <w:rsid w:val="00F05B9B"/>
    <w:rsid w:val="00F05E66"/>
    <w:rsid w:val="00F07E2C"/>
    <w:rsid w:val="00F11FF5"/>
    <w:rsid w:val="00F12E9C"/>
    <w:rsid w:val="00F1433A"/>
    <w:rsid w:val="00F14388"/>
    <w:rsid w:val="00F153FF"/>
    <w:rsid w:val="00F15818"/>
    <w:rsid w:val="00F234D9"/>
    <w:rsid w:val="00F2498F"/>
    <w:rsid w:val="00F249CA"/>
    <w:rsid w:val="00F2526D"/>
    <w:rsid w:val="00F3099E"/>
    <w:rsid w:val="00F31064"/>
    <w:rsid w:val="00F32629"/>
    <w:rsid w:val="00F33532"/>
    <w:rsid w:val="00F33608"/>
    <w:rsid w:val="00F344C5"/>
    <w:rsid w:val="00F34579"/>
    <w:rsid w:val="00F36D56"/>
    <w:rsid w:val="00F41EA4"/>
    <w:rsid w:val="00F500E4"/>
    <w:rsid w:val="00F53A6F"/>
    <w:rsid w:val="00F550F3"/>
    <w:rsid w:val="00F55261"/>
    <w:rsid w:val="00F56050"/>
    <w:rsid w:val="00F600C0"/>
    <w:rsid w:val="00F60F88"/>
    <w:rsid w:val="00F615CE"/>
    <w:rsid w:val="00F6192B"/>
    <w:rsid w:val="00F624A7"/>
    <w:rsid w:val="00F63B25"/>
    <w:rsid w:val="00F66265"/>
    <w:rsid w:val="00F66966"/>
    <w:rsid w:val="00F744F4"/>
    <w:rsid w:val="00F754CE"/>
    <w:rsid w:val="00F772AB"/>
    <w:rsid w:val="00F80C21"/>
    <w:rsid w:val="00F81460"/>
    <w:rsid w:val="00F82262"/>
    <w:rsid w:val="00F827AD"/>
    <w:rsid w:val="00F82C79"/>
    <w:rsid w:val="00F83B32"/>
    <w:rsid w:val="00F83F93"/>
    <w:rsid w:val="00F878E9"/>
    <w:rsid w:val="00F90BD7"/>
    <w:rsid w:val="00F919A7"/>
    <w:rsid w:val="00F91A83"/>
    <w:rsid w:val="00F91ABB"/>
    <w:rsid w:val="00F91AD7"/>
    <w:rsid w:val="00F924C3"/>
    <w:rsid w:val="00F93088"/>
    <w:rsid w:val="00F97DC0"/>
    <w:rsid w:val="00FA0B2F"/>
    <w:rsid w:val="00FA1481"/>
    <w:rsid w:val="00FA1EDB"/>
    <w:rsid w:val="00FA5145"/>
    <w:rsid w:val="00FB01E5"/>
    <w:rsid w:val="00FB1246"/>
    <w:rsid w:val="00FB2A67"/>
    <w:rsid w:val="00FB37BE"/>
    <w:rsid w:val="00FB484A"/>
    <w:rsid w:val="00FB5B45"/>
    <w:rsid w:val="00FB7E10"/>
    <w:rsid w:val="00FC09F8"/>
    <w:rsid w:val="00FC0D85"/>
    <w:rsid w:val="00FC3E3A"/>
    <w:rsid w:val="00FC4473"/>
    <w:rsid w:val="00FC5C61"/>
    <w:rsid w:val="00FD2AE4"/>
    <w:rsid w:val="00FD2BFA"/>
    <w:rsid w:val="00FD5973"/>
    <w:rsid w:val="00FD6217"/>
    <w:rsid w:val="00FD675C"/>
    <w:rsid w:val="00FD7052"/>
    <w:rsid w:val="00FD70E4"/>
    <w:rsid w:val="00FE0813"/>
    <w:rsid w:val="00FE1A1E"/>
    <w:rsid w:val="00FE27FD"/>
    <w:rsid w:val="00FE2E68"/>
    <w:rsid w:val="00FE4015"/>
    <w:rsid w:val="00FE596E"/>
    <w:rsid w:val="00FF2CDA"/>
    <w:rsid w:val="00FF3D00"/>
    <w:rsid w:val="00FF5C9B"/>
    <w:rsid w:val="00FF6DC3"/>
    <w:rsid w:val="00FF727E"/>
    <w:rsid w:val="15795B3B"/>
    <w:rsid w:val="17D1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3"/>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30"/>
    <w:semiHidden/>
    <w:unhideWhenUsed/>
    <w:qFormat/>
    <w:uiPriority w:val="99"/>
    <w:rPr>
      <w:rFonts w:ascii="宋体" w:eastAsia="宋体"/>
      <w:sz w:val="20"/>
      <w:szCs w:val="18"/>
    </w:rPr>
  </w:style>
  <w:style w:type="paragraph" w:styleId="8">
    <w:name w:val="annotation text"/>
    <w:basedOn w:val="1"/>
    <w:link w:val="37"/>
    <w:semiHidden/>
    <w:unhideWhenUsed/>
    <w:qFormat/>
    <w:uiPriority w:val="99"/>
    <w:pPr>
      <w:jc w:val="left"/>
    </w:pPr>
  </w:style>
  <w:style w:type="paragraph" w:styleId="9">
    <w:name w:val="Salutation"/>
    <w:basedOn w:val="1"/>
    <w:next w:val="1"/>
    <w:link w:val="59"/>
    <w:semiHidden/>
    <w:unhideWhenUsed/>
    <w:qFormat/>
    <w:uiPriority w:val="99"/>
  </w:style>
  <w:style w:type="paragraph" w:styleId="10">
    <w:name w:val="Body Text"/>
    <w:basedOn w:val="1"/>
    <w:link w:val="46"/>
    <w:semiHidden/>
    <w:unhideWhenUsed/>
    <w:qFormat/>
    <w:uiPriority w:val="99"/>
    <w:pPr>
      <w:spacing w:after="120"/>
    </w:pPr>
  </w:style>
  <w:style w:type="paragraph" w:styleId="11">
    <w:name w:val="Plain Text"/>
    <w:basedOn w:val="1"/>
    <w:next w:val="9"/>
    <w:link w:val="57"/>
    <w:qFormat/>
    <w:uiPriority w:val="5"/>
    <w:pPr>
      <w:spacing w:line="360" w:lineRule="exact"/>
    </w:pPr>
    <w:rPr>
      <w:rFonts w:ascii="宋体" w:hAnsi="Courier New" w:eastAsia="宋体" w:cs="Times New Roman"/>
      <w:szCs w:val="20"/>
    </w:rPr>
  </w:style>
  <w:style w:type="paragraph" w:styleId="12">
    <w:name w:val="Balloon Text"/>
    <w:basedOn w:val="1"/>
    <w:link w:val="29"/>
    <w:unhideWhenUsed/>
    <w:qFormat/>
    <w:uiPriority w:val="99"/>
    <w:rPr>
      <w:sz w:val="18"/>
      <w:szCs w:val="18"/>
    </w:rPr>
  </w:style>
  <w:style w:type="paragraph" w:styleId="13">
    <w:name w:val="footer"/>
    <w:basedOn w:val="1"/>
    <w:link w:val="32"/>
    <w:semiHidden/>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Subtitle"/>
    <w:basedOn w:val="1"/>
    <w:next w:val="1"/>
    <w:link w:val="67"/>
    <w:qFormat/>
    <w:uiPriority w:val="11"/>
    <w:pPr>
      <w:jc w:val="center"/>
    </w:pPr>
    <w:rPr>
      <w:rFonts w:ascii="Times New Roman" w:hAnsi="Times New Roman" w:eastAsia="宋体" w:cstheme="majorBidi"/>
      <w:b/>
      <w:bCs/>
      <w:kern w:val="28"/>
      <w:szCs w:val="32"/>
    </w:rPr>
  </w:style>
  <w:style w:type="paragraph" w:styleId="17">
    <w:name w:val="Body Text Indent 3"/>
    <w:basedOn w:val="1"/>
    <w:link w:val="34"/>
    <w:qFormat/>
    <w:uiPriority w:val="0"/>
    <w:pPr>
      <w:spacing w:after="120"/>
      <w:ind w:left="420" w:leftChars="200"/>
    </w:pPr>
    <w:rPr>
      <w:rFonts w:ascii="Times New Roman" w:hAnsi="Times New Roman" w:eastAsia="宋体" w:cs="Times New Roman"/>
      <w:sz w:val="16"/>
      <w:szCs w:val="16"/>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index 1"/>
    <w:basedOn w:val="1"/>
    <w:next w:val="1"/>
    <w:qFormat/>
    <w:uiPriority w:val="0"/>
    <w:pPr>
      <w:ind w:left="560" w:hanging="560"/>
    </w:pPr>
    <w:rPr>
      <w:rFonts w:ascii="Times New Roman" w:hAnsi="宋体" w:eastAsia="宋体" w:cs="Times New Roman"/>
      <w:spacing w:val="10"/>
      <w:szCs w:val="24"/>
    </w:rPr>
  </w:style>
  <w:style w:type="paragraph" w:styleId="20">
    <w:name w:val="Title"/>
    <w:basedOn w:val="1"/>
    <w:next w:val="1"/>
    <w:qFormat/>
    <w:uiPriority w:val="0"/>
    <w:pPr>
      <w:spacing w:before="300" w:after="300" w:line="520" w:lineRule="exact"/>
      <w:jc w:val="center"/>
      <w:outlineLvl w:val="0"/>
    </w:pPr>
    <w:rPr>
      <w:rFonts w:eastAsia="黑体"/>
      <w:b/>
      <w:bCs/>
      <w:sz w:val="36"/>
      <w:szCs w:val="32"/>
    </w:rPr>
  </w:style>
  <w:style w:type="paragraph" w:styleId="21">
    <w:name w:val="annotation subject"/>
    <w:basedOn w:val="8"/>
    <w:next w:val="8"/>
    <w:link w:val="38"/>
    <w:semiHidden/>
    <w:unhideWhenUsed/>
    <w:qFormat/>
    <w:uiPriority w:val="99"/>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semiHidden/>
    <w:unhideWhenUsed/>
    <w:qFormat/>
    <w:uiPriority w:val="99"/>
    <w:rPr>
      <w:sz w:val="21"/>
      <w:szCs w:val="21"/>
    </w:rPr>
  </w:style>
  <w:style w:type="character" w:customStyle="1" w:styleId="29">
    <w:name w:val="批注框文本 Char"/>
    <w:basedOn w:val="24"/>
    <w:link w:val="12"/>
    <w:qFormat/>
    <w:uiPriority w:val="99"/>
    <w:rPr>
      <w:sz w:val="18"/>
      <w:szCs w:val="18"/>
    </w:rPr>
  </w:style>
  <w:style w:type="character" w:customStyle="1" w:styleId="30">
    <w:name w:val="文档结构图 Char"/>
    <w:basedOn w:val="24"/>
    <w:link w:val="7"/>
    <w:semiHidden/>
    <w:qFormat/>
    <w:uiPriority w:val="99"/>
    <w:rPr>
      <w:rFonts w:ascii="宋体" w:eastAsia="宋体"/>
      <w:sz w:val="20"/>
      <w:szCs w:val="18"/>
    </w:rPr>
  </w:style>
  <w:style w:type="character" w:customStyle="1" w:styleId="31">
    <w:name w:val="页眉 Char"/>
    <w:basedOn w:val="24"/>
    <w:link w:val="14"/>
    <w:qFormat/>
    <w:uiPriority w:val="0"/>
    <w:rPr>
      <w:sz w:val="18"/>
      <w:szCs w:val="18"/>
    </w:rPr>
  </w:style>
  <w:style w:type="character" w:customStyle="1" w:styleId="32">
    <w:name w:val="页脚 Char"/>
    <w:basedOn w:val="24"/>
    <w:link w:val="13"/>
    <w:semiHidden/>
    <w:qFormat/>
    <w:uiPriority w:val="99"/>
    <w:rPr>
      <w:sz w:val="18"/>
      <w:szCs w:val="18"/>
    </w:rPr>
  </w:style>
  <w:style w:type="paragraph" w:customStyle="1" w:styleId="33">
    <w:name w:val="表体"/>
    <w:basedOn w:val="1"/>
    <w:link w:val="45"/>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4">
    <w:name w:val="正文文本缩进 3 Char"/>
    <w:basedOn w:val="24"/>
    <w:link w:val="17"/>
    <w:qFormat/>
    <w:uiPriority w:val="0"/>
    <w:rPr>
      <w:rFonts w:ascii="Times New Roman" w:hAnsi="Times New Roman" w:eastAsia="宋体" w:cs="Times New Roman"/>
      <w:sz w:val="16"/>
      <w:szCs w:val="16"/>
    </w:rPr>
  </w:style>
  <w:style w:type="paragraph" w:customStyle="1" w:styleId="35">
    <w:name w:val="表头"/>
    <w:basedOn w:val="1"/>
    <w:link w:val="36"/>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36">
    <w:name w:val="表头 Char Char"/>
    <w:link w:val="35"/>
    <w:qFormat/>
    <w:uiPriority w:val="0"/>
    <w:rPr>
      <w:rFonts w:ascii="Times New Roman" w:hAnsi="宋体" w:eastAsia="仿宋_GB2312" w:cs="Times New Roman"/>
      <w:b/>
      <w:kern w:val="0"/>
      <w:sz w:val="28"/>
      <w:szCs w:val="28"/>
    </w:rPr>
  </w:style>
  <w:style w:type="character" w:customStyle="1" w:styleId="37">
    <w:name w:val="批注文字 Char"/>
    <w:basedOn w:val="24"/>
    <w:link w:val="8"/>
    <w:semiHidden/>
    <w:qFormat/>
    <w:uiPriority w:val="99"/>
  </w:style>
  <w:style w:type="character" w:customStyle="1" w:styleId="38">
    <w:name w:val="批注主题 Char"/>
    <w:basedOn w:val="37"/>
    <w:link w:val="21"/>
    <w:semiHidden/>
    <w:qFormat/>
    <w:uiPriority w:val="99"/>
    <w:rPr>
      <w:b/>
      <w:bCs/>
    </w:rPr>
  </w:style>
  <w:style w:type="character" w:customStyle="1" w:styleId="39">
    <w:name w:val="题注1 Char"/>
    <w:link w:val="40"/>
    <w:qFormat/>
    <w:uiPriority w:val="0"/>
    <w:rPr>
      <w:rFonts w:cs="宋体"/>
      <w:b/>
      <w:bCs/>
      <w:spacing w:val="10"/>
      <w:szCs w:val="24"/>
    </w:rPr>
  </w:style>
  <w:style w:type="paragraph" w:customStyle="1" w:styleId="40">
    <w:name w:val="题注1"/>
    <w:basedOn w:val="1"/>
    <w:link w:val="39"/>
    <w:qFormat/>
    <w:uiPriority w:val="0"/>
    <w:pPr>
      <w:spacing w:beforeLines="20" w:afterLines="20"/>
      <w:jc w:val="center"/>
    </w:pPr>
    <w:rPr>
      <w:rFonts w:cs="宋体"/>
      <w:b/>
      <w:bCs/>
      <w:spacing w:val="10"/>
      <w:szCs w:val="24"/>
    </w:rPr>
  </w:style>
  <w:style w:type="paragraph" w:customStyle="1" w:styleId="41">
    <w:name w:val="赵"/>
    <w:basedOn w:val="1"/>
    <w:link w:val="42"/>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2">
    <w:name w:val="赵 Char"/>
    <w:basedOn w:val="24"/>
    <w:link w:val="41"/>
    <w:qFormat/>
    <w:uiPriority w:val="0"/>
    <w:rPr>
      <w:rFonts w:ascii="Times New Roman" w:hAnsi="Times New Roman" w:eastAsia="宋体" w:cs="Times New Roman"/>
      <w:sz w:val="24"/>
      <w:szCs w:val="30"/>
    </w:rPr>
  </w:style>
  <w:style w:type="paragraph" w:customStyle="1" w:styleId="43">
    <w:name w:val="【表头】"/>
    <w:basedOn w:val="1"/>
    <w:link w:val="44"/>
    <w:qFormat/>
    <w:uiPriority w:val="0"/>
    <w:pPr>
      <w:jc w:val="center"/>
    </w:pPr>
    <w:rPr>
      <w:rFonts w:ascii="Times New Roman" w:hAnsi="Times New Roman" w:eastAsia="宋体" w:cs="Times New Roman"/>
      <w:b/>
      <w:szCs w:val="24"/>
    </w:rPr>
  </w:style>
  <w:style w:type="character" w:customStyle="1" w:styleId="44">
    <w:name w:val="【表头】 Char"/>
    <w:link w:val="43"/>
    <w:qFormat/>
    <w:uiPriority w:val="0"/>
    <w:rPr>
      <w:rFonts w:ascii="Times New Roman" w:hAnsi="Times New Roman" w:eastAsia="宋体" w:cs="Times New Roman"/>
      <w:b/>
      <w:szCs w:val="24"/>
    </w:rPr>
  </w:style>
  <w:style w:type="character" w:customStyle="1" w:styleId="45">
    <w:name w:val="表体 Char Char"/>
    <w:link w:val="33"/>
    <w:qFormat/>
    <w:locked/>
    <w:uiPriority w:val="0"/>
    <w:rPr>
      <w:rFonts w:ascii="Times New Roman" w:hAnsi="Times New Roman" w:eastAsia="宋体" w:cs="Times New Roman"/>
      <w:bCs/>
      <w:snapToGrid w:val="0"/>
      <w:color w:val="000000"/>
      <w:kern w:val="32"/>
      <w:szCs w:val="20"/>
      <w:lang w:val="zh-CN"/>
    </w:rPr>
  </w:style>
  <w:style w:type="character" w:customStyle="1" w:styleId="46">
    <w:name w:val="正文文本 Char"/>
    <w:basedOn w:val="24"/>
    <w:link w:val="10"/>
    <w:semiHidden/>
    <w:qFormat/>
    <w:uiPriority w:val="99"/>
  </w:style>
  <w:style w:type="character" w:customStyle="1" w:styleId="47">
    <w:name w:val="标题 2 Char"/>
    <w:basedOn w:val="24"/>
    <w:link w:val="3"/>
    <w:qFormat/>
    <w:uiPriority w:val="0"/>
    <w:rPr>
      <w:rFonts w:ascii="Times New Roman" w:hAnsi="Times New Roman" w:eastAsia="黑体" w:cs="Times New Roman"/>
      <w:color w:val="000000" w:themeColor="text1"/>
      <w:sz w:val="30"/>
      <w:szCs w:val="24"/>
    </w:rPr>
  </w:style>
  <w:style w:type="character" w:customStyle="1" w:styleId="48">
    <w:name w:val="表头 Char1"/>
    <w:basedOn w:val="24"/>
    <w:qFormat/>
    <w:uiPriority w:val="0"/>
    <w:rPr>
      <w:rFonts w:ascii="Times New Roman" w:hAnsi="Times New Roman" w:eastAsia="宋体" w:cs="Times New Roman"/>
      <w:b/>
      <w:bCs/>
      <w:kern w:val="0"/>
      <w:szCs w:val="28"/>
    </w:rPr>
  </w:style>
  <w:style w:type="character" w:customStyle="1" w:styleId="49">
    <w:name w:val="标题 3 Char"/>
    <w:basedOn w:val="24"/>
    <w:link w:val="4"/>
    <w:semiHidden/>
    <w:qFormat/>
    <w:uiPriority w:val="9"/>
    <w:rPr>
      <w:b/>
      <w:bCs/>
      <w:sz w:val="32"/>
      <w:szCs w:val="32"/>
    </w:rPr>
  </w:style>
  <w:style w:type="table" w:customStyle="1" w:styleId="50">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1">
    <w:name w:val="标题 8 Char"/>
    <w:basedOn w:val="24"/>
    <w:link w:val="5"/>
    <w:qFormat/>
    <w:uiPriority w:val="9"/>
    <w:rPr>
      <w:rFonts w:asciiTheme="majorHAnsi" w:hAnsiTheme="majorHAnsi" w:eastAsiaTheme="majorEastAsia" w:cstheme="majorBidi"/>
      <w:sz w:val="24"/>
      <w:szCs w:val="24"/>
    </w:rPr>
  </w:style>
  <w:style w:type="paragraph" w:customStyle="1" w:styleId="52">
    <w:name w:val="表格正文"/>
    <w:basedOn w:val="1"/>
    <w:link w:val="68"/>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3">
    <w:name w:val="正文缩进 Char1"/>
    <w:link w:val="6"/>
    <w:qFormat/>
    <w:uiPriority w:val="99"/>
    <w:rPr>
      <w:rFonts w:ascii="Calibri" w:hAnsi="Calibri" w:eastAsia="宋体" w:cs="Times New Roman"/>
      <w:sz w:val="28"/>
      <w:szCs w:val="20"/>
    </w:rPr>
  </w:style>
  <w:style w:type="paragraph" w:customStyle="1" w:styleId="54">
    <w:name w:val="样式1"/>
    <w:basedOn w:val="1"/>
    <w:link w:val="55"/>
    <w:qFormat/>
    <w:uiPriority w:val="0"/>
    <w:pPr>
      <w:spacing w:line="360" w:lineRule="auto"/>
      <w:ind w:firstLine="510"/>
    </w:pPr>
    <w:rPr>
      <w:rFonts w:ascii="Times New Roman" w:hAnsi="Times New Roman" w:eastAsia="宋体" w:cs="Times New Roman"/>
      <w:sz w:val="24"/>
      <w:szCs w:val="20"/>
    </w:rPr>
  </w:style>
  <w:style w:type="character" w:customStyle="1" w:styleId="55">
    <w:name w:val="样式1 Char"/>
    <w:link w:val="54"/>
    <w:qFormat/>
    <w:locked/>
    <w:uiPriority w:val="0"/>
    <w:rPr>
      <w:rFonts w:ascii="Times New Roman" w:hAnsi="Times New Roman" w:eastAsia="宋体" w:cs="Times New Roman"/>
      <w:sz w:val="24"/>
      <w:szCs w:val="20"/>
    </w:rPr>
  </w:style>
  <w:style w:type="paragraph" w:customStyle="1" w:styleId="56">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7">
    <w:name w:val="纯文本 Char"/>
    <w:basedOn w:val="24"/>
    <w:link w:val="11"/>
    <w:qFormat/>
    <w:uiPriority w:val="5"/>
    <w:rPr>
      <w:rFonts w:ascii="宋体" w:hAnsi="Courier New" w:eastAsia="宋体" w:cs="Times New Roman"/>
      <w:szCs w:val="20"/>
    </w:rPr>
  </w:style>
  <w:style w:type="character" w:customStyle="1" w:styleId="58">
    <w:name w:val="15"/>
    <w:qFormat/>
    <w:uiPriority w:val="0"/>
    <w:rPr>
      <w:rFonts w:hint="default" w:ascii="Calibri" w:hAnsi="Calibri"/>
      <w:sz w:val="21"/>
      <w:szCs w:val="21"/>
    </w:rPr>
  </w:style>
  <w:style w:type="character" w:customStyle="1" w:styleId="59">
    <w:name w:val="称呼 Char"/>
    <w:basedOn w:val="24"/>
    <w:link w:val="9"/>
    <w:semiHidden/>
    <w:qFormat/>
    <w:uiPriority w:val="99"/>
  </w:style>
  <w:style w:type="paragraph" w:customStyle="1" w:styleId="60">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61">
    <w:name w:val="正文1"/>
    <w:basedOn w:val="1"/>
    <w:qFormat/>
    <w:uiPriority w:val="0"/>
    <w:pPr>
      <w:widowControl/>
    </w:pPr>
    <w:rPr>
      <w:rFonts w:ascii="Calibri" w:hAnsi="Calibri" w:eastAsia="宋体" w:cs="宋体"/>
    </w:rPr>
  </w:style>
  <w:style w:type="paragraph" w:customStyle="1" w:styleId="62">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3">
    <w:name w:val="表格文字 Char"/>
    <w:basedOn w:val="24"/>
    <w:link w:val="64"/>
    <w:qFormat/>
    <w:uiPriority w:val="0"/>
    <w:rPr>
      <w:rFonts w:eastAsia="宋体"/>
      <w:kern w:val="24"/>
      <w:sz w:val="24"/>
    </w:rPr>
  </w:style>
  <w:style w:type="paragraph" w:customStyle="1" w:styleId="64">
    <w:name w:val="表格文字"/>
    <w:basedOn w:val="1"/>
    <w:link w:val="63"/>
    <w:qFormat/>
    <w:uiPriority w:val="0"/>
    <w:pPr>
      <w:adjustRightInd w:val="0"/>
      <w:spacing w:line="400" w:lineRule="atLeast"/>
      <w:jc w:val="center"/>
    </w:pPr>
    <w:rPr>
      <w:rFonts w:eastAsia="宋体"/>
      <w:kern w:val="24"/>
      <w:sz w:val="24"/>
    </w:rPr>
  </w:style>
  <w:style w:type="character" w:customStyle="1" w:styleId="65">
    <w:name w:val="表格 Char Char"/>
    <w:basedOn w:val="24"/>
    <w:qFormat/>
    <w:uiPriority w:val="59"/>
    <w:rPr>
      <w:sz w:val="21"/>
      <w:szCs w:val="21"/>
      <w:lang w:bidi="ar-SA"/>
    </w:rPr>
  </w:style>
  <w:style w:type="paragraph" w:customStyle="1" w:styleId="66">
    <w:name w:val="_Style 17"/>
    <w:basedOn w:val="1"/>
    <w:qFormat/>
    <w:uiPriority w:val="0"/>
    <w:rPr>
      <w:rFonts w:ascii="Times New Roman" w:hAnsi="Times New Roman" w:eastAsia="宋体" w:cs="Times New Roman"/>
      <w:szCs w:val="24"/>
    </w:rPr>
  </w:style>
  <w:style w:type="character" w:customStyle="1" w:styleId="67">
    <w:name w:val="副标题 Char"/>
    <w:basedOn w:val="24"/>
    <w:link w:val="16"/>
    <w:qFormat/>
    <w:uiPriority w:val="11"/>
    <w:rPr>
      <w:rFonts w:ascii="Times New Roman" w:hAnsi="Times New Roman" w:eastAsia="宋体" w:cstheme="majorBidi"/>
      <w:b/>
      <w:bCs/>
      <w:kern w:val="28"/>
      <w:szCs w:val="32"/>
    </w:rPr>
  </w:style>
  <w:style w:type="character" w:customStyle="1" w:styleId="68">
    <w:name w:val="表格正文 Char"/>
    <w:link w:val="52"/>
    <w:qFormat/>
    <w:uiPriority w:val="0"/>
    <w:rPr>
      <w:rFonts w:ascii="Times New Roman" w:hAnsi="Times New Roman" w:eastAsia="宋体" w:cs="Times New Roman"/>
      <w:szCs w:val="20"/>
    </w:rPr>
  </w:style>
  <w:style w:type="character" w:customStyle="1" w:styleId="69">
    <w:name w:val="标题 1 Char"/>
    <w:basedOn w:val="24"/>
    <w:link w:val="2"/>
    <w:qFormat/>
    <w:uiPriority w:val="9"/>
    <w:rPr>
      <w:b/>
      <w:bCs/>
      <w:kern w:val="44"/>
      <w:sz w:val="44"/>
      <w:szCs w:val="44"/>
    </w:rPr>
  </w:style>
  <w:style w:type="paragraph" w:customStyle="1" w:styleId="70">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A535-0ABA-4745-912F-5A1B1AB662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14202</Words>
  <Characters>80956</Characters>
  <Lines>674</Lines>
  <Paragraphs>189</Paragraphs>
  <TotalTime>29</TotalTime>
  <ScaleCrop>false</ScaleCrop>
  <LinksUpToDate>false</LinksUpToDate>
  <CharactersWithSpaces>94969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周律</cp:lastModifiedBy>
  <cp:lastPrinted>2023-11-08T03:08:00Z</cp:lastPrinted>
  <dcterms:modified xsi:type="dcterms:W3CDTF">2024-01-17T02:18:40Z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8481320892C84D16BB883AAACB964012</vt:lpwstr>
  </property>
</Properties>
</file>