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ind w:left="0" w:leftChars="0" w:right="0" w:firstLine="880" w:firstLineChars="200"/>
        <w:jc w:val="center"/>
        <w:rPr>
          <w:rFonts w:hint="default" w:ascii="黑体" w:hAnsi="黑体" w:eastAsia="黑体" w:cs="黑体"/>
          <w:bCs/>
          <w:sz w:val="44"/>
          <w:szCs w:val="44"/>
          <w:lang w:val="en-US" w:eastAsia="zh-CN"/>
        </w:rPr>
      </w:pPr>
      <w:bookmarkStart w:id="16" w:name="_GoBack"/>
      <w:bookmarkEnd w:id="16"/>
      <w:r>
        <w:rPr>
          <w:rFonts w:hint="eastAsia" w:ascii="黑体" w:hAnsi="黑体" w:eastAsia="黑体" w:cs="黑体"/>
          <w:bCs/>
          <w:sz w:val="44"/>
          <w:szCs w:val="44"/>
        </w:rPr>
        <w:t>昆明市东川区</w:t>
      </w:r>
      <w:r>
        <w:rPr>
          <w:rFonts w:hint="eastAsia" w:ascii="黑体" w:hAnsi="黑体" w:eastAsia="黑体" w:cs="黑体"/>
          <w:bCs/>
          <w:sz w:val="44"/>
          <w:szCs w:val="44"/>
          <w:lang w:val="en-US" w:eastAsia="zh-CN"/>
        </w:rPr>
        <w:t>因民镇人民政府</w:t>
      </w:r>
    </w:p>
    <w:p>
      <w:pPr>
        <w:pageBreakBefore w:val="0"/>
        <w:kinsoku/>
        <w:wordWrap/>
        <w:overflowPunct/>
        <w:topLinePunct w:val="0"/>
        <w:bidi w:val="0"/>
        <w:spacing w:line="560" w:lineRule="exact"/>
        <w:ind w:left="0" w:leftChars="0" w:right="0" w:firstLine="880" w:firstLineChars="200"/>
        <w:jc w:val="center"/>
        <w:rPr>
          <w:rFonts w:hint="eastAsia" w:ascii="黑体" w:hAnsi="黑体" w:eastAsia="黑体" w:cs="黑体"/>
          <w:bCs/>
          <w:sz w:val="44"/>
          <w:szCs w:val="44"/>
        </w:rPr>
      </w:pPr>
      <w:r>
        <w:rPr>
          <w:rFonts w:hint="eastAsia" w:ascii="黑体" w:hAnsi="黑体" w:eastAsia="黑体" w:cs="黑体"/>
          <w:bCs/>
          <w:sz w:val="44"/>
          <w:szCs w:val="44"/>
        </w:rPr>
        <w:t>20</w:t>
      </w:r>
      <w:r>
        <w:rPr>
          <w:rFonts w:hint="eastAsia" w:ascii="黑体" w:hAnsi="黑体" w:eastAsia="黑体" w:cs="黑体"/>
          <w:bCs/>
          <w:sz w:val="44"/>
          <w:szCs w:val="44"/>
          <w:lang w:val="en-US" w:eastAsia="zh-CN"/>
        </w:rPr>
        <w:t>20</w:t>
      </w:r>
      <w:r>
        <w:rPr>
          <w:rFonts w:hint="eastAsia" w:ascii="黑体" w:hAnsi="黑体" w:eastAsia="黑体" w:cs="黑体"/>
          <w:bCs/>
          <w:sz w:val="44"/>
          <w:szCs w:val="44"/>
        </w:rPr>
        <w:t>年部门整体支出</w:t>
      </w:r>
    </w:p>
    <w:p>
      <w:pPr>
        <w:pageBreakBefore w:val="0"/>
        <w:kinsoku/>
        <w:wordWrap/>
        <w:overflowPunct/>
        <w:topLinePunct w:val="0"/>
        <w:bidi w:val="0"/>
        <w:spacing w:line="560" w:lineRule="exact"/>
        <w:ind w:left="0" w:leftChars="0" w:right="0" w:firstLine="880" w:firstLineChars="200"/>
        <w:jc w:val="center"/>
        <w:rPr>
          <w:rFonts w:hint="eastAsia" w:ascii="黑体" w:hAnsi="黑体" w:eastAsia="黑体" w:cs="黑体"/>
          <w:bCs/>
          <w:sz w:val="44"/>
          <w:szCs w:val="44"/>
        </w:rPr>
      </w:pPr>
      <w:r>
        <w:rPr>
          <w:rFonts w:hint="eastAsia" w:ascii="黑体" w:hAnsi="黑体" w:eastAsia="黑体" w:cs="黑体"/>
          <w:bCs/>
          <w:sz w:val="44"/>
          <w:szCs w:val="44"/>
        </w:rPr>
        <w:t>绩效评价报告</w:t>
      </w:r>
    </w:p>
    <w:p>
      <w:pPr>
        <w:pageBreakBefore w:val="0"/>
        <w:kinsoku/>
        <w:wordWrap/>
        <w:overflowPunct/>
        <w:topLinePunct w:val="0"/>
        <w:bidi w:val="0"/>
        <w:spacing w:line="560" w:lineRule="exact"/>
        <w:ind w:left="0" w:leftChars="0" w:right="0" w:firstLine="643" w:firstLineChars="200"/>
        <w:jc w:val="center"/>
        <w:rPr>
          <w:rFonts w:hint="eastAsia" w:ascii="仿宋" w:hAnsi="仿宋" w:eastAsia="仿宋" w:cs="仿宋"/>
          <w:b/>
          <w:bCs/>
          <w:sz w:val="32"/>
          <w:szCs w:val="32"/>
        </w:rPr>
      </w:pPr>
    </w:p>
    <w:p>
      <w:pPr>
        <w:pageBreakBefore w:val="0"/>
        <w:kinsoku/>
        <w:wordWrap/>
        <w:overflowPunct/>
        <w:topLinePunct w:val="0"/>
        <w:bidi w:val="0"/>
        <w:spacing w:line="560" w:lineRule="exact"/>
        <w:ind w:left="0" w:leftChars="0" w:right="0" w:firstLine="643" w:firstLineChars="200"/>
        <w:jc w:val="center"/>
        <w:rPr>
          <w:rFonts w:hint="eastAsia" w:ascii="仿宋" w:hAnsi="仿宋" w:eastAsia="仿宋" w:cs="仿宋"/>
          <w:b/>
          <w:bCs/>
          <w:sz w:val="32"/>
          <w:szCs w:val="32"/>
        </w:rPr>
      </w:pPr>
    </w:p>
    <w:p>
      <w:pPr>
        <w:pageBreakBefore w:val="0"/>
        <w:kinsoku/>
        <w:wordWrap/>
        <w:overflowPunct/>
        <w:topLinePunct w:val="0"/>
        <w:bidi w:val="0"/>
        <w:spacing w:line="560" w:lineRule="exact"/>
        <w:ind w:left="0" w:leftChars="0" w:right="0" w:firstLine="643" w:firstLineChars="200"/>
        <w:jc w:val="center"/>
        <w:rPr>
          <w:rFonts w:hint="eastAsia" w:ascii="仿宋" w:hAnsi="仿宋" w:eastAsia="仿宋" w:cs="仿宋"/>
          <w:b/>
          <w:bCs/>
          <w:sz w:val="32"/>
          <w:szCs w:val="32"/>
        </w:rPr>
      </w:pPr>
    </w:p>
    <w:p>
      <w:pPr>
        <w:pageBreakBefore w:val="0"/>
        <w:kinsoku/>
        <w:wordWrap/>
        <w:overflowPunct/>
        <w:topLinePunct w:val="0"/>
        <w:bidi w:val="0"/>
        <w:spacing w:line="560" w:lineRule="exact"/>
        <w:ind w:left="0" w:leftChars="0" w:right="0" w:firstLine="643" w:firstLineChars="200"/>
        <w:jc w:val="center"/>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ageBreakBefore w:val="0"/>
        <w:kinsoku/>
        <w:wordWrap/>
        <w:overflowPunct/>
        <w:topLinePunct w:val="0"/>
        <w:bidi w:val="0"/>
        <w:adjustRightInd w:val="0"/>
        <w:snapToGrid w:val="0"/>
        <w:spacing w:line="560" w:lineRule="exact"/>
        <w:ind w:left="0" w:leftChars="0" w:right="0" w:firstLine="643" w:firstLineChars="200"/>
        <w:rPr>
          <w:rFonts w:hint="eastAsia" w:ascii="仿宋" w:hAnsi="仿宋" w:eastAsia="仿宋" w:cs="仿宋"/>
          <w:b/>
          <w:bCs/>
          <w:sz w:val="32"/>
          <w:szCs w:val="32"/>
        </w:rPr>
      </w:pPr>
    </w:p>
    <w:p>
      <w:pPr>
        <w:pageBreakBefore w:val="0"/>
        <w:kinsoku/>
        <w:wordWrap/>
        <w:overflowPunct/>
        <w:topLinePunct w:val="0"/>
        <w:bidi w:val="0"/>
        <w:spacing w:line="560" w:lineRule="exact"/>
        <w:ind w:left="0" w:leftChars="0" w:right="0" w:firstLine="643" w:firstLineChars="200"/>
        <w:rPr>
          <w:rFonts w:hint="eastAsia" w:ascii="仿宋" w:hAnsi="仿宋" w:eastAsia="仿宋" w:cs="仿宋"/>
          <w:b/>
          <w:bCs/>
          <w:sz w:val="32"/>
          <w:szCs w:val="32"/>
        </w:rPr>
      </w:pPr>
    </w:p>
    <w:p>
      <w:pPr>
        <w:pageBreakBefore w:val="0"/>
        <w:kinsoku/>
        <w:wordWrap/>
        <w:overflowPunct/>
        <w:topLinePunct w:val="0"/>
        <w:bidi w:val="0"/>
        <w:spacing w:line="560" w:lineRule="exact"/>
        <w:ind w:left="0" w:leftChars="0" w:right="0" w:firstLine="643" w:firstLineChars="200"/>
        <w:jc w:val="center"/>
        <w:rPr>
          <w:rFonts w:hint="eastAsia" w:ascii="仿宋" w:hAnsi="仿宋" w:eastAsia="仿宋" w:cs="仿宋"/>
          <w:b/>
          <w:bCs/>
          <w:sz w:val="32"/>
          <w:szCs w:val="32"/>
        </w:rPr>
      </w:pPr>
    </w:p>
    <w:p>
      <w:pPr>
        <w:pageBreakBefore w:val="0"/>
        <w:kinsoku/>
        <w:wordWrap/>
        <w:overflowPunct/>
        <w:topLinePunct w:val="0"/>
        <w:bidi w:val="0"/>
        <w:spacing w:line="560" w:lineRule="exact"/>
        <w:ind w:left="0" w:leftChars="0" w:right="0" w:firstLine="643" w:firstLineChars="200"/>
        <w:jc w:val="center"/>
        <w:rPr>
          <w:rFonts w:hint="eastAsia" w:ascii="仿宋" w:hAnsi="仿宋" w:eastAsia="仿宋" w:cs="仿宋"/>
          <w:b/>
          <w:bCs/>
          <w:sz w:val="32"/>
          <w:szCs w:val="32"/>
        </w:rPr>
      </w:pPr>
    </w:p>
    <w:p>
      <w:pPr>
        <w:pageBreakBefore w:val="0"/>
        <w:kinsoku/>
        <w:wordWrap/>
        <w:overflowPunct/>
        <w:topLinePunct w:val="0"/>
        <w:bidi w:val="0"/>
        <w:spacing w:line="560" w:lineRule="exact"/>
        <w:ind w:left="0" w:leftChars="0" w:right="0" w:firstLine="643" w:firstLineChars="200"/>
        <w:jc w:val="center"/>
        <w:rPr>
          <w:rFonts w:hint="eastAsia" w:ascii="仿宋" w:hAnsi="仿宋" w:eastAsia="仿宋" w:cs="仿宋"/>
          <w:b/>
          <w:bCs/>
          <w:sz w:val="32"/>
          <w:szCs w:val="32"/>
        </w:rPr>
      </w:pPr>
    </w:p>
    <w:p>
      <w:pPr>
        <w:pageBreakBefore w:val="0"/>
        <w:kinsoku/>
        <w:wordWrap/>
        <w:overflowPunct/>
        <w:topLinePunct w:val="0"/>
        <w:bidi w:val="0"/>
        <w:spacing w:line="560" w:lineRule="exact"/>
        <w:ind w:left="0" w:leftChars="0" w:right="0" w:firstLine="643" w:firstLineChars="200"/>
        <w:jc w:val="center"/>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ageBreakBefore w:val="0"/>
        <w:kinsoku/>
        <w:wordWrap/>
        <w:overflowPunct/>
        <w:topLinePunct w:val="0"/>
        <w:bidi w:val="0"/>
        <w:spacing w:line="560" w:lineRule="exact"/>
        <w:ind w:left="0" w:leftChars="0" w:right="0" w:firstLine="643" w:firstLineChars="200"/>
        <w:jc w:val="center"/>
        <w:rPr>
          <w:rFonts w:hint="eastAsia" w:ascii="仿宋" w:hAnsi="仿宋" w:eastAsia="仿宋" w:cs="仿宋"/>
          <w:b/>
          <w:bCs/>
          <w:sz w:val="32"/>
          <w:szCs w:val="32"/>
        </w:rPr>
      </w:pPr>
    </w:p>
    <w:p>
      <w:pPr>
        <w:pageBreakBefore w:val="0"/>
        <w:kinsoku/>
        <w:wordWrap/>
        <w:overflowPunct/>
        <w:topLinePunct w:val="0"/>
        <w:bidi w:val="0"/>
        <w:spacing w:line="560" w:lineRule="exact"/>
        <w:ind w:left="0" w:leftChars="0" w:right="0" w:firstLine="643" w:firstLineChars="200"/>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昆明市东川区因民镇人民政府</w:t>
      </w:r>
    </w:p>
    <w:p>
      <w:pPr>
        <w:pageBreakBefore w:val="0"/>
        <w:kinsoku/>
        <w:wordWrap/>
        <w:overflowPunct/>
        <w:topLinePunct w:val="0"/>
        <w:bidi w:val="0"/>
        <w:spacing w:line="560" w:lineRule="exact"/>
        <w:ind w:left="0" w:leftChars="0" w:right="0" w:firstLine="643" w:firstLineChars="20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05</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31日</w:t>
      </w:r>
    </w:p>
    <w:p>
      <w:pPr>
        <w:pageBreakBefore w:val="0"/>
        <w:kinsoku/>
        <w:wordWrap/>
        <w:overflowPunct/>
        <w:topLinePunct w:val="0"/>
        <w:bidi w:val="0"/>
        <w:spacing w:line="560" w:lineRule="exact"/>
        <w:ind w:left="0" w:leftChars="0" w:right="0" w:firstLine="643" w:firstLineChars="200"/>
        <w:jc w:val="center"/>
        <w:rPr>
          <w:rFonts w:hint="eastAsia" w:ascii="仿宋" w:hAnsi="仿宋" w:eastAsia="仿宋" w:cs="仿宋"/>
          <w:b/>
          <w:bCs/>
          <w:sz w:val="32"/>
          <w:szCs w:val="32"/>
        </w:rPr>
      </w:pPr>
    </w:p>
    <w:p>
      <w:pPr>
        <w:pageBreakBefore w:val="0"/>
        <w:kinsoku/>
        <w:wordWrap/>
        <w:overflowPunct/>
        <w:topLinePunct w:val="0"/>
        <w:bidi w:val="0"/>
        <w:spacing w:line="560" w:lineRule="exact"/>
        <w:ind w:left="0" w:leftChars="0" w:right="0" w:firstLine="643" w:firstLineChars="200"/>
        <w:jc w:val="center"/>
        <w:rPr>
          <w:rFonts w:hint="eastAsia" w:ascii="仿宋" w:hAnsi="仿宋" w:eastAsia="仿宋" w:cs="仿宋"/>
          <w:b/>
          <w:bCs/>
          <w:sz w:val="32"/>
          <w:szCs w:val="32"/>
        </w:rPr>
      </w:pPr>
    </w:p>
    <w:p>
      <w:pPr>
        <w:pStyle w:val="26"/>
        <w:pageBreakBefore w:val="0"/>
        <w:widowControl w:val="0"/>
        <w:kinsoku/>
        <w:wordWrap/>
        <w:overflowPunct/>
        <w:topLinePunct w:val="0"/>
        <w:bidi w:val="0"/>
        <w:spacing w:after="0" w:line="560" w:lineRule="exact"/>
        <w:ind w:left="0" w:leftChars="0" w:right="0" w:firstLine="643" w:firstLineChars="200"/>
        <w:rPr>
          <w:rFonts w:hint="eastAsia" w:ascii="仿宋" w:hAnsi="仿宋" w:eastAsia="仿宋" w:cs="仿宋"/>
          <w:b/>
          <w:bCs/>
          <w:sz w:val="32"/>
          <w:szCs w:val="32"/>
        </w:rPr>
      </w:pPr>
    </w:p>
    <w:p>
      <w:pPr>
        <w:pageBreakBefore w:val="0"/>
        <w:kinsoku/>
        <w:wordWrap/>
        <w:overflowPunct/>
        <w:topLinePunct w:val="0"/>
        <w:bidi w:val="0"/>
        <w:spacing w:line="560" w:lineRule="exact"/>
        <w:ind w:left="0" w:leftChars="0" w:right="0" w:firstLine="640" w:firstLineChars="200"/>
        <w:rPr>
          <w:rFonts w:hint="eastAsia" w:ascii="仿宋" w:hAnsi="仿宋" w:eastAsia="仿宋" w:cs="仿宋"/>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ageBreakBefore w:val="0"/>
        <w:kinsoku/>
        <w:wordWrap/>
        <w:overflowPunct/>
        <w:topLinePunct w:val="0"/>
        <w:bidi w:val="0"/>
        <w:spacing w:line="560" w:lineRule="exact"/>
        <w:ind w:left="0" w:leftChars="0" w:right="0" w:firstLine="880" w:firstLineChars="200"/>
        <w:jc w:val="center"/>
        <w:rPr>
          <w:rFonts w:hint="default" w:ascii="黑体" w:hAnsi="黑体" w:eastAsia="黑体" w:cs="黑体"/>
          <w:sz w:val="44"/>
          <w:szCs w:val="44"/>
          <w:lang w:val="en-US" w:eastAsia="zh-CN"/>
        </w:rPr>
      </w:pPr>
      <w:r>
        <w:rPr>
          <w:rFonts w:hint="eastAsia" w:ascii="黑体" w:hAnsi="黑体" w:eastAsia="黑体" w:cs="黑体"/>
          <w:sz w:val="44"/>
          <w:szCs w:val="44"/>
        </w:rPr>
        <w:t>昆明市东川区</w:t>
      </w:r>
      <w:r>
        <w:rPr>
          <w:rFonts w:hint="eastAsia" w:ascii="黑体" w:hAnsi="黑体" w:eastAsia="黑体" w:cs="黑体"/>
          <w:sz w:val="44"/>
          <w:szCs w:val="44"/>
          <w:lang w:val="en-US" w:eastAsia="zh-CN"/>
        </w:rPr>
        <w:t>因民镇人民政府</w:t>
      </w:r>
    </w:p>
    <w:p>
      <w:pPr>
        <w:pageBreakBefore w:val="0"/>
        <w:kinsoku/>
        <w:wordWrap/>
        <w:overflowPunct/>
        <w:topLinePunct w:val="0"/>
        <w:bidi w:val="0"/>
        <w:spacing w:line="560" w:lineRule="exact"/>
        <w:ind w:left="0" w:leftChars="0" w:right="0" w:firstLine="880" w:firstLineChars="200"/>
        <w:jc w:val="center"/>
        <w:rPr>
          <w:rFonts w:hint="eastAsia" w:ascii="黑体" w:hAnsi="黑体" w:eastAsia="黑体" w:cs="黑体"/>
          <w:sz w:val="44"/>
          <w:szCs w:val="44"/>
        </w:rPr>
      </w:pPr>
      <w:r>
        <w:rPr>
          <w:rFonts w:hint="eastAsia" w:ascii="黑体" w:hAnsi="黑体" w:eastAsia="黑体" w:cs="黑体"/>
          <w:sz w:val="44"/>
          <w:szCs w:val="44"/>
        </w:rPr>
        <w:t>20</w:t>
      </w:r>
      <w:r>
        <w:rPr>
          <w:rFonts w:hint="eastAsia" w:ascii="黑体" w:hAnsi="黑体" w:eastAsia="黑体" w:cs="黑体"/>
          <w:sz w:val="44"/>
          <w:szCs w:val="44"/>
          <w:lang w:val="en-US" w:eastAsia="zh-CN"/>
        </w:rPr>
        <w:t>20</w:t>
      </w:r>
      <w:r>
        <w:rPr>
          <w:rFonts w:hint="eastAsia" w:ascii="黑体" w:hAnsi="黑体" w:eastAsia="黑体" w:cs="黑体"/>
          <w:sz w:val="44"/>
          <w:szCs w:val="44"/>
        </w:rPr>
        <w:t>年部门整体支出绩效评价报告</w:t>
      </w:r>
    </w:p>
    <w:p>
      <w:pPr>
        <w:pStyle w:val="18"/>
        <w:pageBreakBefore w:val="0"/>
        <w:kinsoku/>
        <w:wordWrap/>
        <w:overflowPunct/>
        <w:topLinePunct w:val="0"/>
        <w:bidi w:val="0"/>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为加强财政支出管理，提高财政资金使用效益，根据《中华人民共和国预算法》、《昆明市东川区财政局关于开展东川区2020年度绩效自评工作的通知》（东财绩〔2021〕4号）文件</w:t>
      </w:r>
      <w:r>
        <w:rPr>
          <w:rFonts w:hint="eastAsia" w:ascii="仿宋" w:hAnsi="仿宋" w:eastAsia="仿宋" w:cs="仿宋"/>
          <w:sz w:val="32"/>
          <w:szCs w:val="32"/>
          <w:lang w:val="en-US" w:eastAsia="zh-CN"/>
        </w:rPr>
        <w:t>要求</w:t>
      </w:r>
      <w:r>
        <w:rPr>
          <w:rFonts w:hint="eastAsia" w:ascii="仿宋" w:hAnsi="仿宋" w:eastAsia="仿宋" w:cs="仿宋"/>
          <w:sz w:val="32"/>
          <w:szCs w:val="32"/>
          <w:lang w:eastAsia="zh-CN"/>
        </w:rPr>
        <w:t>，</w:t>
      </w:r>
      <w:r>
        <w:rPr>
          <w:rFonts w:hint="eastAsia" w:ascii="仿宋" w:hAnsi="仿宋" w:eastAsia="仿宋" w:cs="仿宋"/>
          <w:sz w:val="32"/>
          <w:szCs w:val="32"/>
        </w:rPr>
        <w:t>等文件精神，</w:t>
      </w:r>
      <w:r>
        <w:rPr>
          <w:rFonts w:hint="eastAsia" w:ascii="仿宋" w:hAnsi="仿宋" w:eastAsia="仿宋" w:cs="仿宋"/>
          <w:sz w:val="32"/>
          <w:szCs w:val="32"/>
          <w:lang w:val="en-US" w:eastAsia="zh-CN"/>
        </w:rPr>
        <w:t>因民镇</w:t>
      </w:r>
      <w:r>
        <w:rPr>
          <w:rFonts w:hint="eastAsia" w:ascii="仿宋" w:hAnsi="仿宋" w:eastAsia="仿宋" w:cs="仿宋"/>
          <w:sz w:val="32"/>
          <w:szCs w:val="32"/>
        </w:rPr>
        <w:t>绩效评价工作小组，于20</w:t>
      </w:r>
      <w:r>
        <w:rPr>
          <w:rFonts w:hint="eastAsia" w:ascii="仿宋" w:hAnsi="仿宋" w:eastAsia="仿宋" w:cs="仿宋"/>
          <w:sz w:val="32"/>
          <w:szCs w:val="32"/>
          <w:lang w:val="en-US" w:eastAsia="zh-CN"/>
        </w:rPr>
        <w:t>21</w:t>
      </w:r>
      <w:r>
        <w:rPr>
          <w:rFonts w:hint="eastAsia" w:ascii="仿宋" w:hAnsi="仿宋" w:eastAsia="仿宋" w:cs="仿宋"/>
          <w:sz w:val="32"/>
          <w:szCs w:val="32"/>
        </w:rPr>
        <w:t>年04月08日至20</w:t>
      </w:r>
      <w:r>
        <w:rPr>
          <w:rFonts w:hint="eastAsia" w:ascii="仿宋" w:hAnsi="仿宋" w:eastAsia="仿宋" w:cs="仿宋"/>
          <w:sz w:val="32"/>
          <w:szCs w:val="32"/>
          <w:lang w:val="en-US" w:eastAsia="zh-CN"/>
        </w:rPr>
        <w:t>20</w:t>
      </w:r>
      <w:r>
        <w:rPr>
          <w:rFonts w:hint="eastAsia" w:ascii="仿宋" w:hAnsi="仿宋" w:eastAsia="仿宋" w:cs="仿宋"/>
          <w:sz w:val="32"/>
          <w:szCs w:val="32"/>
        </w:rPr>
        <w:t>年05月</w:t>
      </w:r>
      <w:r>
        <w:rPr>
          <w:rFonts w:hint="eastAsia" w:ascii="仿宋" w:hAnsi="仿宋" w:eastAsia="仿宋" w:cs="仿宋"/>
          <w:sz w:val="32"/>
          <w:szCs w:val="32"/>
          <w:lang w:val="en-US" w:eastAsia="zh-CN"/>
        </w:rPr>
        <w:t>31</w:t>
      </w:r>
      <w:r>
        <w:rPr>
          <w:rFonts w:hint="eastAsia" w:ascii="仿宋" w:hAnsi="仿宋" w:eastAsia="仿宋" w:cs="仿宋"/>
          <w:sz w:val="32"/>
          <w:szCs w:val="32"/>
        </w:rPr>
        <w:t>日期间对</w:t>
      </w:r>
      <w:r>
        <w:rPr>
          <w:rFonts w:hint="eastAsia" w:ascii="仿宋" w:hAnsi="仿宋" w:eastAsia="仿宋" w:cs="仿宋"/>
          <w:sz w:val="32"/>
          <w:szCs w:val="32"/>
          <w:lang w:val="en-US" w:eastAsia="zh-CN"/>
        </w:rPr>
        <w:t>因民镇</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整体支出进行了绩效自评。评价采用定量分析和定性分析相结合的方法，从预算配置、履职效益、预算管理、职责履行、预算执行情况和各部门新增财政支出、一般性支出、会议支出、办公经费支出、机构编制、工资管理和内控制度建设等方面进行了综合评价。现将绩效自评情况报告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一、部门概况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（一）部门机构设置、编制</w:t>
      </w:r>
    </w:p>
    <w:p>
      <w:pPr>
        <w:pageBreakBefore w:val="0"/>
        <w:kinsoku/>
        <w:wordWrap/>
        <w:overflowPunct/>
        <w:topLinePunct w:val="0"/>
        <w:bidi w:val="0"/>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根据《东编发〔2019〕13号关于调整因民镇职责机构编制的通知》文件核定，因民镇机关职责机构编制设置综合办公室5个，具体如下：党政综合办公室、扶贫开发办公室（经济发展办公室）、基层党建办公室、社会建设办公室、社会治安维稳综合治理办公室；因民镇所属事业单位7个，为财政全额拨款公益一类事业单位。具体如下：昆明市东川区因民镇农业综合服务中心、昆明市东川区因民镇社会保障综合服务中心（昆明市东川区因民镇退役军人服务站）、昆明市东川区因民镇文化综合服务中心、昆明市东川区因民镇村镇规划建设服务中心、昆明市东川区因民镇为民服务中心、昆明市东川区因民镇财政所、昆明市东川区因民镇安全生产监督和环境保护中心。</w:t>
      </w:r>
    </w:p>
    <w:p>
      <w:pPr>
        <w:pageBreakBefore w:val="0"/>
        <w:kinsoku/>
        <w:wordWrap/>
        <w:overflowPunct/>
        <w:topLinePunct w:val="0"/>
        <w:bidi w:val="0"/>
        <w:spacing w:line="560" w:lineRule="exact"/>
        <w:ind w:left="0" w:leftChars="0" w:right="0" w:firstLine="640" w:firstLineChars="200"/>
        <w:rPr>
          <w:rFonts w:hint="eastAsia" w:ascii="仿宋" w:hAnsi="仿宋" w:eastAsia="仿宋" w:cs="仿宋"/>
          <w:sz w:val="32"/>
          <w:szCs w:val="32"/>
        </w:rPr>
      </w:pPr>
      <w:r>
        <w:rPr>
          <w:rFonts w:hint="eastAsia" w:ascii="仿宋" w:hAnsi="仿宋" w:eastAsia="仿宋" w:cs="仿宋"/>
          <w:sz w:val="32"/>
          <w:szCs w:val="32"/>
        </w:rPr>
        <w:t>因民镇在职人员编制76人，其中：行政编制 37人，事业编制39人。在职实有</w:t>
      </w:r>
      <w:r>
        <w:rPr>
          <w:rFonts w:hint="eastAsia" w:ascii="仿宋" w:hAnsi="仿宋" w:eastAsia="仿宋" w:cs="仿宋"/>
          <w:sz w:val="32"/>
          <w:szCs w:val="32"/>
          <w:lang w:val="en-US" w:eastAsia="zh-CN"/>
        </w:rPr>
        <w:t>69</w:t>
      </w:r>
      <w:r>
        <w:rPr>
          <w:rFonts w:hint="eastAsia" w:ascii="仿宋" w:hAnsi="仿宋" w:eastAsia="仿宋" w:cs="仿宋"/>
          <w:sz w:val="32"/>
          <w:szCs w:val="32"/>
        </w:rPr>
        <w:t>人，</w:t>
      </w:r>
      <w:r>
        <w:rPr>
          <w:rFonts w:hint="eastAsia" w:ascii="仿宋_GB2312" w:hAnsi="仿宋" w:eastAsia="仿宋_GB2312" w:cs="仿宋"/>
          <w:color w:val="000000"/>
          <w:sz w:val="32"/>
          <w:szCs w:val="32"/>
        </w:rPr>
        <w:t>2020年行政</w:t>
      </w:r>
      <w:r>
        <w:rPr>
          <w:rFonts w:hint="eastAsia" w:ascii="仿宋_GB2312" w:hAnsi="仿宋" w:eastAsia="仿宋_GB2312" w:cs="仿宋"/>
          <w:color w:val="000000"/>
          <w:sz w:val="32"/>
          <w:szCs w:val="32"/>
          <w:lang w:val="en-US" w:eastAsia="zh-CN"/>
        </w:rPr>
        <w:t>27</w:t>
      </w:r>
      <w:r>
        <w:rPr>
          <w:rFonts w:hint="eastAsia" w:ascii="仿宋_GB2312" w:hAnsi="仿宋" w:eastAsia="仿宋_GB2312" w:cs="仿宋"/>
          <w:color w:val="000000"/>
          <w:sz w:val="32"/>
          <w:szCs w:val="32"/>
        </w:rPr>
        <w:t>人，</w:t>
      </w:r>
      <w:r>
        <w:rPr>
          <w:rFonts w:hint="eastAsia" w:ascii="仿宋_GB2312" w:hAnsi="仿宋" w:eastAsia="仿宋_GB2312" w:cs="仿宋"/>
          <w:color w:val="000000"/>
          <w:sz w:val="32"/>
          <w:szCs w:val="32"/>
          <w:lang w:val="en-US" w:eastAsia="zh-CN"/>
        </w:rPr>
        <w:t>参公4人，部</w:t>
      </w:r>
      <w:r>
        <w:rPr>
          <w:rFonts w:hint="eastAsia" w:ascii="仿宋_GB2312" w:hAnsi="仿宋" w:eastAsia="仿宋_GB2312" w:cs="仿宋"/>
          <w:color w:val="000000"/>
          <w:sz w:val="32"/>
          <w:szCs w:val="32"/>
        </w:rPr>
        <w:t>事业37人。行政调入5人、调出12人；事业招录2人，退伍安置1人，调出4人。</w:t>
      </w:r>
      <w:r>
        <w:rPr>
          <w:rFonts w:hint="eastAsia" w:ascii="仿宋" w:hAnsi="仿宋" w:eastAsia="仿宋" w:cs="仿宋"/>
          <w:sz w:val="32"/>
          <w:szCs w:val="32"/>
        </w:rPr>
        <w:t>离退休人员 14人，其中：离休 0人，退休 0人。车辆编制6辆，实有车辆6辆。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（二）部门职能</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rPr>
        <w:t>承担机关日常工作的运转协调，具体履行机关日 常党务政务、纪检监察、组织人事、宣传、统战、民族宗教、机 构编制、文秘、督办、电子政务、保密、财务、国有资产监管、 后勤保障等职责，负责乡镇人大、人民武装及工会、共青团、妇 联等日常工作；</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rPr>
        <w:t>贯彻执行中央和省、市、区扶贫开发工作方针政 策，拟定扶贫开发规划和政策措施并组织实施；组织实施扶贫开 发项目，巩固扶贫开发成效；配合有关部门组织和监督扶贫资金 的使用；组织指导劳动力转移培训；负责扶贫开发的统计监测工 作。承担镇、村经济发展、规划、建设及管理，承担生态环境、 农村土地承包管理、林权管理、水务管理、农村经济经营管理、 企业管理、统计、应急管理等职责；负责项目建设、招商引资、 投资促进、行业商会建设、农民负担监督、市场监管、新经济组 织等工作；</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承担村（社区）党建、驻区单位党建、非公有制经济和社会组织党建、基层治理等职责；</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承担精神文明、社会组织建设、人力资源社会保 障、民政、退役军人、卫生健康、村镇管理、食品安全、教育体 育、科技、文化旅游、广播电视等职责；</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承担法治建设、社会治安综合治理、维护稳定、 人民调解、行政调解、司法调解、矛盾纠纷排查调处、突发事件 和群体性事件的预防处置等职责；</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b w:val="0"/>
          <w:bCs w:val="0"/>
          <w:color w:val="auto"/>
          <w:sz w:val="32"/>
          <w:szCs w:val="32"/>
          <w:highlight w:val="none"/>
        </w:rPr>
        <w:t>承办农业农村、林业、水务、农业机械、农机监 理、畜牧兽医等基层农业技术推广、动植物疫病防控防治、农产 品质量检测等服务性工作；</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7.</w:t>
      </w:r>
      <w:r>
        <w:rPr>
          <w:rFonts w:hint="eastAsia" w:ascii="仿宋" w:hAnsi="仿宋" w:eastAsia="仿宋" w:cs="仿宋"/>
          <w:b w:val="0"/>
          <w:bCs w:val="0"/>
          <w:color w:val="auto"/>
          <w:sz w:val="32"/>
          <w:szCs w:val="32"/>
          <w:highlight w:val="none"/>
        </w:rPr>
        <w:t>承办人力资源开发、劳动力技能培训与转移、就业，养老保险、优抚安置、退役军人服务、社会救助、最低生活 保障，基本医疗保险等服务性工作；</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8.</w:t>
      </w:r>
      <w:r>
        <w:rPr>
          <w:rFonts w:hint="eastAsia" w:ascii="仿宋" w:hAnsi="仿宋" w:eastAsia="仿宋" w:cs="仿宋"/>
          <w:b w:val="0"/>
          <w:bCs w:val="0"/>
          <w:color w:val="auto"/>
          <w:sz w:val="32"/>
          <w:szCs w:val="32"/>
          <w:highlight w:val="none"/>
        </w:rPr>
        <w:t>承办文化旅游、广播电视、群众性体育活动及相 关设施维护与管理等服务性工作；</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9.</w:t>
      </w:r>
      <w:r>
        <w:rPr>
          <w:rFonts w:hint="eastAsia" w:ascii="仿宋" w:hAnsi="仿宋" w:eastAsia="仿宋" w:cs="仿宋"/>
          <w:b w:val="0"/>
          <w:bCs w:val="0"/>
          <w:color w:val="auto"/>
          <w:sz w:val="32"/>
          <w:szCs w:val="32"/>
          <w:highlight w:val="none"/>
        </w:rPr>
        <w:t>承办村镇规划、村容镇貌、环境卫生、园林绿化、 村镇公共设施维护与管理等服务性工作；</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10.</w:t>
      </w:r>
      <w:r>
        <w:rPr>
          <w:rFonts w:hint="eastAsia" w:ascii="仿宋" w:hAnsi="仿宋" w:eastAsia="仿宋" w:cs="仿宋"/>
          <w:b w:val="0"/>
          <w:bCs w:val="0"/>
          <w:color w:val="auto"/>
          <w:sz w:val="32"/>
          <w:szCs w:val="32"/>
          <w:highlight w:val="none"/>
        </w:rPr>
        <w:t>承办面向群众的管理、审批、服务等工作并作为 党群活动平台；</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11.</w:t>
      </w:r>
      <w:r>
        <w:rPr>
          <w:rFonts w:hint="eastAsia" w:ascii="仿宋" w:hAnsi="仿宋" w:eastAsia="仿宋" w:cs="仿宋"/>
          <w:b w:val="0"/>
          <w:bCs w:val="0"/>
          <w:color w:val="auto"/>
          <w:sz w:val="32"/>
          <w:szCs w:val="32"/>
          <w:highlight w:val="none"/>
        </w:rPr>
        <w:t>承办财政收支管理等服务性工作；</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12.</w:t>
      </w:r>
      <w:r>
        <w:rPr>
          <w:rFonts w:hint="eastAsia" w:ascii="仿宋" w:hAnsi="仿宋" w:eastAsia="仿宋" w:cs="仿宋"/>
          <w:b w:val="0"/>
          <w:bCs w:val="0"/>
          <w:color w:val="auto"/>
          <w:sz w:val="32"/>
          <w:szCs w:val="32"/>
          <w:highlight w:val="none"/>
        </w:rPr>
        <w:t>承办应急救灾、安全生产、消防安全、交通安全、 生态环境保护等服务性工作。协调农村公路的建设、管理和维护 等服务性工作。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（三）部门工作完成情况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kern w:val="0"/>
          <w:sz w:val="32"/>
          <w:szCs w:val="32"/>
          <w:lang w:val="en-US" w:eastAsia="zh-CN" w:bidi="ar"/>
        </w:rPr>
        <w:t>2020年，在区委、区政府的坚强领导下，镇党委带领全镇党员领导干部、村组干部，集中人民群众、辖区企业等各方面社会力量，全面收官“十三五”、积极谋划“十四五”，尤其是在应对突如其来的新冠肺炎疫情、村（居）“两委”换届、白鹤滩移民搬迁等重大工作以及积极稳妥处理好全镇经济建设、政治建设、文化建设、社会建设、生态文明建设和党的建设以及乡村振兴中的重大问题方面，全镇党员领导干部认真践行“特别能吃苦、特别能团结、特别能战斗、特别能奉献”的因民干部精神，坚持“工作上是战友、生活中是兄弟”的理念，做到重点工作一起上、遇到困难一起解、取得成绩一起享、生活困难一起帮，</w:t>
      </w:r>
      <w:r>
        <w:rPr>
          <w:rStyle w:val="16"/>
          <w:rFonts w:hint="eastAsia" w:ascii="仿宋" w:hAnsi="仿宋" w:eastAsia="仿宋" w:cs="仿宋"/>
          <w:kern w:val="0"/>
          <w:sz w:val="32"/>
          <w:szCs w:val="32"/>
          <w:lang w:val="en-US" w:eastAsia="zh-CN" w:bidi="ar"/>
        </w:rPr>
        <w:t>我们</w:t>
      </w:r>
      <w:r>
        <w:rPr>
          <w:rFonts w:hint="eastAsia" w:ascii="仿宋" w:hAnsi="仿宋" w:eastAsia="仿宋" w:cs="仿宋"/>
          <w:kern w:val="0"/>
          <w:sz w:val="32"/>
          <w:szCs w:val="32"/>
          <w:lang w:val="en-US" w:eastAsia="zh-CN" w:bidi="ar"/>
        </w:rPr>
        <w:t>提出并贯彻落实基层党建“15485”思路，首创云端因民网络“书记抓党建述职”，成功举办全镇“三讲三评三诚信”活动，老来红社区、因民社区成功创建市级“五星级”、“四星级”规范化建设达标党支部，机关党支部软弱涣散达标验收。</w:t>
      </w:r>
      <w:r>
        <w:rPr>
          <w:rStyle w:val="16"/>
          <w:rFonts w:hint="eastAsia" w:ascii="仿宋" w:hAnsi="仿宋" w:eastAsia="仿宋" w:cs="仿宋"/>
          <w:kern w:val="0"/>
          <w:sz w:val="32"/>
          <w:szCs w:val="32"/>
          <w:lang w:val="en-US" w:eastAsia="zh-CN" w:bidi="ar"/>
        </w:rPr>
        <w:t>我们</w:t>
      </w:r>
      <w:r>
        <w:rPr>
          <w:rFonts w:hint="eastAsia" w:ascii="仿宋" w:hAnsi="仿宋" w:eastAsia="仿宋" w:cs="仿宋"/>
          <w:kern w:val="0"/>
          <w:sz w:val="32"/>
          <w:szCs w:val="32"/>
          <w:lang w:val="en-US" w:eastAsia="zh-CN" w:bidi="ar"/>
        </w:rPr>
        <w:t>采取“双线作战”、“十网联动”等措施，成立党员突击队、红色医疗队，全面落实各项疫情防控措施。</w:t>
      </w:r>
      <w:r>
        <w:rPr>
          <w:rStyle w:val="16"/>
          <w:rFonts w:hint="eastAsia" w:ascii="仿宋" w:hAnsi="仿宋" w:eastAsia="仿宋" w:cs="仿宋"/>
          <w:kern w:val="0"/>
          <w:sz w:val="32"/>
          <w:szCs w:val="32"/>
          <w:lang w:val="en-US" w:eastAsia="zh-CN" w:bidi="ar"/>
        </w:rPr>
        <w:t>我们</w:t>
      </w:r>
      <w:r>
        <w:rPr>
          <w:rFonts w:hint="eastAsia" w:ascii="仿宋" w:hAnsi="仿宋" w:eastAsia="仿宋" w:cs="仿宋"/>
          <w:kern w:val="0"/>
          <w:sz w:val="32"/>
          <w:szCs w:val="32"/>
          <w:lang w:val="en-US" w:eastAsia="zh-CN" w:bidi="ar"/>
        </w:rPr>
        <w:t>提出并贯彻落实巩固脱贫成效“22651”工作思路，紧盯预警户、边缘户和特殊户，围绕“缺什么、补什么”，做好动态预警监测，高质量通过脱贫攻坚国家大普查、省市级成效考核以及国家东西部成效考核。尤其是“300元”因民美食“三宝”套餐，销售额达400余万元，新带动群众种植小芭蕉250亩、小米辣200亩，产品远销北京、上海。</w:t>
      </w:r>
      <w:r>
        <w:rPr>
          <w:rStyle w:val="16"/>
          <w:rFonts w:hint="eastAsia" w:ascii="仿宋" w:hAnsi="仿宋" w:eastAsia="仿宋" w:cs="仿宋"/>
          <w:kern w:val="0"/>
          <w:sz w:val="32"/>
          <w:szCs w:val="32"/>
          <w:lang w:val="en-US" w:eastAsia="zh-CN" w:bidi="ar"/>
        </w:rPr>
        <w:t>我们</w:t>
      </w:r>
      <w:r>
        <w:rPr>
          <w:rFonts w:hint="eastAsia" w:ascii="仿宋" w:hAnsi="仿宋" w:eastAsia="仿宋" w:cs="仿宋"/>
          <w:kern w:val="0"/>
          <w:sz w:val="32"/>
          <w:szCs w:val="32"/>
          <w:lang w:val="en-US" w:eastAsia="zh-CN" w:bidi="ar"/>
        </w:rPr>
        <w:t>投资3785.21万，实施了金沙江太阳能提灌站、新区大道、移民新区（对门山）农贸市场等重点民生项目，因民码头客运和货运一体化项目已争取落地开工建设。</w:t>
      </w:r>
      <w:r>
        <w:rPr>
          <w:rStyle w:val="16"/>
          <w:rFonts w:hint="eastAsia" w:ascii="仿宋" w:hAnsi="仿宋" w:eastAsia="仿宋" w:cs="仿宋"/>
          <w:kern w:val="0"/>
          <w:sz w:val="32"/>
          <w:szCs w:val="32"/>
          <w:lang w:val="en-US" w:eastAsia="zh-CN" w:bidi="ar"/>
        </w:rPr>
        <w:t>我们</w:t>
      </w:r>
      <w:r>
        <w:rPr>
          <w:rFonts w:hint="eastAsia" w:ascii="仿宋" w:hAnsi="仿宋" w:eastAsia="仿宋" w:cs="仿宋"/>
          <w:kern w:val="0"/>
          <w:sz w:val="32"/>
          <w:szCs w:val="32"/>
          <w:lang w:val="en-US" w:eastAsia="zh-CN" w:bidi="ar"/>
        </w:rPr>
        <w:t>把“就业、教育、医疗、治安、宜居”作为民生关键战来抓，就业已连续四年实现户均1人就业目标，稳住辖区矿山企业，确保就业稳定；克服易地扶贫搬迁生源减少，采取“抓两头带中间”措施，教育总体水平连年上升。低保户、残疾人户等特殊困难户，实现应享尽享。</w:t>
      </w:r>
      <w:r>
        <w:rPr>
          <w:rStyle w:val="16"/>
          <w:rFonts w:hint="eastAsia" w:ascii="仿宋" w:hAnsi="仿宋" w:eastAsia="仿宋" w:cs="仿宋"/>
          <w:kern w:val="0"/>
          <w:sz w:val="32"/>
          <w:szCs w:val="32"/>
          <w:lang w:val="en-US" w:eastAsia="zh-CN" w:bidi="ar"/>
        </w:rPr>
        <w:t>我们</w:t>
      </w:r>
      <w:r>
        <w:rPr>
          <w:rFonts w:hint="eastAsia" w:ascii="仿宋" w:hAnsi="仿宋" w:eastAsia="仿宋" w:cs="仿宋"/>
          <w:kern w:val="0"/>
          <w:sz w:val="32"/>
          <w:szCs w:val="32"/>
          <w:lang w:val="en-US" w:eastAsia="zh-CN" w:bidi="ar"/>
        </w:rPr>
        <w:t>坚定不移贯彻落实习近平生态文明思想，打好“蓝天、碧水、净土”保卫战，采取“种树绿山川、治污护河流、减灾治矿山”三项措施，全面抓好环保问题整改和生态建设提质，推动“四矿三农”工作更加有序。</w:t>
      </w:r>
      <w:r>
        <w:rPr>
          <w:rStyle w:val="16"/>
          <w:rFonts w:hint="eastAsia" w:ascii="仿宋" w:hAnsi="仿宋" w:eastAsia="仿宋" w:cs="仿宋"/>
          <w:kern w:val="0"/>
          <w:sz w:val="32"/>
          <w:szCs w:val="32"/>
          <w:lang w:val="en-US" w:eastAsia="zh-CN" w:bidi="ar"/>
        </w:rPr>
        <w:t>我们</w:t>
      </w:r>
      <w:r>
        <w:rPr>
          <w:rFonts w:hint="eastAsia" w:ascii="仿宋" w:hAnsi="仿宋" w:eastAsia="仿宋" w:cs="仿宋"/>
          <w:kern w:val="0"/>
          <w:sz w:val="32"/>
          <w:szCs w:val="32"/>
          <w:lang w:val="en-US" w:eastAsia="zh-CN" w:bidi="ar"/>
        </w:rPr>
        <w:t>通过脱贫攻坚这场伟大战役，锤炼了因民干部特别能吃苦、特别能战斗、特别能奉献、特别能团结，工作上的战友情和生活上的兄弟情让因民人紧密相连，让“我是因民人”成为了因民人“最响亮的自豪”。</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（四）部门管理制度</w:t>
      </w:r>
    </w:p>
    <w:p>
      <w:pPr>
        <w:pStyle w:val="12"/>
        <w:pageBreakBefore w:val="0"/>
        <w:widowControl/>
        <w:shd w:val="clear" w:color="auto" w:fill="FFFFFF"/>
        <w:kinsoku/>
        <w:wordWrap/>
        <w:overflowPunct/>
        <w:topLinePunct w:val="0"/>
        <w:bidi w:val="0"/>
        <w:spacing w:before="0" w:beforeAutospacing="0" w:after="0" w:afterAutospacing="0" w:line="560" w:lineRule="exact"/>
        <w:ind w:left="0" w:leftChars="0" w:right="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highlight w:val="none"/>
          <w:lang w:val="en-US" w:eastAsia="zh-CN"/>
        </w:rPr>
        <w:t>因民镇</w:t>
      </w:r>
      <w:r>
        <w:rPr>
          <w:rFonts w:hint="eastAsia" w:ascii="仿宋" w:hAnsi="仿宋" w:eastAsia="仿宋" w:cs="仿宋"/>
          <w:sz w:val="32"/>
          <w:szCs w:val="32"/>
          <w:highlight w:val="none"/>
        </w:rPr>
        <w:t>认真制定并严格执行了</w:t>
      </w:r>
      <w:r>
        <w:rPr>
          <w:rFonts w:hint="eastAsia" w:ascii="仿宋" w:hAnsi="仿宋" w:eastAsia="仿宋" w:cs="仿宋"/>
          <w:color w:val="000000" w:themeColor="text1"/>
          <w:sz w:val="32"/>
          <w:szCs w:val="32"/>
          <w14:textFill>
            <w14:solidFill>
              <w14:schemeClr w14:val="tx1"/>
            </w14:solidFill>
          </w14:textFill>
        </w:rPr>
        <w:t>《中华人民共和国预算法》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highlight w:val="none"/>
        </w:rPr>
        <w:t>因民镇安全生产管理制度、部门中长期规划</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《昆明市东川区人民政府办公室关于转发昆明市公共资源交易管理相关文件的通知》《东政办发〔2017〕73号》、</w:t>
      </w:r>
      <w:r>
        <w:rPr>
          <w:rFonts w:hint="eastAsia" w:ascii="仿宋" w:hAnsi="仿宋" w:eastAsia="仿宋" w:cs="仿宋"/>
          <w:color w:val="000000" w:themeColor="text1"/>
          <w:sz w:val="32"/>
          <w:szCs w:val="32"/>
          <w14:textFill>
            <w14:solidFill>
              <w14:schemeClr w14:val="tx1"/>
            </w14:solidFill>
          </w14:textFill>
        </w:rPr>
        <w:t>《关于印发东川区财政专项扶贫资金乡级报账制管理工作实施方案（试行）的通知》（东政办发〔2017〕110号）、</w:t>
      </w:r>
      <w:r>
        <w:rPr>
          <w:rFonts w:hint="eastAsia" w:ascii="仿宋" w:hAnsi="仿宋" w:eastAsia="仿宋" w:cs="仿宋"/>
          <w:sz w:val="32"/>
          <w:szCs w:val="32"/>
          <w:highlight w:val="none"/>
        </w:rPr>
        <w:t>《东川区统筹整合使用财政涉农资金管理办法（暂行）》（东政办发〔2017〕111号）</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14:textFill>
            <w14:solidFill>
              <w14:schemeClr w14:val="tx1"/>
            </w14:solidFill>
          </w14:textFill>
        </w:rPr>
        <w:t>《关于印发东川区统筹整合使用财政涉农资金管理办法（修订）的通知》（东政发〔2018〕98号）、《关于印发昆明市扶贫资金项目公示公告制度实施办法的通知》（昆开办发〔2019〕4号）和《因民镇人民政府关于印发因民镇报账流程和要求的通知》（因政办通〔2017〕2号）</w:t>
      </w:r>
      <w:r>
        <w:rPr>
          <w:rFonts w:hint="eastAsia" w:ascii="仿宋" w:hAnsi="仿宋" w:eastAsia="仿宋" w:cs="仿宋"/>
          <w:sz w:val="32"/>
          <w:szCs w:val="32"/>
          <w:highlight w:val="none"/>
        </w:rPr>
        <w:t>文件及各项内部业务管理制度、财务管理制度，保障机构各项业务正常开展，降低资金使用风险</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14:textFill>
            <w14:solidFill>
              <w14:schemeClr w14:val="tx1"/>
            </w14:solidFill>
          </w14:textFill>
        </w:rPr>
        <w:t>依法依规使用资金，规范资金拨付流程和会计核算管理，确保资金安全、有效。</w:t>
      </w:r>
    </w:p>
    <w:p>
      <w:pPr>
        <w:pStyle w:val="12"/>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w:t>
      </w:r>
      <w:r>
        <w:rPr>
          <w:rFonts w:hint="eastAsia" w:ascii="楷体" w:hAnsi="楷体" w:eastAsia="楷体" w:cs="楷体"/>
          <w:sz w:val="32"/>
          <w:szCs w:val="32"/>
        </w:rPr>
        <w:t>部门资金来源及使用情况</w:t>
      </w:r>
    </w:p>
    <w:p>
      <w:pPr>
        <w:pStyle w:val="12"/>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1.资金来源及预算下达情况</w:t>
      </w:r>
    </w:p>
    <w:p>
      <w:pPr>
        <w:pStyle w:val="12"/>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因民镇2020年财政拨款收入35,226,864.89元，其中：一般公共服务支出10,911,129.55元；社会保障和就业支出2,436,274.88元；节能环保支出5,011,331.70元；城乡社区支出440,610.00元；农林水支出15,032,303.46元；灾害防治及应急管理支出150,000.00元</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spacing w:line="560" w:lineRule="exact"/>
        <w:ind w:left="0" w:leftChars="0" w:right="0" w:firstLine="640" w:firstLineChars="200"/>
        <w:textAlignment w:val="auto"/>
        <w:rPr>
          <w:rFonts w:hint="eastAsia" w:ascii="仿宋" w:hAnsi="仿宋" w:eastAsia="仿宋" w:cs="仿宋"/>
          <w:bCs/>
          <w:kern w:val="1"/>
          <w:sz w:val="32"/>
          <w:szCs w:val="32"/>
        </w:rPr>
      </w:pPr>
      <w:r>
        <w:rPr>
          <w:rFonts w:hint="eastAsia" w:ascii="仿宋" w:hAnsi="仿宋" w:eastAsia="仿宋" w:cs="仿宋"/>
          <w:sz w:val="32"/>
          <w:szCs w:val="32"/>
        </w:rPr>
        <w:t>2020</w:t>
      </w:r>
      <w:r>
        <w:rPr>
          <w:rFonts w:hint="eastAsia" w:ascii="仿宋" w:hAnsi="仿宋" w:eastAsia="仿宋" w:cs="仿宋"/>
          <w:bCs/>
          <w:kern w:val="1"/>
          <w:sz w:val="32"/>
          <w:szCs w:val="32"/>
        </w:rPr>
        <w:t>年收入支出年初预算安排资金</w:t>
      </w:r>
      <w:r>
        <w:rPr>
          <w:rFonts w:hint="eastAsia" w:ascii="仿宋" w:hAnsi="仿宋" w:eastAsia="仿宋" w:cs="仿宋"/>
          <w:sz w:val="32"/>
          <w:szCs w:val="32"/>
        </w:rPr>
        <w:t>16</w:t>
      </w:r>
      <w:r>
        <w:rPr>
          <w:rFonts w:hint="eastAsia" w:ascii="仿宋" w:hAnsi="仿宋" w:eastAsia="仿宋" w:cs="仿宋"/>
          <w:color w:val="000000"/>
          <w:sz w:val="32"/>
          <w:szCs w:val="32"/>
        </w:rPr>
        <w:t>,</w:t>
      </w:r>
      <w:r>
        <w:rPr>
          <w:rFonts w:hint="eastAsia" w:ascii="仿宋" w:hAnsi="仿宋" w:eastAsia="仿宋" w:cs="仿宋"/>
          <w:sz w:val="32"/>
          <w:szCs w:val="32"/>
        </w:rPr>
        <w:t>708</w:t>
      </w:r>
      <w:r>
        <w:rPr>
          <w:rFonts w:hint="eastAsia" w:ascii="仿宋" w:hAnsi="仿宋" w:eastAsia="仿宋" w:cs="仿宋"/>
          <w:color w:val="000000"/>
          <w:sz w:val="32"/>
          <w:szCs w:val="32"/>
        </w:rPr>
        <w:t>,</w:t>
      </w:r>
      <w:r>
        <w:rPr>
          <w:rFonts w:hint="eastAsia" w:ascii="仿宋" w:hAnsi="仿宋" w:eastAsia="仿宋" w:cs="仿宋"/>
          <w:sz w:val="32"/>
          <w:szCs w:val="32"/>
        </w:rPr>
        <w:t>501.43</w:t>
      </w:r>
      <w:r>
        <w:rPr>
          <w:rFonts w:hint="eastAsia" w:ascii="仿宋" w:hAnsi="仿宋" w:eastAsia="仿宋" w:cs="仿宋"/>
          <w:bCs/>
          <w:kern w:val="1"/>
          <w:sz w:val="32"/>
          <w:szCs w:val="32"/>
        </w:rPr>
        <w:t>元，与上年对比，因</w:t>
      </w:r>
      <w:r>
        <w:rPr>
          <w:rFonts w:hint="eastAsia" w:ascii="仿宋" w:hAnsi="仿宋" w:eastAsia="仿宋" w:cs="仿宋"/>
          <w:sz w:val="32"/>
          <w:szCs w:val="32"/>
        </w:rPr>
        <w:t>2020年人员等减少，故</w:t>
      </w:r>
      <w:r>
        <w:rPr>
          <w:rFonts w:hint="eastAsia" w:ascii="仿宋" w:hAnsi="仿宋" w:eastAsia="仿宋" w:cs="仿宋"/>
          <w:bCs/>
          <w:kern w:val="1"/>
          <w:sz w:val="32"/>
          <w:szCs w:val="32"/>
        </w:rPr>
        <w:t>比上年预算安排资金减少。在年度执行中，因增加</w:t>
      </w:r>
      <w:r>
        <w:rPr>
          <w:rFonts w:hint="eastAsia" w:ascii="仿宋" w:hAnsi="仿宋" w:eastAsia="仿宋" w:cs="仿宋"/>
          <w:sz w:val="32"/>
          <w:szCs w:val="32"/>
        </w:rPr>
        <w:t>本单位2020年因开展东川区因民镇太阳能提灌站项目，根据东财整合〔2020〕1号文件，追加资金402.75万元；本单位2020年因开展，根据文件，追加资金万元；本单位2020年因开展2020年扶持壮大村级集体经济项目，根据东财整合〔2020〕4号文件，追加资金500</w:t>
      </w:r>
      <w:r>
        <w:rPr>
          <w:rFonts w:hint="eastAsia" w:ascii="仿宋" w:hAnsi="仿宋" w:eastAsia="仿宋" w:cs="仿宋"/>
          <w:sz w:val="32"/>
          <w:szCs w:val="32"/>
          <w:lang w:val="en-US" w:eastAsia="zh-CN"/>
        </w:rPr>
        <w:t>.00</w:t>
      </w:r>
      <w:r>
        <w:rPr>
          <w:rFonts w:hint="eastAsia" w:ascii="仿宋" w:hAnsi="仿宋" w:eastAsia="仿宋" w:cs="仿宋"/>
          <w:sz w:val="32"/>
          <w:szCs w:val="32"/>
        </w:rPr>
        <w:t>万元；本单位2020年因开展东川区2020年花椒产业建设项目，根据东财整合〔2020〕5号文件，追加资金82.5万元；本单位2020年因开展东川区2020年花椒产业建设项目，根据东财整合〔2020〕1号7号文件，追加资金126.8万元；本单位2020年因开展东川区2020年中央财政林业草原生态保护恢复专项资金，根据东财农〔2020〕22号文件，追加资金377.48万元；本单位2020年因开展2020年中央财政林业改革发展森林生态效益补偿专项资金，根据东财农〔2020〕26号文件，追加资金143.7</w:t>
      </w:r>
      <w:r>
        <w:rPr>
          <w:rFonts w:hint="eastAsia" w:ascii="仿宋" w:hAnsi="仿宋" w:eastAsia="仿宋" w:cs="仿宋"/>
          <w:sz w:val="32"/>
          <w:szCs w:val="32"/>
          <w:lang w:val="en-US" w:eastAsia="zh-CN"/>
        </w:rPr>
        <w:t>4</w:t>
      </w:r>
      <w:r>
        <w:rPr>
          <w:rFonts w:hint="eastAsia" w:ascii="仿宋" w:hAnsi="仿宋" w:eastAsia="仿宋" w:cs="仿宋"/>
          <w:sz w:val="32"/>
          <w:szCs w:val="32"/>
        </w:rPr>
        <w:t>万元；本单位2020年因开展2020年省级公益林森林生态效益补偿专项资金，根据东财农〔2020〕78号文件，追加资金1.67万元；本单位2020年因开展东川区2020年退耕还林及陡坡地治理市级补助专项资金，根据东财农〔2020〕42号文件，追加资金31.4</w:t>
      </w:r>
      <w:r>
        <w:rPr>
          <w:rFonts w:hint="eastAsia" w:ascii="仿宋" w:hAnsi="仿宋" w:eastAsia="仿宋" w:cs="仿宋"/>
          <w:sz w:val="32"/>
          <w:szCs w:val="32"/>
          <w:lang w:val="en-US" w:eastAsia="zh-CN"/>
        </w:rPr>
        <w:t>9</w:t>
      </w:r>
      <w:r>
        <w:rPr>
          <w:rFonts w:hint="eastAsia" w:ascii="仿宋" w:hAnsi="仿宋" w:eastAsia="仿宋" w:cs="仿宋"/>
          <w:sz w:val="32"/>
          <w:szCs w:val="32"/>
        </w:rPr>
        <w:t>万元；本单位2020年因开展东川区2020年农牧民草原生态奖补专项资金，根据东财农〔2020〕41号文件，追加资金16.15万元；本单位2020年因开展东川区新型冠状病毒感染的肺炎疫情防控工作经费，根据东财预〔2020〕2号文件，追加资金10</w:t>
      </w:r>
      <w:r>
        <w:rPr>
          <w:rFonts w:hint="eastAsia" w:ascii="仿宋" w:hAnsi="仿宋" w:eastAsia="仿宋" w:cs="仿宋"/>
          <w:sz w:val="32"/>
          <w:szCs w:val="32"/>
          <w:lang w:val="en-US" w:eastAsia="zh-CN"/>
        </w:rPr>
        <w:t>.00</w:t>
      </w:r>
      <w:r>
        <w:rPr>
          <w:rFonts w:hint="eastAsia" w:ascii="仿宋" w:hAnsi="仿宋" w:eastAsia="仿宋" w:cs="仿宋"/>
          <w:sz w:val="32"/>
          <w:szCs w:val="32"/>
        </w:rPr>
        <w:t>万元；本单位2020年因开展生态环境综合治理资金项目，根据东政复〔2019〕83号文件，追加资金17.06万元；本单位2020年因开展2019年中央财政第三批林业生态保护恢复资金项目，根据昆财农〔2019〕149号文件，追加资金45</w:t>
      </w:r>
      <w:r>
        <w:rPr>
          <w:rFonts w:hint="eastAsia" w:ascii="仿宋" w:hAnsi="仿宋" w:eastAsia="仿宋" w:cs="仿宋"/>
          <w:sz w:val="32"/>
          <w:szCs w:val="32"/>
          <w:lang w:val="en-US" w:eastAsia="zh-CN"/>
        </w:rPr>
        <w:t>.00</w:t>
      </w:r>
      <w:r>
        <w:rPr>
          <w:rFonts w:hint="eastAsia" w:ascii="仿宋" w:hAnsi="仿宋" w:eastAsia="仿宋" w:cs="仿宋"/>
          <w:sz w:val="32"/>
          <w:szCs w:val="32"/>
        </w:rPr>
        <w:t>万元；本单位2020年因开展2019年中央财政林业改革发展资金（森林资源管护）项目，根据昆财农〔2019〕24号文件，追加资金3.15万元；本单位2020年因开展2019年退耕还林市级补助资金项目，根据昆财农〔2019〕31号文件，追加资金18.49万元；本单位2020年因开展2019年贫困村第一书记（工作队长）省级补助工作经费项目，根据昆财农〔2019〕49号文件，追加资金12万元；本单位2020年因开展拨付扶贫县区扶贫资金检查审计补助资金项目，根据财农〔2019〕12号文件，追加资金5万元；本单位2020年因开展2018年农村公路通达工程项目，根据东扶联发〔2019〕24号文件，追加资金3.15万元；本单位2020年因开展2019年土地指标跨省域调剂收入安排的支出预算（东扶联发〔2019〕28号）项目，根据昆财农〔2019〕124号文件，追加资金2.11万元；本单位2020年因开展东川区因民镇青龙山村高山养羊养殖项目项目，根据东扶联发〔2019〕22号文件，追加资金18.55万元。故调整增加了2020年预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2.资金使用及结转结余情况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2020年总支出3.354.10万元，一般公共服务支出1.091.11万元，占总支出的32.53%；社会保障和就业支出243.63万元，占总支出的7.26%；节能环保支出501.13万元，占总支出的；农林水支出1503.23万元，占总支出的14.94%；灾害防治及应急管理支出15万元，占总支出的0.44%。</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因民镇</w:t>
      </w:r>
      <w:r>
        <w:rPr>
          <w:rFonts w:hint="eastAsia" w:ascii="仿宋" w:hAnsi="仿宋" w:eastAsia="仿宋" w:cs="仿宋"/>
          <w:sz w:val="32"/>
          <w:szCs w:val="32"/>
        </w:rPr>
        <w:t>2020年初结转结余</w:t>
      </w:r>
      <w:r>
        <w:rPr>
          <w:rFonts w:hint="eastAsia" w:ascii="仿宋" w:hAnsi="仿宋" w:eastAsia="仿宋" w:cs="仿宋"/>
          <w:sz w:val="32"/>
          <w:szCs w:val="32"/>
          <w:lang w:val="en-US" w:eastAsia="zh-CN"/>
        </w:rPr>
        <w:t>132.58</w:t>
      </w:r>
      <w:r>
        <w:rPr>
          <w:rFonts w:hint="eastAsia" w:ascii="仿宋" w:hAnsi="仿宋" w:eastAsia="仿宋" w:cs="仿宋"/>
          <w:sz w:val="32"/>
          <w:szCs w:val="32"/>
        </w:rPr>
        <w:t>万元，年末结转结余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万元，其中：基本支出结转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万元、项目支出结转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（六）政府采购情况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1.因民镇</w:t>
      </w:r>
      <w:r>
        <w:rPr>
          <w:rFonts w:hint="eastAsia" w:ascii="仿宋" w:hAnsi="仿宋" w:eastAsia="仿宋" w:cs="仿宋"/>
          <w:sz w:val="32"/>
          <w:szCs w:val="32"/>
          <w:highlight w:val="none"/>
        </w:rPr>
        <w:t>根据《中华人民共和国政府采购法》的有关规定，编制了政府采购预算，严格按照文件要求进行审批、采购、管理、使用</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2.由于因民镇年初预算未在一体化系统填报采购资金计划，导致</w:t>
      </w:r>
      <w:r>
        <w:rPr>
          <w:rFonts w:hint="eastAsia" w:ascii="仿宋" w:hAnsi="仿宋" w:eastAsia="仿宋" w:cs="仿宋"/>
          <w:sz w:val="32"/>
          <w:szCs w:val="32"/>
          <w:highlight w:val="none"/>
        </w:rPr>
        <w:t>2020年度部门政府采购支出总额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二、绩效目标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（一）部门总目标</w:t>
      </w:r>
    </w:p>
    <w:p>
      <w:pPr>
        <w:pStyle w:val="2"/>
        <w:keepNext w:val="0"/>
        <w:keepLines w:val="0"/>
        <w:pageBreakBefore w:val="0"/>
        <w:widowControl w:val="0"/>
        <w:kinsoku/>
        <w:wordWrap/>
        <w:overflowPunct/>
        <w:autoSpaceDE/>
        <w:autoSpaceDN/>
        <w:bidi w:val="0"/>
        <w:adjustRightInd/>
        <w:snapToGrid/>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维护一切经济单位和个人的正当经济权益，取缔非法经济活动，调整和处理民事纠纷，打击刑事犯罪维护社会稳定</w:t>
      </w:r>
      <w:r>
        <w:rPr>
          <w:rFonts w:hint="eastAsia" w:ascii="仿宋" w:hAnsi="仿宋" w:eastAsia="仿宋" w:cs="仿宋"/>
          <w:sz w:val="32"/>
          <w:szCs w:val="32"/>
          <w:lang w:eastAsia="zh-CN"/>
        </w:rPr>
        <w:t>，</w:t>
      </w:r>
      <w:r>
        <w:rPr>
          <w:rFonts w:hint="eastAsia" w:ascii="仿宋" w:hAnsi="仿宋" w:eastAsia="仿宋" w:cs="仿宋"/>
          <w:sz w:val="32"/>
          <w:szCs w:val="32"/>
        </w:rPr>
        <w:t>加强公共基层设施建设，不断推进新农村建设步伐</w:t>
      </w:r>
      <w:r>
        <w:rPr>
          <w:rFonts w:hint="eastAsia" w:ascii="仿宋" w:hAnsi="仿宋" w:eastAsia="仿宋" w:cs="仿宋"/>
          <w:sz w:val="32"/>
          <w:szCs w:val="32"/>
          <w:lang w:eastAsia="zh-CN"/>
        </w:rPr>
        <w:t>；</w:t>
      </w:r>
      <w:r>
        <w:rPr>
          <w:rFonts w:hint="eastAsia" w:ascii="仿宋" w:hAnsi="仿宋" w:eastAsia="仿宋" w:cs="仿宋"/>
          <w:sz w:val="32"/>
          <w:szCs w:val="32"/>
        </w:rPr>
        <w:t>制定和组织实施经济、科技和社会发展计划，制定产业结构调整方案，组织指导好产业发展，抓好招商引资，不断培育市场体系，组织经济运行，促进经济发展</w:t>
      </w:r>
      <w:r>
        <w:rPr>
          <w:rFonts w:hint="eastAsia" w:ascii="仿宋" w:hAnsi="仿宋" w:eastAsia="仿宋" w:cs="仿宋"/>
          <w:sz w:val="32"/>
          <w:szCs w:val="32"/>
          <w:lang w:eastAsia="zh-CN"/>
        </w:rPr>
        <w:t>；</w:t>
      </w:r>
      <w:r>
        <w:rPr>
          <w:rFonts w:hint="eastAsia" w:ascii="仿宋" w:hAnsi="仿宋" w:eastAsia="仿宋" w:cs="仿宋"/>
          <w:sz w:val="32"/>
          <w:szCs w:val="32"/>
        </w:rPr>
        <w:t>抓好党建工作，培养发展党员，提升党员素养，不断推动发展、服务群众，凝聚战斗力，促进和谐，促使基层党组织建设转型升级。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（二）部门项目具体计划目标</w:t>
      </w:r>
    </w:p>
    <w:p>
      <w:pPr>
        <w:pageBreakBefore w:val="0"/>
        <w:kinsoku/>
        <w:wordWrap/>
        <w:overflowPunct/>
        <w:bidi w:val="0"/>
        <w:adjustRightInd w:val="0"/>
        <w:snapToGrid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bookmarkStart w:id="0" w:name="_Toc57188814"/>
      <w:r>
        <w:rPr>
          <w:rFonts w:hint="eastAsia" w:ascii="仿宋" w:hAnsi="仿宋" w:eastAsia="仿宋" w:cs="仿宋"/>
          <w:color w:val="000000" w:themeColor="text1"/>
          <w:sz w:val="32"/>
          <w:szCs w:val="32"/>
          <w:lang w:val="en-US" w:eastAsia="zh-CN"/>
          <w14:textFill>
            <w14:solidFill>
              <w14:schemeClr w14:val="tx1"/>
            </w14:solidFill>
          </w14:textFill>
        </w:rPr>
        <w:t>2020年</w:t>
      </w:r>
      <w:r>
        <w:rPr>
          <w:rFonts w:hint="eastAsia" w:ascii="仿宋" w:hAnsi="仿宋" w:eastAsia="仿宋" w:cs="仿宋"/>
          <w:color w:val="000000" w:themeColor="text1"/>
          <w:sz w:val="32"/>
          <w:szCs w:val="32"/>
          <w14:textFill>
            <w14:solidFill>
              <w14:schemeClr w14:val="tx1"/>
            </w14:solidFill>
          </w14:textFill>
        </w:rPr>
        <w:t>地区生产总值年均增长8%以上，固定资产投资年均增长10%以上，一般公共预算收入年均增长5%以上，社会消费品零售总额年均增长9%以上，城乡居民人均可支配收入年均分别增长8%、10%以上，森林覆盖率达43%。</w:t>
      </w:r>
    </w:p>
    <w:p>
      <w:pPr>
        <w:pageBreakBefore w:val="0"/>
        <w:kinsoku/>
        <w:wordWrap/>
        <w:overflowPunct/>
        <w:bidi w:val="0"/>
        <w:spacing w:line="560" w:lineRule="exact"/>
        <w:ind w:firstLine="643"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——开创经济发展全新格局。</w:t>
      </w:r>
      <w:r>
        <w:rPr>
          <w:rFonts w:hint="eastAsia" w:ascii="仿宋" w:hAnsi="仿宋" w:eastAsia="仿宋" w:cs="仿宋"/>
          <w:bCs/>
          <w:color w:val="000000" w:themeColor="text1"/>
          <w:sz w:val="32"/>
          <w:szCs w:val="32"/>
          <w14:textFill>
            <w14:solidFill>
              <w14:schemeClr w14:val="tx1"/>
            </w14:solidFill>
          </w14:textFill>
        </w:rPr>
        <w:t>以产业转型攻坚为重点，推动传统产业转型升级，全力推动铜矿工业经济由“传统粗放”向“高效绿色”转变，</w:t>
      </w:r>
      <w:r>
        <w:rPr>
          <w:rFonts w:hint="eastAsia" w:ascii="仿宋" w:hAnsi="仿宋" w:eastAsia="仿宋" w:cs="仿宋"/>
          <w:color w:val="000000" w:themeColor="text1"/>
          <w:sz w:val="32"/>
          <w:szCs w:val="32"/>
          <w14:textFill>
            <w14:solidFill>
              <w14:schemeClr w14:val="tx1"/>
            </w14:solidFill>
          </w14:textFill>
        </w:rPr>
        <w:t>把生态优先、绿色发展摆在首要位置，发展绿色矿业。坚定不移加快矿山转型升级，</w:t>
      </w:r>
      <w:r>
        <w:rPr>
          <w:rFonts w:hint="eastAsia" w:ascii="仿宋" w:hAnsi="仿宋" w:eastAsia="仿宋" w:cs="仿宋"/>
          <w:bCs/>
          <w:color w:val="000000" w:themeColor="text1"/>
          <w:sz w:val="32"/>
          <w:szCs w:val="32"/>
          <w14:textFill>
            <w14:solidFill>
              <w14:schemeClr w14:val="tx1"/>
            </w14:solidFill>
          </w14:textFill>
        </w:rPr>
        <w:t>按照“安全、绿色、环保、科技、规范”的标准，引进先进生产设备和生产工艺，确保各项排放指标达标，提高工业固废资源综合利用率，</w:t>
      </w:r>
      <w:r>
        <w:rPr>
          <w:rFonts w:hint="eastAsia" w:ascii="仿宋" w:hAnsi="仿宋" w:eastAsia="仿宋" w:cs="仿宋"/>
          <w:color w:val="000000" w:themeColor="text1"/>
          <w:sz w:val="32"/>
          <w:szCs w:val="32"/>
          <w14:textFill>
            <w14:solidFill>
              <w14:schemeClr w14:val="tx1"/>
            </w14:solidFill>
          </w14:textFill>
        </w:rPr>
        <w:t>提高资源附加值，</w:t>
      </w:r>
      <w:r>
        <w:rPr>
          <w:rFonts w:hint="eastAsia" w:ascii="仿宋" w:hAnsi="仿宋" w:eastAsia="仿宋" w:cs="仿宋"/>
          <w:bCs/>
          <w:color w:val="000000" w:themeColor="text1"/>
          <w:sz w:val="32"/>
          <w:szCs w:val="32"/>
          <w14:textFill>
            <w14:solidFill>
              <w14:schemeClr w14:val="tx1"/>
            </w14:solidFill>
          </w14:textFill>
        </w:rPr>
        <w:t>推动铜产业由传统的采选冶向精深加工延伸。做大做强支柱产业的同时，积极调整产业结构，促进一二三产融合发展。做精一产，坚持走</w:t>
      </w:r>
      <w:r>
        <w:rPr>
          <w:rFonts w:hint="eastAsia" w:ascii="仿宋" w:hAnsi="仿宋" w:eastAsia="仿宋" w:cs="仿宋"/>
          <w:color w:val="000000" w:themeColor="text1"/>
          <w:sz w:val="32"/>
          <w:szCs w:val="32"/>
          <w14:textFill>
            <w14:solidFill>
              <w14:schemeClr w14:val="tx1"/>
            </w14:solidFill>
          </w14:textFill>
        </w:rPr>
        <w:t>小而精、特而优的特色精品农业发展之路。紧抓因民“美食三宝”形成的名片效应，扩大高山生态羊养殖，实施小米辣、白芭蕉提质增效项目。</w:t>
      </w:r>
      <w:bookmarkStart w:id="1" w:name="OLE_LINK4"/>
      <w:bookmarkStart w:id="2" w:name="OLE_LINK3"/>
      <w:r>
        <w:rPr>
          <w:rFonts w:hint="eastAsia" w:ascii="仿宋" w:hAnsi="仿宋" w:eastAsia="仿宋" w:cs="仿宋"/>
          <w:color w:val="000000" w:themeColor="text1"/>
          <w:sz w:val="32"/>
          <w:szCs w:val="32"/>
          <w14:textFill>
            <w14:solidFill>
              <w14:schemeClr w14:val="tx1"/>
            </w14:solidFill>
          </w14:textFill>
        </w:rPr>
        <w:t>做强农副产品加工，延伸农业产业链，提升农产品附加值，</w:t>
      </w:r>
      <w:bookmarkEnd w:id="1"/>
      <w:bookmarkEnd w:id="2"/>
      <w:r>
        <w:rPr>
          <w:rFonts w:hint="eastAsia" w:ascii="仿宋" w:hAnsi="仿宋" w:eastAsia="仿宋" w:cs="仿宋"/>
          <w:color w:val="000000" w:themeColor="text1"/>
          <w:sz w:val="32"/>
          <w:szCs w:val="32"/>
          <w14:textFill>
            <w14:solidFill>
              <w14:schemeClr w14:val="tx1"/>
            </w14:solidFill>
          </w14:textFill>
        </w:rPr>
        <w:t>积极注册商标，开展“三品一标”申报。利用热区水果上市时间早、产品质量好的优势，做强热区水果产业。大力引进培育农业龙头企业，依托大企业的资金、技术、品牌优势带动特色产业做大做强，力争到2025年，第一产业总产值达2亿元以上。做强二产，稳住铜产业支柱地位不动摇，继续加大铜产业开发和延伸，积极服务和支持辖区企业做大做强。支持因民公司新老区一体化建设步伐，积极帮助金因万金等辖区企业做好矿证延续等，确保辖区企业高质量生产。持续开展非煤矿山转型升级和“绿色矿山”建设，促进矿山企业安全、环保、绿色、生态、可持续。做活三产，抢抓因民码头建设的历史机遇，依托水运航道打破因民交通瓶颈，盘活居住、商业、文化、休闲、旅游资源，打造宜居宜业宜游的工贸强镇，力争到2025年，第三产值增加值占地区生产总值30%以上。</w:t>
      </w:r>
    </w:p>
    <w:p>
      <w:pPr>
        <w:pageBreakBefore w:val="0"/>
        <w:kinsoku/>
        <w:wordWrap/>
        <w:overflowPunct/>
        <w:bidi w:val="0"/>
        <w:spacing w:line="560" w:lineRule="exact"/>
        <w:ind w:firstLine="643"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——推动农业农村全面振兴。</w:t>
      </w:r>
      <w:r>
        <w:rPr>
          <w:rFonts w:hint="eastAsia" w:ascii="仿宋" w:hAnsi="仿宋" w:eastAsia="仿宋" w:cs="仿宋"/>
          <w:color w:val="000000" w:themeColor="text1"/>
          <w:sz w:val="32"/>
          <w:szCs w:val="32"/>
          <w14:textFill>
            <w14:solidFill>
              <w14:schemeClr w14:val="tx1"/>
            </w14:solidFill>
          </w14:textFill>
        </w:rPr>
        <w:t>高质量编制好“十四五”规划和乡村振兴战略规划，明确今后五年的努力方向和目标任务。全力推进乡村振兴“五个一”行动，结合因民实际，</w:t>
      </w:r>
      <w:r>
        <w:rPr>
          <w:rFonts w:hint="eastAsia" w:ascii="仿宋" w:hAnsi="仿宋" w:eastAsia="仿宋" w:cs="仿宋"/>
          <w:sz w:val="32"/>
          <w:szCs w:val="32"/>
        </w:rPr>
        <w:t>念好山字经、做好水文章、造好林产业、干好田间事、壮大草中宝、畅通出行路，</w:t>
      </w:r>
      <w:r>
        <w:rPr>
          <w:rFonts w:hint="eastAsia" w:ascii="仿宋" w:hAnsi="仿宋" w:eastAsia="仿宋" w:cs="仿宋"/>
          <w:color w:val="000000" w:themeColor="text1"/>
          <w:sz w:val="32"/>
          <w:szCs w:val="32"/>
          <w14:textFill>
            <w14:solidFill>
              <w14:schemeClr w14:val="tx1"/>
            </w14:solidFill>
          </w14:textFill>
        </w:rPr>
        <w:t>实施“十百千”提质提效工程，力争村村有100万元的农业产业项目、村集体经济收入达30万元以上（含光伏扶贫集体收入），力争全镇有5000万元产值的农业项目一个。加强生态环境保护与修复，统筹山水林田草系统治理，优化生态安全屏障体系。易地搬迁村，全面实施退耕还林还草和划片畜牧，力争五年后搬迁村区域内森林覆盖率达到80%以上；二半山区，科学试种经济林果绿化山川，实现经济效益与生态效益双丰收；河谷地区，保护和恢复乡村河流、湿地生态系统，积极开展水生态修复，保护好金沙江母亲河。全面促进乡风文明，发挥“自治、法治、德治”三治结合的积极作用，加强和创新基层治理，把高质量发展延伸到农村各领域，实现农业全面升级、农村全面进步、农民全面发展。</w:t>
      </w:r>
    </w:p>
    <w:p>
      <w:pPr>
        <w:pageBreakBefore w:val="0"/>
        <w:widowControl/>
        <w:kinsoku/>
        <w:wordWrap/>
        <w:overflowPunct/>
        <w:bidi w:val="0"/>
        <w:spacing w:line="560" w:lineRule="exact"/>
        <w:ind w:firstLine="643"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——促进民生保障更加有力。</w:t>
      </w:r>
      <w:r>
        <w:rPr>
          <w:rFonts w:hint="eastAsia" w:ascii="仿宋" w:hAnsi="仿宋" w:eastAsia="仿宋" w:cs="仿宋"/>
          <w:color w:val="000000" w:themeColor="text1"/>
          <w:sz w:val="32"/>
          <w:szCs w:val="32"/>
          <w14:textFill>
            <w14:solidFill>
              <w14:schemeClr w14:val="tx1"/>
            </w14:solidFill>
          </w14:textFill>
        </w:rPr>
        <w:t>顺应人民群众对美好生活的需要，带领群众不断创造美好生活，使群众获得感、幸福感、安全感更加充实、更可持续、更有保障。加大人力、物力、财力投入，抓好大水沟流域历史遗留弃渣治理和矿山地灾点综合防治，力争到2025年，历史遗留矿山地质环境恢复治理率达60%以上，历史遗留损毁土地复垦率达65%以上，空气质量优良率达100%。</w:t>
      </w:r>
      <w:r>
        <w:rPr>
          <w:rFonts w:hint="eastAsia" w:ascii="仿宋" w:hAnsi="仿宋" w:eastAsia="仿宋" w:cs="仿宋"/>
          <w:color w:val="000000" w:themeColor="text1"/>
          <w:kern w:val="0"/>
          <w:sz w:val="32"/>
          <w:szCs w:val="32"/>
          <w14:textFill>
            <w14:solidFill>
              <w14:schemeClr w14:val="tx1"/>
            </w14:solidFill>
          </w14:textFill>
        </w:rPr>
        <w:t>持续深入抓实农村人居环境整治“垃圾、污水、厕所”三大革命，不断缩小城乡居民生活环境差距，全面提升农村人居环境水平</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以良好的人居环境促进民风向好向善。</w:t>
      </w:r>
      <w:r>
        <w:rPr>
          <w:rFonts w:hint="eastAsia" w:ascii="仿宋" w:hAnsi="仿宋" w:eastAsia="仿宋" w:cs="仿宋"/>
          <w:color w:val="000000" w:themeColor="text1"/>
          <w:sz w:val="32"/>
          <w:szCs w:val="32"/>
          <w14:textFill>
            <w14:solidFill>
              <w14:schemeClr w14:val="tx1"/>
            </w14:solidFill>
          </w14:textFill>
        </w:rPr>
        <w:t>持续巩固脱贫成效，着力解决好教育卫生水平不高问题，打造具有因民特色的中医科和小班优质教育，充分保障群众就近就地就医就学。不断完善交通、文化、体育等基础设施，促进人民群众德智体美劳全面发展。发展特色产业、推动精准就业，补齐发展短板，保障基本民生，让全镇人民过上更加美好幸福的生活。</w:t>
      </w:r>
    </w:p>
    <w:p>
      <w:pPr>
        <w:pStyle w:val="3"/>
        <w:pageBreakBefore w:val="0"/>
        <w:widowControl w:val="0"/>
        <w:kinsoku/>
        <w:wordWrap/>
        <w:overflowPunct/>
        <w:topLinePunct w:val="0"/>
        <w:bidi w:val="0"/>
        <w:adjustRightInd w:val="0"/>
        <w:snapToGrid w:val="0"/>
        <w:spacing w:before="0" w:after="0" w:line="560" w:lineRule="exact"/>
        <w:ind w:left="0" w:leftChars="0" w:righ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三、评价思路和过程</w:t>
      </w:r>
      <w:bookmarkEnd w:id="0"/>
    </w:p>
    <w:p>
      <w:pPr>
        <w:pStyle w:val="4"/>
        <w:pageBreakBefore w:val="0"/>
        <w:widowControl w:val="0"/>
        <w:kinsoku/>
        <w:wordWrap/>
        <w:overflowPunct/>
        <w:topLinePunct w:val="0"/>
        <w:bidi w:val="0"/>
        <w:adjustRightInd w:val="0"/>
        <w:snapToGrid w:val="0"/>
        <w:spacing w:before="0" w:after="0" w:line="560" w:lineRule="exact"/>
        <w:ind w:left="0" w:leftChars="0" w:right="0" w:firstLine="640" w:firstLineChars="200"/>
        <w:textAlignment w:val="auto"/>
        <w:rPr>
          <w:rFonts w:hint="eastAsia" w:ascii="楷体" w:hAnsi="楷体" w:eastAsia="楷体" w:cs="楷体"/>
          <w:b w:val="0"/>
          <w:bCs w:val="0"/>
          <w:sz w:val="32"/>
          <w:szCs w:val="32"/>
        </w:rPr>
      </w:pPr>
      <w:bookmarkStart w:id="3" w:name="_Toc57188815"/>
      <w:r>
        <w:rPr>
          <w:rFonts w:hint="eastAsia" w:ascii="楷体" w:hAnsi="楷体" w:eastAsia="楷体" w:cs="楷体"/>
          <w:b w:val="0"/>
          <w:bCs w:val="0"/>
          <w:sz w:val="32"/>
          <w:szCs w:val="32"/>
        </w:rPr>
        <w:t>（一）评价思路</w:t>
      </w:r>
      <w:bookmarkEnd w:id="3"/>
    </w:p>
    <w:p>
      <w:pPr>
        <w:pStyle w:val="5"/>
        <w:pageBreakBefore w:val="0"/>
        <w:widowControl w:val="0"/>
        <w:kinsoku/>
        <w:wordWrap/>
        <w:overflowPunct/>
        <w:topLinePunct w:val="0"/>
        <w:bidi w:val="0"/>
        <w:adjustRightInd w:val="0"/>
        <w:snapToGrid w:val="0"/>
        <w:spacing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确认当年度部门整体支出的绩效目标→梳理部门内部管理制度及存量资源→分析确定当年度部门整体支出的评价重点→构建绩效评价指标体系。</w:t>
      </w:r>
    </w:p>
    <w:p>
      <w:pPr>
        <w:pStyle w:val="4"/>
        <w:pageBreakBefore w:val="0"/>
        <w:widowControl w:val="0"/>
        <w:kinsoku/>
        <w:wordWrap/>
        <w:overflowPunct/>
        <w:topLinePunct w:val="0"/>
        <w:bidi w:val="0"/>
        <w:adjustRightInd w:val="0"/>
        <w:snapToGrid w:val="0"/>
        <w:spacing w:before="0" w:after="0" w:line="560" w:lineRule="exact"/>
        <w:ind w:left="0" w:leftChars="0" w:right="0" w:firstLine="640" w:firstLineChars="200"/>
        <w:textAlignment w:val="auto"/>
        <w:rPr>
          <w:rFonts w:hint="eastAsia" w:ascii="楷体" w:hAnsi="楷体" w:eastAsia="楷体" w:cs="楷体"/>
          <w:b w:val="0"/>
          <w:bCs w:val="0"/>
          <w:sz w:val="32"/>
          <w:szCs w:val="32"/>
        </w:rPr>
      </w:pPr>
      <w:bookmarkStart w:id="4" w:name="_Toc57188816"/>
      <w:r>
        <w:rPr>
          <w:rFonts w:hint="eastAsia" w:ascii="楷体" w:hAnsi="楷体" w:eastAsia="楷体" w:cs="楷体"/>
          <w:b w:val="0"/>
          <w:bCs w:val="0"/>
          <w:sz w:val="32"/>
          <w:szCs w:val="32"/>
        </w:rPr>
        <w:t>（二）评价目的</w:t>
      </w:r>
      <w:bookmarkEnd w:id="4"/>
    </w:p>
    <w:p>
      <w:pPr>
        <w:pStyle w:val="5"/>
        <w:pageBreakBefore w:val="0"/>
        <w:widowControl w:val="0"/>
        <w:kinsoku/>
        <w:wordWrap/>
        <w:overflowPunct/>
        <w:topLinePunct w:val="0"/>
        <w:bidi w:val="0"/>
        <w:adjustRightInd w:val="0"/>
        <w:snapToGrid w:val="0"/>
        <w:spacing w:line="560" w:lineRule="exact"/>
        <w:ind w:left="0" w:leftChars="0" w:right="0" w:firstLine="640" w:firstLineChars="200"/>
        <w:jc w:val="both"/>
        <w:textAlignment w:val="auto"/>
        <w:rPr>
          <w:rFonts w:hint="eastAsia" w:ascii="仿宋" w:hAnsi="仿宋" w:eastAsia="仿宋" w:cs="仿宋"/>
          <w:sz w:val="32"/>
          <w:szCs w:val="32"/>
        </w:rPr>
      </w:pPr>
      <w:bookmarkStart w:id="5" w:name="_Hlk53646240"/>
      <w:r>
        <w:rPr>
          <w:rFonts w:hint="eastAsia" w:ascii="仿宋" w:hAnsi="仿宋" w:eastAsia="仿宋" w:cs="仿宋"/>
          <w:sz w:val="32"/>
          <w:szCs w:val="32"/>
        </w:rPr>
        <w:t>通过收集部门（单位）基本情况、预算制定与明细、部门中长期规划目标及组织架构等信息，分析部门（单位）资源配置的合理性及中长期规划目标完成与履职情况，总结经验做法，找出预算绩效管理中的薄弱环节，提出改进建议，提高财政资金的使用效益。</w:t>
      </w:r>
      <w:bookmarkEnd w:id="5"/>
    </w:p>
    <w:p>
      <w:pPr>
        <w:pStyle w:val="4"/>
        <w:pageBreakBefore w:val="0"/>
        <w:widowControl w:val="0"/>
        <w:kinsoku/>
        <w:wordWrap/>
        <w:overflowPunct/>
        <w:topLinePunct w:val="0"/>
        <w:bidi w:val="0"/>
        <w:adjustRightInd w:val="0"/>
        <w:snapToGrid w:val="0"/>
        <w:spacing w:before="0" w:after="0" w:line="560" w:lineRule="exact"/>
        <w:ind w:left="0" w:leftChars="0" w:right="0" w:firstLine="640" w:firstLineChars="200"/>
        <w:textAlignment w:val="auto"/>
        <w:rPr>
          <w:rFonts w:hint="eastAsia" w:ascii="楷体" w:hAnsi="楷体" w:eastAsia="楷体" w:cs="楷体"/>
          <w:b w:val="0"/>
          <w:bCs w:val="0"/>
          <w:sz w:val="32"/>
          <w:szCs w:val="32"/>
        </w:rPr>
      </w:pPr>
      <w:bookmarkStart w:id="6" w:name="_Toc57188817"/>
      <w:r>
        <w:rPr>
          <w:rFonts w:hint="eastAsia" w:ascii="楷体" w:hAnsi="楷体" w:eastAsia="楷体" w:cs="楷体"/>
          <w:b w:val="0"/>
          <w:bCs w:val="0"/>
          <w:sz w:val="32"/>
          <w:szCs w:val="32"/>
        </w:rPr>
        <w:t>（三）评价依据</w:t>
      </w:r>
      <w:bookmarkEnd w:id="6"/>
    </w:p>
    <w:p>
      <w:pPr>
        <w:pStyle w:val="5"/>
        <w:pageBreakBefore w:val="0"/>
        <w:widowControl w:val="0"/>
        <w:kinsoku/>
        <w:wordWrap/>
        <w:overflowPunct/>
        <w:topLinePunct w:val="0"/>
        <w:bidi w:val="0"/>
        <w:adjustRightInd w:val="0"/>
        <w:snapToGrid w:val="0"/>
        <w:spacing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1.《中华人民共和国预算法》、《中华人民共和国预算法实施条例》；</w:t>
      </w:r>
    </w:p>
    <w:p>
      <w:pPr>
        <w:pStyle w:val="5"/>
        <w:pageBreakBefore w:val="0"/>
        <w:widowControl w:val="0"/>
        <w:kinsoku/>
        <w:wordWrap/>
        <w:overflowPunct/>
        <w:topLinePunct w:val="0"/>
        <w:bidi w:val="0"/>
        <w:adjustRightInd w:val="0"/>
        <w:snapToGrid w:val="0"/>
        <w:spacing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2.《昆明市预算绩效管理暂行办法》（昆政办〔2013〕129号）；</w:t>
      </w:r>
    </w:p>
    <w:p>
      <w:pPr>
        <w:pStyle w:val="5"/>
        <w:pageBreakBefore w:val="0"/>
        <w:widowControl w:val="0"/>
        <w:kinsoku/>
        <w:wordWrap/>
        <w:overflowPunct/>
        <w:topLinePunct w:val="0"/>
        <w:bidi w:val="0"/>
        <w:adjustRightInd w:val="0"/>
        <w:snapToGrid w:val="0"/>
        <w:spacing w:line="560" w:lineRule="exact"/>
        <w:ind w:left="0" w:leftChars="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rPr>
        <w:t>3.《昆明市财政局关于印发昆明市本级部门预算绩效自评管理暂行办法的通知》（昆财绩〔2018〕60号）；</w:t>
      </w:r>
    </w:p>
    <w:p>
      <w:pPr>
        <w:pStyle w:val="5"/>
        <w:pageBreakBefore w:val="0"/>
        <w:widowControl w:val="0"/>
        <w:kinsoku/>
        <w:wordWrap/>
        <w:overflowPunct/>
        <w:topLinePunct w:val="0"/>
        <w:bidi w:val="0"/>
        <w:adjustRightInd w:val="0"/>
        <w:snapToGrid w:val="0"/>
        <w:spacing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4.《昆明市东川区财政局关于开展2020年重点绩效评价有关事项的通知》（东财绩〔2020〕9号）。</w:t>
      </w:r>
    </w:p>
    <w:p>
      <w:pPr>
        <w:pStyle w:val="4"/>
        <w:pageBreakBefore w:val="0"/>
        <w:widowControl w:val="0"/>
        <w:kinsoku/>
        <w:wordWrap/>
        <w:overflowPunct/>
        <w:topLinePunct w:val="0"/>
        <w:bidi w:val="0"/>
        <w:adjustRightInd w:val="0"/>
        <w:snapToGrid w:val="0"/>
        <w:spacing w:before="0" w:after="0" w:line="560" w:lineRule="exact"/>
        <w:ind w:left="0" w:leftChars="0" w:right="0" w:firstLine="640" w:firstLineChars="200"/>
        <w:textAlignment w:val="auto"/>
        <w:rPr>
          <w:rFonts w:hint="eastAsia" w:ascii="楷体" w:hAnsi="楷体" w:eastAsia="楷体" w:cs="楷体"/>
          <w:b w:val="0"/>
          <w:bCs w:val="0"/>
          <w:sz w:val="32"/>
          <w:szCs w:val="32"/>
        </w:rPr>
      </w:pPr>
      <w:bookmarkStart w:id="7" w:name="_Toc57188818"/>
      <w:r>
        <w:rPr>
          <w:rFonts w:hint="eastAsia" w:ascii="楷体" w:hAnsi="楷体" w:eastAsia="楷体" w:cs="楷体"/>
          <w:b w:val="0"/>
          <w:bCs w:val="0"/>
          <w:sz w:val="32"/>
          <w:szCs w:val="32"/>
        </w:rPr>
        <w:t>（四）评价对象及评价时段</w:t>
      </w:r>
      <w:bookmarkEnd w:id="7"/>
    </w:p>
    <w:p>
      <w:pPr>
        <w:pStyle w:val="5"/>
        <w:pageBreakBefore w:val="0"/>
        <w:widowControl w:val="0"/>
        <w:kinsoku/>
        <w:wordWrap/>
        <w:overflowPunct/>
        <w:topLinePunct w:val="0"/>
        <w:bidi w:val="0"/>
        <w:adjustRightInd w:val="0"/>
        <w:snapToGrid w:val="0"/>
        <w:spacing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评价对象为昆明市东川区</w:t>
      </w:r>
      <w:r>
        <w:rPr>
          <w:rFonts w:hint="eastAsia" w:ascii="仿宋" w:hAnsi="仿宋" w:eastAsia="仿宋" w:cs="仿宋"/>
          <w:sz w:val="32"/>
          <w:szCs w:val="32"/>
          <w:lang w:val="en-US" w:eastAsia="zh-CN"/>
        </w:rPr>
        <w:t>因民镇</w:t>
      </w:r>
      <w:r>
        <w:rPr>
          <w:rFonts w:hint="eastAsia" w:ascii="仿宋" w:hAnsi="仿宋" w:eastAsia="仿宋" w:cs="仿宋"/>
          <w:sz w:val="32"/>
          <w:szCs w:val="32"/>
        </w:rPr>
        <w:t>人民政府20</w:t>
      </w:r>
      <w:r>
        <w:rPr>
          <w:rFonts w:hint="eastAsia" w:ascii="仿宋" w:hAnsi="仿宋" w:eastAsia="仿宋" w:cs="仿宋"/>
          <w:sz w:val="32"/>
          <w:szCs w:val="32"/>
          <w:lang w:val="en-US" w:eastAsia="zh-CN"/>
        </w:rPr>
        <w:t>20</w:t>
      </w:r>
      <w:r>
        <w:rPr>
          <w:rFonts w:hint="eastAsia" w:ascii="仿宋" w:hAnsi="仿宋" w:eastAsia="仿宋" w:cs="仿宋"/>
          <w:sz w:val="32"/>
          <w:szCs w:val="32"/>
        </w:rPr>
        <w:t>年度部门整体财政资金支出，评价时段为20</w:t>
      </w:r>
      <w:r>
        <w:rPr>
          <w:rFonts w:hint="eastAsia" w:ascii="仿宋" w:hAnsi="仿宋" w:eastAsia="仿宋" w:cs="仿宋"/>
          <w:sz w:val="32"/>
          <w:szCs w:val="32"/>
          <w:lang w:val="en-US" w:eastAsia="zh-CN"/>
        </w:rPr>
        <w:t>20</w:t>
      </w:r>
      <w:r>
        <w:rPr>
          <w:rFonts w:hint="eastAsia" w:ascii="仿宋" w:hAnsi="仿宋" w:eastAsia="仿宋" w:cs="仿宋"/>
          <w:sz w:val="32"/>
          <w:szCs w:val="32"/>
        </w:rPr>
        <w:t>年1月1日至20</w:t>
      </w:r>
      <w:r>
        <w:rPr>
          <w:rFonts w:hint="eastAsia" w:ascii="仿宋" w:hAnsi="仿宋" w:eastAsia="仿宋" w:cs="仿宋"/>
          <w:sz w:val="32"/>
          <w:szCs w:val="32"/>
          <w:lang w:val="en-US" w:eastAsia="zh-CN"/>
        </w:rPr>
        <w:t>20</w:t>
      </w:r>
      <w:r>
        <w:rPr>
          <w:rFonts w:hint="eastAsia" w:ascii="仿宋" w:hAnsi="仿宋" w:eastAsia="仿宋" w:cs="仿宋"/>
          <w:sz w:val="32"/>
          <w:szCs w:val="32"/>
        </w:rPr>
        <w:t>年12月31日。</w:t>
      </w:r>
    </w:p>
    <w:p>
      <w:pPr>
        <w:pStyle w:val="3"/>
        <w:pageBreakBefore w:val="0"/>
        <w:widowControl w:val="0"/>
        <w:kinsoku/>
        <w:wordWrap/>
        <w:overflowPunct/>
        <w:topLinePunct w:val="0"/>
        <w:bidi w:val="0"/>
        <w:adjustRightInd w:val="0"/>
        <w:snapToGrid w:val="0"/>
        <w:spacing w:before="0" w:after="0" w:line="560" w:lineRule="exact"/>
        <w:ind w:left="0" w:leftChars="0" w:right="0" w:firstLine="640" w:firstLineChars="200"/>
        <w:textAlignment w:val="auto"/>
        <w:rPr>
          <w:rFonts w:hint="eastAsia" w:ascii="仿宋" w:hAnsi="仿宋" w:eastAsia="仿宋" w:cs="仿宋"/>
          <w:b w:val="0"/>
          <w:bCs w:val="0"/>
          <w:sz w:val="32"/>
          <w:szCs w:val="32"/>
          <w:highlight w:val="none"/>
        </w:rPr>
      </w:pPr>
      <w:bookmarkStart w:id="8" w:name="_Toc57188819"/>
      <w:r>
        <w:rPr>
          <w:rFonts w:hint="eastAsia" w:ascii="仿宋" w:hAnsi="仿宋" w:eastAsia="仿宋" w:cs="仿宋"/>
          <w:b w:val="0"/>
          <w:bCs w:val="0"/>
          <w:sz w:val="32"/>
          <w:szCs w:val="32"/>
          <w:highlight w:val="none"/>
        </w:rPr>
        <w:t>四、评价结论和绩效分析</w:t>
      </w:r>
      <w:bookmarkEnd w:id="8"/>
    </w:p>
    <w:p>
      <w:pPr>
        <w:pStyle w:val="4"/>
        <w:pageBreakBefore w:val="0"/>
        <w:widowControl w:val="0"/>
        <w:kinsoku/>
        <w:wordWrap/>
        <w:overflowPunct/>
        <w:topLinePunct w:val="0"/>
        <w:bidi w:val="0"/>
        <w:adjustRightInd w:val="0"/>
        <w:snapToGrid w:val="0"/>
        <w:spacing w:before="0" w:after="0" w:line="560" w:lineRule="exact"/>
        <w:ind w:left="0" w:leftChars="0" w:right="0" w:firstLine="640" w:firstLineChars="200"/>
        <w:textAlignment w:val="auto"/>
        <w:rPr>
          <w:rFonts w:hint="eastAsia" w:ascii="仿宋" w:hAnsi="仿宋" w:eastAsia="仿宋" w:cs="仿宋"/>
          <w:b w:val="0"/>
          <w:bCs w:val="0"/>
          <w:sz w:val="32"/>
          <w:szCs w:val="32"/>
        </w:rPr>
      </w:pPr>
      <w:bookmarkStart w:id="9" w:name="_Toc57188820"/>
      <w:r>
        <w:rPr>
          <w:rFonts w:hint="eastAsia" w:ascii="仿宋" w:hAnsi="仿宋" w:eastAsia="仿宋" w:cs="仿宋"/>
          <w:b w:val="0"/>
          <w:bCs w:val="0"/>
          <w:sz w:val="32"/>
          <w:szCs w:val="32"/>
        </w:rPr>
        <w:t>（一）评价结论</w:t>
      </w:r>
      <w:bookmarkEnd w:id="9"/>
    </w:p>
    <w:p>
      <w:pPr>
        <w:pStyle w:val="5"/>
        <w:pageBreakBefore w:val="0"/>
        <w:widowControl w:val="0"/>
        <w:kinsoku/>
        <w:wordWrap/>
        <w:overflowPunct/>
        <w:topLinePunct w:val="0"/>
        <w:bidi w:val="0"/>
        <w:adjustRightInd w:val="0"/>
        <w:snapToGrid w:val="0"/>
        <w:spacing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1.评价结果</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0" w:firstLineChars="200"/>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评价指标</w:t>
            </w:r>
          </w:p>
        </w:tc>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0" w:firstLineChars="200"/>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指标分值</w:t>
            </w:r>
          </w:p>
        </w:tc>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0" w:firstLineChars="200"/>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评价得分</w:t>
            </w:r>
          </w:p>
        </w:tc>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0" w:firstLineChars="200"/>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0" w:firstLineChars="200"/>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一、部门决策</w:t>
            </w:r>
          </w:p>
        </w:tc>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0" w:firstLineChars="200"/>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35</w:t>
            </w:r>
          </w:p>
        </w:tc>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w:t>
            </w:r>
          </w:p>
        </w:tc>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0" w:firstLineChars="200"/>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94.28</w:t>
            </w:r>
            <w:r>
              <w:rPr>
                <w:rFonts w:hint="eastAsia" w:ascii="仿宋" w:hAnsi="仿宋" w:eastAsia="仿宋" w:cs="仿宋"/>
                <w:sz w:val="32"/>
                <w:szCs w:val="3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0" w:firstLineChars="200"/>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二、部门管理</w:t>
            </w:r>
          </w:p>
        </w:tc>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0" w:firstLineChars="200"/>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20</w:t>
            </w:r>
          </w:p>
        </w:tc>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w:t>
            </w:r>
          </w:p>
        </w:tc>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0" w:firstLineChars="200"/>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90</w:t>
            </w:r>
            <w:r>
              <w:rPr>
                <w:rFonts w:hint="eastAsia" w:ascii="仿宋" w:hAnsi="仿宋" w:eastAsia="仿宋" w:cs="仿宋"/>
                <w:sz w:val="32"/>
                <w:szCs w:val="3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0" w:firstLineChars="200"/>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三、部门绩效</w:t>
            </w:r>
          </w:p>
        </w:tc>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0" w:firstLineChars="200"/>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45</w:t>
            </w:r>
          </w:p>
        </w:tc>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w:t>
            </w:r>
          </w:p>
        </w:tc>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0" w:firstLineChars="200"/>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93.33</w:t>
            </w:r>
            <w:r>
              <w:rPr>
                <w:rFonts w:hint="eastAsia" w:ascii="仿宋" w:hAnsi="仿宋" w:eastAsia="仿宋" w:cs="仿宋"/>
                <w:sz w:val="32"/>
                <w:szCs w:val="3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0" w:firstLineChars="200"/>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总得分</w:t>
            </w:r>
          </w:p>
        </w:tc>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3" w:firstLineChars="200"/>
              <w:jc w:val="center"/>
              <w:textAlignment w:val="auto"/>
              <w:rPr>
                <w:rFonts w:hint="eastAsia" w:ascii="仿宋" w:hAnsi="仿宋" w:eastAsia="仿宋" w:cs="仿宋"/>
                <w:b/>
                <w:sz w:val="32"/>
                <w:szCs w:val="32"/>
                <w:lang w:val="en-US"/>
              </w:rPr>
            </w:pPr>
            <w:r>
              <w:rPr>
                <w:rFonts w:hint="eastAsia" w:ascii="仿宋" w:hAnsi="仿宋" w:eastAsia="仿宋" w:cs="仿宋"/>
                <w:b/>
                <w:sz w:val="32"/>
                <w:szCs w:val="32"/>
                <w:lang w:val="en-US"/>
              </w:rPr>
              <w:t>100</w:t>
            </w:r>
          </w:p>
        </w:tc>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3" w:firstLineChars="2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93</w:t>
            </w:r>
          </w:p>
        </w:tc>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3" w:firstLineChars="200"/>
              <w:jc w:val="center"/>
              <w:textAlignment w:val="auto"/>
              <w:rPr>
                <w:rFonts w:hint="eastAsia" w:ascii="仿宋" w:hAnsi="仿宋" w:eastAsia="仿宋" w:cs="仿宋"/>
                <w:b/>
                <w:sz w:val="32"/>
                <w:szCs w:val="32"/>
                <w:lang w:val="en-US"/>
              </w:rPr>
            </w:pPr>
            <w:r>
              <w:rPr>
                <w:rFonts w:hint="eastAsia" w:ascii="仿宋" w:hAnsi="仿宋" w:eastAsia="仿宋" w:cs="仿宋"/>
                <w:b/>
                <w:sz w:val="32"/>
                <w:szCs w:val="32"/>
                <w:lang w:val="en-US" w:eastAsia="zh-CN"/>
              </w:rPr>
              <w:t>93</w:t>
            </w:r>
            <w:r>
              <w:rPr>
                <w:rFonts w:hint="eastAsia" w:ascii="仿宋" w:hAnsi="仿宋" w:eastAsia="仿宋" w:cs="仿宋"/>
                <w:b/>
                <w:sz w:val="32"/>
                <w:szCs w:val="3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5"/>
              <w:pageBreakBefore w:val="0"/>
              <w:widowControl w:val="0"/>
              <w:kinsoku/>
              <w:wordWrap/>
              <w:overflowPunct/>
              <w:topLinePunct w:val="0"/>
              <w:bidi w:val="0"/>
              <w:adjustRightInd w:val="0"/>
              <w:snapToGrid w:val="0"/>
              <w:spacing w:line="560" w:lineRule="exact"/>
              <w:ind w:left="0" w:leftChars="0" w:right="0" w:firstLine="640" w:firstLineChars="200"/>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评价等级</w:t>
            </w:r>
          </w:p>
        </w:tc>
        <w:tc>
          <w:tcPr>
            <w:tcW w:w="6222" w:type="dxa"/>
            <w:gridSpan w:val="3"/>
            <w:vAlign w:val="center"/>
          </w:tcPr>
          <w:p>
            <w:pPr>
              <w:pStyle w:val="5"/>
              <w:pageBreakBefore w:val="0"/>
              <w:widowControl w:val="0"/>
              <w:kinsoku/>
              <w:wordWrap/>
              <w:overflowPunct/>
              <w:topLinePunct w:val="0"/>
              <w:bidi w:val="0"/>
              <w:adjustRightInd w:val="0"/>
              <w:snapToGrid w:val="0"/>
              <w:spacing w:line="560" w:lineRule="exact"/>
              <w:ind w:left="0" w:leftChars="0" w:right="0" w:firstLine="643" w:firstLineChars="2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优</w:t>
            </w:r>
          </w:p>
        </w:tc>
      </w:tr>
    </w:tbl>
    <w:p>
      <w:pPr>
        <w:pStyle w:val="5"/>
        <w:keepNext w:val="0"/>
        <w:keepLines w:val="0"/>
        <w:pageBreakBefore w:val="0"/>
        <w:widowControl w:val="0"/>
        <w:kinsoku/>
        <w:wordWrap/>
        <w:overflowPunct/>
        <w:topLinePunct w:val="0"/>
        <w:bidi w:val="0"/>
        <w:adjustRightInd w:val="0"/>
        <w:snapToGrid w:val="0"/>
        <w:spacing w:line="560" w:lineRule="exact"/>
        <w:ind w:left="0" w:leftChars="0" w:right="0" w:firstLine="640" w:firstLineChars="200"/>
        <w:jc w:val="both"/>
        <w:textAlignment w:val="auto"/>
        <w:rPr>
          <w:rFonts w:hint="eastAsia" w:ascii="仿宋" w:hAnsi="仿宋" w:eastAsia="仿宋" w:cs="仿宋"/>
          <w:color w:val="auto"/>
          <w:sz w:val="32"/>
          <w:szCs w:val="32"/>
          <w:lang w:eastAsia="zh-CN"/>
        </w:rPr>
      </w:pPr>
      <w:bookmarkStart w:id="10" w:name="_Hlk53647695"/>
      <w:r>
        <w:rPr>
          <w:rFonts w:hint="eastAsia" w:ascii="仿宋" w:hAnsi="仿宋" w:eastAsia="仿宋" w:cs="仿宋"/>
          <w:color w:val="auto"/>
          <w:sz w:val="32"/>
          <w:szCs w:val="32"/>
          <w:lang w:val="en-US" w:eastAsia="zh-CN"/>
        </w:rPr>
        <w:t>2020年虽然存在部门详细工作目标、部门年度具体工作设定与三定方案部门职责职能不匹配，人员与岗位匹配度不高，调整和管理难度大，相关财务制度措施也不够完善、资金管理还不够细化等问题。但是因民镇2020年</w:t>
      </w:r>
      <w:r>
        <w:rPr>
          <w:rFonts w:hint="eastAsia" w:ascii="仿宋" w:hAnsi="仿宋" w:eastAsia="仿宋" w:cs="仿宋"/>
          <w:color w:val="auto"/>
          <w:sz w:val="32"/>
          <w:szCs w:val="32"/>
        </w:rPr>
        <w:t>在区委、区政府的坚强领导下，统筹推进疫情防控和经济社会发展工作，在疫情防控常态化前提下，坚持稳中求进工作总基调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完成决战决胜脱贫攻坚目标任务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在改善和保障民生这一重点，确保基层政权正常运转和各项惠农资金及时足额发放到位，确保社会保障支出，加强财政对村组的补助力度，落实民生工程有关政策，提高社会保障水平，增强政府公共服务能力，开展防范非法集资、防范非法证券宣传活动，共同维护社会的和谐稳定，较好完成了经济目标、社会发展目标、生态建设目标、扶贫攻坚目标。经评价，因民镇道2020年度部门整体绩效评价得分为93分，评价结果为：“优”。</w:t>
      </w:r>
      <w:bookmarkEnd w:id="10"/>
    </w:p>
    <w:p>
      <w:pPr>
        <w:pStyle w:val="5"/>
        <w:keepNext w:val="0"/>
        <w:keepLines w:val="0"/>
        <w:pageBreakBefore w:val="0"/>
        <w:widowControl w:val="0"/>
        <w:kinsoku/>
        <w:wordWrap/>
        <w:overflowPunct/>
        <w:topLinePunct w:val="0"/>
        <w:bidi w:val="0"/>
        <w:adjustRightInd w:val="0"/>
        <w:snapToGrid w:val="0"/>
        <w:spacing w:line="560" w:lineRule="exact"/>
        <w:ind w:left="0" w:leftChars="0" w:righ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FF0000"/>
          <w:sz w:val="32"/>
          <w:szCs w:val="32"/>
          <w:highlight w:val="none"/>
          <w:lang w:val="en-US" w:eastAsia="zh-CN"/>
        </w:rPr>
        <w:t xml:space="preserve"> </w:t>
      </w:r>
      <w:r>
        <w:rPr>
          <w:rFonts w:hint="eastAsia" w:ascii="仿宋" w:hAnsi="仿宋" w:eastAsia="仿宋" w:cs="仿宋"/>
          <w:sz w:val="32"/>
          <w:szCs w:val="32"/>
          <w:highlight w:val="none"/>
        </w:rPr>
        <w:t>2.主要绩效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bookmarkStart w:id="11" w:name="_Toc57188821"/>
      <w:r>
        <w:rPr>
          <w:rFonts w:hint="eastAsia" w:ascii="仿宋" w:hAnsi="仿宋" w:eastAsia="仿宋" w:cs="仿宋"/>
          <w:sz w:val="32"/>
          <w:szCs w:val="32"/>
        </w:rPr>
        <w:t>2020年，因民镇党委、政府全面贯彻落实区委四届七次、八次和九次全会精神，在区委、区政府的坚强领导下，团结带领全镇干部群众，集中精力、瞄准目标，全力打赢打好“六大战役”</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outlineLvl w:val="9"/>
        <w:rPr>
          <w:rFonts w:hint="eastAsia" w:ascii="仿宋" w:hAnsi="仿宋" w:eastAsia="仿宋" w:cs="仿宋"/>
          <w:b w:val="0"/>
          <w:bCs w:val="0"/>
          <w:color w:val="000000"/>
          <w:sz w:val="32"/>
          <w:szCs w:val="32"/>
          <w:lang w:val="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打好疫情防控阻击战。</w:t>
      </w:r>
      <w:r>
        <w:rPr>
          <w:rFonts w:hint="eastAsia" w:ascii="仿宋" w:hAnsi="仿宋" w:eastAsia="仿宋" w:cs="仿宋"/>
          <w:b w:val="0"/>
          <w:bCs w:val="0"/>
          <w:color w:val="000000"/>
          <w:sz w:val="32"/>
          <w:szCs w:val="32"/>
          <w:lang w:val="zh-CN"/>
        </w:rPr>
        <w:t>自新冠肺炎阻击战打响以来，在区新冠肺炎领导小组的统一指挥下，因民镇党委、政府进一步压实责任，采取“十网联动”全面推动镇疫情防控“</w:t>
      </w:r>
      <w:r>
        <w:rPr>
          <w:rFonts w:hint="eastAsia" w:ascii="仿宋" w:hAnsi="仿宋" w:eastAsia="仿宋" w:cs="仿宋"/>
          <w:b w:val="0"/>
          <w:bCs w:val="0"/>
          <w:color w:val="000000"/>
          <w:sz w:val="32"/>
          <w:szCs w:val="32"/>
          <w:lang w:val="en-US"/>
        </w:rPr>
        <w:t>12345</w:t>
      </w:r>
      <w:r>
        <w:rPr>
          <w:rFonts w:hint="eastAsia" w:ascii="仿宋" w:hAnsi="仿宋" w:eastAsia="仿宋" w:cs="仿宋"/>
          <w:b w:val="0"/>
          <w:bCs w:val="0"/>
          <w:color w:val="000000"/>
          <w:sz w:val="32"/>
          <w:szCs w:val="32"/>
          <w:lang w:val="zh-CN"/>
        </w:rPr>
        <w:t>”工作措施落细落小</w:t>
      </w:r>
      <w:r>
        <w:rPr>
          <w:rFonts w:hint="eastAsia" w:ascii="仿宋" w:hAnsi="仿宋" w:eastAsia="仿宋" w:cs="仿宋"/>
          <w:b w:val="0"/>
          <w:bCs w:val="0"/>
          <w:color w:val="000000"/>
          <w:sz w:val="32"/>
          <w:szCs w:val="32"/>
          <w:lang w:val="zh-CN" w:eastAsia="zh-CN"/>
        </w:rPr>
        <w:t>落实</w:t>
      </w:r>
      <w:r>
        <w:rPr>
          <w:rFonts w:hint="eastAsia" w:ascii="仿宋" w:hAnsi="仿宋" w:eastAsia="仿宋" w:cs="仿宋"/>
          <w:b w:val="0"/>
          <w:bCs w:val="0"/>
          <w:color w:val="000000"/>
          <w:sz w:val="32"/>
          <w:szCs w:val="32"/>
          <w:lang w:val="zh-CN"/>
        </w:rPr>
        <w:t>。</w:t>
      </w:r>
      <w:r>
        <w:rPr>
          <w:rFonts w:hint="eastAsia" w:ascii="仿宋" w:hAnsi="仿宋" w:eastAsia="仿宋" w:cs="仿宋"/>
          <w:b/>
          <w:bCs/>
          <w:color w:val="000000"/>
          <w:sz w:val="32"/>
          <w:szCs w:val="32"/>
          <w:lang w:val="zh-CN"/>
        </w:rPr>
        <w:t>一是</w:t>
      </w:r>
      <w:r>
        <w:rPr>
          <w:rFonts w:hint="eastAsia" w:ascii="仿宋" w:hAnsi="仿宋" w:eastAsia="仿宋" w:cs="仿宋"/>
          <w:b w:val="0"/>
          <w:bCs w:val="0"/>
          <w:color w:val="000000"/>
          <w:sz w:val="32"/>
          <w:szCs w:val="32"/>
          <w:lang w:val="zh-CN"/>
        </w:rPr>
        <w:t>全面调度落实，编好防疫“指挥网”，</w:t>
      </w:r>
      <w:r>
        <w:rPr>
          <w:rFonts w:hint="eastAsia" w:ascii="仿宋" w:hAnsi="仿宋" w:eastAsia="仿宋" w:cs="仿宋"/>
          <w:b w:val="0"/>
          <w:bCs w:val="0"/>
          <w:sz w:val="32"/>
          <w:szCs w:val="32"/>
        </w:rPr>
        <w:t>明确“1+15+15+2”工作体系，全面推进防疫工作细化实化。</w:t>
      </w:r>
      <w:r>
        <w:rPr>
          <w:rFonts w:hint="eastAsia" w:ascii="仿宋" w:hAnsi="仿宋" w:eastAsia="仿宋" w:cs="仿宋"/>
          <w:b/>
          <w:bCs/>
          <w:sz w:val="32"/>
          <w:szCs w:val="32"/>
          <w:lang w:eastAsia="zh-CN"/>
        </w:rPr>
        <w:t>二是</w:t>
      </w:r>
      <w:r>
        <w:rPr>
          <w:rFonts w:hint="eastAsia" w:ascii="仿宋" w:hAnsi="仿宋" w:eastAsia="仿宋" w:cs="仿宋"/>
          <w:b w:val="0"/>
          <w:bCs w:val="0"/>
          <w:color w:val="000000"/>
          <w:sz w:val="32"/>
          <w:szCs w:val="32"/>
          <w:lang w:val="zh-CN"/>
        </w:rPr>
        <w:t>全面组织力量，编好防疫“组织网”，及时召回</w:t>
      </w:r>
      <w:r>
        <w:rPr>
          <w:rFonts w:hint="eastAsia" w:ascii="仿宋" w:hAnsi="仿宋" w:eastAsia="仿宋" w:cs="仿宋"/>
          <w:b w:val="0"/>
          <w:bCs w:val="0"/>
          <w:color w:val="000000"/>
          <w:sz w:val="32"/>
          <w:szCs w:val="32"/>
          <w:lang w:val="en-US"/>
        </w:rPr>
        <w:t>15</w:t>
      </w:r>
      <w:r>
        <w:rPr>
          <w:rFonts w:hint="eastAsia" w:ascii="仿宋" w:hAnsi="仿宋" w:eastAsia="仿宋" w:cs="仿宋"/>
          <w:b w:val="0"/>
          <w:bCs w:val="0"/>
          <w:color w:val="000000"/>
          <w:sz w:val="32"/>
          <w:szCs w:val="32"/>
          <w:lang w:val="zh-CN"/>
        </w:rPr>
        <w:t>个村（社区）包村科级领导、村组干部、成立因民镇党员先锋突击队，奔赴防疫第一线开展疫情防控工作；</w:t>
      </w:r>
      <w:r>
        <w:rPr>
          <w:rFonts w:hint="eastAsia" w:ascii="仿宋" w:hAnsi="仿宋" w:eastAsia="仿宋" w:cs="仿宋"/>
          <w:b/>
          <w:bCs/>
          <w:color w:val="000000"/>
          <w:sz w:val="32"/>
          <w:szCs w:val="32"/>
          <w:lang w:val="zh-CN"/>
        </w:rPr>
        <w:t>三是</w:t>
      </w:r>
      <w:r>
        <w:rPr>
          <w:rFonts w:hint="eastAsia" w:ascii="仿宋" w:hAnsi="仿宋" w:eastAsia="仿宋" w:cs="仿宋"/>
          <w:b w:val="0"/>
          <w:bCs w:val="0"/>
          <w:color w:val="000000"/>
          <w:sz w:val="32"/>
          <w:szCs w:val="32"/>
          <w:lang w:val="zh-CN"/>
        </w:rPr>
        <w:t>全面宣传动员，编好防疫“宣传网”。采取形式多样的宣传载体，疫情防控期间</w:t>
      </w:r>
      <w:r>
        <w:rPr>
          <w:rFonts w:hint="eastAsia" w:ascii="仿宋" w:hAnsi="仿宋" w:eastAsia="仿宋" w:cs="仿宋"/>
          <w:b w:val="0"/>
          <w:bCs w:val="0"/>
          <w:sz w:val="32"/>
          <w:szCs w:val="32"/>
          <w:lang w:val="en-US" w:eastAsia="zh-CN"/>
        </w:rPr>
        <w:t>悬挂疫情防控条幅90条，张贴《新型冠状病毒感染的肺炎防治知识》海报200份，发放《新型冠状病毒感染的肺炎防治知识》宣传单15000余份，发放因民镇致父老乡亲的一封信及遵守因民镇疫情防控“五条禁令”的告知书、关于在疫情防控期间对红白事进行报备的告知等4050余份</w:t>
      </w:r>
      <w:r>
        <w:rPr>
          <w:rFonts w:hint="eastAsia" w:ascii="仿宋" w:hAnsi="仿宋" w:eastAsia="仿宋" w:cs="仿宋"/>
          <w:b w:val="0"/>
          <w:bCs w:val="0"/>
          <w:color w:val="000000"/>
          <w:sz w:val="32"/>
          <w:szCs w:val="32"/>
          <w:lang w:val="zh-CN"/>
        </w:rPr>
        <w:t>；</w:t>
      </w:r>
      <w:r>
        <w:rPr>
          <w:rFonts w:hint="eastAsia" w:ascii="仿宋" w:hAnsi="仿宋" w:eastAsia="仿宋" w:cs="仿宋"/>
          <w:b/>
          <w:bCs/>
          <w:color w:val="000000"/>
          <w:sz w:val="32"/>
          <w:szCs w:val="32"/>
          <w:lang w:val="zh-CN"/>
        </w:rPr>
        <w:t>四是</w:t>
      </w:r>
      <w:r>
        <w:rPr>
          <w:rFonts w:hint="eastAsia" w:ascii="仿宋" w:hAnsi="仿宋" w:eastAsia="仿宋" w:cs="仿宋"/>
          <w:b w:val="0"/>
          <w:bCs w:val="0"/>
          <w:color w:val="000000"/>
          <w:sz w:val="32"/>
          <w:szCs w:val="32"/>
          <w:lang w:val="zh-CN"/>
        </w:rPr>
        <w:t>全面构建网格，编好防疫“排查网”。建立因民镇基层网格化管理四级包保责任制，以村民小组为单位设置村基础网格</w:t>
      </w:r>
      <w:r>
        <w:rPr>
          <w:rFonts w:hint="eastAsia" w:ascii="仿宋" w:hAnsi="仿宋" w:eastAsia="仿宋" w:cs="仿宋"/>
          <w:b w:val="0"/>
          <w:bCs w:val="0"/>
          <w:color w:val="000000"/>
          <w:sz w:val="32"/>
          <w:szCs w:val="32"/>
          <w:lang w:val="en-US"/>
        </w:rPr>
        <w:t>68</w:t>
      </w:r>
      <w:r>
        <w:rPr>
          <w:rFonts w:hint="eastAsia" w:ascii="仿宋" w:hAnsi="仿宋" w:eastAsia="仿宋" w:cs="仿宋"/>
          <w:b w:val="0"/>
          <w:bCs w:val="0"/>
          <w:color w:val="000000"/>
          <w:sz w:val="32"/>
          <w:szCs w:val="32"/>
          <w:lang w:val="zh-CN"/>
        </w:rPr>
        <w:t>个，采取“联防联控、群防群治、网格化管理”方式，由</w:t>
      </w:r>
      <w:r>
        <w:rPr>
          <w:rFonts w:hint="eastAsia" w:ascii="仿宋" w:hAnsi="仿宋" w:eastAsia="仿宋" w:cs="仿宋"/>
          <w:b w:val="0"/>
          <w:bCs w:val="0"/>
          <w:color w:val="000000"/>
          <w:sz w:val="32"/>
          <w:szCs w:val="32"/>
          <w:lang w:val="en-US"/>
        </w:rPr>
        <w:t>1</w:t>
      </w:r>
      <w:r>
        <w:rPr>
          <w:rFonts w:hint="eastAsia" w:ascii="仿宋" w:hAnsi="仿宋" w:eastAsia="仿宋" w:cs="仿宋"/>
          <w:b w:val="0"/>
          <w:bCs w:val="0"/>
          <w:color w:val="000000"/>
          <w:sz w:val="32"/>
          <w:szCs w:val="32"/>
          <w:lang w:val="zh-CN"/>
        </w:rPr>
        <w:t>名区级领导包镇、</w:t>
      </w:r>
      <w:r>
        <w:rPr>
          <w:rFonts w:hint="eastAsia" w:ascii="仿宋" w:hAnsi="仿宋" w:eastAsia="仿宋" w:cs="仿宋"/>
          <w:b w:val="0"/>
          <w:bCs w:val="0"/>
          <w:color w:val="000000"/>
          <w:sz w:val="32"/>
          <w:szCs w:val="32"/>
          <w:lang w:val="en-US"/>
        </w:rPr>
        <w:t>4</w:t>
      </w:r>
      <w:r>
        <w:rPr>
          <w:rFonts w:hint="eastAsia" w:ascii="仿宋" w:hAnsi="仿宋" w:eastAsia="仿宋" w:cs="仿宋"/>
          <w:b w:val="0"/>
          <w:bCs w:val="0"/>
          <w:color w:val="000000"/>
          <w:sz w:val="32"/>
          <w:szCs w:val="32"/>
          <w:lang w:val="zh-CN"/>
        </w:rPr>
        <w:t>名区级领导包村、</w:t>
      </w:r>
      <w:r>
        <w:rPr>
          <w:rFonts w:hint="eastAsia" w:ascii="仿宋" w:hAnsi="仿宋" w:eastAsia="仿宋" w:cs="仿宋"/>
          <w:b w:val="0"/>
          <w:bCs w:val="0"/>
          <w:color w:val="000000"/>
          <w:sz w:val="32"/>
          <w:szCs w:val="32"/>
          <w:lang w:val="en-US"/>
        </w:rPr>
        <w:t>13</w:t>
      </w:r>
      <w:r>
        <w:rPr>
          <w:rFonts w:hint="eastAsia" w:ascii="仿宋" w:hAnsi="仿宋" w:eastAsia="仿宋" w:cs="仿宋"/>
          <w:b w:val="0"/>
          <w:bCs w:val="0"/>
          <w:color w:val="000000"/>
          <w:sz w:val="32"/>
          <w:szCs w:val="32"/>
          <w:lang w:val="zh-CN"/>
        </w:rPr>
        <w:t>名科级领导包各村、</w:t>
      </w:r>
      <w:r>
        <w:rPr>
          <w:rFonts w:hint="eastAsia" w:ascii="仿宋" w:hAnsi="仿宋" w:eastAsia="仿宋" w:cs="仿宋"/>
          <w:b w:val="0"/>
          <w:bCs w:val="0"/>
          <w:color w:val="000000"/>
          <w:sz w:val="32"/>
          <w:szCs w:val="32"/>
          <w:lang w:val="en-US"/>
        </w:rPr>
        <w:t>212</w:t>
      </w:r>
      <w:r>
        <w:rPr>
          <w:rFonts w:hint="eastAsia" w:ascii="仿宋" w:hAnsi="仿宋" w:eastAsia="仿宋" w:cs="仿宋"/>
          <w:b w:val="0"/>
          <w:bCs w:val="0"/>
          <w:color w:val="000000"/>
          <w:sz w:val="32"/>
          <w:szCs w:val="32"/>
          <w:lang w:val="zh-CN"/>
        </w:rPr>
        <w:t>名一线村（社区）干部、民警、医务人员、乡村医生分片包干，实现网格化全覆盖，确保辖区人员动态管理、有效监测、全面管控。</w:t>
      </w:r>
      <w:r>
        <w:rPr>
          <w:rFonts w:hint="eastAsia" w:ascii="仿宋" w:hAnsi="仿宋" w:eastAsia="仿宋" w:cs="仿宋"/>
          <w:b/>
          <w:bCs/>
          <w:color w:val="000000"/>
          <w:sz w:val="32"/>
          <w:szCs w:val="32"/>
          <w:lang w:val="zh-CN"/>
        </w:rPr>
        <w:t>五是</w:t>
      </w:r>
      <w:r>
        <w:rPr>
          <w:rFonts w:hint="eastAsia" w:ascii="仿宋" w:hAnsi="仿宋" w:eastAsia="仿宋" w:cs="仿宋"/>
          <w:b w:val="0"/>
          <w:bCs w:val="0"/>
          <w:color w:val="000000"/>
          <w:sz w:val="32"/>
          <w:szCs w:val="32"/>
          <w:lang w:val="zh-CN"/>
        </w:rPr>
        <w:t>全面监测包保，编好防疫“卫士网”。针对排查出的</w:t>
      </w:r>
      <w:r>
        <w:rPr>
          <w:rFonts w:hint="eastAsia" w:ascii="仿宋" w:hAnsi="仿宋" w:eastAsia="仿宋" w:cs="仿宋"/>
          <w:b w:val="0"/>
          <w:bCs w:val="0"/>
          <w:color w:val="000000"/>
          <w:sz w:val="32"/>
          <w:szCs w:val="32"/>
          <w:lang w:val="en-US"/>
        </w:rPr>
        <w:t>10</w:t>
      </w:r>
      <w:r>
        <w:rPr>
          <w:rFonts w:hint="eastAsia" w:ascii="仿宋" w:hAnsi="仿宋" w:eastAsia="仿宋" w:cs="仿宋"/>
          <w:b w:val="0"/>
          <w:bCs w:val="0"/>
          <w:color w:val="000000"/>
          <w:sz w:val="32"/>
          <w:szCs w:val="32"/>
          <w:lang w:val="zh-CN"/>
        </w:rPr>
        <w:t>名重点对象实行包保，全面压实包保责任，强化包保落实，并建立台账；</w:t>
      </w:r>
      <w:r>
        <w:rPr>
          <w:rFonts w:hint="eastAsia" w:ascii="仿宋" w:hAnsi="仿宋" w:eastAsia="仿宋" w:cs="仿宋"/>
          <w:b/>
          <w:bCs/>
          <w:color w:val="000000"/>
          <w:sz w:val="32"/>
          <w:szCs w:val="32"/>
          <w:lang w:val="zh-CN"/>
        </w:rPr>
        <w:t>六是</w:t>
      </w:r>
      <w:r>
        <w:rPr>
          <w:rFonts w:hint="eastAsia" w:ascii="仿宋" w:hAnsi="仿宋" w:eastAsia="仿宋" w:cs="仿宋"/>
          <w:b w:val="0"/>
          <w:bCs w:val="0"/>
          <w:color w:val="000000"/>
          <w:sz w:val="32"/>
          <w:szCs w:val="32"/>
          <w:lang w:val="zh-CN"/>
        </w:rPr>
        <w:t>全面开展消杀，编好防疫“清洁网”。对公共区域、重点领域、家庭单元消不留死角、不留遗漏；</w:t>
      </w:r>
      <w:r>
        <w:rPr>
          <w:rFonts w:hint="eastAsia" w:ascii="仿宋" w:hAnsi="仿宋" w:eastAsia="仿宋" w:cs="仿宋"/>
          <w:b/>
          <w:bCs/>
          <w:color w:val="000000"/>
          <w:sz w:val="32"/>
          <w:szCs w:val="32"/>
          <w:lang w:val="zh-CN"/>
        </w:rPr>
        <w:t>七是</w:t>
      </w:r>
      <w:r>
        <w:rPr>
          <w:rFonts w:hint="eastAsia" w:ascii="仿宋" w:hAnsi="仿宋" w:eastAsia="仿宋" w:cs="仿宋"/>
          <w:b w:val="0"/>
          <w:bCs w:val="0"/>
          <w:color w:val="000000"/>
          <w:sz w:val="32"/>
          <w:szCs w:val="32"/>
          <w:lang w:val="zh-CN"/>
        </w:rPr>
        <w:t>全面依法劝导，编好防疫“交通网”，</w:t>
      </w:r>
      <w:r>
        <w:rPr>
          <w:rFonts w:hint="eastAsia" w:ascii="仿宋" w:hAnsi="仿宋" w:eastAsia="仿宋" w:cs="仿宋"/>
          <w:b w:val="0"/>
          <w:bCs w:val="0"/>
          <w:color w:val="000000"/>
          <w:kern w:val="0"/>
          <w:sz w:val="32"/>
          <w:szCs w:val="32"/>
          <w:lang w:val="zh-CN"/>
        </w:rPr>
        <w:t>设置鹦鸽嘴、老来红等两个镇级进出卡点，</w:t>
      </w:r>
      <w:r>
        <w:rPr>
          <w:rFonts w:hint="eastAsia" w:ascii="仿宋" w:hAnsi="仿宋" w:eastAsia="仿宋" w:cs="仿宋"/>
          <w:b w:val="0"/>
          <w:bCs w:val="0"/>
          <w:color w:val="000000"/>
          <w:kern w:val="0"/>
          <w:sz w:val="32"/>
          <w:szCs w:val="32"/>
          <w:lang w:val="en-US" w:eastAsia="zh-CN"/>
        </w:rPr>
        <w:t>12个</w:t>
      </w:r>
      <w:r>
        <w:rPr>
          <w:rFonts w:hint="eastAsia" w:ascii="仿宋" w:hAnsi="仿宋" w:eastAsia="仿宋" w:cs="仿宋"/>
          <w:b w:val="0"/>
          <w:bCs w:val="0"/>
          <w:color w:val="000000"/>
          <w:kern w:val="0"/>
          <w:sz w:val="32"/>
          <w:szCs w:val="32"/>
          <w:lang w:val="zh-CN"/>
        </w:rPr>
        <w:t>村内卡点，</w:t>
      </w:r>
      <w:r>
        <w:rPr>
          <w:rFonts w:hint="eastAsia" w:ascii="仿宋" w:hAnsi="仿宋" w:eastAsia="仿宋" w:cs="仿宋"/>
          <w:b w:val="0"/>
          <w:bCs w:val="0"/>
          <w:color w:val="000000"/>
          <w:kern w:val="0"/>
          <w:sz w:val="32"/>
          <w:szCs w:val="32"/>
          <w:lang w:val="en-US" w:eastAsia="zh-CN"/>
        </w:rPr>
        <w:t>85人实行</w:t>
      </w:r>
      <w:r>
        <w:rPr>
          <w:rFonts w:hint="eastAsia" w:ascii="仿宋" w:hAnsi="仿宋" w:eastAsia="仿宋" w:cs="仿宋"/>
          <w:b w:val="0"/>
          <w:bCs w:val="0"/>
          <w:color w:val="000000"/>
          <w:kern w:val="0"/>
          <w:sz w:val="32"/>
          <w:szCs w:val="32"/>
          <w:lang w:val="en-US"/>
        </w:rPr>
        <w:t>24</w:t>
      </w:r>
      <w:r>
        <w:rPr>
          <w:rFonts w:hint="eastAsia" w:ascii="仿宋" w:hAnsi="仿宋" w:eastAsia="仿宋" w:cs="仿宋"/>
          <w:b w:val="0"/>
          <w:bCs w:val="0"/>
          <w:color w:val="000000"/>
          <w:kern w:val="0"/>
          <w:sz w:val="32"/>
          <w:szCs w:val="32"/>
          <w:lang w:val="zh-CN"/>
        </w:rPr>
        <w:t>小时三班制轮班值守，共登记流动人员</w:t>
      </w:r>
      <w:r>
        <w:rPr>
          <w:rFonts w:hint="eastAsia" w:ascii="仿宋" w:hAnsi="仿宋" w:eastAsia="仿宋" w:cs="仿宋"/>
          <w:b w:val="0"/>
          <w:bCs w:val="0"/>
          <w:color w:val="000000"/>
          <w:kern w:val="0"/>
          <w:sz w:val="32"/>
          <w:szCs w:val="32"/>
          <w:lang w:val="en-US" w:eastAsia="zh-CN"/>
        </w:rPr>
        <w:t>2362</w:t>
      </w:r>
      <w:r>
        <w:rPr>
          <w:rFonts w:hint="eastAsia" w:ascii="仿宋" w:hAnsi="仿宋" w:eastAsia="仿宋" w:cs="仿宋"/>
          <w:b w:val="0"/>
          <w:bCs w:val="0"/>
          <w:color w:val="000000"/>
          <w:kern w:val="0"/>
          <w:sz w:val="32"/>
          <w:szCs w:val="32"/>
          <w:lang w:val="zh-CN"/>
        </w:rPr>
        <w:t>人、过往车辆</w:t>
      </w:r>
      <w:r>
        <w:rPr>
          <w:rFonts w:hint="eastAsia" w:ascii="仿宋" w:hAnsi="仿宋" w:eastAsia="仿宋" w:cs="仿宋"/>
          <w:b w:val="0"/>
          <w:bCs w:val="0"/>
          <w:color w:val="000000"/>
          <w:kern w:val="0"/>
          <w:sz w:val="32"/>
          <w:szCs w:val="32"/>
          <w:lang w:val="en-US"/>
        </w:rPr>
        <w:t>1</w:t>
      </w:r>
      <w:r>
        <w:rPr>
          <w:rFonts w:hint="eastAsia" w:ascii="仿宋" w:hAnsi="仿宋" w:eastAsia="仿宋" w:cs="仿宋"/>
          <w:b w:val="0"/>
          <w:bCs w:val="0"/>
          <w:color w:val="000000"/>
          <w:kern w:val="0"/>
          <w:sz w:val="32"/>
          <w:szCs w:val="32"/>
          <w:lang w:val="en-US" w:eastAsia="zh-CN"/>
        </w:rPr>
        <w:t>386</w:t>
      </w:r>
      <w:r>
        <w:rPr>
          <w:rFonts w:hint="eastAsia" w:ascii="仿宋" w:hAnsi="仿宋" w:eastAsia="仿宋" w:cs="仿宋"/>
          <w:b w:val="0"/>
          <w:bCs w:val="0"/>
          <w:color w:val="000000"/>
          <w:kern w:val="0"/>
          <w:sz w:val="32"/>
          <w:szCs w:val="32"/>
          <w:lang w:val="zh-CN"/>
        </w:rPr>
        <w:t>辆，全面掌握村间公路情况，编细镇内通村“交通网”。</w:t>
      </w:r>
      <w:r>
        <w:rPr>
          <w:rFonts w:hint="eastAsia" w:ascii="仿宋" w:hAnsi="仿宋" w:eastAsia="仿宋" w:cs="仿宋"/>
          <w:b/>
          <w:bCs/>
          <w:color w:val="000000"/>
          <w:sz w:val="32"/>
          <w:szCs w:val="32"/>
          <w:lang w:val="zh-CN"/>
        </w:rPr>
        <w:t>八是</w:t>
      </w:r>
      <w:r>
        <w:rPr>
          <w:rFonts w:hint="eastAsia" w:ascii="仿宋" w:hAnsi="仿宋" w:eastAsia="仿宋" w:cs="仿宋"/>
          <w:b w:val="0"/>
          <w:bCs w:val="0"/>
          <w:color w:val="000000"/>
          <w:sz w:val="32"/>
          <w:szCs w:val="32"/>
          <w:lang w:val="zh-CN"/>
        </w:rPr>
        <w:t>全面宣传群众，编好防疫“群众网”。积极引导群众共同参与、共同携手，建立“动员群众、服务群众，群众参与、群众受益”疫情防控群防群控防控体系。</w:t>
      </w:r>
      <w:r>
        <w:rPr>
          <w:rFonts w:hint="eastAsia" w:ascii="仿宋" w:hAnsi="仿宋" w:eastAsia="仿宋" w:cs="仿宋"/>
          <w:b/>
          <w:bCs/>
          <w:color w:val="000000"/>
          <w:sz w:val="32"/>
          <w:szCs w:val="32"/>
          <w:lang w:val="zh-CN"/>
        </w:rPr>
        <w:t>九是</w:t>
      </w:r>
      <w:r>
        <w:rPr>
          <w:rFonts w:hint="eastAsia" w:ascii="仿宋" w:hAnsi="仿宋" w:eastAsia="仿宋" w:cs="仿宋"/>
          <w:b w:val="0"/>
          <w:bCs w:val="0"/>
          <w:color w:val="000000"/>
          <w:sz w:val="32"/>
          <w:szCs w:val="32"/>
          <w:lang w:val="zh-CN"/>
        </w:rPr>
        <w:t>全面发动群众，编好防疫“联动网”。因民镇疫情防控指挥部制定并下发《关于在疫情防控期间招录志愿者及接受社会捐赠的通告》。共有</w:t>
      </w:r>
      <w:r>
        <w:rPr>
          <w:rFonts w:hint="eastAsia" w:ascii="仿宋" w:hAnsi="仿宋" w:eastAsia="仿宋" w:cs="仿宋"/>
          <w:b w:val="0"/>
          <w:bCs w:val="0"/>
          <w:color w:val="000000"/>
          <w:sz w:val="32"/>
          <w:szCs w:val="32"/>
          <w:lang w:val="en-US"/>
        </w:rPr>
        <w:t>218</w:t>
      </w:r>
      <w:r>
        <w:rPr>
          <w:rFonts w:hint="eastAsia" w:ascii="仿宋" w:hAnsi="仿宋" w:eastAsia="仿宋" w:cs="仿宋"/>
          <w:b w:val="0"/>
          <w:bCs w:val="0"/>
          <w:color w:val="000000"/>
          <w:sz w:val="32"/>
          <w:szCs w:val="32"/>
          <w:lang w:val="zh-CN"/>
        </w:rPr>
        <w:t>名群众参与防疫志愿者团队，积极投身疫情防控阻击战。</w:t>
      </w:r>
      <w:r>
        <w:rPr>
          <w:rFonts w:hint="eastAsia" w:ascii="仿宋" w:hAnsi="仿宋" w:eastAsia="仿宋" w:cs="仿宋"/>
          <w:b/>
          <w:bCs/>
          <w:color w:val="000000"/>
          <w:sz w:val="32"/>
          <w:szCs w:val="32"/>
          <w:lang w:val="zh-CN"/>
        </w:rPr>
        <w:t>十是</w:t>
      </w:r>
      <w:r>
        <w:rPr>
          <w:rFonts w:hint="eastAsia" w:ascii="仿宋" w:hAnsi="仿宋" w:eastAsia="仿宋" w:cs="仿宋"/>
          <w:b w:val="0"/>
          <w:bCs w:val="0"/>
          <w:color w:val="000000"/>
          <w:sz w:val="32"/>
          <w:szCs w:val="32"/>
          <w:lang w:val="zh-CN"/>
        </w:rPr>
        <w:t>全面化解难题，编好防疫“民生网”。全力保障辖区物资供应，</w:t>
      </w:r>
      <w:r>
        <w:rPr>
          <w:rFonts w:hint="eastAsia" w:ascii="仿宋" w:hAnsi="仿宋" w:eastAsia="仿宋" w:cs="仿宋"/>
          <w:b w:val="0"/>
          <w:bCs w:val="0"/>
          <w:sz w:val="32"/>
          <w:szCs w:val="32"/>
          <w:lang w:val="en-US" w:eastAsia="zh-CN"/>
        </w:rPr>
        <w:t>共发放口罩8072个，</w:t>
      </w:r>
      <w:r>
        <w:rPr>
          <w:rFonts w:hint="eastAsia" w:ascii="仿宋" w:hAnsi="仿宋" w:eastAsia="仿宋" w:cs="仿宋"/>
          <w:b w:val="0"/>
          <w:bCs w:val="0"/>
          <w:color w:val="000000"/>
          <w:sz w:val="32"/>
          <w:szCs w:val="32"/>
          <w:lang w:val="zh-CN"/>
        </w:rPr>
        <w:t>消毒液</w:t>
      </w:r>
      <w:r>
        <w:rPr>
          <w:rFonts w:hint="eastAsia" w:ascii="仿宋" w:hAnsi="仿宋" w:eastAsia="仿宋" w:cs="仿宋"/>
          <w:b w:val="0"/>
          <w:bCs w:val="0"/>
          <w:color w:val="000000"/>
          <w:sz w:val="32"/>
          <w:szCs w:val="32"/>
          <w:lang w:val="en-US"/>
        </w:rPr>
        <w:t>85</w:t>
      </w:r>
      <w:r>
        <w:rPr>
          <w:rFonts w:hint="eastAsia" w:ascii="仿宋" w:hAnsi="仿宋" w:eastAsia="仿宋" w:cs="仿宋"/>
          <w:b w:val="0"/>
          <w:bCs w:val="0"/>
          <w:color w:val="000000"/>
          <w:sz w:val="32"/>
          <w:szCs w:val="32"/>
          <w:lang w:val="zh-CN"/>
        </w:rPr>
        <w:t>桶（</w:t>
      </w:r>
      <w:r>
        <w:rPr>
          <w:rFonts w:hint="eastAsia" w:ascii="仿宋" w:hAnsi="仿宋" w:eastAsia="仿宋" w:cs="仿宋"/>
          <w:b w:val="0"/>
          <w:bCs w:val="0"/>
          <w:color w:val="000000"/>
          <w:sz w:val="32"/>
          <w:szCs w:val="32"/>
          <w:lang w:val="en-US" w:eastAsia="zh-CN"/>
        </w:rPr>
        <w:t>25kg</w:t>
      </w:r>
      <w:r>
        <w:rPr>
          <w:rFonts w:hint="eastAsia" w:ascii="仿宋" w:hAnsi="仿宋" w:eastAsia="仿宋" w:cs="仿宋"/>
          <w:b w:val="0"/>
          <w:bCs w:val="0"/>
          <w:color w:val="000000"/>
          <w:sz w:val="32"/>
          <w:szCs w:val="32"/>
          <w:lang w:val="zh-CN"/>
        </w:rPr>
        <w:t>）等。分配“爱心蔬菜”木瓜15吨、蒜薹500公斤</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zh-CN"/>
        </w:rPr>
        <w:t>“爱心白菜”3吨至6个保留发展村（社区）及卫生院、派出所等一线单位</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sz w:val="32"/>
          <w:szCs w:val="32"/>
          <w:lang w:eastAsia="zh-CN"/>
        </w:rPr>
        <w:t>建立一个网格化管理”等“六一”举措，依法促进辖区金水、因民、金因万金、长丰源等</w:t>
      </w:r>
      <w:r>
        <w:rPr>
          <w:rFonts w:hint="eastAsia" w:ascii="仿宋" w:hAnsi="仿宋" w:eastAsia="仿宋" w:cs="仿宋"/>
          <w:b w:val="0"/>
          <w:bCs w:val="0"/>
          <w:sz w:val="32"/>
          <w:szCs w:val="32"/>
          <w:lang w:val="en-US" w:eastAsia="zh-CN"/>
        </w:rPr>
        <w:t>4家公司3260名企业员工复工复产。</w:t>
      </w:r>
      <w:r>
        <w:rPr>
          <w:rFonts w:hint="eastAsia" w:ascii="仿宋" w:hAnsi="仿宋" w:eastAsia="仿宋" w:cs="仿宋"/>
          <w:b w:val="0"/>
          <w:bCs w:val="0"/>
          <w:sz w:val="32"/>
          <w:szCs w:val="32"/>
          <w:lang w:eastAsia="zh-CN"/>
        </w:rPr>
        <w:t>截止目前</w:t>
      </w:r>
      <w:r>
        <w:rPr>
          <w:rFonts w:hint="eastAsia" w:ascii="仿宋" w:hAnsi="仿宋" w:eastAsia="仿宋" w:cs="仿宋"/>
          <w:b w:val="0"/>
          <w:bCs w:val="0"/>
          <w:sz w:val="32"/>
          <w:szCs w:val="32"/>
        </w:rPr>
        <w:t>全</w:t>
      </w:r>
      <w:r>
        <w:rPr>
          <w:rFonts w:hint="eastAsia" w:ascii="仿宋" w:hAnsi="仿宋" w:eastAsia="仿宋" w:cs="仿宋"/>
          <w:b w:val="0"/>
          <w:bCs w:val="0"/>
          <w:sz w:val="32"/>
          <w:szCs w:val="32"/>
          <w:lang w:eastAsia="zh-CN"/>
        </w:rPr>
        <w:t>镇</w:t>
      </w:r>
      <w:r>
        <w:rPr>
          <w:rFonts w:hint="eastAsia" w:ascii="仿宋" w:hAnsi="仿宋" w:eastAsia="仿宋" w:cs="仿宋"/>
          <w:b w:val="0"/>
          <w:bCs w:val="0"/>
          <w:sz w:val="32"/>
          <w:szCs w:val="32"/>
        </w:rPr>
        <w:t>累计报告：确诊病例</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例，疑似病例</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例，密切接触者</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例</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各分指挥部共排查省外返因民306人。</w:t>
      </w:r>
      <w:r>
        <w:rPr>
          <w:rFonts w:hint="eastAsia" w:ascii="仿宋" w:hAnsi="仿宋" w:eastAsia="仿宋" w:cs="仿宋"/>
          <w:b w:val="0"/>
          <w:bCs w:val="0"/>
          <w:sz w:val="32"/>
          <w:szCs w:val="32"/>
        </w:rPr>
        <w:t>（湖北籍和有湖北旅居的人员</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人</w:t>
      </w:r>
      <w:r>
        <w:rPr>
          <w:rFonts w:hint="eastAsia" w:ascii="仿宋" w:hAnsi="仿宋" w:eastAsia="仿宋" w:cs="仿宋"/>
          <w:b w:val="0"/>
          <w:bCs w:val="0"/>
          <w:sz w:val="32"/>
          <w:szCs w:val="32"/>
          <w:lang w:eastAsia="zh-CN"/>
        </w:rPr>
        <w:t>（其中</w:t>
      </w:r>
      <w:r>
        <w:rPr>
          <w:rFonts w:hint="eastAsia" w:ascii="仿宋" w:hAnsi="仿宋" w:eastAsia="仿宋" w:cs="仿宋"/>
          <w:b w:val="0"/>
          <w:bCs w:val="0"/>
          <w:sz w:val="32"/>
          <w:szCs w:val="32"/>
          <w:lang w:val="en-US" w:eastAsia="zh-CN"/>
        </w:rPr>
        <w:t>1人未回东川</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其余</w:t>
      </w:r>
      <w:r>
        <w:rPr>
          <w:rFonts w:hint="eastAsia" w:ascii="仿宋" w:hAnsi="仿宋" w:eastAsia="仿宋" w:cs="仿宋"/>
          <w:b w:val="0"/>
          <w:bCs w:val="0"/>
          <w:sz w:val="32"/>
          <w:szCs w:val="32"/>
          <w:lang w:val="en-US" w:eastAsia="zh-CN"/>
        </w:rPr>
        <w:t>11人</w:t>
      </w:r>
      <w:r>
        <w:rPr>
          <w:rFonts w:hint="eastAsia" w:ascii="仿宋" w:hAnsi="仿宋" w:eastAsia="仿宋" w:cs="仿宋"/>
          <w:b w:val="0"/>
          <w:bCs w:val="0"/>
          <w:sz w:val="32"/>
          <w:szCs w:val="32"/>
        </w:rPr>
        <w:t>均已平安度过15天潜伏期</w:t>
      </w:r>
      <w:r>
        <w:rPr>
          <w:rFonts w:hint="eastAsia" w:ascii="仿宋" w:hAnsi="仿宋" w:eastAsia="仿宋" w:cs="仿宋"/>
          <w:b w:val="0"/>
          <w:bCs w:val="0"/>
          <w:sz w:val="32"/>
          <w:szCs w:val="32"/>
          <w:lang w:eastAsia="zh-CN"/>
        </w:rPr>
        <w:t>，无任何异常</w:t>
      </w:r>
      <w:r>
        <w:rPr>
          <w:rFonts w:hint="eastAsia" w:ascii="仿宋" w:hAnsi="仿宋" w:eastAsia="仿宋" w:cs="仿宋"/>
          <w:b w:val="0"/>
          <w:bCs w:val="0"/>
          <w:sz w:val="32"/>
          <w:szCs w:val="32"/>
        </w:rPr>
        <w:t>。</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打好脱贫攻坚决胜战。</w:t>
      </w:r>
      <w:r>
        <w:rPr>
          <w:rFonts w:hint="eastAsia" w:ascii="仿宋" w:hAnsi="仿宋" w:eastAsia="仿宋" w:cs="仿宋"/>
          <w:sz w:val="32"/>
          <w:szCs w:val="32"/>
        </w:rPr>
        <w:t>因民镇贯彻落实以脱贫攻坚统揽经济社会发展全局要求，全面压实各级党组织和“两级书记”责任，紧扣目标任务，巩固脱贫成效，按照“一达标、两不愁、三保障”和脱贫出列“户七条、村十条”的标准要求，持续深入推进移民搬迁与保留发展“两条腿”走路。全面开展“重精准、补短板、促脱贫”精准核查行动，围绕“任务清单、目标清单、达标清单、销号清单”，制定《因民镇2020年脱贫攻坚“决战60天·打赢收官战”实施方案》及13个建档立卡贫困村（社区）总攻行动户户清，全面实施因民镇决战决胜脱贫攻坚“百日总攻”行动。高位统筹、提前谋划、深研细琢迎检各项重点环节，抓住各块细节，紧盯短板弱项，制定完善迎检方案，落实迎检责任，逐步完成国家普检前各项准备工作；完善社会扶贫机制，搭建了“企业挂村、中层以上干部包重病重残贫困户”平台，促进形成因民“十企帮十村、百人包百户”政企村民脱贫攻坚大格局。圆满顺利通过脱贫攻坚国家大普查。</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打好经济发展稳健战。</w:t>
      </w:r>
      <w:r>
        <w:rPr>
          <w:rFonts w:hint="eastAsia" w:ascii="仿宋" w:hAnsi="仿宋" w:eastAsia="仿宋" w:cs="仿宋"/>
          <w:sz w:val="32"/>
          <w:szCs w:val="32"/>
        </w:rPr>
        <w:t>因民镇坚持把抓经济、抓项目、抓招商放在全局突出位置，定期调度经济运行情况，召开政企座谈会，听取并着力化解存在困难，实行党委委员包保挂钩联系责任制，推动全镇四矿三农问题有效化解，经济社会发展稳中有进</w:t>
      </w:r>
      <w:r>
        <w:rPr>
          <w:rFonts w:hint="eastAsia" w:ascii="仿宋" w:hAnsi="仿宋" w:eastAsia="仿宋" w:cs="仿宋"/>
          <w:sz w:val="32"/>
          <w:szCs w:val="32"/>
          <w:lang w:eastAsia="zh-CN"/>
        </w:rPr>
        <w:t>，截止</w:t>
      </w:r>
      <w:r>
        <w:rPr>
          <w:rFonts w:hint="eastAsia" w:ascii="仿宋" w:hAnsi="仿宋" w:eastAsia="仿宋" w:cs="仿宋"/>
          <w:sz w:val="32"/>
          <w:szCs w:val="32"/>
          <w:lang w:val="en-US" w:eastAsia="zh-CN"/>
        </w:rPr>
        <w:t>2020年10月，</w:t>
      </w:r>
      <w:r>
        <w:rPr>
          <w:rFonts w:hint="eastAsia" w:ascii="仿宋" w:hAnsi="仿宋" w:eastAsia="仿宋" w:cs="仿宋"/>
          <w:sz w:val="32"/>
          <w:szCs w:val="32"/>
        </w:rPr>
        <w:t>第一产业增加值完成</w:t>
      </w:r>
      <w:r>
        <w:rPr>
          <w:rFonts w:hint="eastAsia" w:ascii="仿宋" w:hAnsi="仿宋" w:eastAsia="仿宋" w:cs="仿宋"/>
          <w:sz w:val="32"/>
          <w:szCs w:val="32"/>
          <w:lang w:val="en-US" w:eastAsia="zh-CN"/>
        </w:rPr>
        <w:t>5313.77</w:t>
      </w:r>
      <w:r>
        <w:rPr>
          <w:rFonts w:hint="eastAsia" w:ascii="仿宋" w:hAnsi="仿宋" w:eastAsia="仿宋" w:cs="仿宋"/>
          <w:sz w:val="32"/>
          <w:szCs w:val="32"/>
        </w:rPr>
        <w:t>万元，完成全年目标任务</w:t>
      </w:r>
      <w:r>
        <w:rPr>
          <w:rFonts w:hint="eastAsia" w:ascii="仿宋" w:hAnsi="仿宋" w:eastAsia="仿宋" w:cs="仿宋"/>
          <w:sz w:val="32"/>
          <w:szCs w:val="32"/>
          <w:lang w:val="en-US" w:eastAsia="zh-CN"/>
        </w:rPr>
        <w:t>81</w:t>
      </w:r>
      <w:r>
        <w:rPr>
          <w:rFonts w:hint="eastAsia" w:ascii="仿宋" w:hAnsi="仿宋" w:eastAsia="仿宋" w:cs="仿宋"/>
          <w:sz w:val="32"/>
          <w:szCs w:val="32"/>
        </w:rPr>
        <w:t>.3%；规上工业总产值完成</w:t>
      </w:r>
      <w:r>
        <w:rPr>
          <w:rFonts w:hint="eastAsia" w:ascii="仿宋" w:hAnsi="仿宋" w:eastAsia="仿宋" w:cs="仿宋"/>
          <w:sz w:val="32"/>
          <w:szCs w:val="32"/>
          <w:lang w:val="en-US" w:eastAsia="zh-CN"/>
        </w:rPr>
        <w:t>8377.87</w:t>
      </w:r>
      <w:r>
        <w:rPr>
          <w:rFonts w:hint="eastAsia" w:ascii="仿宋" w:hAnsi="仿宋" w:eastAsia="仿宋" w:cs="仿宋"/>
          <w:sz w:val="32"/>
          <w:szCs w:val="32"/>
        </w:rPr>
        <w:t>万元；固定资产投资项目8个，1</w:t>
      </w:r>
      <w:r>
        <w:rPr>
          <w:rFonts w:hint="eastAsia" w:ascii="仿宋" w:hAnsi="仿宋" w:eastAsia="仿宋" w:cs="仿宋"/>
          <w:sz w:val="32"/>
          <w:szCs w:val="32"/>
          <w:lang w:eastAsia="zh-CN"/>
        </w:rPr>
        <w:t>—</w:t>
      </w:r>
      <w:r>
        <w:rPr>
          <w:rFonts w:hint="eastAsia" w:ascii="仿宋" w:hAnsi="仿宋" w:eastAsia="仿宋" w:cs="仿宋"/>
          <w:sz w:val="32"/>
          <w:szCs w:val="32"/>
        </w:rPr>
        <w:t>10月投资额49373万元，完成全年目标任务的98.75%。协同区第三招商小组完成招商引资在谈项目11个、签约项目1个、开工项目2个，获全区一季度“五个一百”项目考核“红黑榜”第</w:t>
      </w:r>
      <w:r>
        <w:rPr>
          <w:rFonts w:hint="eastAsia" w:ascii="仿宋" w:hAnsi="仿宋" w:eastAsia="仿宋" w:cs="仿宋"/>
          <w:sz w:val="32"/>
          <w:szCs w:val="32"/>
          <w:lang w:eastAsia="zh-CN"/>
        </w:rPr>
        <w:t>二</w:t>
      </w:r>
      <w:r>
        <w:rPr>
          <w:rFonts w:hint="eastAsia" w:ascii="仿宋" w:hAnsi="仿宋" w:eastAsia="仿宋" w:cs="仿宋"/>
          <w:sz w:val="32"/>
          <w:szCs w:val="32"/>
        </w:rPr>
        <w:t>名、二季度红黑榜第一名、三季度红黑榜第二名</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outlineLvl w:val="9"/>
        <w:rPr>
          <w:rFonts w:hint="eastAsia" w:ascii="仿宋" w:hAnsi="仿宋" w:eastAsia="仿宋" w:cs="仿宋"/>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打好生态建设保卫战。</w:t>
      </w:r>
      <w:r>
        <w:rPr>
          <w:rFonts w:hint="eastAsia" w:ascii="仿宋" w:hAnsi="仿宋" w:eastAsia="仿宋" w:cs="仿宋"/>
          <w:sz w:val="32"/>
          <w:szCs w:val="32"/>
        </w:rPr>
        <w:t>因民镇始终坚定不移贯彻落实习近平生态文明思想，打好“蓝天、碧水、净土”保卫战，加大生态投资力度，加强生态修复力度，建设一个有厚度、有温度、有美誉度的工贸第一镇。继续高位推进林业生态建设暨城乡园林绿化“十二项行动”，打造“一江清水、两岸常青、村庄干净、户户清洁”的绿色因民。完成实施长江经济带生态修复6000亩实地规划入库工作；完成田坝社区沙沟边治理项目前期工作；</w:t>
      </w:r>
      <w:r>
        <w:rPr>
          <w:rFonts w:hint="eastAsia" w:ascii="仿宋" w:hAnsi="仿宋" w:eastAsia="仿宋" w:cs="仿宋"/>
          <w:bCs/>
          <w:sz w:val="32"/>
          <w:szCs w:val="32"/>
        </w:rPr>
        <w:t>完成易地扶贫搬迁村地灾风险评估专项工作；完成2020年退耕还经济林905亩及“富申地—金沙江”绿色步行廊道项目前期工作；</w:t>
      </w:r>
      <w:r>
        <w:rPr>
          <w:rFonts w:hint="eastAsia" w:ascii="仿宋" w:hAnsi="仿宋" w:eastAsia="仿宋" w:cs="仿宋"/>
          <w:sz w:val="32"/>
          <w:szCs w:val="32"/>
        </w:rPr>
        <w:t>启动实施无主矿山生态综合修复治理工程，</w:t>
      </w:r>
      <w:r>
        <w:rPr>
          <w:rFonts w:hint="eastAsia" w:ascii="仿宋" w:hAnsi="仿宋" w:eastAsia="仿宋" w:cs="仿宋"/>
          <w:bCs/>
          <w:sz w:val="32"/>
          <w:szCs w:val="32"/>
        </w:rPr>
        <w:t>全力争取矿山综合修复治理项目落地因民。严格执行“党政同责、一岗双责、失职追责”要求，督促企业履行主体责任，全面开展矿山安全环保巡查检查，实施节前大检查，召开安全环保专题会议，</w:t>
      </w:r>
      <w:r>
        <w:rPr>
          <w:rFonts w:hint="eastAsia" w:ascii="仿宋" w:hAnsi="仿宋" w:eastAsia="仿宋" w:cs="仿宋"/>
          <w:sz w:val="32"/>
          <w:szCs w:val="32"/>
        </w:rPr>
        <w:t>完成《因民镇环境综合整治实施方案（2020年—2022年）》编制前期工作，</w:t>
      </w:r>
      <w:r>
        <w:rPr>
          <w:rFonts w:hint="eastAsia" w:ascii="仿宋" w:hAnsi="仿宋" w:eastAsia="仿宋" w:cs="仿宋"/>
          <w:bCs/>
          <w:sz w:val="32"/>
          <w:szCs w:val="32"/>
        </w:rPr>
        <w:t>督促企业完成环保督察问题整改。</w:t>
      </w:r>
    </w:p>
    <w:p>
      <w:pPr>
        <w:keepNext w:val="0"/>
        <w:keepLines w:val="0"/>
        <w:pageBreakBefore w:val="0"/>
        <w:kinsoku/>
        <w:wordWrap/>
        <w:overflowPunct/>
        <w:topLinePunct w:val="0"/>
        <w:autoSpaceDN/>
        <w:bidi w:val="0"/>
        <w:adjustRightInd/>
        <w:snapToGrid/>
        <w:spacing w:line="560" w:lineRule="exact"/>
        <w:ind w:firstLine="643"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打好民生改善关键战。</w:t>
      </w:r>
      <w:r>
        <w:rPr>
          <w:rFonts w:hint="eastAsia" w:ascii="仿宋" w:hAnsi="仿宋" w:eastAsia="仿宋" w:cs="仿宋"/>
          <w:sz w:val="32"/>
          <w:szCs w:val="32"/>
        </w:rPr>
        <w:t>因民镇党委</w:t>
      </w:r>
      <w:r>
        <w:rPr>
          <w:rFonts w:hint="eastAsia" w:ascii="仿宋" w:hAnsi="仿宋" w:eastAsia="仿宋" w:cs="仿宋"/>
          <w:sz w:val="32"/>
          <w:szCs w:val="32"/>
          <w:lang w:eastAsia="zh-CN"/>
        </w:rPr>
        <w:t>、政府</w:t>
      </w:r>
      <w:r>
        <w:rPr>
          <w:rFonts w:hint="eastAsia" w:ascii="仿宋" w:hAnsi="仿宋" w:eastAsia="仿宋" w:cs="仿宋"/>
          <w:sz w:val="32"/>
          <w:szCs w:val="32"/>
        </w:rPr>
        <w:t>始终把“就业、教育、医疗、治安、宜居”作为民生关键战来抓，高度重视并采取措施推动“五项重点”见到成效。</w:t>
      </w:r>
      <w:r>
        <w:rPr>
          <w:rFonts w:hint="eastAsia" w:ascii="仿宋" w:hAnsi="仿宋" w:eastAsia="仿宋" w:cs="仿宋"/>
          <w:b/>
          <w:bCs/>
          <w:sz w:val="32"/>
          <w:szCs w:val="32"/>
        </w:rPr>
        <w:t>就业方面，</w:t>
      </w:r>
      <w:r>
        <w:rPr>
          <w:rFonts w:hint="eastAsia" w:ascii="仿宋" w:hAnsi="仿宋" w:eastAsia="仿宋" w:cs="仿宋"/>
          <w:sz w:val="32"/>
          <w:szCs w:val="32"/>
        </w:rPr>
        <w:t>完成劳动力引导性培训480人、技能培训280人；完成劳动力转移就业1121人、新增转移就业429人；开展“户有一名技术明白人”技能培训，实现户均培训两次及以上目标。</w:t>
      </w:r>
      <w:r>
        <w:rPr>
          <w:rFonts w:hint="eastAsia" w:ascii="仿宋" w:hAnsi="仿宋" w:eastAsia="仿宋" w:cs="仿宋"/>
          <w:b/>
          <w:bCs/>
          <w:sz w:val="32"/>
          <w:szCs w:val="32"/>
        </w:rPr>
        <w:t>教育方面，</w:t>
      </w:r>
      <w:r>
        <w:rPr>
          <w:rFonts w:hint="eastAsia" w:ascii="仿宋" w:hAnsi="仿宋" w:eastAsia="仿宋" w:cs="仿宋"/>
          <w:sz w:val="32"/>
          <w:szCs w:val="32"/>
        </w:rPr>
        <w:t>累计发放各项教育补助资金132.96875万元，助推因民教育事业发展，努力阻隔贫困“代际传递”</w:t>
      </w:r>
      <w:r>
        <w:rPr>
          <w:rFonts w:hint="eastAsia" w:ascii="仿宋" w:hAnsi="仿宋" w:eastAsia="仿宋" w:cs="仿宋"/>
          <w:sz w:val="32"/>
          <w:szCs w:val="32"/>
          <w:lang w:eastAsia="zh-CN"/>
        </w:rPr>
        <w:t>；</w:t>
      </w:r>
      <w:r>
        <w:rPr>
          <w:rFonts w:hint="eastAsia" w:ascii="仿宋" w:hAnsi="仿宋" w:eastAsia="仿宋" w:cs="仿宋"/>
          <w:b/>
          <w:bCs/>
          <w:sz w:val="32"/>
          <w:szCs w:val="32"/>
        </w:rPr>
        <w:t>医疗方面，</w:t>
      </w:r>
      <w:r>
        <w:rPr>
          <w:rFonts w:hint="eastAsia" w:ascii="仿宋" w:hAnsi="仿宋" w:eastAsia="仿宋" w:cs="仿宋"/>
          <w:sz w:val="32"/>
          <w:szCs w:val="32"/>
        </w:rPr>
        <w:t>完成门诊就医9573人次，收入388543.62万元，医保统筹157035.94万元，其中建档立卡户门诊诊疗 432人，医保报销金额 15101.25元，住院诊疗197人次224114.14万元，医保统筹186164.14万元；建档立卡户住院诊疗36人，总金额33587.97元，医保报销金额29174.84元，健康扶贫报销金额248.07元，完成家庭医生签约2185人</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治安方面，</w:t>
      </w:r>
      <w:r>
        <w:rPr>
          <w:rFonts w:hint="eastAsia" w:ascii="仿宋" w:hAnsi="仿宋" w:eastAsia="仿宋" w:cs="仿宋"/>
          <w:sz w:val="32"/>
          <w:szCs w:val="32"/>
        </w:rPr>
        <w:t>坚持司法调解、人民调解、行政调解“三调联动”，妥善化解各类矛盾纠纷，解决群众合理诉求。共排查并调处各类矛盾纠纷65起，受理市长热线69件，做到件件有回复，办理信访件46件，接待来访群众200余人。协助因民公司、金水公司等企业做好非煤矿山转型升级工作，确保转型平稳、社会稳定。扎实开展扫黑除恶，持续加大依法打击违法犯罪力度，刑事案件立案19件、破案14件，刑事拘留17人，逮捕15人</w:t>
      </w:r>
      <w:r>
        <w:rPr>
          <w:rFonts w:hint="eastAsia" w:ascii="仿宋" w:hAnsi="仿宋" w:eastAsia="仿宋" w:cs="仿宋"/>
          <w:sz w:val="32"/>
          <w:szCs w:val="32"/>
          <w:lang w:eastAsia="zh-CN"/>
        </w:rPr>
        <w:t>；</w:t>
      </w:r>
      <w:r>
        <w:rPr>
          <w:rFonts w:hint="eastAsia" w:ascii="仿宋" w:hAnsi="仿宋" w:eastAsia="仿宋" w:cs="仿宋"/>
          <w:b/>
          <w:bCs/>
          <w:sz w:val="32"/>
          <w:szCs w:val="32"/>
        </w:rPr>
        <w:t>社会事务方面，</w:t>
      </w:r>
      <w:r>
        <w:rPr>
          <w:rFonts w:hint="eastAsia" w:ascii="仿宋" w:hAnsi="仿宋" w:eastAsia="仿宋" w:cs="仿宋"/>
          <w:sz w:val="32"/>
          <w:szCs w:val="32"/>
        </w:rPr>
        <w:t>扎实做好农村低保精准识别“回头看”工作，加大新型城乡居民医疗及养老保险参保工作，按照“应保尽保，参保不错不漏”原则，享受城乡最低生活保障共计1688户3338人，其中城市最低生活保障993  户2397人，发放保障金1218545元，农村最生活保障695户941人，发放保障金额336165元，特困供养人员保障49人，其中22人到因民镇敬老院集中供养、27人分散供养，2020年参加城乡居民医疗保险参保人数为11635人，完成建档立卡户医疗保险100%参保，因民镇参加养老保险人数9023人,领取待遇1815人，临时生活困难救助266户417人发放救助资金872520元。</w:t>
      </w:r>
      <w:r>
        <w:rPr>
          <w:rFonts w:hint="eastAsia" w:ascii="仿宋" w:hAnsi="仿宋" w:eastAsia="仿宋" w:cs="仿宋"/>
          <w:b/>
          <w:bCs/>
          <w:sz w:val="32"/>
          <w:szCs w:val="32"/>
        </w:rPr>
        <w:t>食药品安全方面，</w:t>
      </w:r>
      <w:r>
        <w:rPr>
          <w:rFonts w:hint="eastAsia" w:ascii="仿宋" w:hAnsi="仿宋" w:eastAsia="仿宋" w:cs="仿宋"/>
          <w:sz w:val="32"/>
          <w:szCs w:val="32"/>
        </w:rPr>
        <w:t>严格按照“创建国家食品安全示范城市”标准要求，发放食药品安全宣传资料3000余份，张贴宣传画20余份，下发“严控非洲猪瘟疫情全区餐饮服务单位有关事项告知书”47份；检查餐饮服务、食品流通单位100余户次，新办（换）食品经营许可证29件。统筹做好全镇医疗机构及疫苗管理工作，依法严厉打击非法行医以及不合格疫苗。</w:t>
      </w:r>
      <w:r>
        <w:rPr>
          <w:rFonts w:hint="eastAsia" w:ascii="仿宋" w:hAnsi="仿宋" w:eastAsia="仿宋" w:cs="仿宋"/>
          <w:b/>
          <w:bCs/>
          <w:sz w:val="32"/>
          <w:szCs w:val="32"/>
        </w:rPr>
        <w:t>基础设施</w:t>
      </w:r>
      <w:r>
        <w:rPr>
          <w:rFonts w:hint="eastAsia" w:ascii="仿宋" w:hAnsi="仿宋" w:eastAsia="仿宋" w:cs="仿宋"/>
          <w:b/>
          <w:bCs/>
          <w:sz w:val="32"/>
          <w:szCs w:val="32"/>
          <w:lang w:eastAsia="zh-CN"/>
        </w:rPr>
        <w:t>建设方面，</w:t>
      </w:r>
      <w:r>
        <w:rPr>
          <w:rFonts w:hint="eastAsia" w:ascii="仿宋" w:hAnsi="仿宋" w:eastAsia="仿宋" w:cs="仿宋"/>
          <w:b w:val="0"/>
          <w:bCs w:val="0"/>
          <w:sz w:val="32"/>
          <w:szCs w:val="32"/>
        </w:rPr>
        <w:t>累计投入</w:t>
      </w:r>
      <w:r>
        <w:rPr>
          <w:rFonts w:hint="eastAsia" w:ascii="仿宋" w:hAnsi="仿宋" w:eastAsia="仿宋" w:cs="仿宋"/>
          <w:b w:val="0"/>
          <w:bCs w:val="0"/>
          <w:sz w:val="32"/>
          <w:szCs w:val="32"/>
          <w:lang w:eastAsia="zh-CN"/>
        </w:rPr>
        <w:t>资金</w:t>
      </w:r>
      <w:r>
        <w:rPr>
          <w:rFonts w:hint="eastAsia" w:ascii="仿宋" w:hAnsi="仿宋" w:eastAsia="仿宋" w:cs="仿宋"/>
          <w:b w:val="0"/>
          <w:bCs w:val="0"/>
          <w:sz w:val="32"/>
          <w:szCs w:val="32"/>
          <w:lang w:val="en-US" w:eastAsia="zh-CN"/>
        </w:rPr>
        <w:t>1666.34</w:t>
      </w:r>
      <w:r>
        <w:rPr>
          <w:rFonts w:hint="eastAsia" w:ascii="仿宋" w:hAnsi="仿宋" w:eastAsia="仿宋" w:cs="仿宋"/>
          <w:b w:val="0"/>
          <w:bCs w:val="0"/>
          <w:sz w:val="32"/>
          <w:szCs w:val="32"/>
        </w:rPr>
        <w:t>万</w:t>
      </w:r>
      <w:r>
        <w:rPr>
          <w:rFonts w:hint="eastAsia" w:ascii="仿宋" w:hAnsi="仿宋" w:eastAsia="仿宋" w:cs="仿宋"/>
          <w:b w:val="0"/>
          <w:bCs w:val="0"/>
          <w:sz w:val="32"/>
          <w:szCs w:val="32"/>
          <w:lang w:eastAsia="zh-CN"/>
        </w:rPr>
        <w:t>。</w:t>
      </w:r>
      <w:r>
        <w:rPr>
          <w:rFonts w:hint="eastAsia" w:ascii="仿宋" w:hAnsi="仿宋" w:eastAsia="仿宋" w:cs="仿宋"/>
          <w:sz w:val="32"/>
          <w:szCs w:val="32"/>
        </w:rPr>
        <w:t>其中，投资</w:t>
      </w:r>
      <w:r>
        <w:rPr>
          <w:rFonts w:hint="eastAsia" w:ascii="仿宋" w:hAnsi="仿宋" w:eastAsia="仿宋" w:cs="仿宋"/>
          <w:sz w:val="32"/>
          <w:szCs w:val="32"/>
          <w:lang w:val="en-US" w:eastAsia="zh-CN"/>
        </w:rPr>
        <w:t>393</w:t>
      </w:r>
      <w:r>
        <w:rPr>
          <w:rFonts w:hint="eastAsia" w:ascii="仿宋" w:hAnsi="仿宋" w:eastAsia="仿宋" w:cs="仿宋"/>
          <w:sz w:val="32"/>
          <w:szCs w:val="32"/>
        </w:rPr>
        <w:t>万，启动</w:t>
      </w:r>
      <w:r>
        <w:rPr>
          <w:rFonts w:hint="eastAsia" w:ascii="仿宋" w:hAnsi="仿宋" w:eastAsia="仿宋" w:cs="仿宋"/>
          <w:sz w:val="32"/>
          <w:szCs w:val="32"/>
          <w:lang w:eastAsia="zh-CN"/>
        </w:rPr>
        <w:t>实施因民镇新区大道建设项目</w:t>
      </w:r>
      <w:r>
        <w:rPr>
          <w:rFonts w:hint="eastAsia" w:ascii="仿宋" w:hAnsi="仿宋" w:eastAsia="仿宋" w:cs="仿宋"/>
          <w:sz w:val="32"/>
          <w:szCs w:val="32"/>
        </w:rPr>
        <w:t>；投资</w:t>
      </w:r>
      <w:r>
        <w:rPr>
          <w:rFonts w:hint="eastAsia" w:ascii="仿宋" w:hAnsi="仿宋" w:eastAsia="仿宋" w:cs="仿宋"/>
          <w:sz w:val="32"/>
          <w:szCs w:val="32"/>
          <w:lang w:val="en-US" w:eastAsia="zh-CN"/>
        </w:rPr>
        <w:t>980.86</w:t>
      </w:r>
      <w:r>
        <w:rPr>
          <w:rFonts w:hint="eastAsia" w:ascii="仿宋" w:hAnsi="仿宋" w:eastAsia="仿宋" w:cs="仿宋"/>
          <w:sz w:val="32"/>
          <w:szCs w:val="32"/>
        </w:rPr>
        <w:t>万元，启动</w:t>
      </w:r>
      <w:r>
        <w:rPr>
          <w:rFonts w:hint="eastAsia" w:ascii="仿宋" w:hAnsi="仿宋" w:eastAsia="仿宋" w:cs="仿宋"/>
          <w:b w:val="0"/>
          <w:bCs/>
          <w:sz w:val="32"/>
          <w:szCs w:val="32"/>
        </w:rPr>
        <w:t>因民镇太阳能提灌站</w:t>
      </w:r>
      <w:r>
        <w:rPr>
          <w:rFonts w:hint="eastAsia" w:ascii="仿宋" w:hAnsi="仿宋" w:eastAsia="仿宋" w:cs="仿宋"/>
          <w:b w:val="0"/>
          <w:bCs/>
          <w:sz w:val="32"/>
          <w:szCs w:val="32"/>
          <w:lang w:eastAsia="zh-CN"/>
        </w:rPr>
        <w:t>建设</w:t>
      </w:r>
      <w:r>
        <w:rPr>
          <w:rFonts w:hint="eastAsia" w:ascii="仿宋" w:hAnsi="仿宋" w:eastAsia="仿宋" w:cs="仿宋"/>
          <w:b w:val="0"/>
          <w:bCs/>
          <w:sz w:val="32"/>
          <w:szCs w:val="32"/>
        </w:rPr>
        <w:t>项目</w:t>
      </w:r>
      <w:r>
        <w:rPr>
          <w:rFonts w:hint="eastAsia" w:ascii="仿宋" w:hAnsi="仿宋" w:eastAsia="仿宋" w:cs="仿宋"/>
          <w:sz w:val="32"/>
          <w:szCs w:val="32"/>
        </w:rPr>
        <w:t>；</w:t>
      </w:r>
      <w:r>
        <w:rPr>
          <w:rFonts w:hint="eastAsia" w:ascii="仿宋" w:hAnsi="仿宋" w:eastAsia="仿宋" w:cs="仿宋"/>
          <w:bCs/>
          <w:sz w:val="32"/>
          <w:szCs w:val="32"/>
        </w:rPr>
        <w:t>投资</w:t>
      </w:r>
      <w:r>
        <w:rPr>
          <w:rFonts w:hint="eastAsia" w:ascii="仿宋" w:hAnsi="仿宋" w:eastAsia="仿宋" w:cs="仿宋"/>
          <w:bCs/>
          <w:sz w:val="32"/>
          <w:szCs w:val="32"/>
          <w:lang w:val="en-US" w:eastAsia="zh-CN"/>
        </w:rPr>
        <w:t>152</w:t>
      </w:r>
      <w:r>
        <w:rPr>
          <w:rFonts w:hint="eastAsia" w:ascii="仿宋" w:hAnsi="仿宋" w:eastAsia="仿宋" w:cs="仿宋"/>
          <w:bCs/>
          <w:sz w:val="32"/>
          <w:szCs w:val="32"/>
        </w:rPr>
        <w:t>万，实施</w:t>
      </w:r>
      <w:r>
        <w:rPr>
          <w:rFonts w:hint="eastAsia" w:ascii="仿宋" w:hAnsi="仿宋" w:eastAsia="仿宋" w:cs="仿宋"/>
          <w:sz w:val="32"/>
          <w:szCs w:val="32"/>
        </w:rPr>
        <w:t>田坝社区沙沟边地灾治理项目</w:t>
      </w:r>
      <w:r>
        <w:rPr>
          <w:rFonts w:hint="eastAsia" w:ascii="仿宋" w:hAnsi="仿宋" w:eastAsia="仿宋" w:cs="仿宋"/>
          <w:sz w:val="32"/>
          <w:szCs w:val="32"/>
          <w:lang w:eastAsia="zh-CN"/>
        </w:rPr>
        <w:t>；</w:t>
      </w:r>
      <w:r>
        <w:rPr>
          <w:rFonts w:hint="eastAsia" w:ascii="仿宋" w:hAnsi="仿宋" w:eastAsia="仿宋" w:cs="仿宋"/>
          <w:sz w:val="32"/>
          <w:szCs w:val="32"/>
        </w:rPr>
        <w:t>投资</w:t>
      </w:r>
      <w:r>
        <w:rPr>
          <w:rFonts w:hint="eastAsia" w:ascii="仿宋" w:hAnsi="仿宋" w:eastAsia="仿宋" w:cs="仿宋"/>
          <w:sz w:val="32"/>
          <w:szCs w:val="32"/>
          <w:lang w:val="en-US" w:eastAsia="zh-CN"/>
        </w:rPr>
        <w:t>97.38</w:t>
      </w:r>
      <w:r>
        <w:rPr>
          <w:rFonts w:hint="eastAsia" w:ascii="仿宋" w:hAnsi="仿宋" w:eastAsia="仿宋" w:cs="仿宋"/>
          <w:sz w:val="32"/>
          <w:szCs w:val="32"/>
        </w:rPr>
        <w:t>万，实施</w:t>
      </w:r>
      <w:r>
        <w:rPr>
          <w:rFonts w:hint="eastAsia" w:ascii="仿宋" w:hAnsi="仿宋" w:eastAsia="仿宋" w:cs="仿宋"/>
          <w:sz w:val="32"/>
          <w:szCs w:val="32"/>
          <w:lang w:eastAsia="zh-CN"/>
        </w:rPr>
        <w:t>了桃树坪村</w:t>
      </w:r>
      <w:r>
        <w:rPr>
          <w:rFonts w:hint="eastAsia" w:ascii="仿宋" w:hAnsi="仿宋" w:eastAsia="仿宋" w:cs="仿宋"/>
          <w:sz w:val="32"/>
          <w:szCs w:val="32"/>
        </w:rPr>
        <w:t>村级活动场</w:t>
      </w:r>
      <w:r>
        <w:rPr>
          <w:rFonts w:hint="eastAsia" w:ascii="仿宋" w:hAnsi="仿宋" w:eastAsia="仿宋" w:cs="仿宋"/>
          <w:sz w:val="32"/>
          <w:szCs w:val="32"/>
          <w:lang w:eastAsia="zh-CN"/>
        </w:rPr>
        <w:t>改扩建项目</w:t>
      </w:r>
      <w:r>
        <w:rPr>
          <w:rFonts w:hint="eastAsia" w:ascii="仿宋" w:hAnsi="仿宋" w:eastAsia="仿宋" w:cs="仿宋"/>
          <w:sz w:val="32"/>
          <w:szCs w:val="32"/>
        </w:rPr>
        <w:t>；投资</w:t>
      </w:r>
      <w:r>
        <w:rPr>
          <w:rFonts w:hint="eastAsia" w:ascii="仿宋" w:hAnsi="仿宋" w:eastAsia="仿宋" w:cs="仿宋"/>
          <w:sz w:val="32"/>
          <w:szCs w:val="32"/>
          <w:lang w:val="en-US" w:eastAsia="zh-CN"/>
        </w:rPr>
        <w:t>43.1</w:t>
      </w:r>
      <w:r>
        <w:rPr>
          <w:rFonts w:hint="eastAsia" w:ascii="仿宋" w:hAnsi="仿宋" w:eastAsia="仿宋" w:cs="仿宋"/>
          <w:sz w:val="32"/>
          <w:szCs w:val="32"/>
        </w:rPr>
        <w:t>万，实施</w:t>
      </w:r>
      <w:r>
        <w:rPr>
          <w:rFonts w:hint="eastAsia" w:ascii="仿宋" w:hAnsi="仿宋" w:eastAsia="仿宋" w:cs="仿宋"/>
          <w:sz w:val="32"/>
          <w:szCs w:val="32"/>
          <w:lang w:eastAsia="zh-CN"/>
        </w:rPr>
        <w:t>了联盟村水井山水库调水应急工程。</w:t>
      </w:r>
      <w:r>
        <w:rPr>
          <w:rFonts w:hint="eastAsia" w:ascii="仿宋" w:hAnsi="仿宋" w:eastAsia="仿宋" w:cs="仿宋"/>
          <w:b/>
          <w:bCs/>
          <w:sz w:val="32"/>
          <w:szCs w:val="32"/>
        </w:rPr>
        <w:t>产业发展</w:t>
      </w:r>
      <w:r>
        <w:rPr>
          <w:rFonts w:hint="eastAsia" w:ascii="仿宋" w:hAnsi="仿宋" w:eastAsia="仿宋" w:cs="仿宋"/>
          <w:b/>
          <w:bCs/>
          <w:sz w:val="32"/>
          <w:szCs w:val="32"/>
          <w:lang w:eastAsia="zh-CN"/>
        </w:rPr>
        <w:t>方面，</w:t>
      </w:r>
      <w:r>
        <w:rPr>
          <w:rFonts w:hint="eastAsia" w:ascii="仿宋" w:hAnsi="仿宋" w:eastAsia="仿宋" w:cs="仿宋"/>
          <w:b w:val="0"/>
          <w:bCs w:val="0"/>
          <w:sz w:val="32"/>
          <w:szCs w:val="32"/>
        </w:rPr>
        <w:t>累计投入</w:t>
      </w:r>
      <w:r>
        <w:rPr>
          <w:rFonts w:hint="eastAsia" w:ascii="仿宋" w:hAnsi="仿宋" w:eastAsia="仿宋" w:cs="仿宋"/>
          <w:b w:val="0"/>
          <w:bCs w:val="0"/>
          <w:sz w:val="32"/>
          <w:szCs w:val="32"/>
          <w:lang w:val="en-US" w:eastAsia="zh-CN"/>
        </w:rPr>
        <w:t>4487.73</w:t>
      </w:r>
      <w:r>
        <w:rPr>
          <w:rFonts w:hint="eastAsia" w:ascii="仿宋" w:hAnsi="仿宋" w:eastAsia="仿宋" w:cs="仿宋"/>
          <w:b w:val="0"/>
          <w:bCs w:val="0"/>
          <w:sz w:val="32"/>
          <w:szCs w:val="32"/>
        </w:rPr>
        <w:t>万。</w:t>
      </w:r>
      <w:r>
        <w:rPr>
          <w:rFonts w:hint="eastAsia" w:ascii="仿宋" w:hAnsi="仿宋" w:eastAsia="仿宋" w:cs="仿宋"/>
          <w:sz w:val="32"/>
          <w:szCs w:val="32"/>
        </w:rPr>
        <w:t>其中，</w:t>
      </w:r>
      <w:r>
        <w:rPr>
          <w:rFonts w:hint="eastAsia" w:ascii="仿宋" w:hAnsi="仿宋" w:eastAsia="仿宋" w:cs="仿宋"/>
          <w:b w:val="0"/>
          <w:bCs w:val="0"/>
          <w:sz w:val="32"/>
          <w:szCs w:val="32"/>
        </w:rPr>
        <w:t>投</w:t>
      </w:r>
      <w:r>
        <w:rPr>
          <w:rFonts w:hint="eastAsia" w:ascii="仿宋" w:hAnsi="仿宋" w:eastAsia="仿宋" w:cs="仿宋"/>
          <w:sz w:val="32"/>
          <w:szCs w:val="32"/>
        </w:rPr>
        <w:t>资2310万</w:t>
      </w:r>
      <w:r>
        <w:rPr>
          <w:rFonts w:hint="eastAsia" w:ascii="仿宋" w:hAnsi="仿宋" w:eastAsia="仿宋" w:cs="仿宋"/>
          <w:sz w:val="32"/>
          <w:szCs w:val="32"/>
          <w:lang w:eastAsia="zh-CN"/>
        </w:rPr>
        <w:t>，实施了</w:t>
      </w:r>
      <w:r>
        <w:rPr>
          <w:rFonts w:hint="eastAsia" w:ascii="仿宋" w:hAnsi="仿宋" w:eastAsia="仿宋" w:cs="仿宋"/>
          <w:sz w:val="32"/>
          <w:szCs w:val="32"/>
        </w:rPr>
        <w:t>联盟村光伏扶贫电站</w:t>
      </w:r>
      <w:r>
        <w:rPr>
          <w:rFonts w:hint="eastAsia" w:ascii="仿宋" w:hAnsi="仿宋" w:eastAsia="仿宋" w:cs="仿宋"/>
          <w:sz w:val="32"/>
          <w:szCs w:val="32"/>
          <w:lang w:eastAsia="zh-CN"/>
        </w:rPr>
        <w:t>建设项目；</w:t>
      </w:r>
      <w:r>
        <w:rPr>
          <w:rFonts w:hint="eastAsia" w:ascii="仿宋" w:hAnsi="仿宋" w:eastAsia="仿宋" w:cs="仿宋"/>
          <w:sz w:val="32"/>
          <w:szCs w:val="32"/>
        </w:rPr>
        <w:t>投资</w:t>
      </w:r>
      <w:r>
        <w:rPr>
          <w:rFonts w:hint="eastAsia" w:ascii="仿宋" w:hAnsi="仿宋" w:eastAsia="仿宋" w:cs="仿宋"/>
          <w:sz w:val="32"/>
          <w:szCs w:val="32"/>
          <w:lang w:val="en-US" w:eastAsia="zh-CN"/>
        </w:rPr>
        <w:t>11</w:t>
      </w:r>
      <w:r>
        <w:rPr>
          <w:rFonts w:hint="eastAsia" w:ascii="仿宋" w:hAnsi="仿宋" w:eastAsia="仿宋" w:cs="仿宋"/>
          <w:sz w:val="32"/>
          <w:szCs w:val="32"/>
        </w:rPr>
        <w:t>00万元</w:t>
      </w:r>
      <w:r>
        <w:rPr>
          <w:rFonts w:hint="eastAsia" w:ascii="仿宋" w:hAnsi="仿宋" w:eastAsia="仿宋" w:cs="仿宋"/>
          <w:sz w:val="32"/>
          <w:szCs w:val="32"/>
          <w:lang w:eastAsia="zh-CN"/>
        </w:rPr>
        <w:t>（</w:t>
      </w:r>
      <w:r>
        <w:rPr>
          <w:rFonts w:hint="eastAsia" w:ascii="仿宋" w:hAnsi="仿宋" w:eastAsia="仿宋" w:cs="仿宋"/>
          <w:sz w:val="32"/>
          <w:szCs w:val="32"/>
        </w:rPr>
        <w:t>村集体经济发展资金</w:t>
      </w:r>
      <w:r>
        <w:rPr>
          <w:rFonts w:hint="eastAsia" w:ascii="仿宋" w:hAnsi="仿宋" w:eastAsia="仿宋" w:cs="仿宋"/>
          <w:sz w:val="32"/>
          <w:szCs w:val="32"/>
          <w:lang w:val="en-US" w:eastAsia="zh-CN"/>
        </w:rPr>
        <w:t>500万元、东西部协作资金600万元）</w:t>
      </w:r>
      <w:r>
        <w:rPr>
          <w:rFonts w:hint="eastAsia" w:ascii="仿宋" w:hAnsi="仿宋" w:eastAsia="仿宋" w:cs="仿宋"/>
          <w:sz w:val="32"/>
          <w:szCs w:val="32"/>
          <w:lang w:eastAsia="zh-CN"/>
        </w:rPr>
        <w:t>实施了</w:t>
      </w:r>
      <w:r>
        <w:rPr>
          <w:rFonts w:hint="eastAsia" w:ascii="仿宋" w:hAnsi="仿宋" w:eastAsia="仿宋" w:cs="仿宋"/>
          <w:sz w:val="32"/>
          <w:szCs w:val="32"/>
        </w:rPr>
        <w:t>移民新区（对门山）农贸市场建设项目</w:t>
      </w:r>
      <w:r>
        <w:rPr>
          <w:rFonts w:hint="eastAsia" w:ascii="仿宋" w:hAnsi="仿宋" w:eastAsia="仿宋" w:cs="仿宋"/>
          <w:sz w:val="32"/>
          <w:szCs w:val="32"/>
          <w:lang w:eastAsia="zh-CN"/>
        </w:rPr>
        <w:t>；</w:t>
      </w:r>
      <w:r>
        <w:rPr>
          <w:rFonts w:hint="eastAsia" w:ascii="仿宋" w:hAnsi="仿宋" w:eastAsia="仿宋" w:cs="仿宋"/>
          <w:sz w:val="32"/>
          <w:szCs w:val="32"/>
        </w:rPr>
        <w:t>投资204.73万元</w:t>
      </w:r>
      <w:r>
        <w:rPr>
          <w:rFonts w:hint="eastAsia" w:ascii="仿宋" w:hAnsi="仿宋" w:eastAsia="仿宋" w:cs="仿宋"/>
          <w:sz w:val="32"/>
          <w:szCs w:val="32"/>
          <w:lang w:eastAsia="zh-CN"/>
        </w:rPr>
        <w:t>实施了</w:t>
      </w:r>
      <w:r>
        <w:rPr>
          <w:rFonts w:hint="eastAsia" w:ascii="仿宋" w:hAnsi="仿宋" w:eastAsia="仿宋" w:cs="仿宋"/>
          <w:sz w:val="32"/>
          <w:szCs w:val="32"/>
        </w:rPr>
        <w:t>青龙山村</w:t>
      </w:r>
      <w:r>
        <w:rPr>
          <w:rFonts w:hint="eastAsia" w:ascii="仿宋" w:hAnsi="仿宋" w:eastAsia="仿宋" w:cs="仿宋"/>
          <w:sz w:val="32"/>
          <w:szCs w:val="32"/>
          <w:lang w:eastAsia="zh-CN"/>
        </w:rPr>
        <w:t>高山土羊养殖项目</w:t>
      </w:r>
      <w:r>
        <w:rPr>
          <w:rFonts w:hint="eastAsia" w:ascii="仿宋" w:hAnsi="仿宋" w:eastAsia="仿宋" w:cs="仿宋"/>
          <w:sz w:val="32"/>
          <w:szCs w:val="32"/>
        </w:rPr>
        <w:t>；</w:t>
      </w:r>
      <w:r>
        <w:rPr>
          <w:rFonts w:hint="eastAsia" w:ascii="仿宋" w:hAnsi="仿宋" w:eastAsia="仿宋" w:cs="仿宋"/>
          <w:sz w:val="32"/>
          <w:szCs w:val="32"/>
          <w:lang w:eastAsia="zh-CN"/>
        </w:rPr>
        <w:t>投资</w:t>
      </w:r>
      <w:r>
        <w:rPr>
          <w:rFonts w:hint="eastAsia" w:ascii="仿宋" w:hAnsi="仿宋" w:eastAsia="仿宋" w:cs="仿宋"/>
          <w:sz w:val="32"/>
          <w:szCs w:val="32"/>
        </w:rPr>
        <w:t>195万元，</w:t>
      </w:r>
      <w:r>
        <w:rPr>
          <w:rFonts w:hint="eastAsia" w:ascii="仿宋" w:hAnsi="仿宋" w:eastAsia="仿宋" w:cs="仿宋"/>
          <w:sz w:val="32"/>
          <w:szCs w:val="32"/>
          <w:lang w:eastAsia="zh-CN"/>
        </w:rPr>
        <w:t>实施了槽子街</w:t>
      </w:r>
      <w:r>
        <w:rPr>
          <w:rFonts w:hint="eastAsia" w:ascii="仿宋" w:hAnsi="仿宋" w:eastAsia="仿宋" w:cs="仿宋"/>
          <w:sz w:val="32"/>
          <w:szCs w:val="32"/>
        </w:rPr>
        <w:t>村</w:t>
      </w:r>
      <w:r>
        <w:rPr>
          <w:rFonts w:hint="eastAsia" w:ascii="仿宋" w:hAnsi="仿宋" w:eastAsia="仿宋" w:cs="仿宋"/>
          <w:sz w:val="32"/>
          <w:szCs w:val="32"/>
          <w:lang w:eastAsia="zh-CN"/>
        </w:rPr>
        <w:t>高山土羊养殖项目（一期）</w:t>
      </w:r>
      <w:r>
        <w:rPr>
          <w:rFonts w:hint="eastAsia" w:ascii="仿宋" w:hAnsi="仿宋" w:eastAsia="仿宋" w:cs="仿宋"/>
          <w:sz w:val="32"/>
          <w:szCs w:val="32"/>
        </w:rPr>
        <w:t>；</w:t>
      </w:r>
      <w:r>
        <w:rPr>
          <w:rFonts w:hint="eastAsia" w:ascii="仿宋" w:hAnsi="仿宋" w:eastAsia="仿宋" w:cs="仿宋"/>
          <w:bCs/>
          <w:sz w:val="32"/>
          <w:szCs w:val="32"/>
        </w:rPr>
        <w:t>投资</w:t>
      </w:r>
      <w:r>
        <w:rPr>
          <w:rFonts w:hint="eastAsia" w:ascii="仿宋" w:hAnsi="仿宋" w:eastAsia="仿宋" w:cs="仿宋"/>
          <w:bCs/>
          <w:sz w:val="32"/>
          <w:szCs w:val="32"/>
          <w:lang w:val="en-US" w:eastAsia="zh-CN"/>
        </w:rPr>
        <w:t>190</w:t>
      </w:r>
      <w:r>
        <w:rPr>
          <w:rFonts w:hint="eastAsia" w:ascii="仿宋" w:hAnsi="仿宋" w:eastAsia="仿宋" w:cs="仿宋"/>
          <w:bCs/>
          <w:sz w:val="32"/>
          <w:szCs w:val="32"/>
        </w:rPr>
        <w:t>万，实施红山村万亩草山绵羊围栏养殖项目；投资</w:t>
      </w:r>
      <w:r>
        <w:rPr>
          <w:rFonts w:hint="eastAsia" w:ascii="仿宋" w:hAnsi="仿宋" w:eastAsia="仿宋" w:cs="仿宋"/>
          <w:bCs/>
          <w:sz w:val="32"/>
          <w:szCs w:val="32"/>
          <w:lang w:val="en-US" w:eastAsia="zh-CN"/>
        </w:rPr>
        <w:t>160</w:t>
      </w:r>
      <w:r>
        <w:rPr>
          <w:rFonts w:hint="eastAsia" w:ascii="仿宋" w:hAnsi="仿宋" w:eastAsia="仿宋" w:cs="仿宋"/>
          <w:bCs/>
          <w:sz w:val="32"/>
          <w:szCs w:val="32"/>
        </w:rPr>
        <w:t>万，实施槽子街村高山土羊围栏养殖项目（二期）；</w:t>
      </w:r>
      <w:r>
        <w:rPr>
          <w:rFonts w:hint="eastAsia" w:ascii="仿宋" w:hAnsi="仿宋" w:eastAsia="仿宋" w:cs="仿宋"/>
          <w:sz w:val="32"/>
          <w:szCs w:val="32"/>
          <w:lang w:eastAsia="zh-CN"/>
        </w:rPr>
        <w:t>投资</w:t>
      </w:r>
      <w:r>
        <w:rPr>
          <w:rFonts w:hint="eastAsia" w:ascii="仿宋" w:hAnsi="仿宋" w:eastAsia="仿宋" w:cs="仿宋"/>
          <w:sz w:val="32"/>
          <w:szCs w:val="32"/>
        </w:rPr>
        <w:t>128万元建成</w:t>
      </w:r>
      <w:r>
        <w:rPr>
          <w:rFonts w:hint="eastAsia" w:ascii="仿宋" w:hAnsi="仿宋" w:eastAsia="仿宋" w:cs="仿宋"/>
          <w:sz w:val="32"/>
          <w:szCs w:val="32"/>
          <w:lang w:eastAsia="zh-CN"/>
        </w:rPr>
        <w:t>了</w:t>
      </w:r>
      <w:r>
        <w:rPr>
          <w:rFonts w:hint="eastAsia" w:ascii="仿宋" w:hAnsi="仿宋" w:eastAsia="仿宋" w:cs="仿宋"/>
          <w:sz w:val="32"/>
          <w:szCs w:val="32"/>
        </w:rPr>
        <w:t>大箐村种养一体循环农业基地；投资100万</w:t>
      </w:r>
      <w:r>
        <w:rPr>
          <w:rFonts w:hint="eastAsia" w:ascii="仿宋" w:hAnsi="仿宋" w:eastAsia="仿宋" w:cs="仿宋"/>
          <w:sz w:val="32"/>
          <w:szCs w:val="32"/>
          <w:lang w:eastAsia="zh-CN"/>
        </w:rPr>
        <w:t>元，实施了</w:t>
      </w:r>
      <w:r>
        <w:rPr>
          <w:rFonts w:hint="eastAsia" w:ascii="仿宋" w:hAnsi="仿宋" w:eastAsia="仿宋" w:cs="仿宋"/>
          <w:sz w:val="32"/>
          <w:szCs w:val="32"/>
        </w:rPr>
        <w:t>槽子街村中华蜂养殖</w:t>
      </w:r>
      <w:r>
        <w:rPr>
          <w:rFonts w:hint="eastAsia" w:ascii="仿宋" w:hAnsi="仿宋" w:eastAsia="仿宋" w:cs="仿宋"/>
          <w:sz w:val="32"/>
          <w:szCs w:val="32"/>
          <w:lang w:eastAsia="zh-CN"/>
        </w:rPr>
        <w:t>项目</w:t>
      </w:r>
      <w:r>
        <w:rPr>
          <w:rFonts w:hint="eastAsia" w:ascii="仿宋" w:hAnsi="仿宋" w:eastAsia="仿宋" w:cs="仿宋"/>
          <w:sz w:val="32"/>
          <w:szCs w:val="32"/>
        </w:rPr>
        <w:t>;投资100万元</w:t>
      </w:r>
      <w:r>
        <w:rPr>
          <w:rFonts w:hint="eastAsia" w:ascii="仿宋" w:hAnsi="仿宋" w:eastAsia="仿宋" w:cs="仿宋"/>
          <w:sz w:val="32"/>
          <w:szCs w:val="32"/>
          <w:lang w:eastAsia="zh-CN"/>
        </w:rPr>
        <w:t>实施了桃树坪村肉牛、高山土羊养殖项目。</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打好党的建设强基战。</w:t>
      </w:r>
      <w:r>
        <w:rPr>
          <w:rFonts w:hint="eastAsia" w:ascii="仿宋" w:hAnsi="仿宋" w:eastAsia="仿宋" w:cs="仿宋"/>
          <w:sz w:val="32"/>
          <w:szCs w:val="32"/>
        </w:rPr>
        <w:t>因民镇党委始终把建强基层党组织作为第一任务，把配齐配强党组织书记作为第一要务，结合因民镇实际，提出并贯彻落实因民镇2020年基层党建“15485”思路，推进因民镇党的建设各项工作提档升级。特别是在脱贫攻坚关键时期，因民镇党委搭建了“企业挂村、中层以上干部包重病重残贫困户”平台，促进形成因民“十企帮十村、百人包百户”政企村民脱贫攻坚大格局。同时，在七·一建党节，开展因民镇“三讲三评三诚信”活动，树立了先进典型，弘扬了社会新风尚，为重构因民良好新民风打下坚实基础，也为因民基层社会治理提供了很好的遵循。同时，在脱贫攻坚这场战役中，我们实践并总结出因民“四个特别”干部队伍精神，2020年，调动到区级部门、提拔镇中层干部的干部11名。</w:t>
      </w:r>
    </w:p>
    <w:p>
      <w:pPr>
        <w:pStyle w:val="4"/>
        <w:pageBreakBefore w:val="0"/>
        <w:widowControl w:val="0"/>
        <w:kinsoku/>
        <w:wordWrap/>
        <w:overflowPunct/>
        <w:topLinePunct w:val="0"/>
        <w:bidi w:val="0"/>
        <w:adjustRightInd w:val="0"/>
        <w:snapToGrid w:val="0"/>
        <w:spacing w:before="0" w:after="0" w:line="560" w:lineRule="exact"/>
        <w:ind w:left="0" w:leftChars="0" w:right="0" w:firstLine="640" w:firstLineChars="200"/>
        <w:textAlignment w:val="auto"/>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rPr>
        <w:t>（二）具体绩效分析</w:t>
      </w:r>
      <w:bookmarkEnd w:id="11"/>
    </w:p>
    <w:p>
      <w:pPr>
        <w:pStyle w:val="5"/>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leftChars="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rPr>
        <w:t>部门决策</w:t>
      </w:r>
      <w:r>
        <w:rPr>
          <w:rFonts w:hint="eastAsia" w:ascii="仿宋" w:hAnsi="仿宋" w:eastAsia="仿宋" w:cs="仿宋"/>
          <w:sz w:val="32"/>
          <w:szCs w:val="32"/>
          <w:lang w:val="en-US"/>
        </w:rPr>
        <w:t>指标分值35分，分别从部门目标、部门职能、资源配置三个方面对部门的决策过程进行考核：</w:t>
      </w:r>
      <w:r>
        <w:rPr>
          <w:rFonts w:hint="eastAsia" w:ascii="仿宋" w:hAnsi="仿宋" w:eastAsia="仿宋" w:cs="仿宋"/>
          <w:color w:val="auto"/>
          <w:sz w:val="32"/>
          <w:szCs w:val="32"/>
          <w:lang w:val="en-US"/>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lang w:val="en-US"/>
        </w:rPr>
        <w:t>年</w:t>
      </w:r>
      <w:r>
        <w:rPr>
          <w:rFonts w:hint="eastAsia" w:ascii="仿宋" w:hAnsi="仿宋" w:eastAsia="仿宋" w:cs="仿宋"/>
          <w:color w:val="auto"/>
          <w:sz w:val="32"/>
          <w:szCs w:val="32"/>
          <w:lang w:val="en-US" w:eastAsia="zh-CN"/>
        </w:rPr>
        <w:t>因民镇部门中长期目标规划明确、</w:t>
      </w:r>
      <w:r>
        <w:rPr>
          <w:rFonts w:hint="eastAsia" w:ascii="仿宋" w:hAnsi="仿宋" w:eastAsia="仿宋" w:cs="仿宋"/>
          <w:color w:val="auto"/>
          <w:sz w:val="32"/>
          <w:szCs w:val="32"/>
          <w:lang w:val="en-US"/>
        </w:rPr>
        <w:t>对部门年度工作计划和工作目标进行了明确，设置了与部门职能职责、年度工作目标基本相一致的绩效目标，并将目标分解细化为具体的绩效指标任务，但存在</w:t>
      </w:r>
      <w:r>
        <w:rPr>
          <w:rFonts w:hint="eastAsia" w:ascii="仿宋" w:hAnsi="仿宋" w:eastAsia="仿宋" w:cs="仿宋"/>
          <w:color w:val="auto"/>
          <w:sz w:val="32"/>
          <w:szCs w:val="32"/>
          <w:lang w:val="en-US" w:eastAsia="zh-CN"/>
        </w:rPr>
        <w:t>绩效目标中的部分指标与部门预算资金不匹配，项目支出绩效目标申报表中部分质量指标、成本指标、社会效益指标、生态效益指标、可持续影响指标</w:t>
      </w:r>
      <w:r>
        <w:rPr>
          <w:rFonts w:hint="eastAsia" w:ascii="仿宋" w:hAnsi="仿宋" w:eastAsia="仿宋" w:cs="仿宋"/>
          <w:i w:val="0"/>
          <w:iCs w:val="0"/>
          <w:color w:val="000000"/>
          <w:kern w:val="0"/>
          <w:sz w:val="32"/>
          <w:szCs w:val="32"/>
          <w:highlight w:val="none"/>
          <w:u w:val="none"/>
          <w:lang w:val="en-US" w:eastAsia="zh-CN" w:bidi="ar"/>
        </w:rPr>
        <w:t>虽然已设定清晰、可衡量的指标值，但是可控性不强</w:t>
      </w:r>
      <w:r>
        <w:rPr>
          <w:rFonts w:hint="eastAsia" w:ascii="仿宋" w:hAnsi="仿宋" w:eastAsia="仿宋" w:cs="仿宋"/>
          <w:color w:val="auto"/>
          <w:sz w:val="32"/>
          <w:szCs w:val="32"/>
          <w:lang w:val="en-US"/>
        </w:rPr>
        <w:t>；</w:t>
      </w:r>
      <w:r>
        <w:rPr>
          <w:rFonts w:hint="eastAsia" w:ascii="仿宋" w:hAnsi="仿宋" w:eastAsia="仿宋" w:cs="仿宋"/>
          <w:sz w:val="32"/>
          <w:szCs w:val="32"/>
        </w:rPr>
        <w:t>资源配置</w:t>
      </w:r>
      <w:r>
        <w:rPr>
          <w:rFonts w:hint="eastAsia" w:ascii="仿宋" w:hAnsi="仿宋" w:eastAsia="仿宋" w:cs="仿宋"/>
          <w:sz w:val="32"/>
          <w:szCs w:val="32"/>
          <w:lang w:val="en-US"/>
        </w:rPr>
        <w:t>指标</w:t>
      </w:r>
      <w:r>
        <w:rPr>
          <w:rFonts w:hint="eastAsia" w:ascii="仿宋" w:hAnsi="仿宋" w:eastAsia="仿宋" w:cs="仿宋"/>
          <w:sz w:val="32"/>
          <w:szCs w:val="32"/>
        </w:rPr>
        <w:t>主要</w:t>
      </w:r>
      <w:r>
        <w:rPr>
          <w:rFonts w:hint="eastAsia" w:ascii="仿宋" w:hAnsi="仿宋" w:eastAsia="仿宋" w:cs="仿宋"/>
          <w:sz w:val="32"/>
          <w:szCs w:val="32"/>
          <w:lang w:val="en-US" w:eastAsia="zh-CN"/>
        </w:rPr>
        <w:t>存在</w:t>
      </w:r>
      <w:r>
        <w:rPr>
          <w:rFonts w:hint="eastAsia" w:ascii="仿宋" w:hAnsi="仿宋" w:eastAsia="仿宋" w:cs="仿宋"/>
          <w:i w:val="0"/>
          <w:iCs w:val="0"/>
          <w:color w:val="000000"/>
          <w:kern w:val="0"/>
          <w:sz w:val="32"/>
          <w:szCs w:val="32"/>
          <w:u w:val="none"/>
          <w:lang w:val="en-US" w:eastAsia="zh-CN" w:bidi="ar"/>
        </w:rPr>
        <w:t>职工反映加班时间过长，周末不能保障。</w:t>
      </w:r>
      <w:r>
        <w:rPr>
          <w:rFonts w:hint="eastAsia" w:ascii="仿宋" w:hAnsi="仿宋" w:eastAsia="仿宋" w:cs="仿宋"/>
          <w:color w:val="auto"/>
          <w:sz w:val="32"/>
          <w:szCs w:val="32"/>
          <w:lang w:val="en-US"/>
        </w:rPr>
        <w:t>部门基本支出预算按照定额编制文件和程序进行测算和申报，人力资源和办公资源投入合理</w:t>
      </w:r>
      <w:r>
        <w:rPr>
          <w:rFonts w:hint="eastAsia" w:ascii="仿宋" w:hAnsi="仿宋" w:eastAsia="仿宋" w:cs="仿宋"/>
          <w:color w:val="auto"/>
          <w:sz w:val="32"/>
          <w:szCs w:val="32"/>
          <w:lang w:val="en-US" w:eastAsia="zh-CN"/>
        </w:rPr>
        <w:t>，资金支出符合资金使用范围，重点项目资源分配合理；</w:t>
      </w:r>
      <w:r>
        <w:rPr>
          <w:rFonts w:hint="eastAsia" w:ascii="仿宋" w:hAnsi="仿宋" w:eastAsia="仿宋" w:cs="仿宋"/>
          <w:color w:val="auto"/>
          <w:sz w:val="32"/>
          <w:szCs w:val="32"/>
          <w:lang w:val="en-US"/>
        </w:rPr>
        <w:t>综上</w:t>
      </w:r>
      <w:r>
        <w:rPr>
          <w:rFonts w:hint="eastAsia" w:ascii="仿宋" w:hAnsi="仿宋" w:eastAsia="仿宋" w:cs="仿宋"/>
          <w:sz w:val="32"/>
          <w:szCs w:val="32"/>
          <w:lang w:val="en-US"/>
        </w:rPr>
        <w:t>，该指标评价</w:t>
      </w:r>
      <w:r>
        <w:rPr>
          <w:rFonts w:hint="eastAsia" w:ascii="仿宋" w:hAnsi="仿宋" w:eastAsia="仿宋" w:cs="仿宋"/>
          <w:sz w:val="32"/>
          <w:szCs w:val="32"/>
        </w:rPr>
        <w:t>得</w:t>
      </w:r>
      <w:r>
        <w:rPr>
          <w:rFonts w:hint="eastAsia" w:ascii="仿宋" w:hAnsi="仿宋" w:eastAsia="仿宋" w:cs="仿宋"/>
          <w:sz w:val="32"/>
          <w:szCs w:val="32"/>
          <w:lang w:val="en-US" w:eastAsia="zh-CN"/>
        </w:rPr>
        <w:t>33</w:t>
      </w:r>
      <w:r>
        <w:rPr>
          <w:rFonts w:hint="eastAsia" w:ascii="仿宋" w:hAnsi="仿宋" w:eastAsia="仿宋" w:cs="仿宋"/>
          <w:sz w:val="32"/>
          <w:szCs w:val="32"/>
        </w:rPr>
        <w:t>分，得分率</w:t>
      </w:r>
      <w:r>
        <w:rPr>
          <w:rFonts w:hint="eastAsia" w:ascii="仿宋" w:hAnsi="仿宋" w:eastAsia="仿宋" w:cs="仿宋"/>
          <w:sz w:val="32"/>
          <w:szCs w:val="32"/>
          <w:lang w:val="en-US" w:eastAsia="zh-CN"/>
        </w:rPr>
        <w:t>94.28</w:t>
      </w:r>
      <w:r>
        <w:rPr>
          <w:rFonts w:hint="eastAsia" w:ascii="仿宋" w:hAnsi="仿宋" w:eastAsia="仿宋" w:cs="仿宋"/>
          <w:sz w:val="32"/>
          <w:szCs w:val="32"/>
        </w:rPr>
        <w:t>%</w:t>
      </w:r>
      <w:r>
        <w:rPr>
          <w:rFonts w:hint="eastAsia" w:ascii="仿宋" w:hAnsi="仿宋" w:eastAsia="仿宋" w:cs="仿宋"/>
          <w:sz w:val="32"/>
          <w:szCs w:val="32"/>
          <w:lang w:val="en-US"/>
        </w:rPr>
        <w:t>。具体为：</w:t>
      </w:r>
    </w:p>
    <w:p>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rPr>
        <w:t>（1）部门目标指标分值12分，</w:t>
      </w:r>
      <w:r>
        <w:rPr>
          <w:rFonts w:hint="eastAsia" w:ascii="仿宋" w:hAnsi="仿宋" w:eastAsia="仿宋" w:cs="仿宋"/>
          <w:sz w:val="32"/>
          <w:szCs w:val="32"/>
          <w:highlight w:val="none"/>
        </w:rPr>
        <w:t>评价得</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lang w:val="en-US"/>
        </w:rPr>
        <w:t>分</w:t>
      </w:r>
      <w:r>
        <w:rPr>
          <w:rFonts w:hint="eastAsia" w:ascii="仿宋" w:hAnsi="仿宋" w:eastAsia="仿宋" w:cs="仿宋"/>
          <w:sz w:val="32"/>
          <w:szCs w:val="32"/>
          <w:highlight w:val="none"/>
        </w:rPr>
        <w:t>，得分率</w:t>
      </w:r>
      <w:r>
        <w:rPr>
          <w:rFonts w:hint="eastAsia" w:ascii="仿宋" w:hAnsi="仿宋" w:eastAsia="仿宋" w:cs="仿宋"/>
          <w:sz w:val="32"/>
          <w:szCs w:val="32"/>
          <w:highlight w:val="none"/>
          <w:lang w:val="en-US" w:eastAsia="zh-CN"/>
        </w:rPr>
        <w:t>91</w:t>
      </w:r>
      <w:r>
        <w:rPr>
          <w:rFonts w:hint="eastAsia" w:ascii="仿宋" w:hAnsi="仿宋" w:eastAsia="仿宋" w:cs="仿宋"/>
          <w:sz w:val="32"/>
          <w:szCs w:val="32"/>
          <w:highlight w:val="none"/>
          <w:lang w:val="en-US"/>
        </w:rPr>
        <w:t>.67</w:t>
      </w:r>
      <w:r>
        <w:rPr>
          <w:rFonts w:hint="eastAsia" w:ascii="仿宋" w:hAnsi="仿宋" w:eastAsia="仿宋" w:cs="仿宋"/>
          <w:sz w:val="32"/>
          <w:szCs w:val="32"/>
          <w:highlight w:val="none"/>
        </w:rPr>
        <w:t>%，扣分项</w:t>
      </w:r>
      <w:r>
        <w:rPr>
          <w:rFonts w:hint="eastAsia" w:ascii="仿宋" w:hAnsi="仿宋" w:eastAsia="仿宋" w:cs="仿宋"/>
          <w:sz w:val="32"/>
          <w:szCs w:val="32"/>
          <w:highlight w:val="none"/>
          <w:lang w:val="en-US" w:eastAsia="zh-CN"/>
        </w:rPr>
        <w:t>在绩效目标中的部分指标与部门预算资金不匹配；项目支出绩效目标申报表中部分质量指标、成本指标、社会效益指标、生态效益指标、可持续影响指标</w:t>
      </w:r>
      <w:r>
        <w:rPr>
          <w:rFonts w:hint="eastAsia" w:ascii="仿宋" w:hAnsi="仿宋" w:eastAsia="仿宋" w:cs="仿宋"/>
          <w:i w:val="0"/>
          <w:iCs w:val="0"/>
          <w:color w:val="000000"/>
          <w:kern w:val="0"/>
          <w:sz w:val="32"/>
          <w:szCs w:val="32"/>
          <w:highlight w:val="none"/>
          <w:u w:val="none"/>
          <w:lang w:val="en-US" w:eastAsia="zh-CN" w:bidi="ar"/>
        </w:rPr>
        <w:t>虽然已设定清晰、可衡量的指标值，但是可控性不强</w:t>
      </w:r>
      <w:r>
        <w:rPr>
          <w:rFonts w:hint="eastAsia" w:ascii="仿宋" w:hAnsi="仿宋" w:eastAsia="仿宋" w:cs="仿宋"/>
          <w:sz w:val="32"/>
          <w:szCs w:val="32"/>
          <w:highlight w:val="none"/>
          <w:lang w:val="en-US" w:eastAsia="zh-CN"/>
        </w:rPr>
        <w:t>。</w:t>
      </w:r>
    </w:p>
    <w:tbl>
      <w:tblPr>
        <w:tblStyle w:val="13"/>
        <w:tblW w:w="10062" w:type="dxa"/>
        <w:jc w:val="center"/>
        <w:shd w:val="clear" w:color="auto" w:fill="auto"/>
        <w:tblLayout w:type="fixed"/>
        <w:tblCellMar>
          <w:top w:w="0" w:type="dxa"/>
          <w:left w:w="108" w:type="dxa"/>
          <w:bottom w:w="0" w:type="dxa"/>
          <w:right w:w="108" w:type="dxa"/>
        </w:tblCellMar>
      </w:tblPr>
      <w:tblGrid>
        <w:gridCol w:w="784"/>
        <w:gridCol w:w="1350"/>
        <w:gridCol w:w="1354"/>
        <w:gridCol w:w="776"/>
        <w:gridCol w:w="1820"/>
        <w:gridCol w:w="3230"/>
        <w:gridCol w:w="748"/>
      </w:tblGrid>
      <w:tr>
        <w:tblPrEx>
          <w:shd w:val="clear" w:color="auto" w:fill="auto"/>
          <w:tblCellMar>
            <w:top w:w="0" w:type="dxa"/>
            <w:left w:w="108" w:type="dxa"/>
            <w:bottom w:w="0" w:type="dxa"/>
            <w:right w:w="108" w:type="dxa"/>
          </w:tblCellMar>
        </w:tblPrEx>
        <w:trPr>
          <w:trHeight w:val="600" w:hRule="atLeast"/>
          <w:tblHeader/>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二级指标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三级指标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四级指标</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分值</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指标评分细则</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评价情况</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得分</w:t>
            </w:r>
          </w:p>
        </w:tc>
      </w:tr>
      <w:tr>
        <w:tblPrEx>
          <w:shd w:val="clear" w:color="auto" w:fill="auto"/>
          <w:tblCellMar>
            <w:top w:w="0" w:type="dxa"/>
            <w:left w:w="108" w:type="dxa"/>
            <w:bottom w:w="0" w:type="dxa"/>
            <w:right w:w="108" w:type="dxa"/>
          </w:tblCellMar>
        </w:tblPrEx>
        <w:trPr>
          <w:trHeight w:val="1510"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A1部门目标（12分）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A11部门中长期规划目标的明确性与合理性（2分）</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A111设定部门中长期规划目标（1分）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设定了部门中长期规划目标，得1分，未设定不得分，设定不完善进行相应扣分。</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提供的收官“十三五”、谋划“十四五”——因民镇2020 年和“十三五”工作总结暨2021年计划“十四五”规划、部门中长期规划，得1分。</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shd w:val="clear" w:color="auto" w:fill="auto"/>
          <w:tblCellMar>
            <w:top w:w="0" w:type="dxa"/>
            <w:left w:w="108" w:type="dxa"/>
            <w:bottom w:w="0" w:type="dxa"/>
            <w:right w:w="108" w:type="dxa"/>
          </w:tblCellMar>
        </w:tblPrEx>
        <w:trPr>
          <w:trHeight w:val="924"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rPr>
                <w:rFonts w:hint="eastAsia" w:ascii="仿宋" w:hAnsi="仿宋" w:eastAsia="仿宋" w:cs="仿宋"/>
                <w:i w:val="0"/>
                <w:iCs w:val="0"/>
                <w:color w:val="000000"/>
                <w:sz w:val="32"/>
                <w:szCs w:val="3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A112设定部门中长期规划目标明确且与部门职能相适应（1分）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设定部门中长期规划目标明确，得0.5分，不明确不得分；目标与部门职能相适应，得0.5分，不适应不得分。</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提供的收官“十三五”、谋划“十四五”——因民镇2020 年和“十三五”工作总结暨2021年计划“十四五”规划、部门中长期规划，规划了2021-2025年长期工作目标，明确了具体工作任务，得1分。</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shd w:val="clear" w:color="auto" w:fill="auto"/>
          <w:tblCellMar>
            <w:top w:w="0" w:type="dxa"/>
            <w:left w:w="108" w:type="dxa"/>
            <w:bottom w:w="0" w:type="dxa"/>
            <w:right w:w="108" w:type="dxa"/>
          </w:tblCellMar>
        </w:tblPrEx>
        <w:trPr>
          <w:trHeight w:val="920"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A12年度工作目标的明确性与合理性（2分）</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A121部门年度工作目标明确性（1分）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部门年度工作目标明确设定，得1分，不明确不得分。</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2020年度预算填报时对部门年度工作目标明确设定，得1分。</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shd w:val="clear" w:color="auto" w:fill="auto"/>
          <w:tblCellMar>
            <w:top w:w="0" w:type="dxa"/>
            <w:left w:w="108" w:type="dxa"/>
            <w:bottom w:w="0" w:type="dxa"/>
            <w:right w:w="108" w:type="dxa"/>
          </w:tblCellMar>
        </w:tblPrEx>
        <w:trPr>
          <w:trHeight w:val="888"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rPr>
                <w:rFonts w:hint="eastAsia" w:ascii="仿宋" w:hAnsi="仿宋" w:eastAsia="仿宋" w:cs="仿宋"/>
                <w:i w:val="0"/>
                <w:iCs w:val="0"/>
                <w:color w:val="000000"/>
                <w:sz w:val="32"/>
                <w:szCs w:val="3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A122年度工作目标与部门中长期规划目标一致性（1分）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年度工作目标与部门中长期规划目标一致，得1分，不一致不得分。</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因民镇2020年政府工作报告与收官“十三五”、谋划“十四五”——因民镇2020 年和“十三五”工作总结暨2021年计划“十四五”规划中2020年目标一致，得1分。</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shd w:val="clear" w:color="auto" w:fill="auto"/>
          <w:tblCellMar>
            <w:top w:w="0" w:type="dxa"/>
            <w:left w:w="108" w:type="dxa"/>
            <w:bottom w:w="0" w:type="dxa"/>
            <w:right w:w="108" w:type="dxa"/>
          </w:tblCellMar>
        </w:tblPrEx>
        <w:trPr>
          <w:trHeight w:val="780"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A13年度工作计划与年度工作目标的一致性（2分）</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A131部门详细工作计划与年度工作目标对应匹配程度（2分）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部门详细工作计划与年度工作目标对应匹配，得2分，不匹配不得分。</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因民镇2020年政府工作报告与收官“十三五”、谋划“十四五”——因民镇2020 年和“十三五”工作总结暨2021年计划“十四五”规划中2020年目标一致，得2分。</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r>
      <w:tr>
        <w:tblPrEx>
          <w:shd w:val="clear" w:color="auto" w:fill="auto"/>
          <w:tblCellMar>
            <w:top w:w="0" w:type="dxa"/>
            <w:left w:w="108" w:type="dxa"/>
            <w:bottom w:w="0" w:type="dxa"/>
            <w:right w:w="108" w:type="dxa"/>
          </w:tblCellMar>
        </w:tblPrEx>
        <w:trPr>
          <w:trHeight w:val="2100"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A14绩效目标合理性（3分）</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A141符合部门制定的中长期实施规划（1分）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符合部门制定的中长期实施规划，得1分，不符合不得分。</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2020年部门整体绩效目标申报表部分指标值设定与《东川区因民镇第十二届人民代表大会第次会议》中2020年目标值相符，目标均在绩效目标申报表中体现，如：1.巩固脱贫成果，实现稳定持续脱贫；2强化政府服务职能和帮扶力度；3.致力强疏解、重解决，社会大局更加安定；4.致力强治理、大保护，生态环境更加好转；得1分。</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shd w:val="clear" w:color="auto" w:fill="auto"/>
          <w:tblCellMar>
            <w:top w:w="0" w:type="dxa"/>
            <w:left w:w="108" w:type="dxa"/>
            <w:bottom w:w="0" w:type="dxa"/>
            <w:right w:w="108" w:type="dxa"/>
          </w:tblCellMar>
        </w:tblPrEx>
        <w:trPr>
          <w:trHeight w:val="1168"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rPr>
                <w:rFonts w:hint="eastAsia" w:ascii="仿宋" w:hAnsi="仿宋" w:eastAsia="仿宋" w:cs="仿宋"/>
                <w:i w:val="0"/>
                <w:iCs w:val="0"/>
                <w:color w:val="000000"/>
                <w:sz w:val="32"/>
                <w:szCs w:val="3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A142符合部门“三定”方案确定的职责（1分）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符合部门“三定”方案确定的职责，得1分，不符合不得分。</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绩效目标申报表各项指标及目标符合部门“三定”方案确定的职责，得1分。</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shd w:val="clear" w:color="auto" w:fill="auto"/>
          <w:tblCellMar>
            <w:top w:w="0" w:type="dxa"/>
            <w:left w:w="108" w:type="dxa"/>
            <w:bottom w:w="0" w:type="dxa"/>
            <w:right w:w="108" w:type="dxa"/>
          </w:tblCellMar>
        </w:tblPrEx>
        <w:trPr>
          <w:trHeight w:val="900"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rPr>
                <w:rFonts w:hint="eastAsia" w:ascii="仿宋" w:hAnsi="仿宋" w:eastAsia="仿宋" w:cs="仿宋"/>
                <w:i w:val="0"/>
                <w:iCs w:val="0"/>
                <w:color w:val="000000"/>
                <w:sz w:val="32"/>
                <w:szCs w:val="3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A143与部门年度工作目标、任务相一致（1分）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与部门年度工作目标、任务相一致，得1分，不一致，不得分。</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2020年部门整体绩效目标申报表部分指标值设定与《东川区因民镇第十二届人民代表大会第次会议》中2020年目标值相符，得1分。</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shd w:val="clear" w:color="auto" w:fill="auto"/>
          <w:tblCellMar>
            <w:top w:w="0" w:type="dxa"/>
            <w:left w:w="108" w:type="dxa"/>
            <w:bottom w:w="0" w:type="dxa"/>
            <w:right w:w="108" w:type="dxa"/>
          </w:tblCellMar>
        </w:tblPrEx>
        <w:trPr>
          <w:trHeight w:val="759"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A15绩效指标明确性（3分）</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A151将部门整体的绩效目标细化分解为具体的工作任务（1分）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将部门整体的绩效目标细化分解为具体的工作任务，得1分，未分解不得分。</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2020年绩效目标申报表中已将部门整体的绩效目标细化分解为具体的工作任务，得1分。</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shd w:val="clear" w:color="auto" w:fill="auto"/>
          <w:tblCellMar>
            <w:top w:w="0" w:type="dxa"/>
            <w:left w:w="108" w:type="dxa"/>
            <w:bottom w:w="0" w:type="dxa"/>
            <w:right w:w="108" w:type="dxa"/>
          </w:tblCellMar>
        </w:tblPrEx>
        <w:trPr>
          <w:trHeight w:val="1560"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highlight w:val="yellow"/>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rPr>
                <w:rFonts w:hint="eastAsia" w:ascii="仿宋" w:hAnsi="仿宋" w:eastAsia="仿宋" w:cs="仿宋"/>
                <w:i w:val="0"/>
                <w:iCs w:val="0"/>
                <w:color w:val="000000"/>
                <w:sz w:val="32"/>
                <w:szCs w:val="32"/>
                <w:highlight w:val="none"/>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highlight w:val="none"/>
                <w:u w:val="none"/>
              </w:rPr>
            </w:pPr>
            <w:r>
              <w:rPr>
                <w:rFonts w:hint="eastAsia" w:ascii="仿宋" w:hAnsi="仿宋" w:eastAsia="仿宋" w:cs="仿宋"/>
                <w:i w:val="0"/>
                <w:iCs w:val="0"/>
                <w:color w:val="000000"/>
                <w:kern w:val="0"/>
                <w:sz w:val="32"/>
                <w:szCs w:val="32"/>
                <w:highlight w:val="none"/>
                <w:u w:val="none"/>
                <w:lang w:val="en-US" w:eastAsia="zh-CN" w:bidi="ar"/>
              </w:rPr>
              <w:t>A152通过清晰、可衡量的指标值予以体现（1分）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highlight w:val="none"/>
                <w:u w:val="none"/>
              </w:rPr>
            </w:pPr>
            <w:r>
              <w:rPr>
                <w:rFonts w:hint="eastAsia" w:ascii="仿宋" w:hAnsi="仿宋" w:eastAsia="仿宋" w:cs="仿宋"/>
                <w:i w:val="0"/>
                <w:iCs w:val="0"/>
                <w:color w:val="000000"/>
                <w:kern w:val="0"/>
                <w:sz w:val="32"/>
                <w:szCs w:val="32"/>
                <w:highlight w:val="none"/>
                <w:u w:val="none"/>
                <w:lang w:val="en-US" w:eastAsia="zh-CN" w:bidi="ar"/>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highlight w:val="none"/>
                <w:u w:val="none"/>
              </w:rPr>
            </w:pPr>
            <w:r>
              <w:rPr>
                <w:rFonts w:hint="eastAsia" w:ascii="仿宋" w:hAnsi="仿宋" w:eastAsia="仿宋" w:cs="仿宋"/>
                <w:i w:val="0"/>
                <w:iCs w:val="0"/>
                <w:color w:val="000000"/>
                <w:kern w:val="0"/>
                <w:sz w:val="32"/>
                <w:szCs w:val="32"/>
                <w:highlight w:val="none"/>
                <w:u w:val="none"/>
                <w:lang w:val="en-US" w:eastAsia="zh-CN" w:bidi="ar"/>
              </w:rPr>
              <w:t>通过清晰、可衡量的指标值予以体现，得1分，不清晰不可衡量不得分。</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left"/>
              <w:textAlignment w:val="center"/>
              <w:rPr>
                <w:rFonts w:hint="eastAsia" w:ascii="仿宋" w:hAnsi="仿宋" w:eastAsia="仿宋" w:cs="仿宋"/>
                <w:i w:val="0"/>
                <w:iCs w:val="0"/>
                <w:color w:val="000000"/>
                <w:sz w:val="32"/>
                <w:szCs w:val="32"/>
                <w:highlight w:val="none"/>
                <w:u w:val="none"/>
              </w:rPr>
            </w:pPr>
            <w:r>
              <w:rPr>
                <w:rFonts w:hint="eastAsia" w:ascii="仿宋" w:hAnsi="仿宋" w:eastAsia="仿宋" w:cs="仿宋"/>
                <w:i w:val="0"/>
                <w:iCs w:val="0"/>
                <w:color w:val="000000"/>
                <w:kern w:val="0"/>
                <w:sz w:val="32"/>
                <w:szCs w:val="32"/>
                <w:highlight w:val="none"/>
                <w:u w:val="none"/>
                <w:lang w:val="en-US" w:eastAsia="zh-CN" w:bidi="ar"/>
              </w:rPr>
              <w:t>2020年部门整体及“基层环境保护专项经费”、“基层环境保护专项经费”、“维护社会稳定费专项资金”、“乡镇机动金专项资”项目支出绩效目标申报表中部分质量指标、成本指标、社会效益指标、生态效益指标、可持续影响指标虽然已设定清晰、可衡量的指标值，但是可控性不强，扣0.5分，得0.5分。</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highlight w:val="none"/>
                <w:u w:val="none"/>
                <w:lang w:val="en-US"/>
              </w:rPr>
            </w:pPr>
            <w:r>
              <w:rPr>
                <w:rFonts w:hint="eastAsia" w:ascii="仿宋" w:hAnsi="仿宋" w:eastAsia="仿宋" w:cs="仿宋"/>
                <w:i w:val="0"/>
                <w:iCs w:val="0"/>
                <w:color w:val="000000"/>
                <w:kern w:val="0"/>
                <w:sz w:val="32"/>
                <w:szCs w:val="32"/>
                <w:highlight w:val="none"/>
                <w:u w:val="none"/>
                <w:lang w:val="en-US" w:eastAsia="zh-CN" w:bidi="ar"/>
              </w:rPr>
              <w:t>0.5</w:t>
            </w:r>
          </w:p>
        </w:tc>
      </w:tr>
      <w:tr>
        <w:tblPrEx>
          <w:shd w:val="clear" w:color="auto" w:fill="auto"/>
          <w:tblCellMar>
            <w:top w:w="0" w:type="dxa"/>
            <w:left w:w="108" w:type="dxa"/>
            <w:bottom w:w="0" w:type="dxa"/>
            <w:right w:w="108" w:type="dxa"/>
          </w:tblCellMar>
        </w:tblPrEx>
        <w:trPr>
          <w:trHeight w:val="759"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rPr>
                <w:rFonts w:hint="eastAsia" w:ascii="仿宋" w:hAnsi="仿宋" w:eastAsia="仿宋" w:cs="仿宋"/>
                <w:i w:val="0"/>
                <w:iCs w:val="0"/>
                <w:color w:val="000000"/>
                <w:sz w:val="32"/>
                <w:szCs w:val="3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highlight w:val="none"/>
                <w:u w:val="none"/>
              </w:rPr>
            </w:pPr>
            <w:r>
              <w:rPr>
                <w:rFonts w:hint="eastAsia" w:ascii="仿宋" w:hAnsi="仿宋" w:eastAsia="仿宋" w:cs="仿宋"/>
                <w:i w:val="0"/>
                <w:iCs w:val="0"/>
                <w:color w:val="000000"/>
                <w:kern w:val="0"/>
                <w:sz w:val="32"/>
                <w:szCs w:val="32"/>
                <w:highlight w:val="none"/>
                <w:u w:val="none"/>
                <w:lang w:val="en-US" w:eastAsia="zh-CN" w:bidi="ar"/>
              </w:rPr>
              <w:t>A153与部门年度的任务数相对应、与部门预算资金相匹配（1分）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highlight w:val="none"/>
                <w:u w:val="none"/>
              </w:rPr>
            </w:pPr>
            <w:r>
              <w:rPr>
                <w:rFonts w:hint="eastAsia" w:ascii="仿宋" w:hAnsi="仿宋" w:eastAsia="仿宋" w:cs="仿宋"/>
                <w:i w:val="0"/>
                <w:iCs w:val="0"/>
                <w:color w:val="000000"/>
                <w:kern w:val="0"/>
                <w:sz w:val="32"/>
                <w:szCs w:val="32"/>
                <w:highlight w:val="none"/>
                <w:u w:val="none"/>
                <w:lang w:val="en-US" w:eastAsia="zh-CN" w:bidi="ar"/>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highlight w:val="none"/>
                <w:u w:val="none"/>
              </w:rPr>
            </w:pPr>
            <w:r>
              <w:rPr>
                <w:rFonts w:hint="eastAsia" w:ascii="仿宋" w:hAnsi="仿宋" w:eastAsia="仿宋" w:cs="仿宋"/>
                <w:i w:val="0"/>
                <w:iCs w:val="0"/>
                <w:color w:val="000000"/>
                <w:kern w:val="0"/>
                <w:sz w:val="32"/>
                <w:szCs w:val="32"/>
                <w:highlight w:val="none"/>
                <w:u w:val="none"/>
                <w:lang w:val="en-US" w:eastAsia="zh-CN" w:bidi="ar"/>
              </w:rPr>
              <w:t>与部门年度的任务数相对应、与部门预算资金相匹配，得1分，不匹配不得分。</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highlight w:val="none"/>
                <w:u w:val="none"/>
              </w:rPr>
            </w:pPr>
            <w:r>
              <w:rPr>
                <w:rFonts w:hint="eastAsia" w:ascii="仿宋" w:hAnsi="仿宋" w:eastAsia="仿宋" w:cs="仿宋"/>
                <w:i w:val="0"/>
                <w:iCs w:val="0"/>
                <w:color w:val="000000"/>
                <w:kern w:val="0"/>
                <w:sz w:val="32"/>
                <w:szCs w:val="32"/>
                <w:highlight w:val="none"/>
                <w:u w:val="none"/>
                <w:lang w:val="en-US" w:eastAsia="zh-CN" w:bidi="ar"/>
              </w:rPr>
              <w:t>绩效目标部分指标与部门年度任务数相匹配，与部门预算资金不匹配，扣0.5分，得0.5分。</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highlight w:val="none"/>
                <w:u w:val="none"/>
              </w:rPr>
            </w:pPr>
            <w:r>
              <w:rPr>
                <w:rFonts w:hint="eastAsia" w:ascii="仿宋" w:hAnsi="仿宋" w:eastAsia="仿宋" w:cs="仿宋"/>
                <w:i w:val="0"/>
                <w:iCs w:val="0"/>
                <w:color w:val="000000"/>
                <w:kern w:val="0"/>
                <w:sz w:val="32"/>
                <w:szCs w:val="32"/>
                <w:highlight w:val="none"/>
                <w:u w:val="none"/>
                <w:lang w:val="en-US" w:eastAsia="zh-CN" w:bidi="ar"/>
              </w:rPr>
              <w:t>0.5</w:t>
            </w:r>
          </w:p>
        </w:tc>
      </w:tr>
    </w:tbl>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（2）部门职能</w:t>
      </w:r>
      <w:r>
        <w:rPr>
          <w:rFonts w:hint="eastAsia" w:ascii="仿宋" w:hAnsi="仿宋" w:eastAsia="仿宋" w:cs="仿宋"/>
          <w:sz w:val="32"/>
          <w:szCs w:val="32"/>
          <w:lang w:val="en-US"/>
        </w:rPr>
        <w:t>指标分值10分，</w:t>
      </w:r>
      <w:r>
        <w:rPr>
          <w:rFonts w:hint="eastAsia" w:ascii="仿宋" w:hAnsi="仿宋" w:eastAsia="仿宋" w:cs="仿宋"/>
          <w:sz w:val="32"/>
          <w:szCs w:val="32"/>
        </w:rPr>
        <w:t>评价得</w:t>
      </w:r>
      <w:r>
        <w:rPr>
          <w:rFonts w:hint="eastAsia" w:ascii="仿宋" w:hAnsi="仿宋" w:eastAsia="仿宋" w:cs="仿宋"/>
          <w:sz w:val="32"/>
          <w:szCs w:val="32"/>
          <w:lang w:val="en-US" w:eastAsia="zh-CN"/>
        </w:rPr>
        <w:t>10</w:t>
      </w:r>
      <w:r>
        <w:rPr>
          <w:rFonts w:hint="eastAsia" w:ascii="仿宋" w:hAnsi="仿宋" w:eastAsia="仿宋" w:cs="仿宋"/>
          <w:sz w:val="32"/>
          <w:szCs w:val="32"/>
        </w:rPr>
        <w:t>分，得分率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tbl>
      <w:tblPr>
        <w:tblStyle w:val="13"/>
        <w:tblW w:w="10352" w:type="dxa"/>
        <w:jc w:val="center"/>
        <w:shd w:val="clear" w:color="auto" w:fill="auto"/>
        <w:tblLayout w:type="fixed"/>
        <w:tblCellMar>
          <w:top w:w="0" w:type="dxa"/>
          <w:left w:w="108" w:type="dxa"/>
          <w:bottom w:w="0" w:type="dxa"/>
          <w:right w:w="108" w:type="dxa"/>
        </w:tblCellMar>
      </w:tblPr>
      <w:tblGrid>
        <w:gridCol w:w="760"/>
        <w:gridCol w:w="1505"/>
        <w:gridCol w:w="1330"/>
        <w:gridCol w:w="800"/>
        <w:gridCol w:w="1870"/>
        <w:gridCol w:w="3170"/>
        <w:gridCol w:w="917"/>
      </w:tblGrid>
      <w:tr>
        <w:tblPrEx>
          <w:shd w:val="clear" w:color="auto" w:fill="auto"/>
          <w:tblCellMar>
            <w:top w:w="0" w:type="dxa"/>
            <w:left w:w="108" w:type="dxa"/>
            <w:bottom w:w="0" w:type="dxa"/>
            <w:right w:w="108" w:type="dxa"/>
          </w:tblCellMar>
        </w:tblPrEx>
        <w:trPr>
          <w:trHeight w:val="75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二级指标</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三级指标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四级指标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分值</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指标评分细则</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评价情况</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得分</w:t>
            </w:r>
          </w:p>
        </w:tc>
      </w:tr>
      <w:tr>
        <w:tblPrEx>
          <w:tblCellMar>
            <w:top w:w="0" w:type="dxa"/>
            <w:left w:w="108" w:type="dxa"/>
            <w:bottom w:w="0" w:type="dxa"/>
            <w:right w:w="108" w:type="dxa"/>
          </w:tblCellMar>
        </w:tblPrEx>
        <w:trPr>
          <w:trHeight w:val="1092"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A2部门职能（10分）</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A21部门职能的明确性与科学性（1分）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A211职能明确、设定依据充分（1分）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职能明确、设定依据充分得1分；有“三定”文件，但职能描述不明确，得0.5分；没有职能设定的文件依据且职能不清，得0分。</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东编发〔2019〕13号关于调整因民镇职责机构编制的通知，对部门职能职责进行了明确规定，得1分。</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tblCellMar>
            <w:top w:w="0" w:type="dxa"/>
            <w:left w:w="108" w:type="dxa"/>
            <w:bottom w:w="0" w:type="dxa"/>
            <w:right w:w="108" w:type="dxa"/>
          </w:tblCellMar>
        </w:tblPrEx>
        <w:trPr>
          <w:trHeight w:val="52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A22年度工作目标与部门职能的适应性（4分）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A221部门详细工作目标与部门职能对应匹配程度（4分）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将部门详细工作目标与部门职能对应匹配，视匹配情况酌情得0-4分。</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highlight w:val="none"/>
                <w:u w:val="none"/>
              </w:rPr>
            </w:pPr>
            <w:r>
              <w:rPr>
                <w:rFonts w:hint="eastAsia" w:ascii="仿宋" w:hAnsi="仿宋" w:eastAsia="仿宋" w:cs="仿宋"/>
                <w:i w:val="0"/>
                <w:iCs w:val="0"/>
                <w:color w:val="000000"/>
                <w:kern w:val="0"/>
                <w:sz w:val="32"/>
                <w:szCs w:val="32"/>
                <w:highlight w:val="none"/>
                <w:u w:val="none"/>
                <w:lang w:val="en-US" w:eastAsia="zh-CN" w:bidi="ar"/>
              </w:rPr>
              <w:t>因民镇2020年政府工作报告设定目标与三定方案部门职责职能匹配，得4分。</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r>
      <w:tr>
        <w:tblPrEx>
          <w:shd w:val="clear" w:color="auto" w:fill="auto"/>
          <w:tblCellMar>
            <w:top w:w="0" w:type="dxa"/>
            <w:left w:w="108" w:type="dxa"/>
            <w:bottom w:w="0" w:type="dxa"/>
            <w:right w:w="108" w:type="dxa"/>
          </w:tblCellMar>
        </w:tblPrEx>
        <w:trPr>
          <w:trHeight w:val="52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A23年度具体工作与部门职能的匹配性（4分）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A231部门年度具体工作与部门职能对应匹配程度（4分）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将部门年度具体工作与部门职能对应匹配，视匹配情况酌情得0-4分。</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highlight w:val="none"/>
                <w:u w:val="none"/>
              </w:rPr>
            </w:pPr>
            <w:r>
              <w:rPr>
                <w:rFonts w:hint="eastAsia" w:ascii="仿宋" w:hAnsi="仿宋" w:eastAsia="仿宋" w:cs="仿宋"/>
                <w:i w:val="0"/>
                <w:iCs w:val="0"/>
                <w:color w:val="000000"/>
                <w:kern w:val="0"/>
                <w:sz w:val="32"/>
                <w:szCs w:val="32"/>
                <w:highlight w:val="none"/>
                <w:u w:val="none"/>
                <w:lang w:val="en-US" w:eastAsia="zh-CN" w:bidi="ar"/>
              </w:rPr>
              <w:t>因民镇2020年政府工作报告设定目标与三定方案部门职责职能匹配，得4分。</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r>
      <w:tr>
        <w:tblPrEx>
          <w:shd w:val="clear" w:color="auto" w:fill="auto"/>
          <w:tblCellMar>
            <w:top w:w="0" w:type="dxa"/>
            <w:left w:w="108" w:type="dxa"/>
            <w:bottom w:w="0" w:type="dxa"/>
            <w:right w:w="108" w:type="dxa"/>
          </w:tblCellMar>
        </w:tblPrEx>
        <w:trPr>
          <w:trHeight w:val="78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A24部门内设科室及下属单位职责的明确性（1分）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A241部门内设科室及下属单位职责的明确性（1分）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部门内设科室及下属单位职责的明确，得1分，不明确不得分。</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东编发〔2019〕13号关于调整因民镇职责机构编制的通知，对部门职能职责及所属事业单位主要职责进行了明确规定，得1分。</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bl>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（3）资源配置</w:t>
      </w:r>
      <w:r>
        <w:rPr>
          <w:rFonts w:hint="eastAsia" w:ascii="仿宋" w:hAnsi="仿宋" w:eastAsia="仿宋" w:cs="仿宋"/>
          <w:sz w:val="32"/>
          <w:szCs w:val="32"/>
          <w:lang w:val="en-US"/>
        </w:rPr>
        <w:t>指标分值13分，</w:t>
      </w:r>
      <w:r>
        <w:rPr>
          <w:rFonts w:hint="eastAsia" w:ascii="仿宋" w:hAnsi="仿宋" w:eastAsia="仿宋" w:cs="仿宋"/>
          <w:sz w:val="32"/>
          <w:szCs w:val="32"/>
        </w:rPr>
        <w:t>评价得</w:t>
      </w:r>
      <w:r>
        <w:rPr>
          <w:rFonts w:hint="eastAsia" w:ascii="仿宋" w:hAnsi="仿宋" w:eastAsia="仿宋" w:cs="仿宋"/>
          <w:sz w:val="32"/>
          <w:szCs w:val="32"/>
          <w:lang w:val="en-US" w:eastAsia="zh-CN"/>
        </w:rPr>
        <w:t>12</w:t>
      </w:r>
      <w:r>
        <w:rPr>
          <w:rFonts w:hint="eastAsia" w:ascii="仿宋" w:hAnsi="仿宋" w:eastAsia="仿宋" w:cs="仿宋"/>
          <w:sz w:val="32"/>
          <w:szCs w:val="32"/>
          <w:lang w:val="en-US"/>
        </w:rPr>
        <w:t>分</w:t>
      </w:r>
      <w:r>
        <w:rPr>
          <w:rFonts w:hint="eastAsia" w:ascii="仿宋" w:hAnsi="仿宋" w:eastAsia="仿宋" w:cs="仿宋"/>
          <w:sz w:val="32"/>
          <w:szCs w:val="32"/>
        </w:rPr>
        <w:t>，得分率</w:t>
      </w:r>
      <w:r>
        <w:rPr>
          <w:rFonts w:hint="eastAsia" w:ascii="仿宋" w:hAnsi="仿宋" w:eastAsia="仿宋" w:cs="仿宋"/>
          <w:sz w:val="32"/>
          <w:szCs w:val="32"/>
          <w:lang w:val="en-US" w:eastAsia="zh-CN"/>
        </w:rPr>
        <w:t>92.31</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扣分项主要在</w:t>
      </w:r>
      <w:r>
        <w:rPr>
          <w:rFonts w:hint="eastAsia" w:ascii="仿宋" w:hAnsi="仿宋" w:eastAsia="仿宋" w:cs="仿宋"/>
          <w:i w:val="0"/>
          <w:iCs w:val="0"/>
          <w:color w:val="000000"/>
          <w:kern w:val="0"/>
          <w:sz w:val="32"/>
          <w:szCs w:val="32"/>
          <w:u w:val="none"/>
          <w:lang w:val="en-US" w:eastAsia="zh-CN" w:bidi="ar"/>
        </w:rPr>
        <w:t>职工反映加班时间过长，周末不能保障</w:t>
      </w:r>
      <w:r>
        <w:rPr>
          <w:rFonts w:hint="eastAsia" w:ascii="仿宋" w:hAnsi="仿宋" w:eastAsia="仿宋" w:cs="仿宋"/>
          <w:sz w:val="32"/>
          <w:szCs w:val="32"/>
          <w:lang w:eastAsia="zh-CN"/>
        </w:rPr>
        <w:t>。</w:t>
      </w:r>
    </w:p>
    <w:tbl>
      <w:tblPr>
        <w:tblStyle w:val="13"/>
        <w:tblW w:w="10230" w:type="dxa"/>
        <w:jc w:val="center"/>
        <w:shd w:val="clear" w:color="auto" w:fill="auto"/>
        <w:tblLayout w:type="fixed"/>
        <w:tblCellMar>
          <w:top w:w="0" w:type="dxa"/>
          <w:left w:w="108" w:type="dxa"/>
          <w:bottom w:w="0" w:type="dxa"/>
          <w:right w:w="108" w:type="dxa"/>
        </w:tblCellMar>
      </w:tblPr>
      <w:tblGrid>
        <w:gridCol w:w="750"/>
        <w:gridCol w:w="1564"/>
        <w:gridCol w:w="1330"/>
        <w:gridCol w:w="770"/>
        <w:gridCol w:w="1960"/>
        <w:gridCol w:w="3100"/>
        <w:gridCol w:w="756"/>
      </w:tblGrid>
      <w:tr>
        <w:tblPrEx>
          <w:shd w:val="clear" w:color="auto" w:fill="auto"/>
          <w:tblCellMar>
            <w:top w:w="0" w:type="dxa"/>
            <w:left w:w="108" w:type="dxa"/>
            <w:bottom w:w="0" w:type="dxa"/>
            <w:right w:w="108" w:type="dxa"/>
          </w:tblCellMar>
        </w:tblPrEx>
        <w:trPr>
          <w:trHeight w:val="759" w:hRule="atLeast"/>
          <w:tblHeader/>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二级指标</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三级指标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四级指标</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分值</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指标评分细则</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评价情况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得分</w:t>
            </w:r>
          </w:p>
        </w:tc>
      </w:tr>
      <w:tr>
        <w:tblPrEx>
          <w:tblCellMar>
            <w:top w:w="0" w:type="dxa"/>
            <w:left w:w="108" w:type="dxa"/>
            <w:bottom w:w="0" w:type="dxa"/>
            <w:right w:w="108" w:type="dxa"/>
          </w:tblCellMar>
        </w:tblPrEx>
        <w:trPr>
          <w:trHeight w:val="84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A3资源配置（13分）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A31基本支出预算合理性（2分）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A311基本支出预算合理性（2分）</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如实核定人员基数，得1分；根据基本预算标准进行编制，得1分；不符合不得分。</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2020年基本支出预算根据实际人员基数及预算标准进行编制，得2分。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r>
      <w:tr>
        <w:tblPrEx>
          <w:shd w:val="clear" w:color="auto" w:fill="auto"/>
          <w:tblCellMar>
            <w:top w:w="0" w:type="dxa"/>
            <w:left w:w="108" w:type="dxa"/>
            <w:bottom w:w="0" w:type="dxa"/>
            <w:right w:w="108" w:type="dxa"/>
          </w:tblCellMar>
        </w:tblPrEx>
        <w:trPr>
          <w:trHeight w:val="78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lang w:eastAsia="zh-CN"/>
              </w:rPr>
            </w:pPr>
            <w:r>
              <w:rPr>
                <w:rFonts w:hint="eastAsia" w:ascii="仿宋" w:hAnsi="仿宋" w:eastAsia="仿宋" w:cs="仿宋"/>
                <w:i w:val="0"/>
                <w:iCs w:val="0"/>
                <w:color w:val="000000"/>
                <w:sz w:val="32"/>
                <w:szCs w:val="32"/>
                <w:u w:val="none"/>
                <w:lang w:eastAsia="zh-CN"/>
              </w:rPr>
              <w:t>2</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A32项目支出预算合理性（4分）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A321预算程序合理（1分）</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预算程序合理，得1分，不合理不得分。</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2020年项目支出预算程序合理，已下达项目预算资金，得1分。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tblCellMar>
            <w:top w:w="0" w:type="dxa"/>
            <w:left w:w="108" w:type="dxa"/>
            <w:bottom w:w="0" w:type="dxa"/>
            <w:right w:w="108" w:type="dxa"/>
          </w:tblCellMar>
        </w:tblPrEx>
        <w:trPr>
          <w:trHeight w:val="78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rPr>
                <w:rFonts w:hint="eastAsia" w:ascii="仿宋" w:hAnsi="仿宋" w:eastAsia="仿宋" w:cs="仿宋"/>
                <w:i w:val="0"/>
                <w:iCs w:val="0"/>
                <w:color w:val="000000"/>
                <w:sz w:val="32"/>
                <w:szCs w:val="32"/>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A322预算依据充分（2分）</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预算依据充分，得2分，不充分不得分。</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预算编制依据充分，具备支撑的政策文件及立项背景，得2分。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r>
      <w:tr>
        <w:tblPrEx>
          <w:shd w:val="clear" w:color="auto" w:fill="auto"/>
          <w:tblCellMar>
            <w:top w:w="0" w:type="dxa"/>
            <w:left w:w="108" w:type="dxa"/>
            <w:bottom w:w="0" w:type="dxa"/>
            <w:right w:w="108" w:type="dxa"/>
          </w:tblCellMar>
        </w:tblPrEx>
        <w:trPr>
          <w:trHeight w:val="78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rPr>
                <w:rFonts w:hint="eastAsia" w:ascii="仿宋" w:hAnsi="仿宋" w:eastAsia="仿宋" w:cs="仿宋"/>
                <w:i w:val="0"/>
                <w:iCs w:val="0"/>
                <w:color w:val="000000"/>
                <w:sz w:val="32"/>
                <w:szCs w:val="32"/>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A323符合资金使用范围（1分）</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符合资金使用范围，得1分，不符合不得分。</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项目支出预算符合资金使用范围，得1分。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tblCellMar>
            <w:top w:w="0" w:type="dxa"/>
            <w:left w:w="108" w:type="dxa"/>
            <w:bottom w:w="0" w:type="dxa"/>
            <w:right w:w="108" w:type="dxa"/>
          </w:tblCellMar>
        </w:tblPrEx>
        <w:trPr>
          <w:trHeight w:val="5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A33人力资源投入合理性（2分）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A331人力资源投入合理性（2分）</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通过问卷及访谈调研,分析人员的工作量和工作时长，视匹配情况得0-2分。</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对因民镇职工发放15份问卷调查，调查结果满意度为80.3%，扣1分，扣分原因为职工反映加班时间过长，周末不能保障，得1分。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tblCellMar>
            <w:top w:w="0" w:type="dxa"/>
            <w:left w:w="108" w:type="dxa"/>
            <w:bottom w:w="0" w:type="dxa"/>
            <w:right w:w="108" w:type="dxa"/>
          </w:tblCellMar>
        </w:tblPrEx>
        <w:trPr>
          <w:trHeight w:val="5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A34办公资源投入合理性（2分）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A341办公资源投入合理性（2分）</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办公资源经费保障充足、配置合理，得2分，不充足不合理不得分。</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2020年财政下达基本支出预算未使用完，部门现有办公资源能满足部门日常工作需求，配置合理，得2分。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r>
      <w:tr>
        <w:tblPrEx>
          <w:tblCellMar>
            <w:top w:w="0" w:type="dxa"/>
            <w:left w:w="108" w:type="dxa"/>
            <w:bottom w:w="0" w:type="dxa"/>
            <w:right w:w="108" w:type="dxa"/>
          </w:tblCellMar>
        </w:tblPrEx>
        <w:trPr>
          <w:trHeight w:val="104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A35重点项目资源分配合理性（3分）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A351重点项目资源分配合理性（3分）</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根据重点项目资源分配，对重点项目完成实施的保障程度进行评分。能够保障重点项目顺利实施、全面完成当年工作目标任务的得3分，不合理的按权重进行扣分。</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重点项目资源分配合理，实施顺利，2020年已完成年度包装项目任务数，得3分。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r>
    </w:tbl>
    <w:p>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部门管理</w:t>
      </w:r>
      <w:r>
        <w:rPr>
          <w:rFonts w:hint="eastAsia" w:ascii="仿宋" w:hAnsi="仿宋" w:eastAsia="仿宋" w:cs="仿宋"/>
          <w:color w:val="auto"/>
          <w:sz w:val="32"/>
          <w:szCs w:val="32"/>
          <w:lang w:val="en-US"/>
        </w:rPr>
        <w:t>指标分值20分，分别从预算管理、财务管理、人力资源管理、资产管理、业务管理五个方面对部门的管理过程进行考核：</w:t>
      </w:r>
      <w:r>
        <w:rPr>
          <w:rFonts w:hint="eastAsia" w:ascii="仿宋" w:hAnsi="仿宋" w:eastAsia="仿宋" w:cs="仿宋"/>
          <w:color w:val="auto"/>
          <w:sz w:val="32"/>
          <w:szCs w:val="32"/>
          <w:lang w:val="en-US" w:eastAsia="zh-CN"/>
        </w:rPr>
        <w:t>2020年因民镇</w:t>
      </w:r>
      <w:r>
        <w:rPr>
          <w:rFonts w:hint="eastAsia" w:ascii="仿宋" w:hAnsi="仿宋" w:eastAsia="仿宋" w:cs="仿宋"/>
          <w:color w:val="auto"/>
          <w:sz w:val="32"/>
          <w:szCs w:val="32"/>
          <w:lang w:val="en-US"/>
        </w:rPr>
        <w:t>基本支出预算执行率</w:t>
      </w:r>
      <w:r>
        <w:rPr>
          <w:rFonts w:hint="eastAsia" w:ascii="仿宋" w:hAnsi="仿宋" w:eastAsia="仿宋" w:cs="仿宋"/>
          <w:color w:val="auto"/>
          <w:sz w:val="32"/>
          <w:szCs w:val="32"/>
          <w:lang w:val="en-US" w:eastAsia="zh-CN"/>
        </w:rPr>
        <w:t>为100</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rPr>
        <w:t>项目支出预算执行率</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lang w:val="en-US"/>
        </w:rPr>
        <w:t>三公经费”控制率</w:t>
      </w:r>
      <w:r>
        <w:rPr>
          <w:rFonts w:hint="eastAsia" w:ascii="仿宋" w:hAnsi="仿宋" w:eastAsia="仿宋" w:cs="仿宋"/>
          <w:color w:val="auto"/>
          <w:sz w:val="32"/>
          <w:szCs w:val="32"/>
          <w:lang w:val="en-US" w:eastAsia="zh-CN"/>
        </w:rPr>
        <w:t>82.01%，三公经费按照严格控制标准支出，单位根据年中预算实际执行情况及时进行了预算调整，</w:t>
      </w:r>
      <w:r>
        <w:rPr>
          <w:rFonts w:hint="eastAsia" w:ascii="仿宋" w:hAnsi="仿宋" w:eastAsia="仿宋" w:cs="仿宋"/>
          <w:color w:val="auto"/>
          <w:sz w:val="32"/>
          <w:szCs w:val="32"/>
          <w:lang w:val="en-US"/>
        </w:rPr>
        <w:t>存在预算执行率不足</w:t>
      </w:r>
      <w:r>
        <w:rPr>
          <w:rFonts w:hint="eastAsia" w:ascii="仿宋" w:hAnsi="仿宋" w:eastAsia="仿宋" w:cs="仿宋"/>
          <w:color w:val="auto"/>
          <w:sz w:val="32"/>
          <w:szCs w:val="32"/>
          <w:lang w:val="en-US" w:eastAsia="zh-CN"/>
        </w:rPr>
        <w:t>的问题；在</w:t>
      </w:r>
      <w:r>
        <w:rPr>
          <w:rFonts w:hint="eastAsia" w:ascii="仿宋" w:hAnsi="仿宋" w:eastAsia="仿宋" w:cs="仿宋"/>
          <w:sz w:val="32"/>
          <w:szCs w:val="32"/>
        </w:rPr>
        <w:t>财务管理</w:t>
      </w:r>
      <w:r>
        <w:rPr>
          <w:rFonts w:hint="eastAsia" w:ascii="仿宋" w:hAnsi="仿宋" w:eastAsia="仿宋" w:cs="仿宋"/>
          <w:sz w:val="32"/>
          <w:szCs w:val="32"/>
          <w:lang w:val="en-US"/>
        </w:rPr>
        <w:t>指标</w:t>
      </w:r>
      <w:r>
        <w:rPr>
          <w:rFonts w:hint="eastAsia" w:ascii="仿宋" w:hAnsi="仿宋" w:eastAsia="仿宋" w:cs="仿宋"/>
          <w:sz w:val="32"/>
          <w:szCs w:val="32"/>
          <w:lang w:val="en-US" w:eastAsia="zh-CN"/>
        </w:rPr>
        <w:t>存在往来款处理</w:t>
      </w:r>
      <w:r>
        <w:rPr>
          <w:rFonts w:hint="eastAsia" w:ascii="仿宋" w:hAnsi="仿宋" w:eastAsia="仿宋" w:cs="仿宋"/>
          <w:i w:val="0"/>
          <w:iCs w:val="0"/>
          <w:color w:val="000000"/>
          <w:kern w:val="0"/>
          <w:sz w:val="32"/>
          <w:szCs w:val="32"/>
          <w:highlight w:val="none"/>
          <w:u w:val="none"/>
          <w:lang w:val="en-US" w:eastAsia="zh-CN" w:bidi="ar"/>
        </w:rPr>
        <w:t>工作量大，仍然存在未得到有效执行的情况</w:t>
      </w:r>
      <w:r>
        <w:rPr>
          <w:rFonts w:hint="eastAsia" w:ascii="仿宋" w:hAnsi="仿宋" w:eastAsia="仿宋" w:cs="仿宋"/>
          <w:sz w:val="32"/>
          <w:szCs w:val="32"/>
          <w:lang w:val="en-US" w:eastAsia="zh-CN"/>
        </w:rPr>
        <w:t>；</w:t>
      </w:r>
      <w:r>
        <w:rPr>
          <w:rFonts w:hint="eastAsia" w:ascii="仿宋" w:hAnsi="仿宋" w:eastAsia="仿宋" w:cs="仿宋"/>
          <w:sz w:val="32"/>
          <w:szCs w:val="32"/>
        </w:rPr>
        <w:t>资产管理</w:t>
      </w:r>
      <w:r>
        <w:rPr>
          <w:rFonts w:hint="eastAsia" w:ascii="仿宋" w:hAnsi="仿宋" w:eastAsia="仿宋" w:cs="仿宋"/>
          <w:sz w:val="32"/>
          <w:szCs w:val="32"/>
          <w:lang w:val="en-US"/>
        </w:rPr>
        <w:t>指标</w:t>
      </w:r>
      <w:r>
        <w:rPr>
          <w:rFonts w:hint="eastAsia" w:ascii="仿宋" w:hAnsi="仿宋" w:eastAsia="仿宋" w:cs="仿宋"/>
          <w:sz w:val="32"/>
          <w:szCs w:val="32"/>
          <w:lang w:val="en-US" w:eastAsia="zh-CN"/>
        </w:rPr>
        <w:t>存在非流动资金中</w:t>
      </w:r>
      <w:r>
        <w:rPr>
          <w:rFonts w:hint="eastAsia" w:ascii="仿宋" w:hAnsi="仿宋" w:eastAsia="仿宋" w:cs="仿宋"/>
          <w:sz w:val="32"/>
          <w:szCs w:val="32"/>
        </w:rPr>
        <w:t>无形资产净值</w:t>
      </w:r>
      <w:r>
        <w:rPr>
          <w:rFonts w:hint="eastAsia" w:ascii="仿宋" w:hAnsi="仿宋" w:eastAsia="仿宋" w:cs="仿宋"/>
          <w:sz w:val="32"/>
          <w:szCs w:val="32"/>
          <w:lang w:val="en-US" w:eastAsia="zh-CN"/>
        </w:rPr>
        <w:t>和</w:t>
      </w:r>
      <w:r>
        <w:rPr>
          <w:rFonts w:hint="eastAsia" w:ascii="仿宋" w:hAnsi="仿宋" w:eastAsia="仿宋" w:cs="仿宋"/>
          <w:sz w:val="32"/>
          <w:szCs w:val="32"/>
        </w:rPr>
        <w:t>在建工程</w:t>
      </w:r>
      <w:r>
        <w:rPr>
          <w:rFonts w:hint="eastAsia" w:ascii="仿宋" w:hAnsi="仿宋" w:eastAsia="仿宋" w:cs="仿宋"/>
          <w:sz w:val="32"/>
          <w:szCs w:val="32"/>
          <w:lang w:val="en-US" w:eastAsia="zh-CN"/>
        </w:rPr>
        <w:t>比重大，</w:t>
      </w:r>
      <w:r>
        <w:rPr>
          <w:rFonts w:hint="eastAsia" w:ascii="仿宋" w:hAnsi="仿宋" w:eastAsia="仿宋" w:cs="仿宋"/>
          <w:i w:val="0"/>
          <w:iCs w:val="0"/>
          <w:color w:val="000000"/>
          <w:kern w:val="0"/>
          <w:sz w:val="32"/>
          <w:szCs w:val="32"/>
          <w:u w:val="none"/>
          <w:lang w:val="en-US" w:eastAsia="zh-CN" w:bidi="ar"/>
        </w:rPr>
        <w:t>实际在用固定资产比重小；</w:t>
      </w:r>
      <w:r>
        <w:rPr>
          <w:rFonts w:hint="eastAsia" w:ascii="仿宋" w:hAnsi="仿宋" w:eastAsia="仿宋" w:cs="仿宋"/>
          <w:sz w:val="32"/>
          <w:szCs w:val="32"/>
        </w:rPr>
        <w:t>业务管理</w:t>
      </w:r>
      <w:r>
        <w:rPr>
          <w:rFonts w:hint="eastAsia" w:ascii="仿宋" w:hAnsi="仿宋" w:eastAsia="仿宋" w:cs="仿宋"/>
          <w:sz w:val="32"/>
          <w:szCs w:val="32"/>
          <w:lang w:val="en-US"/>
        </w:rPr>
        <w:t>指标</w:t>
      </w:r>
      <w:r>
        <w:rPr>
          <w:rFonts w:hint="eastAsia" w:ascii="仿宋" w:hAnsi="仿宋" w:eastAsia="仿宋" w:cs="仿宋"/>
          <w:sz w:val="32"/>
          <w:szCs w:val="32"/>
          <w:lang w:val="en-US" w:eastAsia="zh-CN"/>
        </w:rPr>
        <w:t>存在</w:t>
      </w:r>
      <w:r>
        <w:rPr>
          <w:rFonts w:hint="eastAsia" w:ascii="仿宋" w:hAnsi="仿宋" w:eastAsia="仿宋" w:cs="仿宋"/>
          <w:sz w:val="32"/>
          <w:szCs w:val="32"/>
          <w:highlight w:val="none"/>
          <w:lang w:val="en-US" w:eastAsia="zh-CN"/>
        </w:rPr>
        <w:t>年初预算未在一体化系统填报采购资金计划，2020年采购计划为0万元；</w:t>
      </w:r>
      <w:r>
        <w:rPr>
          <w:rFonts w:hint="eastAsia" w:ascii="仿宋" w:hAnsi="仿宋" w:eastAsia="仿宋" w:cs="仿宋"/>
          <w:color w:val="auto"/>
          <w:sz w:val="32"/>
          <w:szCs w:val="32"/>
          <w:lang w:val="en-US"/>
        </w:rPr>
        <w:t>综上</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rPr>
        <w:t>该指标</w:t>
      </w:r>
      <w:r>
        <w:rPr>
          <w:rFonts w:hint="eastAsia" w:ascii="仿宋" w:hAnsi="仿宋" w:eastAsia="仿宋" w:cs="仿宋"/>
          <w:color w:val="auto"/>
          <w:sz w:val="32"/>
          <w:szCs w:val="32"/>
        </w:rPr>
        <w:t>评价得</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分，得分率</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rPr>
        <w:t>。</w:t>
      </w:r>
      <w:r>
        <w:rPr>
          <w:rFonts w:hint="eastAsia" w:ascii="仿宋" w:hAnsi="仿宋" w:eastAsia="仿宋" w:cs="仿宋"/>
          <w:sz w:val="32"/>
          <w:szCs w:val="32"/>
          <w:lang w:val="en-US"/>
        </w:rPr>
        <w:t>具体为：</w:t>
      </w:r>
    </w:p>
    <w:p>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rPr>
        <w:t>（1）预算管理指标分值7分，</w:t>
      </w:r>
      <w:r>
        <w:rPr>
          <w:rFonts w:hint="eastAsia" w:ascii="仿宋" w:hAnsi="仿宋" w:eastAsia="仿宋" w:cs="仿宋"/>
          <w:sz w:val="32"/>
          <w:szCs w:val="32"/>
        </w:rPr>
        <w:t>评价得</w:t>
      </w:r>
      <w:r>
        <w:rPr>
          <w:rFonts w:hint="eastAsia" w:ascii="仿宋" w:hAnsi="仿宋" w:eastAsia="仿宋" w:cs="仿宋"/>
          <w:sz w:val="32"/>
          <w:szCs w:val="32"/>
          <w:lang w:val="en-US" w:eastAsia="zh-CN"/>
        </w:rPr>
        <w:t>7</w:t>
      </w:r>
      <w:r>
        <w:rPr>
          <w:rFonts w:hint="eastAsia" w:ascii="仿宋" w:hAnsi="仿宋" w:eastAsia="仿宋" w:cs="仿宋"/>
          <w:sz w:val="32"/>
          <w:szCs w:val="32"/>
          <w:lang w:val="en-US"/>
        </w:rPr>
        <w:t>分</w:t>
      </w:r>
      <w:r>
        <w:rPr>
          <w:rFonts w:hint="eastAsia" w:ascii="仿宋" w:hAnsi="仿宋" w:eastAsia="仿宋" w:cs="仿宋"/>
          <w:sz w:val="32"/>
          <w:szCs w:val="32"/>
        </w:rPr>
        <w:t>，得分率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val="en-US" w:eastAsia="zh-CN"/>
        </w:rPr>
        <w:t>.</w:t>
      </w:r>
    </w:p>
    <w:tbl>
      <w:tblPr>
        <w:tblStyle w:val="13"/>
        <w:tblW w:w="10612" w:type="dxa"/>
        <w:jc w:val="center"/>
        <w:shd w:val="clear" w:color="auto" w:fill="auto"/>
        <w:tblLayout w:type="fixed"/>
        <w:tblCellMar>
          <w:top w:w="0" w:type="dxa"/>
          <w:left w:w="108" w:type="dxa"/>
          <w:bottom w:w="0" w:type="dxa"/>
          <w:right w:w="108" w:type="dxa"/>
        </w:tblCellMar>
      </w:tblPr>
      <w:tblGrid>
        <w:gridCol w:w="787"/>
        <w:gridCol w:w="1522"/>
        <w:gridCol w:w="1819"/>
        <w:gridCol w:w="749"/>
        <w:gridCol w:w="1900"/>
        <w:gridCol w:w="3238"/>
        <w:gridCol w:w="597"/>
      </w:tblGrid>
      <w:tr>
        <w:tblPrEx>
          <w:shd w:val="clear" w:color="auto" w:fill="auto"/>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二级指标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三级指标</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四级指标</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分值</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指标评分细则</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评价情况</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得分</w:t>
            </w:r>
          </w:p>
        </w:tc>
      </w:tr>
      <w:tr>
        <w:tblPrEx>
          <w:shd w:val="clear" w:color="auto" w:fill="auto"/>
          <w:tblCellMar>
            <w:top w:w="0" w:type="dxa"/>
            <w:left w:w="108" w:type="dxa"/>
            <w:bottom w:w="0" w:type="dxa"/>
            <w:right w:w="108" w:type="dxa"/>
          </w:tblCellMar>
        </w:tblPrEx>
        <w:trPr>
          <w:trHeight w:val="1104" w:hRule="atLeast"/>
          <w:jc w:val="center"/>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B1预算管理（7分）</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B11基本支出预算执行率（2.5分）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B111基本支出预算执行率（2.5分）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预算执行率=部门基本支出决算/部门基本支出预算=100%得2.5分，每降低10%扣0.5分。</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highlight w:val="none"/>
                <w:u w:val="none"/>
              </w:rPr>
            </w:pPr>
            <w:r>
              <w:rPr>
                <w:rFonts w:hint="eastAsia" w:ascii="仿宋" w:hAnsi="仿宋" w:eastAsia="仿宋" w:cs="仿宋"/>
                <w:i w:val="0"/>
                <w:iCs w:val="0"/>
                <w:color w:val="000000"/>
                <w:kern w:val="0"/>
                <w:sz w:val="32"/>
                <w:szCs w:val="32"/>
                <w:highlight w:val="none"/>
                <w:u w:val="none"/>
                <w:lang w:val="en-US" w:eastAsia="zh-CN" w:bidi="ar"/>
              </w:rPr>
              <w:t>预算执行率=部门基本支出决算</w:t>
            </w:r>
            <w:r>
              <w:rPr>
                <w:rFonts w:hint="eastAsia" w:ascii="仿宋" w:hAnsi="仿宋" w:eastAsia="仿宋" w:cs="仿宋"/>
                <w:sz w:val="32"/>
                <w:szCs w:val="32"/>
              </w:rPr>
              <w:t>35</w:t>
            </w:r>
            <w:r>
              <w:rPr>
                <w:rFonts w:hint="eastAsia" w:ascii="仿宋" w:hAnsi="仿宋" w:eastAsia="仿宋" w:cs="仿宋"/>
                <w:color w:val="000000"/>
                <w:sz w:val="32"/>
                <w:szCs w:val="32"/>
              </w:rPr>
              <w:t>,</w:t>
            </w:r>
            <w:r>
              <w:rPr>
                <w:rFonts w:hint="eastAsia" w:ascii="仿宋" w:hAnsi="仿宋" w:eastAsia="仿宋" w:cs="仿宋"/>
                <w:sz w:val="32"/>
                <w:szCs w:val="32"/>
              </w:rPr>
              <w:t>226</w:t>
            </w:r>
            <w:r>
              <w:rPr>
                <w:rFonts w:hint="eastAsia" w:ascii="仿宋" w:hAnsi="仿宋" w:eastAsia="仿宋" w:cs="仿宋"/>
                <w:color w:val="000000"/>
                <w:sz w:val="32"/>
                <w:szCs w:val="32"/>
              </w:rPr>
              <w:t>,</w:t>
            </w:r>
            <w:r>
              <w:rPr>
                <w:rFonts w:hint="eastAsia" w:ascii="仿宋" w:hAnsi="仿宋" w:eastAsia="仿宋" w:cs="仿宋"/>
                <w:sz w:val="32"/>
                <w:szCs w:val="32"/>
              </w:rPr>
              <w:t>864.89</w:t>
            </w:r>
            <w:r>
              <w:rPr>
                <w:rFonts w:hint="eastAsia" w:ascii="仿宋" w:hAnsi="仿宋" w:eastAsia="仿宋" w:cs="仿宋"/>
                <w:i w:val="0"/>
                <w:iCs w:val="0"/>
                <w:color w:val="000000"/>
                <w:kern w:val="0"/>
                <w:sz w:val="32"/>
                <w:szCs w:val="32"/>
                <w:highlight w:val="none"/>
                <w:u w:val="none"/>
                <w:lang w:val="en-US" w:eastAsia="zh-CN" w:bidi="ar"/>
              </w:rPr>
              <w:t>元/部门基本支出预算</w:t>
            </w:r>
            <w:r>
              <w:rPr>
                <w:rFonts w:hint="eastAsia" w:ascii="仿宋" w:hAnsi="仿宋" w:eastAsia="仿宋" w:cs="仿宋"/>
                <w:sz w:val="32"/>
                <w:szCs w:val="32"/>
              </w:rPr>
              <w:t>33</w:t>
            </w:r>
            <w:r>
              <w:rPr>
                <w:rFonts w:hint="eastAsia" w:ascii="仿宋" w:hAnsi="仿宋" w:eastAsia="仿宋" w:cs="仿宋"/>
                <w:color w:val="000000"/>
                <w:sz w:val="32"/>
                <w:szCs w:val="32"/>
              </w:rPr>
              <w:t>,</w:t>
            </w:r>
            <w:r>
              <w:rPr>
                <w:rFonts w:hint="eastAsia" w:ascii="仿宋" w:hAnsi="仿宋" w:eastAsia="仿宋" w:cs="仿宋"/>
                <w:sz w:val="32"/>
                <w:szCs w:val="32"/>
              </w:rPr>
              <w:t>901</w:t>
            </w:r>
            <w:r>
              <w:rPr>
                <w:rFonts w:hint="eastAsia" w:ascii="仿宋" w:hAnsi="仿宋" w:eastAsia="仿宋" w:cs="仿宋"/>
                <w:color w:val="000000"/>
                <w:sz w:val="32"/>
                <w:szCs w:val="32"/>
              </w:rPr>
              <w:t>,</w:t>
            </w:r>
            <w:r>
              <w:rPr>
                <w:rFonts w:hint="eastAsia" w:ascii="仿宋" w:hAnsi="仿宋" w:eastAsia="仿宋" w:cs="仿宋"/>
                <w:sz w:val="32"/>
                <w:szCs w:val="32"/>
              </w:rPr>
              <w:t>039</w:t>
            </w:r>
            <w:r>
              <w:rPr>
                <w:rFonts w:hint="eastAsia" w:ascii="仿宋" w:hAnsi="仿宋" w:eastAsia="仿宋" w:cs="仿宋"/>
                <w:bCs/>
                <w:kern w:val="1"/>
                <w:sz w:val="32"/>
                <w:szCs w:val="32"/>
              </w:rPr>
              <w:t>.09</w:t>
            </w:r>
            <w:r>
              <w:rPr>
                <w:rFonts w:hint="eastAsia" w:ascii="仿宋" w:hAnsi="仿宋" w:eastAsia="仿宋" w:cs="仿宋"/>
                <w:i w:val="0"/>
                <w:iCs w:val="0"/>
                <w:color w:val="000000"/>
                <w:kern w:val="0"/>
                <w:sz w:val="32"/>
                <w:szCs w:val="32"/>
                <w:highlight w:val="none"/>
                <w:u w:val="none"/>
                <w:lang w:val="en-US" w:eastAsia="zh-CN" w:bidi="ar"/>
              </w:rPr>
              <w:t>元（不含预算调整）×100%=103.9%，，得2.5分。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lang w:val="en-US"/>
              </w:rPr>
            </w:pPr>
            <w:r>
              <w:rPr>
                <w:rFonts w:hint="eastAsia" w:ascii="仿宋" w:hAnsi="仿宋" w:eastAsia="仿宋" w:cs="仿宋"/>
                <w:i w:val="0"/>
                <w:iCs w:val="0"/>
                <w:color w:val="000000"/>
                <w:kern w:val="0"/>
                <w:sz w:val="32"/>
                <w:szCs w:val="32"/>
                <w:u w:val="none"/>
                <w:lang w:val="en-US" w:eastAsia="zh-CN" w:bidi="ar"/>
              </w:rPr>
              <w:t>2.5</w:t>
            </w:r>
          </w:p>
        </w:tc>
      </w:tr>
      <w:tr>
        <w:tblPrEx>
          <w:shd w:val="clear" w:color="auto" w:fill="auto"/>
          <w:tblCellMar>
            <w:top w:w="0" w:type="dxa"/>
            <w:left w:w="108" w:type="dxa"/>
            <w:bottom w:w="0" w:type="dxa"/>
            <w:right w:w="108" w:type="dxa"/>
          </w:tblCellMar>
        </w:tblPrEx>
        <w:trPr>
          <w:trHeight w:val="1104" w:hRule="atLeast"/>
          <w:jc w:val="center"/>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B12项目支出预算执行率（2.5分）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B121项目支出预算执行率（2.5分）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预算执行率=部门基本支出决算/部门基本支出预算=100%得2.5分，每降低5%扣0.5分。</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highlight w:val="none"/>
                <w:u w:val="none"/>
              </w:rPr>
            </w:pPr>
            <w:r>
              <w:rPr>
                <w:rFonts w:hint="eastAsia" w:ascii="仿宋" w:hAnsi="仿宋" w:eastAsia="仿宋" w:cs="仿宋"/>
                <w:i w:val="0"/>
                <w:iCs w:val="0"/>
                <w:color w:val="000000"/>
                <w:kern w:val="0"/>
                <w:sz w:val="32"/>
                <w:szCs w:val="32"/>
                <w:highlight w:val="none"/>
                <w:u w:val="none"/>
                <w:lang w:val="en-US" w:eastAsia="zh-CN" w:bidi="ar"/>
              </w:rPr>
              <w:t>部门项目支出决算18.611.625.8元,部门项目支出预算18.611.625.8元（含预算调整、年初结余、财政拨款）,得2.5分。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lang w:val="en-US"/>
              </w:rPr>
            </w:pPr>
            <w:r>
              <w:rPr>
                <w:rFonts w:hint="eastAsia" w:ascii="仿宋" w:hAnsi="仿宋" w:eastAsia="仿宋" w:cs="仿宋"/>
                <w:i w:val="0"/>
                <w:iCs w:val="0"/>
                <w:color w:val="000000"/>
                <w:kern w:val="0"/>
                <w:sz w:val="32"/>
                <w:szCs w:val="32"/>
                <w:u w:val="none"/>
                <w:lang w:val="en-US" w:eastAsia="zh-CN" w:bidi="ar"/>
              </w:rPr>
              <w:t>2.5</w:t>
            </w:r>
          </w:p>
        </w:tc>
      </w:tr>
      <w:tr>
        <w:tblPrEx>
          <w:shd w:val="clear" w:color="auto" w:fill="auto"/>
          <w:tblCellMar>
            <w:top w:w="0" w:type="dxa"/>
            <w:left w:w="108" w:type="dxa"/>
            <w:bottom w:w="0" w:type="dxa"/>
            <w:right w:w="108" w:type="dxa"/>
          </w:tblCellMar>
        </w:tblPrEx>
        <w:trPr>
          <w:trHeight w:val="2628" w:hRule="atLeast"/>
          <w:jc w:val="center"/>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B13“三公经费”控制率（1分）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B131“三公经费”控制率（1分）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“三公”经费控制率=（本年度“三公”经费总额/上年度“三公”经费总额），三公经费控制率≤100%得1分，≥120%得0分，区间内按权重进行扣分。</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“三公”经费控制率=（本年度“三公”经费总额</w:t>
            </w:r>
            <w:r>
              <w:rPr>
                <w:rFonts w:hint="eastAsia" w:ascii="仿宋" w:hAnsi="仿宋" w:eastAsia="仿宋" w:cs="仿宋"/>
                <w:sz w:val="32"/>
                <w:szCs w:val="32"/>
              </w:rPr>
              <w:t>175,699.74</w:t>
            </w:r>
            <w:r>
              <w:rPr>
                <w:rFonts w:hint="eastAsia" w:ascii="仿宋" w:hAnsi="仿宋" w:eastAsia="仿宋" w:cs="仿宋"/>
                <w:i w:val="0"/>
                <w:iCs w:val="0"/>
                <w:color w:val="000000"/>
                <w:kern w:val="0"/>
                <w:sz w:val="32"/>
                <w:szCs w:val="32"/>
                <w:u w:val="none"/>
                <w:lang w:val="en-US" w:eastAsia="zh-CN" w:bidi="ar"/>
              </w:rPr>
              <w:t>元/上年度“三公”经费总额</w:t>
            </w:r>
            <w:r>
              <w:rPr>
                <w:rFonts w:hint="eastAsia" w:ascii="仿宋" w:hAnsi="仿宋" w:eastAsia="仿宋" w:cs="仿宋"/>
                <w:sz w:val="32"/>
                <w:szCs w:val="32"/>
              </w:rPr>
              <w:t>214,256.82</w:t>
            </w:r>
            <w:r>
              <w:rPr>
                <w:rFonts w:hint="eastAsia" w:ascii="仿宋" w:hAnsi="仿宋" w:eastAsia="仿宋" w:cs="仿宋"/>
                <w:i w:val="0"/>
                <w:iCs w:val="0"/>
                <w:color w:val="000000"/>
                <w:kern w:val="0"/>
                <w:sz w:val="32"/>
                <w:szCs w:val="32"/>
                <w:u w:val="none"/>
                <w:lang w:val="en-US" w:eastAsia="zh-CN" w:bidi="ar"/>
              </w:rPr>
              <w:t>元）×100%=82.01%，得1分。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shd w:val="clear" w:color="auto" w:fill="auto"/>
          <w:tblCellMar>
            <w:top w:w="0" w:type="dxa"/>
            <w:left w:w="108" w:type="dxa"/>
            <w:bottom w:w="0" w:type="dxa"/>
            <w:right w:w="108" w:type="dxa"/>
          </w:tblCellMar>
        </w:tblPrEx>
        <w:trPr>
          <w:trHeight w:val="1059" w:hRule="atLeast"/>
          <w:jc w:val="center"/>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B14预算调整情况（1分）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B141预算调整情况（1分）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根据年中预算执行情况及时申请预算调整，得0.5分，未及时申请不得分；按规定程序进行预算调整，得0.5分，未按规定不得分。</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单位根据年中预算实际执行情况及时合规进行预算调整，得1分。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bl>
    <w:p>
      <w:pPr>
        <w:pStyle w:val="5"/>
        <w:pageBreakBefore w:val="0"/>
        <w:numPr>
          <w:ilvl w:val="0"/>
          <w:numId w:val="0"/>
        </w:numPr>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rPr>
      </w:pPr>
    </w:p>
    <w:p>
      <w:pPr>
        <w:pStyle w:val="5"/>
        <w:pageBreakBefore w:val="0"/>
        <w:numPr>
          <w:ilvl w:val="0"/>
          <w:numId w:val="2"/>
        </w:numPr>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rPr>
      </w:pPr>
      <w:r>
        <w:rPr>
          <w:rFonts w:hint="eastAsia" w:ascii="仿宋" w:hAnsi="仿宋" w:eastAsia="仿宋" w:cs="仿宋"/>
          <w:sz w:val="32"/>
          <w:szCs w:val="32"/>
        </w:rPr>
        <w:t>财务管理</w:t>
      </w:r>
      <w:r>
        <w:rPr>
          <w:rFonts w:hint="eastAsia" w:ascii="仿宋" w:hAnsi="仿宋" w:eastAsia="仿宋" w:cs="仿宋"/>
          <w:sz w:val="32"/>
          <w:szCs w:val="32"/>
          <w:lang w:val="en-US"/>
        </w:rPr>
        <w:t>指标分值6分，</w:t>
      </w:r>
      <w:r>
        <w:rPr>
          <w:rFonts w:hint="eastAsia" w:ascii="仿宋" w:hAnsi="仿宋" w:eastAsia="仿宋" w:cs="仿宋"/>
          <w:sz w:val="32"/>
          <w:szCs w:val="32"/>
        </w:rPr>
        <w:t>评价得</w:t>
      </w:r>
      <w:r>
        <w:rPr>
          <w:rFonts w:hint="eastAsia" w:ascii="仿宋" w:hAnsi="仿宋" w:eastAsia="仿宋" w:cs="仿宋"/>
          <w:sz w:val="32"/>
          <w:szCs w:val="32"/>
          <w:lang w:val="en-US" w:eastAsia="zh-CN"/>
        </w:rPr>
        <w:t>5.5</w:t>
      </w:r>
      <w:r>
        <w:rPr>
          <w:rFonts w:hint="eastAsia" w:ascii="仿宋" w:hAnsi="仿宋" w:eastAsia="仿宋" w:cs="仿宋"/>
          <w:sz w:val="32"/>
          <w:szCs w:val="32"/>
          <w:lang w:val="en-US"/>
        </w:rPr>
        <w:t>分</w:t>
      </w:r>
      <w:r>
        <w:rPr>
          <w:rFonts w:hint="eastAsia" w:ascii="仿宋" w:hAnsi="仿宋" w:eastAsia="仿宋" w:cs="仿宋"/>
          <w:sz w:val="32"/>
          <w:szCs w:val="32"/>
        </w:rPr>
        <w:t>，得分率</w:t>
      </w:r>
      <w:r>
        <w:rPr>
          <w:rFonts w:hint="eastAsia" w:ascii="仿宋" w:hAnsi="仿宋" w:eastAsia="仿宋" w:cs="仿宋"/>
          <w:sz w:val="32"/>
          <w:szCs w:val="32"/>
          <w:lang w:val="en-US" w:eastAsia="zh-CN"/>
        </w:rPr>
        <w:t>91.66</w:t>
      </w:r>
      <w:r>
        <w:rPr>
          <w:rFonts w:hint="eastAsia" w:ascii="仿宋" w:hAnsi="仿宋" w:eastAsia="仿宋" w:cs="仿宋"/>
          <w:sz w:val="32"/>
          <w:szCs w:val="32"/>
        </w:rPr>
        <w:t>%，扣分项为</w:t>
      </w:r>
      <w:r>
        <w:rPr>
          <w:rFonts w:hint="eastAsia" w:ascii="仿宋" w:hAnsi="仿宋" w:eastAsia="仿宋" w:cs="仿宋"/>
          <w:i w:val="0"/>
          <w:iCs w:val="0"/>
          <w:color w:val="000000"/>
          <w:kern w:val="0"/>
          <w:sz w:val="32"/>
          <w:szCs w:val="32"/>
          <w:highlight w:val="none"/>
          <w:u w:val="none"/>
          <w:lang w:val="en-US" w:eastAsia="zh-CN" w:bidi="ar"/>
        </w:rPr>
        <w:t>虽然因民镇财政所已经对往来款及时处理，但由于工作量大，仍然存在未得到有效执行的情况</w:t>
      </w:r>
      <w:r>
        <w:rPr>
          <w:rFonts w:hint="eastAsia" w:ascii="仿宋" w:hAnsi="仿宋" w:eastAsia="仿宋" w:cs="仿宋"/>
          <w:sz w:val="32"/>
          <w:szCs w:val="32"/>
          <w:lang w:val="en-US"/>
        </w:rPr>
        <w:t>。</w:t>
      </w:r>
    </w:p>
    <w:tbl>
      <w:tblPr>
        <w:tblStyle w:val="13"/>
        <w:tblW w:w="10804" w:type="dxa"/>
        <w:jc w:val="center"/>
        <w:shd w:val="clear" w:color="auto" w:fill="auto"/>
        <w:tblLayout w:type="fixed"/>
        <w:tblCellMar>
          <w:top w:w="0" w:type="dxa"/>
          <w:left w:w="108" w:type="dxa"/>
          <w:bottom w:w="0" w:type="dxa"/>
          <w:right w:w="108" w:type="dxa"/>
        </w:tblCellMar>
      </w:tblPr>
      <w:tblGrid>
        <w:gridCol w:w="685"/>
        <w:gridCol w:w="1574"/>
        <w:gridCol w:w="1723"/>
        <w:gridCol w:w="743"/>
        <w:gridCol w:w="1922"/>
        <w:gridCol w:w="3378"/>
        <w:gridCol w:w="779"/>
      </w:tblGrid>
      <w:tr>
        <w:tblPrEx>
          <w:shd w:val="clear" w:color="auto" w:fill="auto"/>
          <w:tblCellMar>
            <w:top w:w="0" w:type="dxa"/>
            <w:left w:w="108" w:type="dxa"/>
            <w:bottom w:w="0" w:type="dxa"/>
            <w:right w:w="108" w:type="dxa"/>
          </w:tblCellMar>
        </w:tblPrEx>
        <w:trPr>
          <w:trHeight w:val="699"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二级指标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三级指标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四级指标</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分值</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指标评分细则</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评价情况</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得分</w:t>
            </w:r>
          </w:p>
        </w:tc>
      </w:tr>
      <w:tr>
        <w:tblPrEx>
          <w:shd w:val="clear" w:color="auto" w:fill="auto"/>
          <w:tblCellMar>
            <w:top w:w="0" w:type="dxa"/>
            <w:left w:w="108" w:type="dxa"/>
            <w:bottom w:w="0" w:type="dxa"/>
            <w:right w:w="108" w:type="dxa"/>
          </w:tblCellMar>
        </w:tblPrEx>
        <w:trPr>
          <w:trHeight w:val="780" w:hRule="atLeast"/>
          <w:jc w:val="center"/>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B2财务管理（6分）</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B21财务管理制度健全性及执行情况（2分）</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B211财务管理制度健全性（1分）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已制定预算资金管理办法、内部财务管理制度、会计核算制度等管理制度，得1分，未制定不得分。</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已制定《财政所财务内部控制制度》《财政所主要职能》《会计凭证审核制度》《票据管理制度》《固定资产管理制度》《往来款管理制度》等多项文件，得1分。</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shd w:val="clear" w:color="auto" w:fill="auto"/>
          <w:tblCellMar>
            <w:top w:w="0" w:type="dxa"/>
            <w:left w:w="108" w:type="dxa"/>
            <w:bottom w:w="0" w:type="dxa"/>
            <w:right w:w="108" w:type="dxa"/>
          </w:tblCellMar>
        </w:tblPrEx>
        <w:trPr>
          <w:trHeight w:val="13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B212财务管理制度执行情况（1分）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相关管理制度是否合法、合规、完整得0.5分；相关管理制度是否得到有效执行，得0.5分；执行不力不得分。</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highlight w:val="none"/>
                <w:u w:val="none"/>
              </w:rPr>
            </w:pPr>
            <w:r>
              <w:rPr>
                <w:rFonts w:hint="eastAsia" w:ascii="仿宋" w:hAnsi="仿宋" w:eastAsia="仿宋" w:cs="仿宋"/>
                <w:i w:val="0"/>
                <w:iCs w:val="0"/>
                <w:color w:val="000000"/>
                <w:kern w:val="0"/>
                <w:sz w:val="32"/>
                <w:szCs w:val="32"/>
                <w:highlight w:val="none"/>
                <w:u w:val="none"/>
                <w:lang w:val="en-US" w:eastAsia="zh-CN" w:bidi="ar"/>
              </w:rPr>
              <w:t>因民镇往来款管理“对各种往来款项要及时清理，不得长期挂账, 严格执行财务管理制度”杜绝往来款项长期挂帐的发生”虽然因民镇财政所已经及时处理，但由于工作量大，仍然存在未得到有效执行的情况，扣0.5分，得0.5分。</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lang w:val="en-US"/>
              </w:rPr>
            </w:pPr>
            <w:r>
              <w:rPr>
                <w:rFonts w:hint="eastAsia" w:ascii="仿宋" w:hAnsi="仿宋" w:eastAsia="仿宋" w:cs="仿宋"/>
                <w:i w:val="0"/>
                <w:iCs w:val="0"/>
                <w:color w:val="000000"/>
                <w:kern w:val="0"/>
                <w:sz w:val="32"/>
                <w:szCs w:val="32"/>
                <w:u w:val="none"/>
                <w:lang w:val="en-US" w:eastAsia="zh-CN" w:bidi="ar"/>
              </w:rPr>
              <w:t>0.5</w:t>
            </w:r>
          </w:p>
        </w:tc>
      </w:tr>
      <w:tr>
        <w:tblPrEx>
          <w:shd w:val="clear" w:color="auto" w:fill="auto"/>
          <w:tblCellMar>
            <w:top w:w="0" w:type="dxa"/>
            <w:left w:w="108" w:type="dxa"/>
            <w:bottom w:w="0" w:type="dxa"/>
            <w:right w:w="108" w:type="dxa"/>
          </w:tblCellMar>
        </w:tblPrEx>
        <w:trPr>
          <w:trHeight w:val="156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B22资金使用合规性（3分）</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B221符合国家财经法规和财务管理制度规定以及有关专项资金管理办法的规定（1分）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highlight w:val="none"/>
                <w:u w:val="none"/>
              </w:rPr>
            </w:pPr>
            <w:r>
              <w:rPr>
                <w:rFonts w:hint="eastAsia" w:ascii="仿宋" w:hAnsi="仿宋" w:eastAsia="仿宋" w:cs="仿宋"/>
                <w:i w:val="0"/>
                <w:iCs w:val="0"/>
                <w:color w:val="000000"/>
                <w:kern w:val="0"/>
                <w:sz w:val="32"/>
                <w:szCs w:val="32"/>
                <w:highlight w:val="none"/>
                <w:u w:val="none"/>
                <w:lang w:val="en-US" w:eastAsia="zh-CN" w:bidi="ar"/>
              </w:rPr>
              <w:t>符合国家财经法规和财务管理制度规定以及有关专项资金管理办法的规定,得1分，不符合不得分。</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highlight w:val="none"/>
                <w:u w:val="none"/>
              </w:rPr>
            </w:pPr>
            <w:r>
              <w:rPr>
                <w:rFonts w:hint="eastAsia" w:ascii="仿宋" w:hAnsi="仿宋" w:eastAsia="仿宋" w:cs="仿宋"/>
                <w:i w:val="0"/>
                <w:iCs w:val="0"/>
                <w:color w:val="000000"/>
                <w:kern w:val="0"/>
                <w:sz w:val="32"/>
                <w:szCs w:val="32"/>
                <w:highlight w:val="none"/>
                <w:u w:val="none"/>
                <w:lang w:val="en-US" w:eastAsia="zh-CN" w:bidi="ar"/>
              </w:rPr>
              <w:t>已根据相关国家财经法规和财务管理制度规定以及有关专项资金管理办法的规定,建立了符合财务管理制度规定，得1分。</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shd w:val="clear" w:color="auto" w:fill="auto"/>
          <w:tblCellMar>
            <w:top w:w="0" w:type="dxa"/>
            <w:left w:w="108" w:type="dxa"/>
            <w:bottom w:w="0" w:type="dxa"/>
            <w:right w:w="108" w:type="dxa"/>
          </w:tblCellMar>
        </w:tblPrEx>
        <w:trPr>
          <w:trHeight w:val="15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B222资金的拨付有完整的审批程序和手续，重大开支经过专题论证（1分）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资金的拨付有完整的审批程序和手续，重大开支经过专题论证，得1分，不符合不得分。</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资金拨付有完整的审批程序和手续，得1分。</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shd w:val="clear" w:color="auto" w:fill="auto"/>
          <w:tblCellMar>
            <w:top w:w="0" w:type="dxa"/>
            <w:left w:w="108" w:type="dxa"/>
            <w:bottom w:w="0" w:type="dxa"/>
            <w:right w:w="108" w:type="dxa"/>
          </w:tblCellMar>
        </w:tblPrEx>
        <w:trPr>
          <w:trHeight w:val="6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B223符合部门预算批复的用途（1分）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符合部门预算批复的用途，得1分，不符合不得分。</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资金支出符合部门预算批复的用途，得1分。</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shd w:val="clear" w:color="auto" w:fill="auto"/>
          <w:tblCellMar>
            <w:top w:w="0" w:type="dxa"/>
            <w:left w:w="108" w:type="dxa"/>
            <w:bottom w:w="0" w:type="dxa"/>
            <w:right w:w="108" w:type="dxa"/>
          </w:tblCellMar>
        </w:tblPrEx>
        <w:trPr>
          <w:trHeight w:val="78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B23财务监控的有效性（1分）</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B231财务监控的有效性（1分）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制定明确的财务监控监督措施，得0.5分；监控、监督措施执行有效，得0.5分；未制定、执行无效不得分。</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制定了《2020年中央对省、省对州市脱贫攻坚成效考核发现问题东川区因民镇整改清单制度》，因民镇对帮扶资金开展了自检自查，并接受了上级主管部门的检查后对检查结果进行整改落实，得1分。</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bl>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rPr>
      </w:pP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rPr>
      </w:pPr>
      <w:r>
        <w:rPr>
          <w:rFonts w:hint="eastAsia" w:ascii="仿宋" w:hAnsi="仿宋" w:eastAsia="仿宋" w:cs="仿宋"/>
          <w:sz w:val="32"/>
          <w:szCs w:val="32"/>
        </w:rPr>
        <w:t>（3）人力资源管理</w:t>
      </w:r>
      <w:r>
        <w:rPr>
          <w:rFonts w:hint="eastAsia" w:ascii="仿宋" w:hAnsi="仿宋" w:eastAsia="仿宋" w:cs="仿宋"/>
          <w:sz w:val="32"/>
          <w:szCs w:val="32"/>
          <w:lang w:val="en-US"/>
        </w:rPr>
        <w:t>指标分值2分，</w:t>
      </w:r>
      <w:r>
        <w:rPr>
          <w:rFonts w:hint="eastAsia" w:ascii="仿宋" w:hAnsi="仿宋" w:eastAsia="仿宋" w:cs="仿宋"/>
          <w:sz w:val="32"/>
          <w:szCs w:val="32"/>
        </w:rPr>
        <w:t>评价得</w:t>
      </w:r>
      <w:r>
        <w:rPr>
          <w:rFonts w:hint="eastAsia" w:ascii="仿宋" w:hAnsi="仿宋" w:eastAsia="仿宋" w:cs="仿宋"/>
          <w:sz w:val="32"/>
          <w:szCs w:val="32"/>
          <w:lang w:val="en-US"/>
        </w:rPr>
        <w:t>2分</w:t>
      </w:r>
      <w:r>
        <w:rPr>
          <w:rFonts w:hint="eastAsia" w:ascii="仿宋" w:hAnsi="仿宋" w:eastAsia="仿宋" w:cs="仿宋"/>
          <w:sz w:val="32"/>
          <w:szCs w:val="32"/>
        </w:rPr>
        <w:t>，得分率</w:t>
      </w:r>
      <w:r>
        <w:rPr>
          <w:rFonts w:hint="eastAsia" w:ascii="仿宋" w:hAnsi="仿宋" w:eastAsia="仿宋" w:cs="仿宋"/>
          <w:sz w:val="32"/>
          <w:szCs w:val="32"/>
          <w:lang w:val="en-US"/>
        </w:rPr>
        <w:t>100</w:t>
      </w:r>
      <w:r>
        <w:rPr>
          <w:rFonts w:hint="eastAsia" w:ascii="仿宋" w:hAnsi="仿宋" w:eastAsia="仿宋" w:cs="仿宋"/>
          <w:sz w:val="32"/>
          <w:szCs w:val="32"/>
        </w:rPr>
        <w:t>%</w:t>
      </w:r>
      <w:r>
        <w:rPr>
          <w:rFonts w:hint="eastAsia" w:ascii="仿宋" w:hAnsi="仿宋" w:eastAsia="仿宋" w:cs="仿宋"/>
          <w:sz w:val="32"/>
          <w:szCs w:val="32"/>
          <w:lang w:val="en-US"/>
        </w:rPr>
        <w:t>。</w:t>
      </w:r>
    </w:p>
    <w:tbl>
      <w:tblPr>
        <w:tblStyle w:val="13"/>
        <w:tblW w:w="10327" w:type="dxa"/>
        <w:jc w:val="center"/>
        <w:shd w:val="clear" w:color="auto" w:fill="auto"/>
        <w:tblLayout w:type="fixed"/>
        <w:tblCellMar>
          <w:top w:w="0" w:type="dxa"/>
          <w:left w:w="108" w:type="dxa"/>
          <w:bottom w:w="0" w:type="dxa"/>
          <w:right w:w="108" w:type="dxa"/>
        </w:tblCellMar>
      </w:tblPr>
      <w:tblGrid>
        <w:gridCol w:w="814"/>
        <w:gridCol w:w="1070"/>
        <w:gridCol w:w="1330"/>
        <w:gridCol w:w="740"/>
        <w:gridCol w:w="2695"/>
        <w:gridCol w:w="2695"/>
        <w:gridCol w:w="983"/>
      </w:tblGrid>
      <w:tr>
        <w:tblPrEx>
          <w:tblCellMar>
            <w:top w:w="0" w:type="dxa"/>
            <w:left w:w="108" w:type="dxa"/>
            <w:bottom w:w="0" w:type="dxa"/>
            <w:right w:w="108" w:type="dxa"/>
          </w:tblCellMar>
        </w:tblPrEx>
        <w:trPr>
          <w:trHeight w:val="759"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二级指标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三级指标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四级指标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分值</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指标评分细则</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评价情况</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得分</w:t>
            </w:r>
          </w:p>
        </w:tc>
      </w:tr>
      <w:tr>
        <w:tblPrEx>
          <w:shd w:val="clear" w:color="auto" w:fill="auto"/>
          <w:tblCellMar>
            <w:top w:w="0" w:type="dxa"/>
            <w:left w:w="108" w:type="dxa"/>
            <w:bottom w:w="0" w:type="dxa"/>
            <w:right w:w="108" w:type="dxa"/>
          </w:tblCellMar>
        </w:tblPrEx>
        <w:trPr>
          <w:trHeight w:val="1560"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B3人力资源管理（2分）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B31在职人员控制率（1分）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B311在职人员控制率（1分）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在职人员控制率=（在职人员数/编制数）×100%得1分，超出不得分。</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行政人员编制27人，2020年末实有27人，未超出编制人数，得1分。</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tblCellMar>
            <w:top w:w="0" w:type="dxa"/>
            <w:left w:w="108" w:type="dxa"/>
            <w:bottom w:w="0" w:type="dxa"/>
            <w:right w:w="108" w:type="dxa"/>
          </w:tblCellMar>
        </w:tblPrEx>
        <w:trPr>
          <w:trHeight w:val="1119"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B32人力资源管理执行情况（1分）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B321人力资源管理执行情况（1分）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有具体的人力资源管理制度文件或参照文件，得0.5分；严格按照相关文件对各类型人员进行管理和考核，得0.5分；不达标不得分。</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根据国家及各级政府出台的人力资源管理制度文件执行，得1分。</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bl>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rPr>
      </w:pP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rPr>
      </w:pPr>
      <w:r>
        <w:rPr>
          <w:rFonts w:hint="eastAsia" w:ascii="仿宋" w:hAnsi="仿宋" w:eastAsia="仿宋" w:cs="仿宋"/>
          <w:sz w:val="32"/>
          <w:szCs w:val="32"/>
        </w:rPr>
        <w:t>（4）资产管理</w:t>
      </w:r>
      <w:r>
        <w:rPr>
          <w:rFonts w:hint="eastAsia" w:ascii="仿宋" w:hAnsi="仿宋" w:eastAsia="仿宋" w:cs="仿宋"/>
          <w:sz w:val="32"/>
          <w:szCs w:val="32"/>
          <w:lang w:val="en-US"/>
        </w:rPr>
        <w:t>指标分值2分，</w:t>
      </w:r>
      <w:r>
        <w:rPr>
          <w:rFonts w:hint="eastAsia" w:ascii="仿宋" w:hAnsi="仿宋" w:eastAsia="仿宋" w:cs="仿宋"/>
          <w:sz w:val="32"/>
          <w:szCs w:val="32"/>
        </w:rPr>
        <w:t>评价得</w:t>
      </w:r>
      <w:r>
        <w:rPr>
          <w:rFonts w:hint="eastAsia" w:ascii="仿宋" w:hAnsi="仿宋" w:eastAsia="仿宋" w:cs="仿宋"/>
          <w:sz w:val="32"/>
          <w:szCs w:val="32"/>
          <w:lang w:val="en-US" w:eastAsia="zh-CN"/>
        </w:rPr>
        <w:t>1.5</w:t>
      </w:r>
      <w:r>
        <w:rPr>
          <w:rFonts w:hint="eastAsia" w:ascii="仿宋" w:hAnsi="仿宋" w:eastAsia="仿宋" w:cs="仿宋"/>
          <w:sz w:val="32"/>
          <w:szCs w:val="32"/>
          <w:lang w:val="en-US"/>
        </w:rPr>
        <w:t>分</w:t>
      </w:r>
      <w:r>
        <w:rPr>
          <w:rFonts w:hint="eastAsia" w:ascii="仿宋" w:hAnsi="仿宋" w:eastAsia="仿宋" w:cs="仿宋"/>
          <w:sz w:val="32"/>
          <w:szCs w:val="32"/>
        </w:rPr>
        <w:t>，</w:t>
      </w:r>
      <w:r>
        <w:rPr>
          <w:rFonts w:hint="eastAsia" w:ascii="仿宋" w:hAnsi="仿宋" w:eastAsia="仿宋" w:cs="仿宋"/>
          <w:sz w:val="32"/>
          <w:szCs w:val="32"/>
          <w:lang w:val="en-US" w:eastAsia="zh-CN"/>
        </w:rPr>
        <w:t>主要扣分为非流动资金中</w:t>
      </w:r>
      <w:r>
        <w:rPr>
          <w:rFonts w:hint="eastAsia" w:ascii="仿宋" w:hAnsi="仿宋" w:eastAsia="仿宋" w:cs="仿宋"/>
          <w:sz w:val="32"/>
          <w:szCs w:val="32"/>
        </w:rPr>
        <w:t>无形资产净值</w:t>
      </w:r>
      <w:r>
        <w:rPr>
          <w:rFonts w:hint="eastAsia" w:ascii="仿宋" w:hAnsi="仿宋" w:eastAsia="仿宋" w:cs="仿宋"/>
          <w:sz w:val="32"/>
          <w:szCs w:val="32"/>
          <w:lang w:val="en-US" w:eastAsia="zh-CN"/>
        </w:rPr>
        <w:t>和</w:t>
      </w:r>
      <w:r>
        <w:rPr>
          <w:rFonts w:hint="eastAsia" w:ascii="仿宋" w:hAnsi="仿宋" w:eastAsia="仿宋" w:cs="仿宋"/>
          <w:sz w:val="32"/>
          <w:szCs w:val="32"/>
        </w:rPr>
        <w:t>在建工程</w:t>
      </w:r>
      <w:r>
        <w:rPr>
          <w:rFonts w:hint="eastAsia" w:ascii="仿宋" w:hAnsi="仿宋" w:eastAsia="仿宋" w:cs="仿宋"/>
          <w:sz w:val="32"/>
          <w:szCs w:val="32"/>
          <w:lang w:val="en-US" w:eastAsia="zh-CN"/>
        </w:rPr>
        <w:t>比重大，</w:t>
      </w:r>
      <w:r>
        <w:rPr>
          <w:rFonts w:hint="eastAsia" w:ascii="仿宋" w:hAnsi="仿宋" w:eastAsia="仿宋" w:cs="仿宋"/>
          <w:i w:val="0"/>
          <w:iCs w:val="0"/>
          <w:color w:val="000000"/>
          <w:kern w:val="0"/>
          <w:sz w:val="32"/>
          <w:szCs w:val="32"/>
          <w:u w:val="none"/>
          <w:lang w:val="en-US" w:eastAsia="zh-CN" w:bidi="ar"/>
        </w:rPr>
        <w:t>实际在用固定资产比重小，扣0.5分</w:t>
      </w:r>
      <w:r>
        <w:rPr>
          <w:rFonts w:hint="eastAsia" w:ascii="仿宋" w:hAnsi="仿宋" w:eastAsia="仿宋" w:cs="仿宋"/>
          <w:sz w:val="32"/>
          <w:szCs w:val="32"/>
          <w:lang w:val="en-US"/>
        </w:rPr>
        <w:t>。</w:t>
      </w:r>
    </w:p>
    <w:tbl>
      <w:tblPr>
        <w:tblStyle w:val="13"/>
        <w:tblW w:w="8314" w:type="dxa"/>
        <w:jc w:val="center"/>
        <w:shd w:val="clear" w:color="auto" w:fill="auto"/>
        <w:tblLayout w:type="fixed"/>
        <w:tblCellMar>
          <w:top w:w="0" w:type="dxa"/>
          <w:left w:w="108" w:type="dxa"/>
          <w:bottom w:w="0" w:type="dxa"/>
          <w:right w:w="108" w:type="dxa"/>
        </w:tblCellMar>
      </w:tblPr>
      <w:tblGrid>
        <w:gridCol w:w="820"/>
        <w:gridCol w:w="893"/>
        <w:gridCol w:w="1577"/>
        <w:gridCol w:w="760"/>
        <w:gridCol w:w="3058"/>
        <w:gridCol w:w="1206"/>
      </w:tblGrid>
      <w:tr>
        <w:tblPrEx>
          <w:tblCellMar>
            <w:top w:w="0" w:type="dxa"/>
            <w:left w:w="108" w:type="dxa"/>
            <w:bottom w:w="0" w:type="dxa"/>
            <w:right w:w="108" w:type="dxa"/>
          </w:tblCellMar>
        </w:tblPrEx>
        <w:trPr>
          <w:trHeight w:val="759"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二级指标</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三级指标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四级指标</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分值</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评价情况</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得分</w:t>
            </w:r>
          </w:p>
        </w:tc>
      </w:tr>
      <w:tr>
        <w:tblPrEx>
          <w:tblCellMar>
            <w:top w:w="0" w:type="dxa"/>
            <w:left w:w="108" w:type="dxa"/>
            <w:bottom w:w="0" w:type="dxa"/>
            <w:right w:w="108" w:type="dxa"/>
          </w:tblCellMar>
        </w:tblPrEx>
        <w:trPr>
          <w:trHeight w:val="133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B4资产管理（2分）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B41资产管理制度健全性及执行情况（1分）</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B411资产管理制度健全性及执行情况（1分）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已制定《固定资产管理制度》，制度合法、合规、完整，得到有效执行，得1分。</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lang w:val="en-US"/>
              </w:rPr>
            </w:pPr>
            <w:r>
              <w:rPr>
                <w:rFonts w:hint="eastAsia" w:ascii="仿宋" w:hAnsi="仿宋" w:eastAsia="仿宋" w:cs="仿宋"/>
                <w:i w:val="0"/>
                <w:iCs w:val="0"/>
                <w:color w:val="000000"/>
                <w:kern w:val="0"/>
                <w:sz w:val="32"/>
                <w:szCs w:val="32"/>
                <w:u w:val="none"/>
                <w:lang w:val="en-US" w:eastAsia="zh-CN" w:bidi="ar"/>
              </w:rPr>
              <w:t>1</w:t>
            </w:r>
          </w:p>
        </w:tc>
      </w:tr>
      <w:tr>
        <w:tblPrEx>
          <w:shd w:val="clear" w:color="auto" w:fill="auto"/>
          <w:tblCellMar>
            <w:top w:w="0" w:type="dxa"/>
            <w:left w:w="108" w:type="dxa"/>
            <w:bottom w:w="0" w:type="dxa"/>
            <w:right w:w="108" w:type="dxa"/>
          </w:tblCellMar>
        </w:tblPrEx>
        <w:trPr>
          <w:trHeight w:val="1164"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B42固定资产在用率（1分）</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B421固定资产在用率（1分）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固定资产在用率=（实际在用固定资产总额</w:t>
            </w:r>
            <w:r>
              <w:rPr>
                <w:rFonts w:hint="eastAsia" w:ascii="仿宋" w:hAnsi="仿宋" w:eastAsia="仿宋" w:cs="仿宋"/>
                <w:sz w:val="32"/>
                <w:szCs w:val="32"/>
              </w:rPr>
              <w:t>26,605,227.86</w:t>
            </w:r>
            <w:r>
              <w:rPr>
                <w:rFonts w:hint="eastAsia" w:ascii="仿宋" w:hAnsi="仿宋" w:eastAsia="仿宋" w:cs="仿宋"/>
                <w:i w:val="0"/>
                <w:iCs w:val="0"/>
                <w:color w:val="000000"/>
                <w:kern w:val="0"/>
                <w:sz w:val="32"/>
                <w:szCs w:val="32"/>
                <w:u w:val="none"/>
                <w:lang w:val="en-US" w:eastAsia="zh-CN" w:bidi="ar"/>
              </w:rPr>
              <w:t>/所有固定资产总额</w:t>
            </w:r>
            <w:r>
              <w:rPr>
                <w:rFonts w:hint="eastAsia" w:ascii="仿宋" w:hAnsi="仿宋" w:eastAsia="仿宋" w:cs="仿宋"/>
                <w:sz w:val="32"/>
                <w:szCs w:val="32"/>
              </w:rPr>
              <w:t>53,487,355.68</w:t>
            </w:r>
            <w:r>
              <w:rPr>
                <w:rFonts w:hint="eastAsia" w:ascii="仿宋" w:hAnsi="仿宋" w:eastAsia="仿宋" w:cs="仿宋"/>
                <w:i w:val="0"/>
                <w:iCs w:val="0"/>
                <w:color w:val="000000"/>
                <w:kern w:val="0"/>
                <w:sz w:val="32"/>
                <w:szCs w:val="32"/>
                <w:u w:val="none"/>
                <w:lang w:val="en-US" w:eastAsia="zh-CN" w:bidi="ar"/>
              </w:rPr>
              <w:t>）×100%，固定资产在用率为49.74%，</w:t>
            </w:r>
            <w:r>
              <w:rPr>
                <w:rFonts w:hint="eastAsia" w:ascii="仿宋" w:hAnsi="仿宋" w:eastAsia="仿宋" w:cs="仿宋"/>
                <w:sz w:val="32"/>
                <w:szCs w:val="32"/>
                <w:lang w:val="en-US" w:eastAsia="zh-CN"/>
              </w:rPr>
              <w:t>非流动资金中</w:t>
            </w:r>
            <w:r>
              <w:rPr>
                <w:rFonts w:hint="eastAsia" w:ascii="仿宋" w:hAnsi="仿宋" w:eastAsia="仿宋" w:cs="仿宋"/>
                <w:sz w:val="32"/>
                <w:szCs w:val="32"/>
              </w:rPr>
              <w:t>无形资产净值</w:t>
            </w:r>
            <w:r>
              <w:rPr>
                <w:rFonts w:hint="eastAsia" w:ascii="仿宋" w:hAnsi="仿宋" w:eastAsia="仿宋" w:cs="仿宋"/>
                <w:sz w:val="32"/>
                <w:szCs w:val="32"/>
                <w:lang w:val="en-US" w:eastAsia="zh-CN"/>
              </w:rPr>
              <w:t>和</w:t>
            </w:r>
            <w:r>
              <w:rPr>
                <w:rFonts w:hint="eastAsia" w:ascii="仿宋" w:hAnsi="仿宋" w:eastAsia="仿宋" w:cs="仿宋"/>
                <w:sz w:val="32"/>
                <w:szCs w:val="32"/>
              </w:rPr>
              <w:t>在建工程</w:t>
            </w:r>
            <w:r>
              <w:rPr>
                <w:rFonts w:hint="eastAsia" w:ascii="仿宋" w:hAnsi="仿宋" w:eastAsia="仿宋" w:cs="仿宋"/>
                <w:sz w:val="32"/>
                <w:szCs w:val="32"/>
                <w:lang w:val="en-US" w:eastAsia="zh-CN"/>
              </w:rPr>
              <w:t>比重大，</w:t>
            </w:r>
            <w:r>
              <w:rPr>
                <w:rFonts w:hint="eastAsia" w:ascii="仿宋" w:hAnsi="仿宋" w:eastAsia="仿宋" w:cs="仿宋"/>
                <w:i w:val="0"/>
                <w:iCs w:val="0"/>
                <w:color w:val="000000"/>
                <w:kern w:val="0"/>
                <w:sz w:val="32"/>
                <w:szCs w:val="32"/>
                <w:u w:val="none"/>
                <w:lang w:val="en-US" w:eastAsia="zh-CN" w:bidi="ar"/>
              </w:rPr>
              <w:t>实际在用固定资产比重小扣0.5分，得0.5分。</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lang w:val="en-US"/>
              </w:rPr>
            </w:pPr>
            <w:r>
              <w:rPr>
                <w:rFonts w:hint="eastAsia" w:ascii="仿宋" w:hAnsi="仿宋" w:eastAsia="仿宋" w:cs="仿宋"/>
                <w:i w:val="0"/>
                <w:iCs w:val="0"/>
                <w:color w:val="000000"/>
                <w:kern w:val="0"/>
                <w:sz w:val="32"/>
                <w:szCs w:val="32"/>
                <w:u w:val="none"/>
                <w:lang w:val="en-US" w:eastAsia="zh-CN" w:bidi="ar"/>
              </w:rPr>
              <w:t>0.5</w:t>
            </w:r>
          </w:p>
        </w:tc>
      </w:tr>
    </w:tbl>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rPr>
      </w:pP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rPr>
      </w:pPr>
      <w:r>
        <w:rPr>
          <w:rFonts w:hint="eastAsia" w:ascii="仿宋" w:hAnsi="仿宋" w:eastAsia="仿宋" w:cs="仿宋"/>
          <w:sz w:val="32"/>
          <w:szCs w:val="32"/>
        </w:rPr>
        <w:t>（5）业务管理</w:t>
      </w:r>
      <w:r>
        <w:rPr>
          <w:rFonts w:hint="eastAsia" w:ascii="仿宋" w:hAnsi="仿宋" w:eastAsia="仿宋" w:cs="仿宋"/>
          <w:sz w:val="32"/>
          <w:szCs w:val="32"/>
          <w:lang w:val="en-US"/>
        </w:rPr>
        <w:t>指标分值3分，</w:t>
      </w:r>
      <w:r>
        <w:rPr>
          <w:rFonts w:hint="eastAsia" w:ascii="仿宋" w:hAnsi="仿宋" w:eastAsia="仿宋" w:cs="仿宋"/>
          <w:sz w:val="32"/>
          <w:szCs w:val="32"/>
        </w:rPr>
        <w:t>评价得分</w:t>
      </w:r>
      <w:r>
        <w:rPr>
          <w:rFonts w:hint="eastAsia" w:ascii="仿宋" w:hAnsi="仿宋" w:eastAsia="仿宋" w:cs="仿宋"/>
          <w:sz w:val="32"/>
          <w:szCs w:val="32"/>
          <w:lang w:val="en-US" w:eastAsia="zh-CN"/>
        </w:rPr>
        <w:t>2</w:t>
      </w:r>
      <w:r>
        <w:rPr>
          <w:rFonts w:hint="eastAsia" w:ascii="仿宋" w:hAnsi="仿宋" w:eastAsia="仿宋" w:cs="仿宋"/>
          <w:sz w:val="32"/>
          <w:szCs w:val="32"/>
          <w:lang w:val="en-US"/>
        </w:rPr>
        <w:t>分</w:t>
      </w:r>
      <w:r>
        <w:rPr>
          <w:rFonts w:hint="eastAsia" w:ascii="仿宋" w:hAnsi="仿宋" w:eastAsia="仿宋" w:cs="仿宋"/>
          <w:sz w:val="32"/>
          <w:szCs w:val="32"/>
        </w:rPr>
        <w:t>，得分率</w:t>
      </w:r>
      <w:r>
        <w:rPr>
          <w:rFonts w:hint="eastAsia" w:ascii="仿宋" w:hAnsi="仿宋" w:eastAsia="仿宋" w:cs="仿宋"/>
          <w:sz w:val="32"/>
          <w:szCs w:val="32"/>
          <w:lang w:val="en-US" w:eastAsia="zh-CN"/>
        </w:rPr>
        <w:t>66.67</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扣分项主要为</w:t>
      </w:r>
      <w:r>
        <w:rPr>
          <w:rFonts w:hint="eastAsia" w:ascii="仿宋" w:hAnsi="仿宋" w:eastAsia="仿宋" w:cs="仿宋"/>
          <w:sz w:val="32"/>
          <w:szCs w:val="32"/>
          <w:highlight w:val="none"/>
          <w:lang w:val="en-US" w:eastAsia="zh-CN"/>
        </w:rPr>
        <w:t>由于因民镇年初预算未在一体化系统填报采购资金计划，2020年采购计划为0万元，扣1分</w:t>
      </w:r>
      <w:r>
        <w:rPr>
          <w:rFonts w:hint="eastAsia" w:ascii="仿宋" w:hAnsi="仿宋" w:eastAsia="仿宋" w:cs="仿宋"/>
          <w:sz w:val="32"/>
          <w:szCs w:val="32"/>
          <w:lang w:val="en-US"/>
        </w:rPr>
        <w:t>。</w:t>
      </w:r>
    </w:p>
    <w:tbl>
      <w:tblPr>
        <w:tblStyle w:val="13"/>
        <w:tblW w:w="10465" w:type="dxa"/>
        <w:jc w:val="center"/>
        <w:shd w:val="clear" w:color="auto" w:fill="auto"/>
        <w:tblLayout w:type="fixed"/>
        <w:tblCellMar>
          <w:top w:w="0" w:type="dxa"/>
          <w:left w:w="108" w:type="dxa"/>
          <w:bottom w:w="0" w:type="dxa"/>
          <w:right w:w="108" w:type="dxa"/>
        </w:tblCellMar>
      </w:tblPr>
      <w:tblGrid>
        <w:gridCol w:w="760"/>
        <w:gridCol w:w="1166"/>
        <w:gridCol w:w="1694"/>
        <w:gridCol w:w="644"/>
        <w:gridCol w:w="2385"/>
        <w:gridCol w:w="3164"/>
        <w:gridCol w:w="652"/>
      </w:tblGrid>
      <w:tr>
        <w:tblPrEx>
          <w:shd w:val="clear" w:color="auto" w:fill="auto"/>
          <w:tblCellMar>
            <w:top w:w="0" w:type="dxa"/>
            <w:left w:w="108" w:type="dxa"/>
            <w:bottom w:w="0" w:type="dxa"/>
            <w:right w:w="108" w:type="dxa"/>
          </w:tblCellMar>
        </w:tblPrEx>
        <w:trPr>
          <w:trHeight w:val="75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二级指标</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三级指标</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四级指标</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分值</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指标评分细则</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评价情况</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得分</w:t>
            </w:r>
          </w:p>
        </w:tc>
      </w:tr>
      <w:tr>
        <w:tblPrEx>
          <w:shd w:val="clear" w:color="auto" w:fill="auto"/>
          <w:tblCellMar>
            <w:top w:w="0" w:type="dxa"/>
            <w:left w:w="108" w:type="dxa"/>
            <w:bottom w:w="0" w:type="dxa"/>
            <w:right w:w="108" w:type="dxa"/>
          </w:tblCellMar>
        </w:tblPrEx>
        <w:trPr>
          <w:trHeight w:val="1040"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B5业务管理（3分）</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B51业务管理制度健全性及执行情况（1分）</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B511业务管理制度健全性及执行情况（1分）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已制定或具有业务管理、项目管理等管理制度，得0.5分，未制定不得分；相关管理制度合法、合规、完整，得到有效执行，得0.5分，不符合不得分。</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已制定因民镇内控制度，惠农补贴发放公示制度等多项文件并有效执行，得1分。</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shd w:val="clear" w:color="auto" w:fill="auto"/>
          <w:tblCellMar>
            <w:top w:w="0" w:type="dxa"/>
            <w:left w:w="108" w:type="dxa"/>
            <w:bottom w:w="0" w:type="dxa"/>
            <w:right w:w="108" w:type="dxa"/>
          </w:tblCellMar>
        </w:tblPrEx>
        <w:trPr>
          <w:trHeight w:val="61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B52政府采购规范性（1分）</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B521政府采购规范性（1分）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政府采购方式、程序都规范，得1分，不规范不得分。</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sz w:val="32"/>
                <w:szCs w:val="32"/>
                <w:highlight w:val="none"/>
                <w:lang w:val="en-US" w:eastAsia="zh-CN"/>
              </w:rPr>
              <w:t>由于因民镇年初预算未在一体化系统填报采购资金计划，2020年采购计划为0万元</w:t>
            </w:r>
            <w:r>
              <w:rPr>
                <w:rFonts w:hint="eastAsia" w:ascii="仿宋" w:hAnsi="仿宋" w:eastAsia="仿宋" w:cs="仿宋"/>
                <w:i w:val="0"/>
                <w:iCs w:val="0"/>
                <w:color w:val="000000"/>
                <w:kern w:val="0"/>
                <w:sz w:val="32"/>
                <w:szCs w:val="32"/>
                <w:u w:val="none"/>
                <w:lang w:val="en-US" w:eastAsia="zh-CN" w:bidi="ar"/>
              </w:rPr>
              <w:t>，扣1分，得0分。</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0</w:t>
            </w:r>
          </w:p>
        </w:tc>
      </w:tr>
      <w:tr>
        <w:tblPrEx>
          <w:shd w:val="clear" w:color="auto" w:fill="auto"/>
          <w:tblCellMar>
            <w:top w:w="0" w:type="dxa"/>
            <w:left w:w="108" w:type="dxa"/>
            <w:bottom w:w="0" w:type="dxa"/>
            <w:right w:w="108" w:type="dxa"/>
          </w:tblCellMar>
        </w:tblPrEx>
        <w:trPr>
          <w:trHeight w:val="67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B53监督考核情况（1分）</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B531监督考核情况（1分）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有定期指导记录、考核，得1分，缺少项视情况酌情进行扣分。</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具有区财政局对乡镇的业务指导检查，得1分。</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bl>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rPr>
      </w:pPr>
    </w:p>
    <w:p>
      <w:pPr>
        <w:pStyle w:val="5"/>
        <w:pageBreakBefore w:val="0"/>
        <w:numPr>
          <w:ilvl w:val="0"/>
          <w:numId w:val="3"/>
        </w:numPr>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rPr>
        <w:t>部门绩效</w:t>
      </w:r>
      <w:r>
        <w:rPr>
          <w:rFonts w:hint="eastAsia" w:ascii="仿宋" w:hAnsi="仿宋" w:eastAsia="仿宋" w:cs="仿宋"/>
          <w:sz w:val="32"/>
          <w:szCs w:val="32"/>
          <w:lang w:val="en-US"/>
        </w:rPr>
        <w:t>指标分值45分，分别从部门产出、部门效果、部门可持续发展三个方面对部门开展工作的效益效果进行考</w:t>
      </w:r>
      <w:r>
        <w:rPr>
          <w:rFonts w:hint="eastAsia" w:ascii="仿宋" w:hAnsi="仿宋" w:eastAsia="仿宋" w:cs="仿宋"/>
          <w:sz w:val="32"/>
          <w:szCs w:val="32"/>
          <w:lang w:val="en-US" w:eastAsia="zh-CN"/>
        </w:rPr>
        <w:t>：</w:t>
      </w:r>
      <w:r>
        <w:rPr>
          <w:rFonts w:hint="eastAsia" w:ascii="仿宋" w:hAnsi="仿宋" w:eastAsia="仿宋" w:cs="仿宋"/>
          <w:color w:val="auto"/>
          <w:sz w:val="32"/>
          <w:szCs w:val="32"/>
          <w:lang w:val="en-US" w:eastAsia="zh-CN"/>
        </w:rPr>
        <w:t>2020年因民镇较好完成了重点项目、扶贫攻坚目标，基本达到了预期的经济效益、社会效益、生态效益，取得了乡镇职工满意度较高评价，</w:t>
      </w:r>
      <w:r>
        <w:rPr>
          <w:rFonts w:hint="eastAsia" w:ascii="仿宋" w:hAnsi="仿宋" w:eastAsia="仿宋" w:cs="仿宋"/>
          <w:color w:val="auto"/>
          <w:sz w:val="32"/>
          <w:szCs w:val="32"/>
          <w:lang w:val="en-US"/>
        </w:rPr>
        <w:t>完成了队伍建设、信息共享和公开等可持续发展措施</w:t>
      </w:r>
      <w:r>
        <w:rPr>
          <w:rFonts w:hint="eastAsia" w:ascii="仿宋" w:hAnsi="仿宋" w:eastAsia="仿宋" w:cs="仿宋"/>
          <w:color w:val="auto"/>
          <w:sz w:val="32"/>
          <w:szCs w:val="32"/>
          <w:lang w:val="en-US" w:eastAsia="zh-CN"/>
        </w:rPr>
        <w:t>；因民镇</w:t>
      </w:r>
      <w:r>
        <w:rPr>
          <w:rFonts w:hint="eastAsia" w:ascii="仿宋" w:hAnsi="仿宋" w:eastAsia="仿宋" w:cs="仿宋"/>
          <w:color w:val="auto"/>
          <w:sz w:val="32"/>
          <w:szCs w:val="32"/>
          <w:lang w:val="en-US"/>
        </w:rPr>
        <w:t>也存在部分目标值未达成，</w:t>
      </w:r>
      <w:r>
        <w:rPr>
          <w:rFonts w:hint="eastAsia" w:ascii="仿宋" w:hAnsi="仿宋" w:eastAsia="仿宋" w:cs="仿宋"/>
          <w:color w:val="auto"/>
          <w:sz w:val="32"/>
          <w:szCs w:val="32"/>
          <w:lang w:val="en-US" w:eastAsia="zh-CN"/>
        </w:rPr>
        <w:t>职工满意度和社会公众满意度还有待提高，</w:t>
      </w:r>
      <w:bookmarkStart w:id="12" w:name="_Hlk54614697"/>
      <w:r>
        <w:rPr>
          <w:rFonts w:hint="eastAsia" w:ascii="仿宋" w:hAnsi="仿宋" w:eastAsia="仿宋" w:cs="仿宋"/>
          <w:i w:val="0"/>
          <w:iCs w:val="0"/>
          <w:color w:val="000000"/>
          <w:kern w:val="0"/>
          <w:sz w:val="32"/>
          <w:szCs w:val="32"/>
          <w:highlight w:val="none"/>
          <w:u w:val="none"/>
          <w:lang w:val="en-US" w:eastAsia="zh-CN" w:bidi="ar"/>
        </w:rPr>
        <w:t>目标管理绩效考核</w:t>
      </w:r>
      <w:r>
        <w:rPr>
          <w:rFonts w:hint="eastAsia" w:ascii="仿宋" w:hAnsi="仿宋" w:eastAsia="仿宋" w:cs="仿宋"/>
          <w:sz w:val="32"/>
          <w:szCs w:val="32"/>
        </w:rPr>
        <w:t>缺乏</w:t>
      </w:r>
      <w:r>
        <w:rPr>
          <w:rFonts w:hint="eastAsia" w:ascii="仿宋" w:hAnsi="仿宋" w:eastAsia="仿宋" w:cs="仿宋"/>
          <w:i w:val="0"/>
          <w:iCs w:val="0"/>
          <w:color w:val="000000"/>
          <w:kern w:val="0"/>
          <w:sz w:val="32"/>
          <w:szCs w:val="32"/>
          <w:highlight w:val="none"/>
          <w:u w:val="none"/>
          <w:lang w:val="en-US" w:eastAsia="zh-CN" w:bidi="ar"/>
        </w:rPr>
        <w:t>全面的可控的过程管理</w:t>
      </w:r>
      <w:r>
        <w:rPr>
          <w:rFonts w:hint="eastAsia" w:ascii="仿宋" w:hAnsi="仿宋" w:eastAsia="仿宋" w:cs="仿宋"/>
          <w:sz w:val="32"/>
          <w:szCs w:val="32"/>
          <w:lang w:val="en-US" w:eastAsia="zh-CN"/>
        </w:rPr>
        <w:t>等制度规定</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rPr>
        <w:t>综上，该指标</w:t>
      </w:r>
      <w:r>
        <w:rPr>
          <w:rFonts w:hint="eastAsia" w:ascii="仿宋" w:hAnsi="仿宋" w:eastAsia="仿宋" w:cs="仿宋"/>
          <w:sz w:val="32"/>
          <w:szCs w:val="32"/>
        </w:rPr>
        <w:t>评价得</w:t>
      </w:r>
      <w:bookmarkEnd w:id="12"/>
      <w:r>
        <w:rPr>
          <w:rFonts w:hint="eastAsia" w:ascii="仿宋" w:hAnsi="仿宋" w:eastAsia="仿宋" w:cs="仿宋"/>
          <w:sz w:val="32"/>
          <w:szCs w:val="32"/>
          <w:lang w:val="en-US" w:eastAsia="zh-CN"/>
        </w:rPr>
        <w:t>42</w:t>
      </w:r>
      <w:r>
        <w:rPr>
          <w:rFonts w:hint="eastAsia" w:ascii="仿宋" w:hAnsi="仿宋" w:eastAsia="仿宋" w:cs="仿宋"/>
          <w:sz w:val="32"/>
          <w:szCs w:val="32"/>
        </w:rPr>
        <w:t>分，得分率</w:t>
      </w:r>
      <w:r>
        <w:rPr>
          <w:rFonts w:hint="eastAsia" w:ascii="仿宋" w:hAnsi="仿宋" w:eastAsia="仿宋" w:cs="仿宋"/>
          <w:sz w:val="32"/>
          <w:szCs w:val="32"/>
          <w:lang w:val="en-US" w:eastAsia="zh-CN"/>
        </w:rPr>
        <w:t>93.33</w:t>
      </w:r>
      <w:r>
        <w:rPr>
          <w:rFonts w:hint="eastAsia" w:ascii="仿宋" w:hAnsi="仿宋" w:eastAsia="仿宋" w:cs="仿宋"/>
          <w:sz w:val="32"/>
          <w:szCs w:val="32"/>
        </w:rPr>
        <w:t>%</w:t>
      </w:r>
      <w:r>
        <w:rPr>
          <w:rFonts w:hint="eastAsia" w:ascii="仿宋" w:hAnsi="仿宋" w:eastAsia="仿宋" w:cs="仿宋"/>
          <w:sz w:val="32"/>
          <w:szCs w:val="32"/>
          <w:lang w:val="en-US"/>
        </w:rPr>
        <w:t>。具体为：</w:t>
      </w: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（1）部门产出</w:t>
      </w:r>
      <w:r>
        <w:rPr>
          <w:rFonts w:hint="eastAsia" w:ascii="仿宋" w:hAnsi="仿宋" w:eastAsia="仿宋" w:cs="仿宋"/>
          <w:sz w:val="32"/>
          <w:szCs w:val="32"/>
          <w:lang w:val="en-US"/>
        </w:rPr>
        <w:t>指标分值18分，</w:t>
      </w:r>
      <w:r>
        <w:rPr>
          <w:rFonts w:hint="eastAsia" w:ascii="仿宋" w:hAnsi="仿宋" w:eastAsia="仿宋" w:cs="仿宋"/>
          <w:sz w:val="32"/>
          <w:szCs w:val="32"/>
        </w:rPr>
        <w:t>评价得</w:t>
      </w:r>
      <w:r>
        <w:rPr>
          <w:rFonts w:hint="eastAsia" w:ascii="仿宋" w:hAnsi="仿宋" w:eastAsia="仿宋" w:cs="仿宋"/>
          <w:sz w:val="32"/>
          <w:szCs w:val="32"/>
          <w:lang w:val="en-US" w:eastAsia="zh-CN"/>
        </w:rPr>
        <w:t>18</w:t>
      </w:r>
      <w:r>
        <w:rPr>
          <w:rFonts w:hint="eastAsia" w:ascii="仿宋" w:hAnsi="仿宋" w:eastAsia="仿宋" w:cs="仿宋"/>
          <w:sz w:val="32"/>
          <w:szCs w:val="32"/>
          <w:lang w:val="en-US"/>
        </w:rPr>
        <w:t>分</w:t>
      </w:r>
      <w:r>
        <w:rPr>
          <w:rFonts w:hint="eastAsia" w:ascii="仿宋" w:hAnsi="仿宋" w:eastAsia="仿宋" w:cs="仿宋"/>
          <w:sz w:val="32"/>
          <w:szCs w:val="32"/>
        </w:rPr>
        <w:t>，得分率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tbl>
      <w:tblPr>
        <w:tblStyle w:val="13"/>
        <w:tblW w:w="10529" w:type="dxa"/>
        <w:jc w:val="center"/>
        <w:shd w:val="clear" w:color="auto" w:fill="auto"/>
        <w:tblLayout w:type="fixed"/>
        <w:tblCellMar>
          <w:top w:w="0" w:type="dxa"/>
          <w:left w:w="108" w:type="dxa"/>
          <w:bottom w:w="0" w:type="dxa"/>
          <w:right w:w="108" w:type="dxa"/>
        </w:tblCellMar>
      </w:tblPr>
      <w:tblGrid>
        <w:gridCol w:w="1108"/>
        <w:gridCol w:w="1292"/>
        <w:gridCol w:w="1385"/>
        <w:gridCol w:w="537"/>
        <w:gridCol w:w="2140"/>
        <w:gridCol w:w="3115"/>
        <w:gridCol w:w="952"/>
      </w:tblGrid>
      <w:tr>
        <w:tblPrEx>
          <w:tblCellMar>
            <w:top w:w="0" w:type="dxa"/>
            <w:left w:w="108" w:type="dxa"/>
            <w:bottom w:w="0" w:type="dxa"/>
            <w:right w:w="108" w:type="dxa"/>
          </w:tblCellMar>
        </w:tblPrEx>
        <w:trPr>
          <w:trHeight w:val="759"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二级指标</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三级指标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四级指标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分值</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指标评分细则</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评价情况</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得分</w:t>
            </w:r>
          </w:p>
        </w:tc>
      </w:tr>
      <w:tr>
        <w:tblPrEx>
          <w:shd w:val="clear" w:color="auto" w:fill="auto"/>
          <w:tblCellMar>
            <w:top w:w="0" w:type="dxa"/>
            <w:left w:w="108" w:type="dxa"/>
            <w:bottom w:w="0" w:type="dxa"/>
            <w:right w:w="108" w:type="dxa"/>
          </w:tblCellMar>
        </w:tblPrEx>
        <w:trPr>
          <w:trHeight w:val="840" w:hRule="atLeast"/>
          <w:jc w:val="center"/>
        </w:trPr>
        <w:tc>
          <w:tcPr>
            <w:tcW w:w="11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C1部门产出（18分）</w:t>
            </w:r>
          </w:p>
        </w:tc>
        <w:tc>
          <w:tcPr>
            <w:tcW w:w="12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C11重要项目完成情况（10分）</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C111接待咨询工作完成情况（3分）</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2020年完成2160人人次接待工作得3分，未完成根据占比计算得分。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2020年因民镇实际完成接待咨询接待群众2160余人次，完成率100%，得3分。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r>
      <w:tr>
        <w:tblPrEx>
          <w:shd w:val="clear" w:color="auto" w:fill="auto"/>
          <w:tblCellMar>
            <w:top w:w="0" w:type="dxa"/>
            <w:left w:w="108" w:type="dxa"/>
            <w:bottom w:w="0" w:type="dxa"/>
            <w:right w:w="108" w:type="dxa"/>
          </w:tblCellMar>
        </w:tblPrEx>
        <w:trPr>
          <w:trHeight w:val="520" w:hRule="atLeast"/>
          <w:jc w:val="center"/>
        </w:trPr>
        <w:tc>
          <w:tcPr>
            <w:tcW w:w="1108" w:type="dxa"/>
            <w:vMerge w:val="continue"/>
            <w:tcBorders>
              <w:top w:val="nil"/>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292" w:type="dxa"/>
            <w:vMerge w:val="continue"/>
            <w:tcBorders>
              <w:top w:val="nil"/>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C112实施有助于地方经济发展的项目完成情况（4分）</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完成当年区政府下达的经济指标、项目包装数得4分，未实施不得分。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因民镇2020年已完成当年区政府下达的经济指标、项目包装数，得4分。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r>
      <w:tr>
        <w:tblPrEx>
          <w:shd w:val="clear" w:color="auto" w:fill="auto"/>
          <w:tblCellMar>
            <w:top w:w="0" w:type="dxa"/>
            <w:left w:w="108" w:type="dxa"/>
            <w:bottom w:w="0" w:type="dxa"/>
            <w:right w:w="108" w:type="dxa"/>
          </w:tblCellMar>
        </w:tblPrEx>
        <w:trPr>
          <w:trHeight w:val="780" w:hRule="atLeast"/>
          <w:jc w:val="center"/>
        </w:trPr>
        <w:tc>
          <w:tcPr>
            <w:tcW w:w="1108" w:type="dxa"/>
            <w:vMerge w:val="continue"/>
            <w:tcBorders>
              <w:top w:val="nil"/>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292" w:type="dxa"/>
            <w:vMerge w:val="continue"/>
            <w:tcBorders>
              <w:top w:val="nil"/>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C113环保法宣传、安全生产法宣传、综治维稳宣传完成情况（3分）</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环保法宣传、安全生产月宣传、综治维稳宣传、森林防火宣传措措施完成到位得3分，未完成根据实际完成权重计算得分。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2020年因民镇实际安全、环保宣传、公务员初任、财务、执法证培训次数均超年初预算2次以上，得3分。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r>
      <w:tr>
        <w:tblPrEx>
          <w:shd w:val="clear" w:color="auto" w:fill="auto"/>
          <w:tblCellMar>
            <w:top w:w="0" w:type="dxa"/>
            <w:left w:w="108" w:type="dxa"/>
            <w:bottom w:w="0" w:type="dxa"/>
            <w:right w:w="108" w:type="dxa"/>
          </w:tblCellMar>
        </w:tblPrEx>
        <w:trPr>
          <w:trHeight w:val="520" w:hRule="atLeast"/>
          <w:jc w:val="center"/>
        </w:trPr>
        <w:tc>
          <w:tcPr>
            <w:tcW w:w="1108" w:type="dxa"/>
            <w:vMerge w:val="continue"/>
            <w:tcBorders>
              <w:top w:val="nil"/>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C12扶贫攻坚目标完成情况（6分）</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C121脱贫人口完成情况（3分）</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2020年实现全镇贫困人口脱困得3分，未完成根据实际完成权重计算得分。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2020年年初，</w:t>
            </w:r>
            <w:r>
              <w:rPr>
                <w:rFonts w:hint="eastAsia" w:ascii="仿宋" w:hAnsi="仿宋" w:eastAsia="仿宋" w:cs="仿宋"/>
                <w:color w:val="000000" w:themeColor="text1"/>
                <w:kern w:val="0"/>
                <w:sz w:val="32"/>
                <w:szCs w:val="32"/>
                <w:lang w:val="en-US" w:eastAsia="zh-CN" w:bidi="ar-SA"/>
                <w14:textFill>
                  <w14:solidFill>
                    <w14:schemeClr w14:val="tx1"/>
                  </w14:solidFill>
                </w14:textFill>
              </w:rPr>
              <w:t>全镇建档立卡贫困户1169户4434人全部脱贫</w:t>
            </w:r>
            <w:r>
              <w:rPr>
                <w:rFonts w:hint="eastAsia" w:ascii="仿宋" w:hAnsi="仿宋" w:eastAsia="仿宋" w:cs="仿宋"/>
                <w:i w:val="0"/>
                <w:iCs w:val="0"/>
                <w:color w:val="000000"/>
                <w:kern w:val="0"/>
                <w:sz w:val="32"/>
                <w:szCs w:val="32"/>
                <w:u w:val="none"/>
                <w:lang w:val="en-US" w:eastAsia="zh-CN" w:bidi="ar"/>
              </w:rPr>
              <w:t>,得3分。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lang w:val="en-US"/>
              </w:rPr>
            </w:pPr>
            <w:r>
              <w:rPr>
                <w:rFonts w:hint="eastAsia" w:ascii="仿宋" w:hAnsi="仿宋" w:eastAsia="仿宋" w:cs="仿宋"/>
                <w:i w:val="0"/>
                <w:iCs w:val="0"/>
                <w:color w:val="000000"/>
                <w:kern w:val="0"/>
                <w:sz w:val="32"/>
                <w:szCs w:val="32"/>
                <w:u w:val="none"/>
                <w:lang w:val="en-US" w:eastAsia="zh-CN" w:bidi="ar"/>
              </w:rPr>
              <w:t>3</w:t>
            </w:r>
          </w:p>
        </w:tc>
      </w:tr>
      <w:tr>
        <w:tblPrEx>
          <w:shd w:val="clear" w:color="auto" w:fill="auto"/>
          <w:tblCellMar>
            <w:top w:w="0" w:type="dxa"/>
            <w:left w:w="108" w:type="dxa"/>
            <w:bottom w:w="0" w:type="dxa"/>
            <w:right w:w="108" w:type="dxa"/>
          </w:tblCellMar>
        </w:tblPrEx>
        <w:trPr>
          <w:trHeight w:val="1820" w:hRule="atLeast"/>
          <w:jc w:val="center"/>
        </w:trPr>
        <w:tc>
          <w:tcPr>
            <w:tcW w:w="1108" w:type="dxa"/>
            <w:vMerge w:val="continue"/>
            <w:tcBorders>
              <w:top w:val="nil"/>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C122脱贫人口就业情况（3分）</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脱贫人口稳定就业，确保持续稳定增收得3分，未完成根据实际完成权重计算得分。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sz w:val="32"/>
                <w:szCs w:val="32"/>
              </w:rPr>
              <w:t>完成劳动力引导性培训480人、技能培训280人；完成劳动力转移就业1121人、新增转移就业429人；开展“户有一名技术明白人”技能培训，实现户均培训两次及以上目标。</w:t>
            </w:r>
            <w:r>
              <w:rPr>
                <w:rFonts w:hint="eastAsia" w:ascii="仿宋" w:hAnsi="仿宋" w:eastAsia="仿宋" w:cs="仿宋"/>
                <w:i w:val="0"/>
                <w:iCs w:val="0"/>
                <w:color w:val="000000"/>
                <w:kern w:val="0"/>
                <w:sz w:val="32"/>
                <w:szCs w:val="32"/>
                <w:u w:val="none"/>
                <w:lang w:val="en-US" w:eastAsia="zh-CN" w:bidi="ar"/>
              </w:rPr>
              <w:t>得3分。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r>
      <w:tr>
        <w:tblPrEx>
          <w:shd w:val="clear" w:color="auto" w:fill="auto"/>
          <w:tblCellMar>
            <w:top w:w="0" w:type="dxa"/>
            <w:left w:w="108" w:type="dxa"/>
            <w:bottom w:w="0" w:type="dxa"/>
            <w:right w:w="108" w:type="dxa"/>
          </w:tblCellMar>
        </w:tblPrEx>
        <w:trPr>
          <w:trHeight w:val="1660" w:hRule="atLeast"/>
          <w:jc w:val="center"/>
        </w:trPr>
        <w:tc>
          <w:tcPr>
            <w:tcW w:w="1108" w:type="dxa"/>
            <w:vMerge w:val="continue"/>
            <w:tcBorders>
              <w:top w:val="nil"/>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C13考核任务完成率（2分）</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C131考核任务完成率（2分）</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考核完成率=（考核达标实际工作数/计划工作数）×100%。考核达标实际工作数：一定时期（年度或规划期）内部门实际完成工作数中达到上级部门（或同级政府）目标要求（绩效标准值）的工作任务数量。考核完成率达到100%得满分，未达到按权重进行扣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上级部门考核完成率100%，得2分。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r>
    </w:tbl>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rPr>
      </w:pP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rPr>
      </w:pPr>
      <w:r>
        <w:rPr>
          <w:rFonts w:hint="eastAsia" w:ascii="仿宋" w:hAnsi="仿宋" w:eastAsia="仿宋" w:cs="仿宋"/>
          <w:sz w:val="32"/>
          <w:szCs w:val="32"/>
        </w:rPr>
        <w:t>（2）部门效果</w:t>
      </w:r>
      <w:r>
        <w:rPr>
          <w:rFonts w:hint="eastAsia" w:ascii="仿宋" w:hAnsi="仿宋" w:eastAsia="仿宋" w:cs="仿宋"/>
          <w:sz w:val="32"/>
          <w:szCs w:val="32"/>
          <w:lang w:val="en-US"/>
        </w:rPr>
        <w:t>指标分值</w:t>
      </w:r>
      <w:r>
        <w:rPr>
          <w:rFonts w:hint="eastAsia" w:ascii="仿宋" w:hAnsi="仿宋" w:eastAsia="仿宋" w:cs="仿宋"/>
          <w:sz w:val="32"/>
          <w:szCs w:val="32"/>
          <w:lang w:val="en-US" w:eastAsia="zh-CN"/>
        </w:rPr>
        <w:t>18</w:t>
      </w:r>
      <w:r>
        <w:rPr>
          <w:rFonts w:hint="eastAsia" w:ascii="仿宋" w:hAnsi="仿宋" w:eastAsia="仿宋" w:cs="仿宋"/>
          <w:sz w:val="32"/>
          <w:szCs w:val="32"/>
          <w:lang w:val="en-US"/>
        </w:rPr>
        <w:t>分，</w:t>
      </w:r>
      <w:r>
        <w:rPr>
          <w:rFonts w:hint="eastAsia" w:ascii="仿宋" w:hAnsi="仿宋" w:eastAsia="仿宋" w:cs="仿宋"/>
          <w:sz w:val="32"/>
          <w:szCs w:val="32"/>
        </w:rPr>
        <w:t>评价得</w:t>
      </w:r>
      <w:r>
        <w:rPr>
          <w:rFonts w:hint="eastAsia" w:ascii="仿宋" w:hAnsi="仿宋" w:eastAsia="仿宋" w:cs="仿宋"/>
          <w:sz w:val="32"/>
          <w:szCs w:val="32"/>
          <w:lang w:val="en-US"/>
        </w:rPr>
        <w:t>1</w:t>
      </w:r>
      <w:r>
        <w:rPr>
          <w:rFonts w:hint="eastAsia" w:ascii="仿宋" w:hAnsi="仿宋" w:eastAsia="仿宋" w:cs="仿宋"/>
          <w:sz w:val="32"/>
          <w:szCs w:val="32"/>
          <w:lang w:val="en-US" w:eastAsia="zh-CN"/>
        </w:rPr>
        <w:t>7</w:t>
      </w:r>
      <w:r>
        <w:rPr>
          <w:rFonts w:hint="eastAsia" w:ascii="仿宋" w:hAnsi="仿宋" w:eastAsia="仿宋" w:cs="仿宋"/>
          <w:sz w:val="32"/>
          <w:szCs w:val="32"/>
        </w:rPr>
        <w:t>分，得分率</w:t>
      </w:r>
      <w:r>
        <w:rPr>
          <w:rFonts w:hint="eastAsia" w:ascii="仿宋" w:hAnsi="仿宋" w:eastAsia="仿宋" w:cs="仿宋"/>
          <w:sz w:val="32"/>
          <w:szCs w:val="32"/>
          <w:lang w:val="en-US"/>
        </w:rPr>
        <w:t>9</w:t>
      </w:r>
      <w:r>
        <w:rPr>
          <w:rFonts w:hint="eastAsia" w:ascii="仿宋" w:hAnsi="仿宋" w:eastAsia="仿宋" w:cs="仿宋"/>
          <w:sz w:val="32"/>
          <w:szCs w:val="32"/>
          <w:lang w:val="en-US" w:eastAsia="zh-CN"/>
        </w:rPr>
        <w:t>4</w:t>
      </w:r>
      <w:r>
        <w:rPr>
          <w:rFonts w:hint="eastAsia" w:ascii="仿宋" w:hAnsi="仿宋" w:eastAsia="仿宋" w:cs="仿宋"/>
          <w:sz w:val="32"/>
          <w:szCs w:val="32"/>
          <w:lang w:val="en-US"/>
        </w:rPr>
        <w:t>.4</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rPr>
        <w:t>，</w:t>
      </w:r>
      <w:r>
        <w:rPr>
          <w:rFonts w:hint="eastAsia" w:ascii="仿宋" w:hAnsi="仿宋" w:eastAsia="仿宋" w:cs="仿宋"/>
          <w:sz w:val="32"/>
          <w:szCs w:val="32"/>
        </w:rPr>
        <w:t>扣分项为</w:t>
      </w:r>
      <w:r>
        <w:rPr>
          <w:rFonts w:hint="eastAsia" w:ascii="仿宋" w:hAnsi="仿宋" w:eastAsia="仿宋" w:cs="仿宋"/>
          <w:sz w:val="32"/>
          <w:szCs w:val="32"/>
          <w:lang w:val="en-US" w:eastAsia="zh-CN"/>
        </w:rPr>
        <w:t>职工</w:t>
      </w:r>
      <w:r>
        <w:rPr>
          <w:rFonts w:hint="eastAsia" w:ascii="仿宋" w:hAnsi="仿宋" w:eastAsia="仿宋" w:cs="仿宋"/>
          <w:i w:val="0"/>
          <w:iCs w:val="0"/>
          <w:color w:val="000000"/>
          <w:kern w:val="0"/>
          <w:sz w:val="32"/>
          <w:szCs w:val="32"/>
          <w:u w:val="none"/>
          <w:lang w:val="en-US" w:eastAsia="zh-CN" w:bidi="ar"/>
        </w:rPr>
        <w:t>满意度为80.03%和</w:t>
      </w:r>
      <w:r>
        <w:rPr>
          <w:rFonts w:hint="eastAsia" w:ascii="仿宋" w:hAnsi="仿宋" w:eastAsia="仿宋" w:cs="仿宋"/>
          <w:sz w:val="32"/>
          <w:szCs w:val="32"/>
        </w:rPr>
        <w:t>社会公众满意度</w:t>
      </w:r>
      <w:r>
        <w:rPr>
          <w:rFonts w:hint="eastAsia" w:ascii="仿宋" w:hAnsi="仿宋" w:eastAsia="仿宋" w:cs="仿宋"/>
          <w:sz w:val="32"/>
          <w:szCs w:val="32"/>
          <w:lang w:val="en-US" w:eastAsia="zh-CN"/>
        </w:rPr>
        <w:t>满意度为80.49%，扣2分</w:t>
      </w:r>
      <w:r>
        <w:rPr>
          <w:rFonts w:hint="eastAsia" w:ascii="仿宋" w:hAnsi="仿宋" w:eastAsia="仿宋" w:cs="仿宋"/>
          <w:sz w:val="32"/>
          <w:szCs w:val="32"/>
          <w:lang w:val="en-US"/>
        </w:rPr>
        <w:t>。</w:t>
      </w:r>
    </w:p>
    <w:tbl>
      <w:tblPr>
        <w:tblStyle w:val="13"/>
        <w:tblW w:w="101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099"/>
        <w:gridCol w:w="1301"/>
        <w:gridCol w:w="1357"/>
        <w:gridCol w:w="517"/>
        <w:gridCol w:w="2170"/>
        <w:gridCol w:w="3000"/>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9" w:hRule="atLeast"/>
          <w:tblHeader/>
          <w:jc w:val="center"/>
        </w:trPr>
        <w:tc>
          <w:tcPr>
            <w:tcW w:w="10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二级指标</w:t>
            </w:r>
          </w:p>
        </w:tc>
        <w:tc>
          <w:tcPr>
            <w:tcW w:w="13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三级指标</w:t>
            </w:r>
          </w:p>
        </w:tc>
        <w:tc>
          <w:tcPr>
            <w:tcW w:w="13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四级指标</w:t>
            </w:r>
          </w:p>
        </w:tc>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分值</w:t>
            </w:r>
          </w:p>
        </w:tc>
        <w:tc>
          <w:tcPr>
            <w:tcW w:w="2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指标评分细则</w:t>
            </w:r>
          </w:p>
        </w:tc>
        <w:tc>
          <w:tcPr>
            <w:tcW w:w="3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评价情况</w:t>
            </w:r>
          </w:p>
        </w:tc>
        <w:tc>
          <w:tcPr>
            <w:tcW w:w="6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8" w:hRule="atLeast"/>
          <w:jc w:val="center"/>
        </w:trPr>
        <w:tc>
          <w:tcPr>
            <w:tcW w:w="109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C2部门效果（18分）</w:t>
            </w:r>
          </w:p>
        </w:tc>
        <w:tc>
          <w:tcPr>
            <w:tcW w:w="13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C21社会效益（2分）</w:t>
            </w:r>
          </w:p>
        </w:tc>
        <w:tc>
          <w:tcPr>
            <w:tcW w:w="13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C211卫生、基础设施完善情况（2分）</w:t>
            </w:r>
          </w:p>
        </w:tc>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2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不断完善各村公厕、垃圾池、垃圾焚烧炉等基础设施得2分，未完成根据实际完成权重计算得分。</w:t>
            </w:r>
          </w:p>
        </w:tc>
        <w:tc>
          <w:tcPr>
            <w:tcW w:w="3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color w:val="000000" w:themeColor="text1"/>
                <w:kern w:val="0"/>
                <w:sz w:val="32"/>
                <w:szCs w:val="32"/>
                <w:lang w:eastAsia="zh-CN"/>
                <w14:textFill>
                  <w14:solidFill>
                    <w14:schemeClr w14:val="tx1"/>
                  </w14:solidFill>
                </w14:textFill>
              </w:rPr>
              <w:t>持续深入抓实</w:t>
            </w:r>
            <w:r>
              <w:rPr>
                <w:rFonts w:hint="eastAsia" w:ascii="仿宋" w:hAnsi="仿宋" w:eastAsia="仿宋" w:cs="仿宋"/>
                <w:color w:val="000000" w:themeColor="text1"/>
                <w:kern w:val="0"/>
                <w:sz w:val="32"/>
                <w:szCs w:val="32"/>
                <w14:textFill>
                  <w14:solidFill>
                    <w14:schemeClr w14:val="tx1"/>
                  </w14:solidFill>
                </w14:textFill>
              </w:rPr>
              <w:t>农村人居环境整治“垃圾、污水、厕所”三大革命</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实施因民老区垃圾处理厂项目建设、</w:t>
            </w:r>
            <w:r>
              <w:rPr>
                <w:rFonts w:hint="eastAsia" w:ascii="仿宋" w:hAnsi="仿宋" w:eastAsia="仿宋" w:cs="仿宋"/>
                <w:sz w:val="32"/>
                <w:szCs w:val="32"/>
              </w:rPr>
              <w:t>配齐四个保留村垃圾桶等垃圾处理设备</w:t>
            </w:r>
            <w:r>
              <w:rPr>
                <w:rFonts w:hint="eastAsia" w:ascii="仿宋" w:hAnsi="仿宋" w:eastAsia="仿宋" w:cs="仿宋"/>
                <w:sz w:val="32"/>
                <w:szCs w:val="32"/>
                <w:lang w:eastAsia="zh-CN"/>
              </w:rPr>
              <w:t>，</w:t>
            </w:r>
            <w:r>
              <w:rPr>
                <w:rFonts w:hint="eastAsia" w:ascii="仿宋" w:hAnsi="仿宋" w:eastAsia="仿宋" w:cs="仿宋"/>
                <w:color w:val="000000" w:themeColor="text1"/>
                <w:kern w:val="0"/>
                <w:sz w:val="32"/>
                <w:szCs w:val="32"/>
                <w:lang w:eastAsia="zh-CN"/>
                <w14:textFill>
                  <w14:solidFill>
                    <w14:schemeClr w14:val="tx1"/>
                  </w14:solidFill>
                </w14:textFill>
              </w:rPr>
              <w:t>不断缩小城乡居民生活环境差距，</w:t>
            </w:r>
            <w:r>
              <w:rPr>
                <w:rFonts w:hint="eastAsia" w:ascii="仿宋" w:hAnsi="仿宋" w:eastAsia="仿宋" w:cs="仿宋"/>
                <w:color w:val="000000" w:themeColor="text1"/>
                <w:kern w:val="0"/>
                <w:sz w:val="32"/>
                <w:szCs w:val="32"/>
                <w14:textFill>
                  <w14:solidFill>
                    <w14:schemeClr w14:val="tx1"/>
                  </w14:solidFill>
                </w14:textFill>
              </w:rPr>
              <w:t>全面提升农村人居环境水平</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以良好的人居环境促进民风向好向善。</w:t>
            </w:r>
            <w:r>
              <w:rPr>
                <w:rFonts w:hint="eastAsia" w:ascii="仿宋" w:hAnsi="仿宋" w:eastAsia="仿宋" w:cs="仿宋"/>
                <w:i w:val="0"/>
                <w:iCs w:val="0"/>
                <w:color w:val="000000"/>
                <w:kern w:val="0"/>
                <w:sz w:val="32"/>
                <w:szCs w:val="32"/>
                <w:u w:val="none"/>
                <w:lang w:val="en-US" w:eastAsia="zh-CN" w:bidi="ar"/>
              </w:rPr>
              <w:t>得2分。</w:t>
            </w:r>
          </w:p>
        </w:tc>
        <w:tc>
          <w:tcPr>
            <w:tcW w:w="6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0" w:hRule="atLeast"/>
          <w:jc w:val="center"/>
        </w:trPr>
        <w:tc>
          <w:tcPr>
            <w:tcW w:w="1099" w:type="dxa"/>
            <w:vMerge w:val="continue"/>
            <w:tcBorders>
              <w:tl2br w:val="nil"/>
              <w:tr2bl w:val="nil"/>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30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C22生态效益（6分）</w:t>
            </w:r>
          </w:p>
        </w:tc>
        <w:tc>
          <w:tcPr>
            <w:tcW w:w="13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C221环境污染整治效益（3）</w:t>
            </w:r>
          </w:p>
        </w:tc>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2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各村（社区）的环境污染减少20%得3分，未完成根据实际完成权重计算得分。</w:t>
            </w:r>
          </w:p>
        </w:tc>
        <w:tc>
          <w:tcPr>
            <w:tcW w:w="3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color w:val="000000" w:themeColor="text1"/>
                <w:kern w:val="0"/>
                <w:sz w:val="32"/>
                <w:szCs w:val="32"/>
                <w:lang w:eastAsia="zh-CN"/>
                <w14:textFill>
                  <w14:solidFill>
                    <w14:schemeClr w14:val="tx1"/>
                  </w14:solidFill>
                </w14:textFill>
              </w:rPr>
              <w:t>持续深入抓实</w:t>
            </w:r>
            <w:r>
              <w:rPr>
                <w:rFonts w:hint="eastAsia" w:ascii="仿宋" w:hAnsi="仿宋" w:eastAsia="仿宋" w:cs="仿宋"/>
                <w:color w:val="000000" w:themeColor="text1"/>
                <w:kern w:val="0"/>
                <w:sz w:val="32"/>
                <w:szCs w:val="32"/>
                <w14:textFill>
                  <w14:solidFill>
                    <w14:schemeClr w14:val="tx1"/>
                  </w14:solidFill>
                </w14:textFill>
              </w:rPr>
              <w:t>农村人居环境整治“垃圾、污水、厕所”三大革命</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实施因民老区垃圾处理厂项目建设、</w:t>
            </w:r>
            <w:r>
              <w:rPr>
                <w:rFonts w:hint="eastAsia" w:ascii="仿宋" w:hAnsi="仿宋" w:eastAsia="仿宋" w:cs="仿宋"/>
                <w:sz w:val="32"/>
                <w:szCs w:val="32"/>
              </w:rPr>
              <w:t>配齐四个保留村垃圾桶等垃圾处理设备</w:t>
            </w:r>
            <w:r>
              <w:rPr>
                <w:rFonts w:hint="eastAsia" w:ascii="仿宋" w:hAnsi="仿宋" w:eastAsia="仿宋" w:cs="仿宋"/>
                <w:sz w:val="32"/>
                <w:szCs w:val="32"/>
                <w:lang w:eastAsia="zh-CN"/>
              </w:rPr>
              <w:t>，</w:t>
            </w:r>
            <w:r>
              <w:rPr>
                <w:rFonts w:hint="eastAsia" w:ascii="仿宋" w:hAnsi="仿宋" w:eastAsia="仿宋" w:cs="仿宋"/>
                <w:color w:val="000000" w:themeColor="text1"/>
                <w:kern w:val="0"/>
                <w:sz w:val="32"/>
                <w:szCs w:val="32"/>
                <w:lang w:eastAsia="zh-CN"/>
                <w14:textFill>
                  <w14:solidFill>
                    <w14:schemeClr w14:val="tx1"/>
                  </w14:solidFill>
                </w14:textFill>
              </w:rPr>
              <w:t>不断缩小城乡居民生活环境差距，</w:t>
            </w:r>
            <w:r>
              <w:rPr>
                <w:rFonts w:hint="eastAsia" w:ascii="仿宋" w:hAnsi="仿宋" w:eastAsia="仿宋" w:cs="仿宋"/>
                <w:color w:val="000000" w:themeColor="text1"/>
                <w:kern w:val="0"/>
                <w:sz w:val="32"/>
                <w:szCs w:val="32"/>
                <w14:textFill>
                  <w14:solidFill>
                    <w14:schemeClr w14:val="tx1"/>
                  </w14:solidFill>
                </w14:textFill>
              </w:rPr>
              <w:t>全面提升农村人居环境水平</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以良好的人居环境促进民风向好向善。</w:t>
            </w:r>
            <w:r>
              <w:rPr>
                <w:rFonts w:hint="eastAsia" w:ascii="仿宋" w:hAnsi="仿宋" w:eastAsia="仿宋" w:cs="仿宋"/>
                <w:i w:val="0"/>
                <w:iCs w:val="0"/>
                <w:color w:val="000000"/>
                <w:kern w:val="0"/>
                <w:sz w:val="32"/>
                <w:szCs w:val="32"/>
                <w:u w:val="none"/>
                <w:lang w:val="en-US" w:eastAsia="zh-CN" w:bidi="ar"/>
              </w:rPr>
              <w:t>得3分。</w:t>
            </w:r>
          </w:p>
        </w:tc>
        <w:tc>
          <w:tcPr>
            <w:tcW w:w="6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jc w:val="center"/>
        </w:trPr>
        <w:tc>
          <w:tcPr>
            <w:tcW w:w="1099" w:type="dxa"/>
            <w:vMerge w:val="continue"/>
            <w:tcBorders>
              <w:tl2br w:val="nil"/>
              <w:tr2bl w:val="nil"/>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301" w:type="dxa"/>
            <w:vMerge w:val="continue"/>
            <w:tcBorders>
              <w:tl2br w:val="nil"/>
              <w:tr2bl w:val="nil"/>
            </w:tcBorders>
            <w:shd w:val="clear" w:color="auto" w:fill="auto"/>
            <w:vAlign w:val="center"/>
          </w:tcPr>
          <w:p>
            <w:pPr>
              <w:pageBreakBefore w:val="0"/>
              <w:kinsoku/>
              <w:wordWrap/>
              <w:overflowPunct/>
              <w:topLinePunct w:val="0"/>
              <w:bidi w:val="0"/>
              <w:spacing w:line="560" w:lineRule="exact"/>
              <w:ind w:left="0" w:leftChars="0" w:right="0" w:firstLine="640" w:firstLineChars="200"/>
              <w:jc w:val="left"/>
              <w:rPr>
                <w:rFonts w:hint="eastAsia" w:ascii="仿宋" w:hAnsi="仿宋" w:eastAsia="仿宋" w:cs="仿宋"/>
                <w:i w:val="0"/>
                <w:iCs w:val="0"/>
                <w:color w:val="000000"/>
                <w:sz w:val="32"/>
                <w:szCs w:val="32"/>
                <w:u w:val="none"/>
              </w:rPr>
            </w:pPr>
          </w:p>
        </w:tc>
        <w:tc>
          <w:tcPr>
            <w:tcW w:w="13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C222生态环境质量（3）</w:t>
            </w:r>
          </w:p>
        </w:tc>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2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生态环境质量提高40%得3分，未完成根据实际完成权重计算得分。</w:t>
            </w:r>
          </w:p>
        </w:tc>
        <w:tc>
          <w:tcPr>
            <w:tcW w:w="3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实施以矿企义务植树、矿山采区造林、荒山造林、退耕还林、道路绿化为主的绿化专项行动。投资600万元，启动实施大水沟</w:t>
            </w:r>
            <w:r>
              <w:rPr>
                <w:rFonts w:hint="eastAsia" w:ascii="仿宋" w:hAnsi="仿宋" w:eastAsia="仿宋" w:cs="仿宋"/>
                <w:color w:val="000000" w:themeColor="text1"/>
                <w:kern w:val="2"/>
                <w:sz w:val="32"/>
                <w:szCs w:val="32"/>
                <w:lang w:val="zh-CN" w:eastAsia="zh-CN" w:bidi="ar-SA"/>
                <w14:textFill>
                  <w14:solidFill>
                    <w14:schemeClr w14:val="tx1"/>
                  </w14:solidFill>
                </w14:textFill>
              </w:rPr>
              <w:t>流域历史遗留弃渣生态修复工程；启动实施老来红骏明尾矿库高山特色花园项目；依托因民公司、金水公司义务植树行动，</w:t>
            </w:r>
            <w:r>
              <w:rPr>
                <w:rFonts w:hint="eastAsia" w:ascii="仿宋" w:hAnsi="仿宋" w:eastAsia="仿宋" w:cs="仿宋"/>
                <w:color w:val="000000" w:themeColor="text1"/>
                <w:kern w:val="2"/>
                <w:sz w:val="32"/>
                <w:szCs w:val="32"/>
                <w:lang w:val="en-US" w:eastAsia="zh-CN" w:bidi="ar-SA"/>
                <w14:textFill>
                  <w14:solidFill>
                    <w14:schemeClr w14:val="tx1"/>
                  </w14:solidFill>
                </w14:textFill>
              </w:rPr>
              <w:t>打造老来红社区大桥地樱花观赏谷；花椒补植补造2284亩，核桃提质增效500亩，实施森林抚育间伐10000亩，实施后山及金沙江沿线绿化1500亩；强化金沙江沿江禁牧管控，强化森林防火工作，修防火隔离带20公里，防火通道15公里。实施林业守护工程，严厉打击毁林开荒、毁林种植行为</w:t>
            </w:r>
            <w:r>
              <w:rPr>
                <w:rFonts w:hint="eastAsia" w:ascii="仿宋" w:hAnsi="仿宋" w:eastAsia="仿宋" w:cs="仿宋"/>
                <w:i w:val="0"/>
                <w:iCs w:val="0"/>
                <w:color w:val="000000"/>
                <w:kern w:val="0"/>
                <w:sz w:val="32"/>
                <w:szCs w:val="32"/>
                <w:u w:val="none"/>
                <w:lang w:val="en-US" w:eastAsia="zh-CN" w:bidi="ar"/>
              </w:rPr>
              <w:t>，得3分。</w:t>
            </w:r>
          </w:p>
        </w:tc>
        <w:tc>
          <w:tcPr>
            <w:tcW w:w="6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9" w:hRule="atLeast"/>
          <w:jc w:val="center"/>
        </w:trPr>
        <w:tc>
          <w:tcPr>
            <w:tcW w:w="1099" w:type="dxa"/>
            <w:vMerge w:val="continue"/>
            <w:tcBorders>
              <w:tl2br w:val="nil"/>
              <w:tr2bl w:val="nil"/>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30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C23乡镇职工及社会公众满意度（10分）</w:t>
            </w:r>
          </w:p>
        </w:tc>
        <w:tc>
          <w:tcPr>
            <w:tcW w:w="13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C231乡镇职工满意度（4分）</w:t>
            </w:r>
          </w:p>
        </w:tc>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c>
          <w:tcPr>
            <w:tcW w:w="2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highlight w:val="none"/>
                <w:u w:val="none"/>
              </w:rPr>
            </w:pPr>
            <w:r>
              <w:rPr>
                <w:rFonts w:hint="eastAsia" w:ascii="仿宋" w:hAnsi="仿宋" w:eastAsia="仿宋" w:cs="仿宋"/>
                <w:i w:val="0"/>
                <w:iCs w:val="0"/>
                <w:color w:val="000000"/>
                <w:kern w:val="0"/>
                <w:sz w:val="32"/>
                <w:szCs w:val="32"/>
                <w:highlight w:val="none"/>
                <w:u w:val="none"/>
                <w:lang w:val="en-US" w:eastAsia="zh-CN" w:bidi="ar"/>
              </w:rPr>
              <w:t xml:space="preserve">向乡镇职工发放15份问卷，满意度大于等于90%得4分，大于等于85%扣0.5分，大于等于80%扣1分，大于等于75%扣1.5分，以此类推，扣完为止。 </w:t>
            </w:r>
          </w:p>
        </w:tc>
        <w:tc>
          <w:tcPr>
            <w:tcW w:w="3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经调查，满意度为80.3%，得3分</w:t>
            </w:r>
          </w:p>
        </w:tc>
        <w:tc>
          <w:tcPr>
            <w:tcW w:w="6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lang w:val="en-US"/>
              </w:rPr>
            </w:pPr>
            <w:r>
              <w:rPr>
                <w:rFonts w:hint="eastAsia" w:ascii="仿宋" w:hAnsi="仿宋" w:eastAsia="仿宋" w:cs="仿宋"/>
                <w:i w:val="0"/>
                <w:iCs w:val="0"/>
                <w:color w:val="000000"/>
                <w:kern w:val="0"/>
                <w:sz w:val="32"/>
                <w:szCs w:val="32"/>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48" w:hRule="atLeast"/>
          <w:jc w:val="center"/>
        </w:trPr>
        <w:tc>
          <w:tcPr>
            <w:tcW w:w="1099" w:type="dxa"/>
            <w:vMerge w:val="continue"/>
            <w:tcBorders>
              <w:tl2br w:val="nil"/>
              <w:tr2bl w:val="nil"/>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301" w:type="dxa"/>
            <w:vMerge w:val="continue"/>
            <w:tcBorders>
              <w:tl2br w:val="nil"/>
              <w:tr2bl w:val="nil"/>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3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C232社会公众满意度（6分）</w:t>
            </w:r>
          </w:p>
        </w:tc>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w:t>
            </w:r>
          </w:p>
        </w:tc>
        <w:tc>
          <w:tcPr>
            <w:tcW w:w="21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highlight w:val="none"/>
                <w:u w:val="none"/>
              </w:rPr>
            </w:pPr>
            <w:r>
              <w:rPr>
                <w:rFonts w:hint="eastAsia" w:ascii="仿宋" w:hAnsi="仿宋" w:eastAsia="仿宋" w:cs="仿宋"/>
                <w:i w:val="0"/>
                <w:iCs w:val="0"/>
                <w:color w:val="000000"/>
                <w:kern w:val="0"/>
                <w:sz w:val="32"/>
                <w:szCs w:val="32"/>
                <w:highlight w:val="none"/>
                <w:u w:val="none"/>
                <w:lang w:val="en-US" w:eastAsia="zh-CN" w:bidi="ar"/>
              </w:rPr>
              <w:t xml:space="preserve">向社会公众发放55份问卷，满意度大于等于90%得6分，大于等于85%扣0.5分，大于等于80%扣1分，大于等于75%扣1.5分，以此类推，扣完为止。 </w:t>
            </w:r>
          </w:p>
        </w:tc>
        <w:tc>
          <w:tcPr>
            <w:tcW w:w="3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highlight w:val="none"/>
                <w:u w:val="none"/>
                <w:lang w:val="en-US" w:eastAsia="zh-CN" w:bidi="ar"/>
              </w:rPr>
              <w:t>经调查，满意度为81.09%，得5分。</w:t>
            </w:r>
          </w:p>
        </w:tc>
        <w:tc>
          <w:tcPr>
            <w:tcW w:w="6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w:t>
            </w:r>
          </w:p>
        </w:tc>
      </w:tr>
    </w:tbl>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rPr>
      </w:pPr>
    </w:p>
    <w:p>
      <w:pPr>
        <w:pStyle w:val="5"/>
        <w:pageBreakBefore w:val="0"/>
        <w:numPr>
          <w:ilvl w:val="0"/>
          <w:numId w:val="3"/>
        </w:numPr>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rPr>
        <w:t>部门可持续发展</w:t>
      </w:r>
      <w:r>
        <w:rPr>
          <w:rFonts w:hint="eastAsia" w:ascii="仿宋" w:hAnsi="仿宋" w:eastAsia="仿宋" w:cs="仿宋"/>
          <w:sz w:val="32"/>
          <w:szCs w:val="32"/>
          <w:lang w:val="en-US"/>
        </w:rPr>
        <w:t>指标分值</w:t>
      </w:r>
      <w:r>
        <w:rPr>
          <w:rFonts w:hint="eastAsia" w:ascii="仿宋" w:hAnsi="仿宋" w:eastAsia="仿宋" w:cs="仿宋"/>
          <w:sz w:val="32"/>
          <w:szCs w:val="32"/>
          <w:lang w:val="en-US" w:eastAsia="zh-CN"/>
        </w:rPr>
        <w:t>9</w:t>
      </w:r>
      <w:r>
        <w:rPr>
          <w:rFonts w:hint="eastAsia" w:ascii="仿宋" w:hAnsi="仿宋" w:eastAsia="仿宋" w:cs="仿宋"/>
          <w:sz w:val="32"/>
          <w:szCs w:val="32"/>
          <w:lang w:val="en-US"/>
        </w:rPr>
        <w:t>分，</w:t>
      </w:r>
      <w:r>
        <w:rPr>
          <w:rFonts w:hint="eastAsia" w:ascii="仿宋" w:hAnsi="仿宋" w:eastAsia="仿宋" w:cs="仿宋"/>
          <w:sz w:val="32"/>
          <w:szCs w:val="32"/>
        </w:rPr>
        <w:t>评价得</w:t>
      </w:r>
      <w:r>
        <w:rPr>
          <w:rFonts w:hint="eastAsia" w:ascii="仿宋" w:hAnsi="仿宋" w:eastAsia="仿宋" w:cs="仿宋"/>
          <w:sz w:val="32"/>
          <w:szCs w:val="32"/>
          <w:lang w:val="en-US" w:eastAsia="zh-CN"/>
        </w:rPr>
        <w:t>8</w:t>
      </w:r>
      <w:r>
        <w:rPr>
          <w:rFonts w:hint="eastAsia" w:ascii="仿宋" w:hAnsi="仿宋" w:eastAsia="仿宋" w:cs="仿宋"/>
          <w:sz w:val="32"/>
          <w:szCs w:val="32"/>
        </w:rPr>
        <w:t>分，得分率</w:t>
      </w:r>
      <w:r>
        <w:rPr>
          <w:rFonts w:hint="eastAsia" w:ascii="仿宋" w:hAnsi="仿宋" w:eastAsia="仿宋" w:cs="仿宋"/>
          <w:sz w:val="32"/>
          <w:szCs w:val="32"/>
          <w:lang w:val="en-US" w:eastAsia="zh-CN"/>
        </w:rPr>
        <w:t>88.89</w:t>
      </w:r>
      <w:r>
        <w:rPr>
          <w:rFonts w:hint="eastAsia" w:ascii="仿宋" w:hAnsi="仿宋" w:eastAsia="仿宋" w:cs="仿宋"/>
          <w:sz w:val="32"/>
          <w:szCs w:val="32"/>
        </w:rPr>
        <w:t>%，扣分项为</w:t>
      </w:r>
      <w:r>
        <w:rPr>
          <w:rFonts w:hint="eastAsia" w:ascii="仿宋" w:hAnsi="仿宋" w:eastAsia="仿宋" w:cs="仿宋"/>
          <w:i w:val="0"/>
          <w:iCs w:val="0"/>
          <w:color w:val="000000"/>
          <w:kern w:val="0"/>
          <w:sz w:val="32"/>
          <w:szCs w:val="32"/>
          <w:highlight w:val="none"/>
          <w:u w:val="none"/>
          <w:lang w:val="en-US" w:eastAsia="zh-CN" w:bidi="ar"/>
        </w:rPr>
        <w:t>目标管理绩效考核</w:t>
      </w:r>
      <w:r>
        <w:rPr>
          <w:rFonts w:hint="eastAsia" w:ascii="仿宋" w:hAnsi="仿宋" w:eastAsia="仿宋" w:cs="仿宋"/>
          <w:sz w:val="32"/>
          <w:szCs w:val="32"/>
        </w:rPr>
        <w:t>缺乏</w:t>
      </w:r>
      <w:r>
        <w:rPr>
          <w:rFonts w:hint="eastAsia" w:ascii="仿宋" w:hAnsi="仿宋" w:eastAsia="仿宋" w:cs="仿宋"/>
          <w:i w:val="0"/>
          <w:iCs w:val="0"/>
          <w:color w:val="000000"/>
          <w:kern w:val="0"/>
          <w:sz w:val="32"/>
          <w:szCs w:val="32"/>
          <w:highlight w:val="none"/>
          <w:u w:val="none"/>
          <w:lang w:val="en-US" w:eastAsia="zh-CN" w:bidi="ar"/>
        </w:rPr>
        <w:t>全面的可控的过程管理</w:t>
      </w:r>
      <w:r>
        <w:rPr>
          <w:rFonts w:hint="eastAsia" w:ascii="仿宋" w:hAnsi="仿宋" w:eastAsia="仿宋" w:cs="仿宋"/>
          <w:sz w:val="32"/>
          <w:szCs w:val="32"/>
          <w:lang w:val="en-US" w:eastAsia="zh-CN"/>
        </w:rPr>
        <w:t>等制度规定</w:t>
      </w:r>
      <w:r>
        <w:rPr>
          <w:rFonts w:hint="eastAsia" w:ascii="仿宋" w:hAnsi="仿宋" w:eastAsia="仿宋" w:cs="仿宋"/>
          <w:sz w:val="32"/>
          <w:szCs w:val="32"/>
          <w:lang w:val="en-US"/>
        </w:rPr>
        <w:t>。</w:t>
      </w:r>
    </w:p>
    <w:tbl>
      <w:tblPr>
        <w:tblStyle w:val="13"/>
        <w:tblW w:w="10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30"/>
        <w:gridCol w:w="1610"/>
        <w:gridCol w:w="1690"/>
        <w:gridCol w:w="690"/>
        <w:gridCol w:w="2300"/>
        <w:gridCol w:w="2950"/>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9" w:hRule="atLeast"/>
          <w:jc w:val="center"/>
        </w:trPr>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二级指标</w:t>
            </w:r>
          </w:p>
        </w:tc>
        <w:tc>
          <w:tcPr>
            <w:tcW w:w="1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三级指标</w:t>
            </w:r>
          </w:p>
        </w:tc>
        <w:tc>
          <w:tcPr>
            <w:tcW w:w="1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四级指标</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分值</w:t>
            </w:r>
          </w:p>
        </w:tc>
        <w:tc>
          <w:tcPr>
            <w:tcW w:w="23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指标评分细则</w:t>
            </w:r>
          </w:p>
        </w:tc>
        <w:tc>
          <w:tcPr>
            <w:tcW w:w="2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评价情况</w:t>
            </w:r>
          </w:p>
        </w:tc>
        <w:tc>
          <w:tcPr>
            <w:tcW w:w="64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3" w:firstLineChars="20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73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C3部门可持续发展（9分）</w:t>
            </w:r>
          </w:p>
        </w:tc>
        <w:tc>
          <w:tcPr>
            <w:tcW w:w="1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C31队伍建设情况（3分）</w:t>
            </w:r>
          </w:p>
        </w:tc>
        <w:tc>
          <w:tcPr>
            <w:tcW w:w="1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C311业务或政策培训完成情况（3分）</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23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部门全体人员每年至少接受一次业务或政策等培训，酌情得0-3分。</w:t>
            </w:r>
          </w:p>
        </w:tc>
        <w:tc>
          <w:tcPr>
            <w:tcW w:w="2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已有各部门参加业务或政策等培训文件，得3分。</w:t>
            </w:r>
          </w:p>
        </w:tc>
        <w:tc>
          <w:tcPr>
            <w:tcW w:w="64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0" w:hRule="atLeast"/>
          <w:jc w:val="center"/>
        </w:trPr>
        <w:tc>
          <w:tcPr>
            <w:tcW w:w="730" w:type="dxa"/>
            <w:vMerge w:val="continue"/>
            <w:tcBorders>
              <w:tl2br w:val="nil"/>
              <w:tr2bl w:val="nil"/>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C32信息共享、公开情况（3分）</w:t>
            </w:r>
          </w:p>
        </w:tc>
        <w:tc>
          <w:tcPr>
            <w:tcW w:w="1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C321信息共享、公开情况（3分）</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23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按规定内容公开预决算信息、绩效信息及其他信息，得2分；按规定时限公开预决算信息、绩效信息及其他信息，得1分。</w:t>
            </w:r>
          </w:p>
        </w:tc>
        <w:tc>
          <w:tcPr>
            <w:tcW w:w="2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已提供并在东川区人民政府网站查询到因民镇预决算公开资料，得3分。</w:t>
            </w:r>
          </w:p>
        </w:tc>
        <w:tc>
          <w:tcPr>
            <w:tcW w:w="64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730" w:type="dxa"/>
            <w:vMerge w:val="continue"/>
            <w:tcBorders>
              <w:tl2br w:val="nil"/>
              <w:tr2bl w:val="nil"/>
            </w:tcBorders>
            <w:shd w:val="clear" w:color="auto" w:fill="auto"/>
            <w:vAlign w:val="center"/>
          </w:tcPr>
          <w:p>
            <w:pPr>
              <w:pageBreakBefore w:val="0"/>
              <w:kinsoku/>
              <w:wordWrap/>
              <w:overflowPunct/>
              <w:topLinePunct w:val="0"/>
              <w:bidi w:val="0"/>
              <w:spacing w:line="560" w:lineRule="exact"/>
              <w:ind w:left="0" w:leftChars="0" w:right="0" w:firstLine="640" w:firstLineChars="200"/>
              <w:jc w:val="center"/>
              <w:rPr>
                <w:rFonts w:hint="eastAsia" w:ascii="仿宋" w:hAnsi="仿宋" w:eastAsia="仿宋" w:cs="仿宋"/>
                <w:i w:val="0"/>
                <w:iCs w:val="0"/>
                <w:color w:val="000000"/>
                <w:sz w:val="32"/>
                <w:szCs w:val="32"/>
                <w:u w:val="none"/>
              </w:rPr>
            </w:pPr>
          </w:p>
        </w:tc>
        <w:tc>
          <w:tcPr>
            <w:tcW w:w="16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C33长效管理创新情况（3分）</w:t>
            </w:r>
          </w:p>
        </w:tc>
        <w:tc>
          <w:tcPr>
            <w:tcW w:w="1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C331管理创新机制和措施制定情况（3分）</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23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建立了如人员绩效考核机制、信息化建设、数据库管理等鼓励处室改进管理、提高效率方面的新举措，酌情得0-3分。</w:t>
            </w:r>
          </w:p>
        </w:tc>
        <w:tc>
          <w:tcPr>
            <w:tcW w:w="2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highlight w:val="none"/>
                <w:u w:val="none"/>
                <w:lang w:val="en-US" w:eastAsia="zh-CN" w:bidi="ar"/>
              </w:rPr>
              <w:t>根据《昆明市事业单位工作人员考核实施办法(试行)》《中共昆明市东川区委组织部关于做好2019年度公务员考核工作的通知》《东川区2019年度目标管理绩效考核奖励兑现工作方案》等文件执行，但是缺乏全面的可控的过程管理，扣1分，得2分。</w:t>
            </w:r>
          </w:p>
        </w:tc>
        <w:tc>
          <w:tcPr>
            <w:tcW w:w="64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firstLine="640" w:firstLineChars="20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r>
    </w:tbl>
    <w:p>
      <w:pPr>
        <w:pStyle w:val="3"/>
        <w:pageBreakBefore w:val="0"/>
        <w:kinsoku/>
        <w:wordWrap/>
        <w:overflowPunct/>
        <w:topLinePunct w:val="0"/>
        <w:bidi w:val="0"/>
        <w:adjustRightInd w:val="0"/>
        <w:snapToGrid w:val="0"/>
        <w:spacing w:before="0" w:after="0" w:line="560" w:lineRule="exact"/>
        <w:ind w:left="0" w:leftChars="0" w:right="0" w:firstLine="640" w:firstLineChars="200"/>
        <w:rPr>
          <w:rFonts w:hint="eastAsia" w:ascii="黑体" w:hAnsi="黑体" w:eastAsia="黑体" w:cs="黑体"/>
          <w:b w:val="0"/>
          <w:bCs w:val="0"/>
          <w:sz w:val="32"/>
          <w:szCs w:val="32"/>
        </w:rPr>
      </w:pPr>
      <w:bookmarkStart w:id="13" w:name="_Toc57188822"/>
      <w:r>
        <w:rPr>
          <w:rFonts w:hint="eastAsia" w:ascii="黑体" w:hAnsi="黑体" w:eastAsia="黑体" w:cs="黑体"/>
          <w:b w:val="0"/>
          <w:bCs w:val="0"/>
          <w:sz w:val="32"/>
          <w:szCs w:val="32"/>
        </w:rPr>
        <w:t>五、主要经验做法</w:t>
      </w:r>
      <w:bookmarkEnd w:id="13"/>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outlineLvl w:val="9"/>
        <w:rPr>
          <w:rFonts w:hint="eastAsia" w:ascii="楷体" w:hAnsi="楷体" w:eastAsia="楷体" w:cs="楷体"/>
          <w:b w:val="0"/>
          <w:bCs w:val="0"/>
          <w:kern w:val="0"/>
          <w:sz w:val="32"/>
          <w:szCs w:val="32"/>
        </w:rPr>
      </w:pPr>
      <w:bookmarkStart w:id="14" w:name="_Toc57188827"/>
      <w:r>
        <w:rPr>
          <w:rFonts w:hint="eastAsia" w:ascii="楷体" w:hAnsi="楷体" w:eastAsia="楷体" w:cs="楷体"/>
          <w:b w:val="0"/>
          <w:bCs w:val="0"/>
          <w:kern w:val="0"/>
          <w:sz w:val="32"/>
          <w:szCs w:val="32"/>
          <w:lang w:val="en-US" w:eastAsia="zh-CN"/>
        </w:rPr>
        <w:t>（一）</w:t>
      </w:r>
      <w:r>
        <w:rPr>
          <w:rFonts w:hint="eastAsia" w:ascii="楷体" w:hAnsi="楷体" w:eastAsia="楷体" w:cs="楷体"/>
          <w:b w:val="0"/>
          <w:bCs w:val="0"/>
          <w:kern w:val="0"/>
          <w:sz w:val="32"/>
          <w:szCs w:val="32"/>
        </w:rPr>
        <w:t>实施“巩固脱贫成效”行动</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按照“一达标、两不愁、三保障”和脱贫出列“户七条、村十条”的标准要求，坚持“126988”工作思路，完善并执行“1233”指挥体系，持续深入推进移民搬迁与保留发展“两条腿”走路。</w:t>
      </w:r>
      <w:r>
        <w:rPr>
          <w:rFonts w:hint="eastAsia" w:ascii="仿宋" w:hAnsi="仿宋" w:eastAsia="仿宋" w:cs="仿宋"/>
          <w:bCs/>
          <w:sz w:val="32"/>
          <w:szCs w:val="32"/>
        </w:rPr>
        <w:t>围绕户“产业发展、促进就业、住房安全保障、教育扶贫、医疗保障、兜底保障、人饮安全”和村“7项指标达标、村巩固提升方案和产业发展规划落实、村和户档案‘五统一’情况”，采取镇统筹集中力量查、村与村互相查等方式，开展因民镇巩固脱贫成效“迎普查、找不足、补短板”专项行动，确保问题找得准、措施上得准，推动巩固脱贫成效具体化、实效化。</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（二）</w:t>
      </w:r>
      <w:r>
        <w:rPr>
          <w:rFonts w:hint="eastAsia" w:ascii="楷体" w:hAnsi="楷体" w:eastAsia="楷体" w:cs="楷体"/>
          <w:b w:val="0"/>
          <w:bCs/>
          <w:sz w:val="32"/>
          <w:szCs w:val="32"/>
        </w:rPr>
        <w:t>实施“乡村振兴”行动</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outlineLvl w:val="9"/>
        <w:rPr>
          <w:rFonts w:hint="eastAsia" w:ascii="仿宋" w:hAnsi="仿宋" w:eastAsia="仿宋" w:cs="仿宋"/>
          <w:bCs/>
          <w:sz w:val="32"/>
          <w:szCs w:val="32"/>
        </w:rPr>
      </w:pPr>
      <w:r>
        <w:rPr>
          <w:rFonts w:hint="eastAsia" w:ascii="仿宋" w:hAnsi="仿宋" w:eastAsia="仿宋" w:cs="仿宋"/>
          <w:bCs/>
          <w:sz w:val="32"/>
          <w:szCs w:val="32"/>
        </w:rPr>
        <w:t>制定出台切合镇情实际的《东川区因民镇乡村振兴战略规划（2018—2022年）》，促进一二三产深度融合发展，破解工业发展与生态建设的矛盾，努力走出一条生态优先、绿色发展的高质量发展新路子。差异化推动乡村发展，牛厂坪、田坝，重点发展干热河谷特色水果种植业和畜牧业；桃树坪、牛厂坪，重点发展种养殖业、乡村旅游；易地扶贫搬迁村重点围绕生态修复，发展高山药材种植、高山围栏养殖。坚持“两出两进两对接一提升”工作思路，围绕多村一品或一村一品理念，投资2</w:t>
      </w:r>
      <w:r>
        <w:rPr>
          <w:rFonts w:hint="eastAsia" w:ascii="仿宋" w:hAnsi="仿宋" w:eastAsia="仿宋" w:cs="仿宋"/>
          <w:bCs/>
          <w:sz w:val="32"/>
          <w:szCs w:val="32"/>
          <w:lang w:val="en-US" w:eastAsia="zh-CN"/>
        </w:rPr>
        <w:t>35</w:t>
      </w:r>
      <w:r>
        <w:rPr>
          <w:rFonts w:hint="eastAsia" w:ascii="仿宋" w:hAnsi="仿宋" w:eastAsia="仿宋" w:cs="仿宋"/>
          <w:bCs/>
          <w:sz w:val="32"/>
          <w:szCs w:val="32"/>
        </w:rPr>
        <w:t>万，实施大箐村种养殖一体化循环农业建设项目（二期）；投资200万，实施桃树坪高山土羊围栏养殖项目，完成桃树坪水蜜桃种植基地建设；投资70万，实施天生塘高山药材育苗基地建设；投资60万，实施槽子街、青龙山青储饲料林下种草项目。按2021年实现宜林则林区全面退耕还经济林果目标，完成搬迁村退耕还经济林果不低于2000亩。大力发展村级实体经济，重点扶持有发展意愿的村集体，将切实可行的产业发展项目纳入脱贫攻坚项目库向区级申报。发展培育和扶持壮大松露、松子两个集体产业。改善乡村人居环境，确保行政村生活污水处理设施覆盖率达85%以上，实现无害化卫生户厕覆盖率达到8</w:t>
      </w:r>
      <w:r>
        <w:rPr>
          <w:rFonts w:hint="eastAsia" w:ascii="仿宋" w:hAnsi="仿宋" w:eastAsia="仿宋" w:cs="仿宋"/>
          <w:bCs/>
          <w:sz w:val="32"/>
          <w:szCs w:val="32"/>
          <w:lang w:val="en-US" w:eastAsia="zh-CN"/>
        </w:rPr>
        <w:t>5</w:t>
      </w:r>
      <w:r>
        <w:rPr>
          <w:rFonts w:hint="eastAsia" w:ascii="仿宋" w:hAnsi="仿宋" w:eastAsia="仿宋" w:cs="仿宋"/>
          <w:bCs/>
          <w:sz w:val="32"/>
          <w:szCs w:val="32"/>
        </w:rPr>
        <w:t>%以上，确保村庄人居环境整治达到1档标准。</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jc w:val="left"/>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（三）</w:t>
      </w:r>
      <w:r>
        <w:rPr>
          <w:rFonts w:hint="eastAsia" w:ascii="楷体" w:hAnsi="楷体" w:eastAsia="楷体" w:cs="楷体"/>
          <w:b w:val="0"/>
          <w:bCs/>
          <w:sz w:val="32"/>
          <w:szCs w:val="32"/>
        </w:rPr>
        <w:t>实施“助推经济发展”行动</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jc w:val="left"/>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rPr>
        <w:t>深入研究“十四五”时期全镇经济社会发展的战略性、基础性、关键性问题，完成“十四五”规划</w:t>
      </w:r>
      <w:r>
        <w:rPr>
          <w:rFonts w:hint="eastAsia" w:ascii="仿宋" w:hAnsi="仿宋" w:eastAsia="仿宋" w:cs="仿宋"/>
          <w:bCs/>
          <w:sz w:val="32"/>
          <w:szCs w:val="32"/>
          <w:lang w:eastAsia="zh-CN"/>
        </w:rPr>
        <w:t>和乡村振兴</w:t>
      </w:r>
      <w:r>
        <w:rPr>
          <w:rFonts w:hint="eastAsia" w:ascii="仿宋" w:hAnsi="仿宋" w:eastAsia="仿宋" w:cs="仿宋"/>
          <w:bCs/>
          <w:sz w:val="32"/>
          <w:szCs w:val="32"/>
        </w:rPr>
        <w:t>编制。借助省、市挂钩帮扶优势，盯住官渡区地缘、资源、人脉优势，围绕区“五大”新兴产业，开展走出去精准招商，确保年底项目真正落地东川。完成项目包装入库不少于7个。</w:t>
      </w:r>
      <w:r>
        <w:rPr>
          <w:rFonts w:hint="eastAsia" w:ascii="仿宋" w:hAnsi="仿宋" w:eastAsia="仿宋" w:cs="仿宋"/>
          <w:sz w:val="32"/>
          <w:szCs w:val="32"/>
          <w:lang w:eastAsia="zh-CN"/>
        </w:rPr>
        <w:t>启动</w:t>
      </w:r>
      <w:r>
        <w:rPr>
          <w:rFonts w:hint="eastAsia" w:ascii="仿宋" w:hAnsi="仿宋" w:eastAsia="仿宋" w:cs="仿宋"/>
          <w:sz w:val="32"/>
          <w:szCs w:val="32"/>
        </w:rPr>
        <w:t>实施新区人行道改造、美化绿化亮化工程，完成</w:t>
      </w:r>
      <w:r>
        <w:rPr>
          <w:rFonts w:hint="eastAsia" w:ascii="仿宋" w:hAnsi="仿宋" w:eastAsia="仿宋" w:cs="仿宋"/>
          <w:spacing w:val="8"/>
          <w:sz w:val="32"/>
          <w:szCs w:val="32"/>
        </w:rPr>
        <w:t>区铜文化历史展览馆、</w:t>
      </w:r>
      <w:r>
        <w:rPr>
          <w:rFonts w:hint="eastAsia" w:ascii="仿宋" w:hAnsi="仿宋" w:eastAsia="仿宋" w:cs="仿宋"/>
          <w:sz w:val="32"/>
          <w:szCs w:val="32"/>
        </w:rPr>
        <w:t>铜文化广场、集镇污水处理（二期）、污水管网改造项目前期并入库争取资金；</w:t>
      </w:r>
      <w:r>
        <w:rPr>
          <w:rFonts w:hint="eastAsia" w:ascii="仿宋" w:hAnsi="仿宋" w:eastAsia="仿宋" w:cs="仿宋"/>
          <w:sz w:val="32"/>
          <w:szCs w:val="32"/>
          <w:lang w:eastAsia="zh-CN"/>
        </w:rPr>
        <w:t>启动实施因民大水沟水环境综合治理项目、因民龙潭湾码头建设、因民新区集镇建设（二期）建设、青龙山水库建设、因民新区后山绿化项目。</w:t>
      </w:r>
    </w:p>
    <w:p>
      <w:pPr>
        <w:keepNext w:val="0"/>
        <w:keepLines w:val="0"/>
        <w:pageBreakBefore w:val="0"/>
        <w:numPr>
          <w:ilvl w:val="0"/>
          <w:numId w:val="4"/>
        </w:numPr>
        <w:kinsoku/>
        <w:wordWrap/>
        <w:overflowPunct/>
        <w:topLinePunct w:val="0"/>
        <w:autoSpaceDN/>
        <w:bidi w:val="0"/>
        <w:adjustRightInd/>
        <w:snapToGrid/>
        <w:spacing w:line="560" w:lineRule="exact"/>
        <w:ind w:firstLine="640" w:firstLineChars="200"/>
        <w:jc w:val="left"/>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rPr>
        <w:t>实施“紧盯民生保障”行动</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Cs/>
          <w:sz w:val="32"/>
          <w:szCs w:val="32"/>
        </w:rPr>
        <w:t>实施“区外输送解决一批、区镇企业解决一批、帮扶部门解决一批、扶贫车间解决一批、区镇公岗解决一批”等“五个一批”就业举措，加大辖区矿山就业岗位开发，定期召开“政企同心巩固脱贫成效”座谈会，促进有效就业；开展订单、定向、定岗技能等“菜单式”就业培训，完成引导性培训1053人次，技能培训650人次，提高群众就业技能；完成32名群众走进省城、跨出省外进行就业。利用因民扶贫车间优势，组织就近就地就业不少于130人。</w:t>
      </w:r>
      <w:r>
        <w:rPr>
          <w:rFonts w:hint="eastAsia" w:ascii="仿宋" w:hAnsi="仿宋" w:eastAsia="仿宋" w:cs="仿宋"/>
          <w:sz w:val="32"/>
          <w:szCs w:val="32"/>
        </w:rPr>
        <w:t>解决群众关心的出行难问题，积极配合区交运局做好沿江公路（一级）升级改造工作；全面排查整治交通安全隐患；针对沿江路鹦哥嘴至牛厂坪段破损路面，争取实施破损路面修复项目；针对</w:t>
      </w:r>
      <w:r>
        <w:rPr>
          <w:rFonts w:hint="eastAsia" w:ascii="仿宋" w:hAnsi="仿宋" w:eastAsia="仿宋" w:cs="仿宋"/>
          <w:bCs/>
          <w:sz w:val="32"/>
          <w:szCs w:val="32"/>
        </w:rPr>
        <w:t>1250至1510安全棚段，争取实施毁损路面修复项目；</w:t>
      </w:r>
      <w:r>
        <w:rPr>
          <w:rFonts w:hint="eastAsia" w:ascii="仿宋" w:hAnsi="仿宋" w:eastAsia="仿宋" w:cs="仿宋"/>
          <w:sz w:val="32"/>
          <w:szCs w:val="32"/>
        </w:rPr>
        <w:t>协调区级有关部门解决田坝—因民—落雪客运专线开通运营，满足群众交通出行需求；实施窄路面加宽工程，解决沿江路黑箐沟段人车混用安全问题；实施大江公路小雨溪段边坡护理工程，消除道路安全隐患。针对群众关心的稳定问题，持续推进</w:t>
      </w:r>
      <w:r>
        <w:rPr>
          <w:rFonts w:hint="eastAsia" w:ascii="仿宋" w:hAnsi="仿宋" w:eastAsia="仿宋" w:cs="仿宋"/>
          <w:sz w:val="32"/>
          <w:szCs w:val="32"/>
          <w:lang w:eastAsia="zh-CN"/>
        </w:rPr>
        <w:t>扫黑除恶专项斗争</w:t>
      </w:r>
      <w:r>
        <w:rPr>
          <w:rFonts w:hint="eastAsia" w:ascii="仿宋" w:hAnsi="仿宋" w:eastAsia="仿宋" w:cs="仿宋"/>
          <w:sz w:val="32"/>
          <w:szCs w:val="32"/>
        </w:rPr>
        <w:t>，严厉打击酒后驾驶机动车等违法行为，全面加强食品药品安全</w:t>
      </w:r>
      <w:r>
        <w:rPr>
          <w:rFonts w:hint="eastAsia" w:ascii="仿宋" w:hAnsi="仿宋" w:eastAsia="仿宋" w:cs="仿宋"/>
          <w:spacing w:val="8"/>
          <w:sz w:val="32"/>
          <w:szCs w:val="32"/>
        </w:rPr>
        <w:t>工作。按照“一户一宅”要求，</w:t>
      </w:r>
      <w:r>
        <w:rPr>
          <w:rFonts w:hint="eastAsia" w:ascii="仿宋" w:hAnsi="仿宋" w:eastAsia="仿宋" w:cs="仿宋"/>
          <w:sz w:val="32"/>
          <w:szCs w:val="32"/>
        </w:rPr>
        <w:t>启动农村宅基地申报、登记、管理以及证照核发工作。</w:t>
      </w:r>
    </w:p>
    <w:p>
      <w:pPr>
        <w:keepNext w:val="0"/>
        <w:keepLines w:val="0"/>
        <w:pageBreakBefore w:val="0"/>
        <w:numPr>
          <w:ilvl w:val="0"/>
          <w:numId w:val="4"/>
        </w:numPr>
        <w:kinsoku/>
        <w:wordWrap/>
        <w:overflowPunct/>
        <w:topLinePunct w:val="0"/>
        <w:autoSpaceDN/>
        <w:bidi w:val="0"/>
        <w:adjustRightInd/>
        <w:snapToGrid/>
        <w:spacing w:line="560" w:lineRule="exact"/>
        <w:ind w:left="0" w:leftChars="0" w:firstLine="640" w:firstLineChars="200"/>
        <w:jc w:val="left"/>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rPr>
        <w:t>实施“致力生态建设”行动</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Cs/>
          <w:sz w:val="32"/>
          <w:szCs w:val="32"/>
        </w:rPr>
        <w:t>牢固树立“绿水青山就是金山银山”的理念，以“治矿山、护山川、保河流”为重点，深入推进“种树、治污、减灾”三大行动。坚定不移做好地灾防治工作。持续推进矿山打非治违，确保矿山整体形势平稳。落实“四个一批”要求，全面推进非煤矿山转型升级，推动矿山秩序持续良好。强化对矿山炸药库的日常巡查和规范化管理。启动大型地灾点核查及项目申报工作，争取卷槽沟地灾治理、老来红沟地灾治理、干冲沟地灾治理纳入省、市盘子。持续推进林业生态建设暨城乡园林绿化“十二项行动”，创建企业林、学校林、卫生林等，建设一条以樱花为主的最美公路。投资30万，启动新区后山地灾点生态修复，打造最美“因民”地标。</w:t>
      </w:r>
      <w:r>
        <w:rPr>
          <w:rFonts w:hint="eastAsia" w:ascii="仿宋" w:hAnsi="仿宋" w:eastAsia="仿宋" w:cs="仿宋"/>
          <w:sz w:val="32"/>
          <w:szCs w:val="32"/>
        </w:rPr>
        <w:t>投资1380万，实施长江经济带生态修复暨荒山造林6000亩；投资15万，实施核桃提质增效1000亩；投资15万，打造桃树坪横槽子“蓝花楹”小组；完成退耕还经济林905亩及“富申地—金沙江”绿色步行廊道后续工作；编制完成《因民镇环境综合整治实施方案（2020年—2022年）》，该停的坚决停，该改的坚决改，下定决心、加大力度推进污染整治。完成辖区各矿渣堆放点的清理整治工作，建立长效机制、确保整改成效。按照《东川区人民政府长江生态环保集团共抓大保护合作框架协议》，做好全镇水环境系统综合治理项目包装入库以及实施等工作。严格履行镇、村（社区）河长、河道专管员职责，确保河道日常巡查及治理工作常态化和长效性。</w:t>
      </w:r>
    </w:p>
    <w:p>
      <w:pPr>
        <w:keepNext w:val="0"/>
        <w:keepLines w:val="0"/>
        <w:pageBreakBefore w:val="0"/>
        <w:numPr>
          <w:ilvl w:val="0"/>
          <w:numId w:val="4"/>
        </w:numPr>
        <w:kinsoku/>
        <w:wordWrap/>
        <w:overflowPunct/>
        <w:topLinePunct w:val="0"/>
        <w:autoSpaceDN/>
        <w:bidi w:val="0"/>
        <w:adjustRightInd/>
        <w:snapToGrid/>
        <w:spacing w:line="560" w:lineRule="exact"/>
        <w:ind w:left="0" w:leftChars="0" w:firstLine="640" w:firstLineChars="200"/>
        <w:jc w:val="left"/>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rPr>
        <w:t>实施“维护社会稳定”行动</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围绕“四矿三农”这个主体，坚持“稳”字当头，抓牢“防风险、保安全、护稳定”三项重点，维护社会大局持续稳定。</w:t>
      </w:r>
      <w:r>
        <w:rPr>
          <w:rFonts w:hint="eastAsia" w:ascii="仿宋" w:hAnsi="仿宋" w:eastAsia="仿宋" w:cs="仿宋"/>
          <w:bCs/>
          <w:sz w:val="32"/>
          <w:szCs w:val="32"/>
        </w:rPr>
        <w:t>结合因民边远、涉矿实际，强化平安建设意识，推动建设和谐稳定因民，护航因民高质量发展。</w:t>
      </w:r>
      <w:r>
        <w:rPr>
          <w:rFonts w:hint="eastAsia" w:ascii="仿宋" w:hAnsi="仿宋" w:eastAsia="仿宋" w:cs="仿宋"/>
          <w:sz w:val="32"/>
          <w:szCs w:val="32"/>
        </w:rPr>
        <w:t>强化社会治安防控体系建设，持续做好扫黑除恶专项斗争成果应用。加大公共安全视频监控建设。认真做好法律救助、社区矫正等工作。落实社会治理“德治+法治”要求，深入开展“七五”普法，整顿乡风村风民风，逐步提升法治文化在农村基层的影响力和渗透力。逐步推行“一村一警务助理”“一村一法律顾问”机制，深入开展好“两抢一盗”专项行动，加强村级监管防范力度，强化案件的打击力度，提高破案率。落实信访维稳“一岗双责”机制，组织镇班子成员每周一在各村集中开展大下访、大接访、大化解活动，继续实行包案化解制度，完善领导接访、信访案件领导包案和领导带案下访制度，一线快速调处矛盾纠纷。继续实行政府依法行政，聘请法律顾问，重大决策部署坚持听证制度，确保社会大局和谐稳定。全面落实《东川区党政领导干部安全生产工作表扬惩处办法（试行）》《东川区安全生产尽职免责办法（试行）》。落实每月分管领导调度、每季度主要领导调度、年底安全生产总结汇报制度，规范矿山安全生产工作。加强安全生产党政同责落实，实行班子成员挂钩企业负责制，挂钩督促企业履行主体责任。重点抓住矿山人员密集场所消防安全，由镇派出所牵头，定期组织开展矿山居住区消防安全大检查，及时发现并消除消防隐患。</w:t>
      </w:r>
    </w:p>
    <w:p>
      <w:pPr>
        <w:pStyle w:val="3"/>
        <w:pageBreakBefore w:val="0"/>
        <w:kinsoku/>
        <w:wordWrap/>
        <w:overflowPunct/>
        <w:topLinePunct w:val="0"/>
        <w:bidi w:val="0"/>
        <w:adjustRightInd w:val="0"/>
        <w:snapToGrid w:val="0"/>
        <w:spacing w:before="0" w:after="0"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六、存在的问题</w:t>
      </w:r>
      <w:bookmarkEnd w:id="14"/>
    </w:p>
    <w:p>
      <w:pPr>
        <w:pStyle w:val="18"/>
        <w:keepNext w:val="0"/>
        <w:keepLines w:val="0"/>
        <w:pageBreakBefore w:val="0"/>
        <w:numPr>
          <w:ilvl w:val="0"/>
          <w:numId w:val="0"/>
        </w:numPr>
        <w:kinsoku/>
        <w:wordWrap/>
        <w:overflowPunct/>
        <w:topLinePunct w:val="0"/>
        <w:autoSpaceDN/>
        <w:bidi w:val="0"/>
        <w:spacing w:line="560" w:lineRule="exact"/>
        <w:ind w:left="0" w:leftChars="0" w:right="0" w:firstLine="640" w:firstLineChars="200"/>
        <w:textAlignment w:val="auto"/>
        <w:rPr>
          <w:rFonts w:hint="eastAsia" w:ascii="仿宋" w:hAnsi="仿宋" w:eastAsia="仿宋" w:cs="仿宋"/>
          <w:color w:val="auto"/>
          <w:sz w:val="32"/>
          <w:szCs w:val="32"/>
        </w:rPr>
      </w:pPr>
      <w:bookmarkStart w:id="15" w:name="_Toc57188835"/>
      <w:r>
        <w:rPr>
          <w:rFonts w:hint="eastAsia" w:ascii="楷体" w:hAnsi="楷体" w:eastAsia="楷体" w:cs="楷体"/>
          <w:b w:val="0"/>
          <w:bCs w:val="0"/>
          <w:color w:val="000000" w:themeColor="text1"/>
          <w:sz w:val="32"/>
          <w:szCs w:val="32"/>
          <w:highlight w:val="none"/>
          <w:lang w:eastAsia="zh-CN"/>
          <w14:textFill>
            <w14:solidFill>
              <w14:schemeClr w14:val="tx1"/>
            </w14:solidFill>
          </w14:textFill>
        </w:rPr>
        <w:t>（一）产业结构不优。</w:t>
      </w:r>
      <w:r>
        <w:rPr>
          <w:rFonts w:hint="eastAsia" w:ascii="仿宋" w:hAnsi="仿宋" w:eastAsia="仿宋" w:cs="仿宋"/>
          <w:color w:val="auto"/>
          <w:sz w:val="32"/>
          <w:szCs w:val="32"/>
        </w:rPr>
        <w:t>一产以传统种养殖业为主，精深加工能力有限，品牌培育不足，产业规模不大；二产粗放型矿业经济的路径依赖短期难以扭转，产业链条短，抗风险能力差；三产基础薄弱，体量过小，缺少全局性、支撑性项目。</w:t>
      </w:r>
    </w:p>
    <w:p>
      <w:pPr>
        <w:pStyle w:val="18"/>
        <w:pageBreakBefore w:val="0"/>
        <w:kinsoku/>
        <w:wordWrap/>
        <w:overflowPunct/>
        <w:topLinePunct w:val="0"/>
        <w:bidi w:val="0"/>
        <w:spacing w:line="560" w:lineRule="exact"/>
        <w:ind w:left="0" w:leftChars="0" w:right="0" w:firstLine="640" w:firstLineChars="200"/>
        <w:rPr>
          <w:rFonts w:hint="eastAsia" w:ascii="仿宋" w:hAnsi="仿宋" w:eastAsia="仿宋" w:cs="仿宋"/>
          <w:color w:val="000000" w:themeColor="text1"/>
          <w:spacing w:val="0"/>
          <w:sz w:val="32"/>
          <w:szCs w:val="32"/>
          <w:highlight w:val="none"/>
          <w:lang w:val="zh-CN"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lang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二</w:t>
      </w:r>
      <w:r>
        <w:rPr>
          <w:rFonts w:hint="eastAsia" w:ascii="楷体" w:hAnsi="楷体" w:eastAsia="楷体" w:cs="楷体"/>
          <w:b w:val="0"/>
          <w:bCs w:val="0"/>
          <w:color w:val="000000" w:themeColor="text1"/>
          <w:sz w:val="32"/>
          <w:szCs w:val="32"/>
          <w:highlight w:val="none"/>
          <w:lang w:eastAsia="zh-CN"/>
          <w14:textFill>
            <w14:solidFill>
              <w14:schemeClr w14:val="tx1"/>
            </w14:solidFill>
          </w14:textFill>
        </w:rPr>
        <w:t>）</w:t>
      </w:r>
      <w:r>
        <w:rPr>
          <w:rFonts w:hint="eastAsia" w:ascii="楷体" w:hAnsi="楷体" w:eastAsia="楷体" w:cs="楷体"/>
          <w:b w:val="0"/>
          <w:bCs w:val="0"/>
          <w:color w:val="auto"/>
          <w:sz w:val="32"/>
          <w:szCs w:val="32"/>
        </w:rPr>
        <w:t>发展环境受限。</w:t>
      </w:r>
      <w:r>
        <w:rPr>
          <w:rFonts w:hint="eastAsia" w:ascii="仿宋" w:hAnsi="仿宋" w:eastAsia="仿宋" w:cs="仿宋"/>
          <w:color w:val="auto"/>
          <w:sz w:val="32"/>
          <w:szCs w:val="32"/>
        </w:rPr>
        <w:t>生态建设、环境保护历史欠账多，地质灾害隐患点多，绿色矿山推进难度大。保留发展村人口基数少，发展空间受限，资金项目争取难；易地搬迁村产业就业可持续性不强，发展后劲不足。</w:t>
      </w:r>
    </w:p>
    <w:p>
      <w:pPr>
        <w:pStyle w:val="18"/>
        <w:pageBreakBefore w:val="0"/>
        <w:kinsoku/>
        <w:wordWrap/>
        <w:overflowPunct/>
        <w:topLinePunct w:val="0"/>
        <w:bidi w:val="0"/>
        <w:spacing w:line="560" w:lineRule="exact"/>
        <w:ind w:left="0" w:leftChars="0" w:right="0" w:firstLine="640" w:firstLineChars="200"/>
        <w:rPr>
          <w:rFonts w:hint="eastAsia" w:ascii="仿宋" w:hAnsi="仿宋" w:eastAsia="仿宋" w:cs="仿宋"/>
          <w:color w:val="000000" w:themeColor="text1"/>
          <w:spacing w:val="0"/>
          <w:sz w:val="32"/>
          <w:szCs w:val="32"/>
          <w:highlight w:val="none"/>
          <w:lang w:val="zh-CN"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lang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三</w:t>
      </w:r>
      <w:r>
        <w:rPr>
          <w:rFonts w:hint="eastAsia" w:ascii="楷体" w:hAnsi="楷体" w:eastAsia="楷体" w:cs="楷体"/>
          <w:b w:val="0"/>
          <w:bCs w:val="0"/>
          <w:color w:val="000000" w:themeColor="text1"/>
          <w:sz w:val="32"/>
          <w:szCs w:val="32"/>
          <w:highlight w:val="none"/>
          <w:lang w:eastAsia="zh-CN"/>
          <w14:textFill>
            <w14:solidFill>
              <w14:schemeClr w14:val="tx1"/>
            </w14:solidFill>
          </w14:textFill>
        </w:rPr>
        <w:t>）</w:t>
      </w:r>
      <w:r>
        <w:rPr>
          <w:rFonts w:hint="eastAsia" w:ascii="楷体" w:hAnsi="楷体" w:eastAsia="楷体" w:cs="楷体"/>
          <w:b w:val="0"/>
          <w:bCs w:val="0"/>
          <w:color w:val="auto"/>
          <w:sz w:val="32"/>
          <w:szCs w:val="32"/>
        </w:rPr>
        <w:t>社会治理滞后。</w:t>
      </w:r>
      <w:r>
        <w:rPr>
          <w:rFonts w:hint="eastAsia" w:ascii="仿宋" w:hAnsi="仿宋" w:eastAsia="仿宋" w:cs="仿宋"/>
          <w:color w:val="auto"/>
          <w:sz w:val="32"/>
          <w:szCs w:val="32"/>
        </w:rPr>
        <w:t>搬迁历史遗留、“四矿三农”等信访问题难以从根本上解决。少数干部基层工作的方式方法不多，解决实际问题能力不足，社会治理能力和治理水平有差距，群众满意度不高。</w:t>
      </w:r>
    </w:p>
    <w:p>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color w:val="000000" w:themeColor="text1"/>
          <w:spacing w:val="0"/>
          <w:sz w:val="32"/>
          <w:szCs w:val="32"/>
          <w:highlight w:val="none"/>
          <w:lang w:val="zh-CN"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lang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四</w:t>
      </w:r>
      <w:r>
        <w:rPr>
          <w:rFonts w:hint="eastAsia" w:ascii="楷体" w:hAnsi="楷体" w:eastAsia="楷体" w:cs="楷体"/>
          <w:b w:val="0"/>
          <w:bCs w:val="0"/>
          <w:color w:val="000000" w:themeColor="text1"/>
          <w:sz w:val="32"/>
          <w:szCs w:val="32"/>
          <w:highlight w:val="none"/>
          <w:lang w:eastAsia="zh-CN"/>
          <w14:textFill>
            <w14:solidFill>
              <w14:schemeClr w14:val="tx1"/>
            </w14:solidFill>
          </w14:textFill>
        </w:rPr>
        <w:t>）</w:t>
      </w:r>
      <w:r>
        <w:rPr>
          <w:rFonts w:hint="eastAsia" w:ascii="楷体" w:hAnsi="楷体" w:eastAsia="楷体" w:cs="楷体"/>
          <w:b w:val="0"/>
          <w:bCs w:val="0"/>
          <w:color w:val="auto"/>
          <w:sz w:val="32"/>
          <w:szCs w:val="32"/>
        </w:rPr>
        <w:t>党的建设不强。</w:t>
      </w:r>
      <w:r>
        <w:rPr>
          <w:rFonts w:hint="eastAsia" w:ascii="仿宋" w:hAnsi="仿宋" w:eastAsia="仿宋" w:cs="仿宋"/>
          <w:color w:val="auto"/>
          <w:sz w:val="32"/>
          <w:szCs w:val="32"/>
        </w:rPr>
        <w:t>有的基层党组织战斗堡垒作用发挥不明显，服务群众意识欠佳，解决群众诉求不主动、不及时；有的党员干部工作作风不实，凡事等安排、等推动，落实工作走样变形；有的党员干部不主动学习，不钻研业务，理论不知晓、政策不熟悉、业务不精通、问题不会解。</w:t>
      </w:r>
    </w:p>
    <w:p>
      <w:pPr>
        <w:pStyle w:val="18"/>
        <w:keepNext w:val="0"/>
        <w:keepLines w:val="0"/>
        <w:pageBreakBefore w:val="0"/>
        <w:numPr>
          <w:ilvl w:val="0"/>
          <w:numId w:val="0"/>
        </w:numPr>
        <w:kinsoku/>
        <w:wordWrap/>
        <w:overflowPunct/>
        <w:topLinePunct w:val="0"/>
        <w:autoSpaceDN/>
        <w:bidi w:val="0"/>
        <w:spacing w:line="560" w:lineRule="exact"/>
        <w:ind w:left="0" w:leftChars="0" w:right="0" w:firstLine="640" w:firstLineChars="200"/>
        <w:textAlignment w:val="auto"/>
        <w:rPr>
          <w:rFonts w:hint="eastAsia" w:ascii="仿宋" w:hAnsi="仿宋" w:eastAsia="仿宋" w:cs="仿宋"/>
          <w:color w:val="000000" w:themeColor="text1"/>
          <w:spacing w:val="0"/>
          <w:sz w:val="32"/>
          <w:szCs w:val="32"/>
          <w:highlight w:val="none"/>
          <w:lang w:val="zh-CN" w:eastAsia="zh-CN"/>
          <w14:textFill>
            <w14:solidFill>
              <w14:schemeClr w14:val="tx1"/>
            </w14:solidFill>
          </w14:textFill>
        </w:rPr>
      </w:pPr>
      <w:r>
        <w:rPr>
          <w:rFonts w:hint="eastAsia" w:ascii="楷体" w:hAnsi="楷体" w:eastAsia="楷体" w:cs="楷体"/>
          <w:b w:val="0"/>
          <w:bCs w:val="0"/>
          <w:color w:val="000000" w:themeColor="text1"/>
          <w:sz w:val="32"/>
          <w:szCs w:val="32"/>
          <w:highlight w:val="none"/>
          <w:lang w:val="zh-CN"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五</w:t>
      </w:r>
      <w:r>
        <w:rPr>
          <w:rFonts w:hint="eastAsia" w:ascii="楷体" w:hAnsi="楷体" w:eastAsia="楷体" w:cs="楷体"/>
          <w:b w:val="0"/>
          <w:bCs w:val="0"/>
          <w:color w:val="000000" w:themeColor="text1"/>
          <w:sz w:val="32"/>
          <w:szCs w:val="32"/>
          <w:highlight w:val="none"/>
          <w:lang w:val="zh-CN" w:eastAsia="zh-CN"/>
          <w14:textFill>
            <w14:solidFill>
              <w14:schemeClr w14:val="tx1"/>
            </w14:solidFill>
          </w14:textFill>
        </w:rPr>
        <w:t>）财政资金困难。</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为保障</w:t>
      </w:r>
      <w:r>
        <w:rPr>
          <w:rFonts w:hint="eastAsia" w:ascii="仿宋" w:hAnsi="仿宋" w:eastAsia="仿宋" w:cs="仿宋"/>
          <w:color w:val="000000" w:themeColor="text1"/>
          <w:spacing w:val="0"/>
          <w:sz w:val="32"/>
          <w:szCs w:val="32"/>
          <w:highlight w:val="none"/>
          <w:lang w:val="zh-CN" w:eastAsia="zh-CN"/>
          <w14:textFill>
            <w14:solidFill>
              <w14:schemeClr w14:val="tx1"/>
            </w14:solidFill>
          </w14:textFill>
        </w:rPr>
        <w:t>脱贫攻坚</w:t>
      </w:r>
      <w:r>
        <w:rPr>
          <w:rFonts w:hint="eastAsia" w:ascii="仿宋" w:hAnsi="仿宋" w:eastAsia="仿宋" w:cs="仿宋"/>
          <w:color w:val="000000" w:themeColor="text1"/>
          <w:spacing w:val="0"/>
          <w:sz w:val="32"/>
          <w:szCs w:val="32"/>
          <w:highlight w:val="none"/>
          <w:lang w:val="en-US" w:eastAsia="zh-CN"/>
          <w14:textFill>
            <w14:solidFill>
              <w14:schemeClr w14:val="tx1"/>
            </w14:solidFill>
          </w14:textFill>
        </w:rPr>
        <w:t>工作，并衔接乡村振兴工作</w:t>
      </w:r>
      <w:r>
        <w:rPr>
          <w:rFonts w:hint="eastAsia" w:ascii="仿宋" w:hAnsi="仿宋" w:eastAsia="仿宋" w:cs="仿宋"/>
          <w:color w:val="000000" w:themeColor="text1"/>
          <w:spacing w:val="0"/>
          <w:sz w:val="32"/>
          <w:szCs w:val="32"/>
          <w:highlight w:val="none"/>
          <w:lang w:val="zh-CN" w:eastAsia="zh-CN"/>
          <w14:textFill>
            <w14:solidFill>
              <w14:schemeClr w14:val="tx1"/>
            </w14:solidFill>
          </w14:textFill>
        </w:rPr>
        <w:t>，</w:t>
      </w:r>
      <w:r>
        <w:rPr>
          <w:rFonts w:hint="eastAsia" w:ascii="仿宋" w:hAnsi="仿宋" w:eastAsia="仿宋" w:cs="仿宋"/>
          <w:color w:val="000000" w:themeColor="text1"/>
          <w:spacing w:val="0"/>
          <w:sz w:val="32"/>
          <w:szCs w:val="32"/>
          <w:highlight w:val="none"/>
          <w:lang w:val="en-US" w:eastAsia="zh-CN"/>
          <w14:textFill>
            <w14:solidFill>
              <w14:schemeClr w14:val="tx1"/>
            </w14:solidFill>
          </w14:textFill>
        </w:rPr>
        <w:t>涉及交通、民生、绿化、人居环境、基础设施、产业扶贫等都存在资金的不足，</w:t>
      </w:r>
      <w:r>
        <w:rPr>
          <w:rFonts w:hint="eastAsia" w:ascii="仿宋" w:hAnsi="仿宋" w:eastAsia="仿宋" w:cs="仿宋"/>
          <w:color w:val="000000" w:themeColor="text1"/>
          <w:spacing w:val="0"/>
          <w:sz w:val="32"/>
          <w:szCs w:val="32"/>
          <w:highlight w:val="none"/>
          <w:lang w:val="zh-CN" w:eastAsia="zh-CN"/>
          <w14:textFill>
            <w14:solidFill>
              <w14:schemeClr w14:val="tx1"/>
            </w14:solidFill>
          </w14:textFill>
        </w:rPr>
        <w:t>压力较大。</w:t>
      </w:r>
    </w:p>
    <w:p>
      <w:pPr>
        <w:pStyle w:val="3"/>
        <w:pageBreakBefore w:val="0"/>
        <w:numPr>
          <w:ilvl w:val="0"/>
          <w:numId w:val="0"/>
        </w:numPr>
        <w:kinsoku/>
        <w:wordWrap/>
        <w:overflowPunct/>
        <w:topLinePunct w:val="0"/>
        <w:bidi w:val="0"/>
        <w:adjustRightInd w:val="0"/>
        <w:snapToGrid w:val="0"/>
        <w:spacing w:before="0" w:after="0" w:line="560" w:lineRule="exact"/>
        <w:ind w:left="0" w:leftChars="0" w:righ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七、改进措施及建议</w:t>
      </w:r>
      <w:bookmarkEnd w:id="15"/>
    </w:p>
    <w:p>
      <w:pPr>
        <w:pageBreakBefore w:val="0"/>
        <w:kinsoku/>
        <w:wordWrap/>
        <w:overflowPunct/>
        <w:topLinePunct/>
        <w:bidi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color w:val="auto"/>
          <w:sz w:val="32"/>
          <w:szCs w:val="32"/>
        </w:rPr>
        <w:t>一是</w:t>
      </w:r>
      <w:r>
        <w:rPr>
          <w:rFonts w:hint="eastAsia" w:ascii="仿宋" w:hAnsi="仿宋" w:eastAsia="仿宋" w:cs="仿宋"/>
          <w:b/>
          <w:bCs/>
          <w:color w:val="auto"/>
          <w:sz w:val="32"/>
          <w:szCs w:val="32"/>
          <w:lang w:val="en-US" w:eastAsia="zh-CN"/>
        </w:rPr>
        <w:t>发挥</w:t>
      </w:r>
      <w:r>
        <w:rPr>
          <w:rFonts w:hint="eastAsia" w:ascii="仿宋" w:hAnsi="仿宋" w:eastAsia="仿宋" w:cs="仿宋"/>
          <w:b/>
          <w:bCs/>
          <w:color w:val="auto"/>
          <w:sz w:val="32"/>
          <w:szCs w:val="32"/>
        </w:rPr>
        <w:t>政策优势。</w:t>
      </w:r>
      <w:r>
        <w:rPr>
          <w:rFonts w:hint="eastAsia" w:ascii="仿宋" w:hAnsi="仿宋" w:eastAsia="仿宋" w:cs="仿宋"/>
          <w:color w:val="auto"/>
          <w:sz w:val="32"/>
          <w:szCs w:val="32"/>
        </w:rPr>
        <w:t>因民面临着“</w:t>
      </w:r>
      <w:r>
        <w:rPr>
          <w:rFonts w:hint="eastAsia" w:ascii="仿宋" w:hAnsi="仿宋" w:eastAsia="仿宋" w:cs="仿宋"/>
          <w:color w:val="auto"/>
          <w:sz w:val="32"/>
          <w:szCs w:val="32"/>
          <w:lang w:val="zh-CN"/>
        </w:rPr>
        <w:t>金沙江经济带</w:t>
      </w:r>
      <w:r>
        <w:rPr>
          <w:rFonts w:hint="eastAsia" w:ascii="仿宋" w:hAnsi="仿宋" w:eastAsia="仿宋" w:cs="仿宋"/>
          <w:color w:val="auto"/>
          <w:sz w:val="32"/>
          <w:szCs w:val="32"/>
        </w:rPr>
        <w:t>建设、白鹤滩水电站建成、独立工矿区改造提升工程、绿色矿山建设”四大机遇，国家提出双循环并重的新发展格局，有助于争取新基建等相关项目和政策支持，补强发展短板；随着</w:t>
      </w:r>
      <w:r>
        <w:rPr>
          <w:rFonts w:hint="eastAsia" w:ascii="仿宋" w:hAnsi="仿宋" w:eastAsia="仿宋" w:cs="仿宋"/>
          <w:color w:val="auto"/>
          <w:sz w:val="32"/>
          <w:szCs w:val="32"/>
          <w:lang w:val="zh-CN"/>
        </w:rPr>
        <w:t>资源型城市转型发展示范区、长江上游生态修复示范区、</w:t>
      </w:r>
      <w:r>
        <w:rPr>
          <w:rFonts w:hint="eastAsia" w:ascii="仿宋" w:hAnsi="仿宋" w:eastAsia="仿宋" w:cs="仿宋"/>
          <w:color w:val="auto"/>
          <w:sz w:val="32"/>
          <w:szCs w:val="32"/>
        </w:rPr>
        <w:t>独立工矿区以及十四五规划和乡村振兴等战略的深入实施，为因民高质量发展提供良好契机。</w:t>
      </w:r>
      <w:r>
        <w:rPr>
          <w:rFonts w:hint="eastAsia" w:ascii="仿宋" w:hAnsi="仿宋" w:eastAsia="仿宋" w:cs="仿宋"/>
          <w:b/>
          <w:bCs/>
          <w:color w:val="auto"/>
          <w:sz w:val="32"/>
          <w:szCs w:val="32"/>
        </w:rPr>
        <w:t>二是</w:t>
      </w:r>
      <w:r>
        <w:rPr>
          <w:rFonts w:hint="eastAsia" w:ascii="仿宋" w:hAnsi="仿宋" w:eastAsia="仿宋" w:cs="仿宋"/>
          <w:b/>
          <w:bCs/>
          <w:color w:val="auto"/>
          <w:sz w:val="32"/>
          <w:szCs w:val="32"/>
          <w:lang w:val="en-US" w:eastAsia="zh-CN"/>
        </w:rPr>
        <w:t>发挥</w:t>
      </w:r>
      <w:r>
        <w:rPr>
          <w:rFonts w:hint="eastAsia" w:ascii="仿宋" w:hAnsi="仿宋" w:eastAsia="仿宋" w:cs="仿宋"/>
          <w:b/>
          <w:bCs/>
          <w:color w:val="auto"/>
          <w:sz w:val="32"/>
          <w:szCs w:val="32"/>
        </w:rPr>
        <w:t>区位优势。</w:t>
      </w:r>
      <w:r>
        <w:rPr>
          <w:rFonts w:hint="eastAsia" w:ascii="仿宋" w:hAnsi="仿宋" w:eastAsia="仿宋" w:cs="仿宋"/>
          <w:color w:val="auto"/>
          <w:sz w:val="32"/>
          <w:szCs w:val="32"/>
        </w:rPr>
        <w:t>借助地处长江上游金沙江沿线，主动融入滇中城市群一体化、金沙江流域生态廊道建设、长江经济带发展战略，依托白鹤滩水电站蓄水后因民码头建设，打通水运通道，助推特色工贸集镇建设。</w:t>
      </w:r>
      <w:r>
        <w:rPr>
          <w:rFonts w:hint="eastAsia" w:ascii="仿宋" w:hAnsi="仿宋" w:eastAsia="仿宋" w:cs="仿宋"/>
          <w:b/>
          <w:bCs/>
          <w:color w:val="auto"/>
          <w:sz w:val="32"/>
          <w:szCs w:val="32"/>
        </w:rPr>
        <w:t>三是</w:t>
      </w:r>
      <w:r>
        <w:rPr>
          <w:rFonts w:hint="eastAsia" w:ascii="仿宋" w:hAnsi="仿宋" w:eastAsia="仿宋" w:cs="仿宋"/>
          <w:b/>
          <w:bCs/>
          <w:color w:val="auto"/>
          <w:sz w:val="32"/>
          <w:szCs w:val="32"/>
          <w:lang w:val="en-US" w:eastAsia="zh-CN"/>
        </w:rPr>
        <w:t>发挥</w:t>
      </w:r>
      <w:r>
        <w:rPr>
          <w:rFonts w:hint="eastAsia" w:ascii="仿宋" w:hAnsi="仿宋" w:eastAsia="仿宋" w:cs="仿宋"/>
          <w:b/>
          <w:bCs/>
          <w:color w:val="auto"/>
          <w:sz w:val="32"/>
          <w:szCs w:val="32"/>
        </w:rPr>
        <w:t>发展优势。</w:t>
      </w:r>
      <w:r>
        <w:rPr>
          <w:rFonts w:hint="eastAsia" w:ascii="仿宋" w:hAnsi="仿宋" w:eastAsia="仿宋" w:cs="仿宋"/>
          <w:color w:val="auto"/>
          <w:sz w:val="32"/>
          <w:szCs w:val="32"/>
        </w:rPr>
        <w:t>因民镇采铜历史源远流长，历来有良好的工业基础，五年来的脱贫攻坚，建设了一大批水电路等支撑性基础设施，高质量发展基础进一步巩固。</w:t>
      </w:r>
      <w:r>
        <w:rPr>
          <w:rFonts w:hint="eastAsia" w:ascii="仿宋" w:hAnsi="仿宋" w:eastAsia="仿宋" w:cs="仿宋"/>
          <w:b/>
          <w:bCs/>
          <w:color w:val="auto"/>
          <w:sz w:val="32"/>
          <w:szCs w:val="32"/>
        </w:rPr>
        <w:t>四是</w:t>
      </w:r>
      <w:r>
        <w:rPr>
          <w:rFonts w:hint="eastAsia" w:ascii="仿宋" w:hAnsi="仿宋" w:eastAsia="仿宋" w:cs="仿宋"/>
          <w:b/>
          <w:bCs/>
          <w:color w:val="auto"/>
          <w:sz w:val="32"/>
          <w:szCs w:val="32"/>
          <w:lang w:val="en-US" w:eastAsia="zh-CN"/>
        </w:rPr>
        <w:t>发挥</w:t>
      </w:r>
      <w:r>
        <w:rPr>
          <w:rFonts w:hint="eastAsia" w:ascii="仿宋" w:hAnsi="仿宋" w:eastAsia="仿宋" w:cs="仿宋"/>
          <w:b/>
          <w:bCs/>
          <w:color w:val="auto"/>
          <w:sz w:val="32"/>
          <w:szCs w:val="32"/>
        </w:rPr>
        <w:t>人文优势。</w:t>
      </w:r>
      <w:r>
        <w:rPr>
          <w:rFonts w:hint="eastAsia" w:ascii="仿宋" w:hAnsi="仿宋" w:eastAsia="仿宋" w:cs="仿宋"/>
          <w:color w:val="auto"/>
          <w:sz w:val="32"/>
          <w:szCs w:val="32"/>
        </w:rPr>
        <w:t>因民镇历史悠久、人杰地灵，有深厚的铜文化、石文化、水文化和少数民族文化底蕴，多元的文化培育了“四个特别”干部精神，带动全镇地矿和谐、干群和谐。</w:t>
      </w:r>
      <w:r>
        <w:rPr>
          <w:rFonts w:hint="eastAsia" w:ascii="仿宋" w:hAnsi="仿宋" w:eastAsia="仿宋" w:cs="仿宋"/>
          <w:b/>
          <w:bCs/>
          <w:color w:val="auto"/>
          <w:sz w:val="32"/>
          <w:szCs w:val="32"/>
          <w:lang w:val="en-US" w:eastAsia="zh-CN"/>
        </w:rPr>
        <w:t>五是发挥帮扶优势。</w:t>
      </w:r>
      <w:r>
        <w:rPr>
          <w:rFonts w:hint="eastAsia" w:ascii="仿宋" w:hAnsi="仿宋" w:eastAsia="仿宋" w:cs="仿宋"/>
          <w:sz w:val="32"/>
          <w:szCs w:val="32"/>
        </w:rPr>
        <w:t>积极争取省税务局（省注册税务师事务所）、官渡区等帮扶单位</w:t>
      </w:r>
      <w:r>
        <w:rPr>
          <w:rFonts w:hint="eastAsia" w:ascii="仿宋" w:hAnsi="仿宋" w:eastAsia="仿宋" w:cs="仿宋"/>
          <w:sz w:val="32"/>
          <w:szCs w:val="32"/>
          <w:lang w:val="en-US" w:eastAsia="zh-CN"/>
        </w:rPr>
        <w:t>的支持，保障后续脱贫成效巩固。</w:t>
      </w:r>
      <w:r>
        <w:rPr>
          <w:rFonts w:hint="eastAsia" w:ascii="仿宋" w:hAnsi="仿宋" w:eastAsia="仿宋" w:cs="仿宋"/>
          <w:b/>
          <w:bCs/>
          <w:sz w:val="32"/>
          <w:szCs w:val="32"/>
          <w:lang w:val="en-US" w:eastAsia="zh-CN"/>
        </w:rPr>
        <w:t>六是发挥财经制度优势。一</w:t>
      </w:r>
      <w:r>
        <w:rPr>
          <w:rFonts w:hint="eastAsia" w:ascii="仿宋" w:hAnsi="仿宋" w:eastAsia="仿宋" w:cs="仿宋"/>
          <w:b/>
          <w:bCs/>
          <w:sz w:val="32"/>
          <w:szCs w:val="32"/>
        </w:rPr>
        <w:t>是</w:t>
      </w:r>
      <w:r>
        <w:rPr>
          <w:rFonts w:hint="eastAsia" w:ascii="仿宋" w:hAnsi="仿宋" w:eastAsia="仿宋" w:cs="仿宋"/>
          <w:sz w:val="32"/>
          <w:szCs w:val="32"/>
        </w:rPr>
        <w:t>加强绩效目标编制、项目管理和后续绩效跟踪，年度绩效目标应围绕可量化、可衡量、可评价的维度设计并实施考核，使项目绩效目标得到有效衡量和运用，按期优质实现；</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是</w:t>
      </w:r>
      <w:r>
        <w:rPr>
          <w:rFonts w:hint="eastAsia" w:ascii="仿宋" w:hAnsi="仿宋" w:eastAsia="仿宋" w:cs="仿宋"/>
          <w:color w:val="000000"/>
          <w:sz w:val="32"/>
          <w:szCs w:val="32"/>
        </w:rPr>
        <w:t>做好财政预算指标核对和结算工作。</w:t>
      </w:r>
      <w:r>
        <w:rPr>
          <w:rFonts w:hint="eastAsia" w:ascii="仿宋" w:hAnsi="仿宋" w:eastAsia="仿宋" w:cs="仿宋"/>
          <w:b/>
          <w:bCs/>
          <w:color w:val="000000"/>
          <w:sz w:val="32"/>
          <w:szCs w:val="32"/>
          <w:lang w:val="en-US" w:eastAsia="zh-CN"/>
        </w:rPr>
        <w:t>三</w:t>
      </w:r>
      <w:r>
        <w:rPr>
          <w:rFonts w:hint="eastAsia" w:ascii="仿宋" w:hAnsi="仿宋" w:eastAsia="仿宋" w:cs="仿宋"/>
          <w:b/>
          <w:bCs/>
          <w:color w:val="000000"/>
          <w:sz w:val="32"/>
          <w:szCs w:val="32"/>
        </w:rPr>
        <w:t>是</w:t>
      </w:r>
      <w:r>
        <w:rPr>
          <w:rFonts w:hint="eastAsia" w:ascii="仿宋" w:hAnsi="仿宋" w:eastAsia="仿宋" w:cs="仿宋"/>
          <w:color w:val="000000"/>
          <w:sz w:val="32"/>
          <w:szCs w:val="32"/>
        </w:rPr>
        <w:t>在预算执行过程中，认真贯彻落实党政机关厉行节约反对浪费等相关规定，严格控制一般性支出，按照批准的预算严格控制各项支出，未擅自变更和调整预算。</w:t>
      </w:r>
      <w:r>
        <w:rPr>
          <w:rFonts w:hint="eastAsia" w:ascii="仿宋" w:hAnsi="仿宋" w:eastAsia="仿宋" w:cs="仿宋"/>
          <w:b/>
          <w:bCs/>
          <w:color w:val="000000"/>
          <w:sz w:val="32"/>
          <w:szCs w:val="32"/>
          <w:lang w:val="en-US" w:eastAsia="zh-CN"/>
        </w:rPr>
        <w:t>四</w:t>
      </w:r>
      <w:r>
        <w:rPr>
          <w:rFonts w:hint="eastAsia" w:ascii="仿宋" w:hAnsi="仿宋" w:eastAsia="仿宋" w:cs="仿宋"/>
          <w:b/>
          <w:bCs/>
          <w:color w:val="000000"/>
          <w:sz w:val="32"/>
          <w:szCs w:val="32"/>
        </w:rPr>
        <w:t>是</w:t>
      </w:r>
      <w:r>
        <w:rPr>
          <w:rFonts w:hint="eastAsia" w:ascii="仿宋" w:hAnsi="仿宋" w:eastAsia="仿宋" w:cs="仿宋"/>
          <w:color w:val="000000"/>
          <w:sz w:val="32"/>
          <w:szCs w:val="32"/>
        </w:rPr>
        <w:t>按照国库集中支付制度要求，严格按照所列款项及用途列支，未挤占挪用基本运行经费。</w:t>
      </w:r>
      <w:r>
        <w:rPr>
          <w:rFonts w:hint="eastAsia" w:ascii="仿宋" w:hAnsi="仿宋" w:eastAsia="仿宋" w:cs="仿宋"/>
          <w:b/>
          <w:bCs/>
          <w:sz w:val="32"/>
          <w:szCs w:val="32"/>
        </w:rPr>
        <w:t>五是</w:t>
      </w:r>
      <w:r>
        <w:rPr>
          <w:rFonts w:hint="eastAsia" w:ascii="仿宋" w:hAnsi="仿宋" w:eastAsia="仿宋" w:cs="仿宋"/>
          <w:sz w:val="32"/>
          <w:szCs w:val="32"/>
        </w:rPr>
        <w:t>提高政府总结报告的编写质量，使年度实际完成数据和预期数据具备可比性。</w:t>
      </w: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rPr>
      </w:pPr>
      <w:r>
        <w:rPr>
          <w:rFonts w:hint="eastAsia" w:ascii="仿宋" w:hAnsi="仿宋" w:eastAsia="仿宋" w:cs="仿宋"/>
          <w:sz w:val="32"/>
          <w:szCs w:val="32"/>
        </w:rPr>
        <w:t>绩效评价报告正文后需附以下佐证材料</w:t>
      </w: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因民镇</w:t>
      </w:r>
      <w:r>
        <w:rPr>
          <w:rFonts w:hint="eastAsia" w:ascii="仿宋" w:hAnsi="仿宋" w:eastAsia="仿宋" w:cs="仿宋"/>
          <w:sz w:val="32"/>
          <w:szCs w:val="32"/>
        </w:rPr>
        <w:t>人民政府20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年部门整体支出绩效评价指标体系及评分表；</w:t>
      </w: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rPr>
      </w:pPr>
      <w:r>
        <w:rPr>
          <w:rFonts w:hint="eastAsia" w:ascii="仿宋" w:hAnsi="仿宋" w:eastAsia="仿宋" w:cs="仿宋"/>
          <w:sz w:val="32"/>
          <w:szCs w:val="32"/>
        </w:rPr>
        <w:t>2.问卷调查报告；</w:t>
      </w: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rPr>
      </w:pPr>
      <w:r>
        <w:rPr>
          <w:rFonts w:hint="eastAsia" w:ascii="仿宋" w:hAnsi="仿宋" w:eastAsia="仿宋" w:cs="仿宋"/>
          <w:sz w:val="32"/>
          <w:szCs w:val="32"/>
        </w:rPr>
        <w:t>3.成本效益分析报告；</w:t>
      </w: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rPr>
      </w:pPr>
      <w:r>
        <w:rPr>
          <w:rFonts w:hint="eastAsia" w:ascii="仿宋" w:hAnsi="仿宋" w:eastAsia="仿宋" w:cs="仿宋"/>
          <w:sz w:val="32"/>
          <w:szCs w:val="32"/>
        </w:rPr>
        <w:t>4.工作底稿（电子版）；</w:t>
      </w:r>
    </w:p>
    <w:p>
      <w:pPr>
        <w:pStyle w:val="5"/>
        <w:pageBreakBefore w:val="0"/>
        <w:kinsoku/>
        <w:wordWrap/>
        <w:overflowPunct/>
        <w:topLinePunct w:val="0"/>
        <w:bidi w:val="0"/>
        <w:adjustRightInd w:val="0"/>
        <w:snapToGrid w:val="0"/>
        <w:spacing w:line="560" w:lineRule="exact"/>
        <w:ind w:left="0" w:leftChars="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基础资料（2020年决算报表、2020年预算公开资料、部门中长期规划）</w:t>
      </w: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lang w:val="en-US"/>
        </w:rPr>
      </w:pP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lang w:val="en-US"/>
        </w:rPr>
      </w:pP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lang w:val="en-US"/>
        </w:rPr>
      </w:pP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lang w:val="en-US"/>
        </w:rPr>
      </w:pP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lang w:val="en-US"/>
        </w:rPr>
      </w:pP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lang w:val="en-US"/>
        </w:rPr>
      </w:pP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lang w:val="en-US"/>
        </w:rPr>
      </w:pP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lang w:val="en-US"/>
        </w:rPr>
      </w:pP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lang w:val="en-US"/>
        </w:rPr>
      </w:pP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lang w:val="en-US"/>
        </w:rPr>
      </w:pP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lang w:val="en-US"/>
        </w:rPr>
      </w:pP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lang w:val="en-US"/>
        </w:rPr>
      </w:pP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lang w:val="en-US"/>
        </w:rPr>
      </w:pPr>
    </w:p>
    <w:p>
      <w:pPr>
        <w:pStyle w:val="5"/>
        <w:pageBreakBefore w:val="0"/>
        <w:kinsoku/>
        <w:wordWrap/>
        <w:overflowPunct/>
        <w:topLinePunct w:val="0"/>
        <w:bidi w:val="0"/>
        <w:adjustRightInd w:val="0"/>
        <w:snapToGrid w:val="0"/>
        <w:spacing w:line="560" w:lineRule="exact"/>
        <w:ind w:left="0" w:leftChars="0" w:right="0" w:firstLine="640" w:firstLineChars="200"/>
        <w:jc w:val="both"/>
        <w:rPr>
          <w:rFonts w:hint="eastAsia" w:ascii="仿宋" w:hAnsi="仿宋" w:eastAsia="仿宋" w:cs="仿宋"/>
          <w:sz w:val="32"/>
          <w:szCs w:val="32"/>
          <w:lang w:val="en-US"/>
        </w:rPr>
      </w:pPr>
    </w:p>
    <w:p>
      <w:pPr>
        <w:pStyle w:val="5"/>
        <w:pageBreakBefore w:val="0"/>
        <w:kinsoku/>
        <w:wordWrap/>
        <w:overflowPunct/>
        <w:topLinePunct w:val="0"/>
        <w:bidi w:val="0"/>
        <w:adjustRightInd w:val="0"/>
        <w:snapToGrid w:val="0"/>
        <w:spacing w:line="560" w:lineRule="exact"/>
        <w:ind w:left="0" w:leftChars="0" w:right="0" w:firstLine="640" w:firstLineChars="200"/>
        <w:jc w:val="center"/>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因民镇</w:t>
      </w:r>
      <w:r>
        <w:rPr>
          <w:rFonts w:hint="eastAsia" w:ascii="仿宋" w:hAnsi="仿宋" w:eastAsia="仿宋" w:cs="仿宋"/>
          <w:sz w:val="32"/>
          <w:szCs w:val="32"/>
          <w:lang w:val="en-US"/>
        </w:rPr>
        <w:t>绩效评价工作小组</w:t>
      </w:r>
    </w:p>
    <w:p>
      <w:pPr>
        <w:pStyle w:val="5"/>
        <w:pageBreakBefore w:val="0"/>
        <w:kinsoku/>
        <w:wordWrap/>
        <w:overflowPunct/>
        <w:topLinePunct w:val="0"/>
        <w:bidi w:val="0"/>
        <w:adjustRightInd w:val="0"/>
        <w:snapToGrid w:val="0"/>
        <w:spacing w:line="560" w:lineRule="exact"/>
        <w:ind w:left="0" w:leftChars="0" w:right="0"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202</w:t>
      </w:r>
      <w:r>
        <w:rPr>
          <w:rFonts w:hint="eastAsia" w:ascii="仿宋" w:hAnsi="仿宋" w:eastAsia="仿宋" w:cs="仿宋"/>
          <w:sz w:val="32"/>
          <w:szCs w:val="32"/>
          <w:lang w:val="en-US" w:eastAsia="zh-CN"/>
        </w:rPr>
        <w:t>1</w:t>
      </w:r>
      <w:r>
        <w:rPr>
          <w:rFonts w:hint="eastAsia" w:ascii="仿宋" w:hAnsi="仿宋" w:eastAsia="仿宋" w:cs="仿宋"/>
          <w:sz w:val="32"/>
          <w:szCs w:val="32"/>
          <w:lang w:val="en-US"/>
        </w:rPr>
        <w:t>年</w:t>
      </w:r>
      <w:r>
        <w:rPr>
          <w:rFonts w:hint="eastAsia" w:ascii="仿宋" w:hAnsi="仿宋" w:eastAsia="仿宋" w:cs="仿宋"/>
          <w:sz w:val="32"/>
          <w:szCs w:val="32"/>
          <w:lang w:val="en-US" w:eastAsia="zh-CN"/>
        </w:rPr>
        <w:t>5</w:t>
      </w:r>
      <w:r>
        <w:rPr>
          <w:rFonts w:hint="eastAsia" w:ascii="仿宋" w:hAnsi="仿宋" w:eastAsia="仿宋" w:cs="仿宋"/>
          <w:sz w:val="32"/>
          <w:szCs w:val="32"/>
          <w:lang w:val="en-US"/>
        </w:rPr>
        <w:t>月</w:t>
      </w:r>
      <w:r>
        <w:rPr>
          <w:rFonts w:hint="eastAsia" w:ascii="仿宋" w:hAnsi="仿宋" w:eastAsia="仿宋" w:cs="仿宋"/>
          <w:sz w:val="32"/>
          <w:szCs w:val="32"/>
          <w:lang w:val="en-US" w:eastAsia="zh-CN"/>
        </w:rPr>
        <w:t>31</w:t>
      </w:r>
      <w:r>
        <w:rPr>
          <w:rFonts w:hint="eastAsia" w:ascii="仿宋" w:hAnsi="仿宋" w:eastAsia="仿宋" w:cs="仿宋"/>
          <w:sz w:val="32"/>
          <w:szCs w:val="32"/>
          <w:lang w:val="en-US"/>
        </w:rPr>
        <w:t>日</w:t>
      </w: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pPr>
              <w:pStyle w:val="8"/>
              <w:jc w:val="cente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b/>
        <w:bCs/>
        <w:sz w:val="24"/>
        <w:szCs w:val="24"/>
        <w:lang w:val="en-US" w:eastAsia="zh-CN"/>
      </w:rPr>
    </w:pPr>
    <w:r>
      <w:rPr>
        <w:b/>
        <w:bCs/>
        <w:sz w:val="24"/>
        <w:szCs w:val="24"/>
      </w:rPr>
      <w:fldChar w:fldCharType="begin"/>
    </w:r>
    <w:r>
      <w:rPr>
        <w:b/>
        <w:bCs/>
        <w:sz w:val="24"/>
        <w:szCs w:val="24"/>
      </w:rPr>
      <w:instrText xml:space="preserve">PAGE</w:instrText>
    </w:r>
    <w:r>
      <w:rPr>
        <w:b/>
        <w:bCs/>
        <w:sz w:val="24"/>
        <w:szCs w:val="24"/>
      </w:rPr>
      <w:fldChar w:fldCharType="separate"/>
    </w:r>
    <w:r>
      <w:rPr>
        <w:b/>
        <w:bCs/>
        <w:sz w:val="24"/>
        <w:szCs w:val="24"/>
      </w:rPr>
      <w:t>5</w:t>
    </w:r>
    <w:r>
      <w:rPr>
        <w:b/>
        <w:bCs/>
        <w:sz w:val="24"/>
        <w:szCs w:val="24"/>
      </w:rPr>
      <w:fldChar w:fldCharType="end"/>
    </w:r>
    <w:r>
      <w:rPr>
        <w:b/>
        <w:bCs/>
        <w:sz w:val="24"/>
        <w:szCs w:val="24"/>
        <w:lang w:val="zh-CN"/>
      </w:rPr>
      <w:t>/</w:t>
    </w:r>
    <w:r>
      <w:rPr>
        <w:rFonts w:hint="eastAsia"/>
        <w:b/>
        <w:bCs/>
        <w:sz w:val="24"/>
        <w:szCs w:val="24"/>
        <w:lang w:val="en-US" w:eastAsia="zh-CN"/>
      </w:rPr>
      <w:t>30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22E9A"/>
    <w:multiLevelType w:val="singleLevel"/>
    <w:tmpl w:val="C9622E9A"/>
    <w:lvl w:ilvl="0" w:tentative="0">
      <w:start w:val="4"/>
      <w:numFmt w:val="chineseCounting"/>
      <w:suff w:val="nothing"/>
      <w:lvlText w:val="（%1）"/>
      <w:lvlJc w:val="left"/>
      <w:rPr>
        <w:rFonts w:hint="eastAsia"/>
      </w:rPr>
    </w:lvl>
  </w:abstractNum>
  <w:abstractNum w:abstractNumId="1">
    <w:nsid w:val="FBFA9561"/>
    <w:multiLevelType w:val="singleLevel"/>
    <w:tmpl w:val="FBFA9561"/>
    <w:lvl w:ilvl="0" w:tentative="0">
      <w:start w:val="2"/>
      <w:numFmt w:val="decimal"/>
      <w:suff w:val="nothing"/>
      <w:lvlText w:val="（%1）"/>
      <w:lvlJc w:val="left"/>
      <w:pPr>
        <w:ind w:left="64"/>
      </w:pPr>
      <w:rPr>
        <w:rFonts w:hint="default"/>
        <w:color w:val="auto"/>
      </w:rPr>
    </w:lvl>
  </w:abstractNum>
  <w:abstractNum w:abstractNumId="2">
    <w:nsid w:val="2440625C"/>
    <w:multiLevelType w:val="singleLevel"/>
    <w:tmpl w:val="2440625C"/>
    <w:lvl w:ilvl="0" w:tentative="0">
      <w:start w:val="1"/>
      <w:numFmt w:val="decimal"/>
      <w:suff w:val="nothing"/>
      <w:lvlText w:val="%1．"/>
      <w:lvlJc w:val="left"/>
      <w:pPr>
        <w:ind w:left="0" w:firstLine="400"/>
      </w:pPr>
      <w:rPr>
        <w:rFonts w:hint="default"/>
      </w:rPr>
    </w:lvl>
  </w:abstractNum>
  <w:abstractNum w:abstractNumId="3">
    <w:nsid w:val="4925949D"/>
    <w:multiLevelType w:val="singleLevel"/>
    <w:tmpl w:val="4925949D"/>
    <w:lvl w:ilvl="0" w:tentative="0">
      <w:start w:val="3"/>
      <w:numFmt w:val="decimal"/>
      <w:suff w:val="nothing"/>
      <w:lvlText w:val="（%1）"/>
      <w:lvlJc w:val="left"/>
      <w:pPr>
        <w:ind w:left="64"/>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0013439D"/>
    <w:rsid w:val="00005729"/>
    <w:rsid w:val="00005949"/>
    <w:rsid w:val="00031C35"/>
    <w:rsid w:val="00033504"/>
    <w:rsid w:val="000378CF"/>
    <w:rsid w:val="00040103"/>
    <w:rsid w:val="000409D3"/>
    <w:rsid w:val="00042BBD"/>
    <w:rsid w:val="0006611F"/>
    <w:rsid w:val="000761BB"/>
    <w:rsid w:val="000A0150"/>
    <w:rsid w:val="000A59E1"/>
    <w:rsid w:val="000B169B"/>
    <w:rsid w:val="000C2B94"/>
    <w:rsid w:val="000C39A2"/>
    <w:rsid w:val="000C591D"/>
    <w:rsid w:val="000E69EB"/>
    <w:rsid w:val="000F014F"/>
    <w:rsid w:val="000F5F8D"/>
    <w:rsid w:val="00104E45"/>
    <w:rsid w:val="001262DD"/>
    <w:rsid w:val="0013439D"/>
    <w:rsid w:val="00156D8F"/>
    <w:rsid w:val="00172C8B"/>
    <w:rsid w:val="00174C6D"/>
    <w:rsid w:val="001752BE"/>
    <w:rsid w:val="00185B54"/>
    <w:rsid w:val="001A5F89"/>
    <w:rsid w:val="001E4D2A"/>
    <w:rsid w:val="001E6E53"/>
    <w:rsid w:val="001F602F"/>
    <w:rsid w:val="001F74FD"/>
    <w:rsid w:val="0020114B"/>
    <w:rsid w:val="0023410B"/>
    <w:rsid w:val="002455A0"/>
    <w:rsid w:val="002478AB"/>
    <w:rsid w:val="0028531D"/>
    <w:rsid w:val="00287CB7"/>
    <w:rsid w:val="0029324C"/>
    <w:rsid w:val="002B02E0"/>
    <w:rsid w:val="002D6785"/>
    <w:rsid w:val="00322251"/>
    <w:rsid w:val="00337250"/>
    <w:rsid w:val="0034623D"/>
    <w:rsid w:val="00377590"/>
    <w:rsid w:val="00382C98"/>
    <w:rsid w:val="003A2920"/>
    <w:rsid w:val="003A2F07"/>
    <w:rsid w:val="003B6090"/>
    <w:rsid w:val="003C1E3F"/>
    <w:rsid w:val="003C76C4"/>
    <w:rsid w:val="003C7928"/>
    <w:rsid w:val="004036B0"/>
    <w:rsid w:val="0040503B"/>
    <w:rsid w:val="00412CBD"/>
    <w:rsid w:val="00425EE3"/>
    <w:rsid w:val="00455286"/>
    <w:rsid w:val="00461351"/>
    <w:rsid w:val="004616A9"/>
    <w:rsid w:val="004741DC"/>
    <w:rsid w:val="00480AC0"/>
    <w:rsid w:val="00484EF9"/>
    <w:rsid w:val="00486349"/>
    <w:rsid w:val="00490697"/>
    <w:rsid w:val="004C0C1F"/>
    <w:rsid w:val="004E4DA1"/>
    <w:rsid w:val="00507EC8"/>
    <w:rsid w:val="00540F0C"/>
    <w:rsid w:val="00547A5E"/>
    <w:rsid w:val="00552D8C"/>
    <w:rsid w:val="005A016B"/>
    <w:rsid w:val="005A024F"/>
    <w:rsid w:val="005A5022"/>
    <w:rsid w:val="005A5B2E"/>
    <w:rsid w:val="005C0B8A"/>
    <w:rsid w:val="005C13C0"/>
    <w:rsid w:val="005C2A84"/>
    <w:rsid w:val="005F1859"/>
    <w:rsid w:val="0060131F"/>
    <w:rsid w:val="00607FAE"/>
    <w:rsid w:val="006322A0"/>
    <w:rsid w:val="0064200B"/>
    <w:rsid w:val="006505B4"/>
    <w:rsid w:val="00653986"/>
    <w:rsid w:val="0065748C"/>
    <w:rsid w:val="00681444"/>
    <w:rsid w:val="00684AD5"/>
    <w:rsid w:val="006B5470"/>
    <w:rsid w:val="006B60BF"/>
    <w:rsid w:val="006C2BE1"/>
    <w:rsid w:val="006C379B"/>
    <w:rsid w:val="006C4F0D"/>
    <w:rsid w:val="006C7CC2"/>
    <w:rsid w:val="006D0FDA"/>
    <w:rsid w:val="006E5410"/>
    <w:rsid w:val="006F0096"/>
    <w:rsid w:val="007152AA"/>
    <w:rsid w:val="0072399C"/>
    <w:rsid w:val="00732437"/>
    <w:rsid w:val="0076600C"/>
    <w:rsid w:val="0077190B"/>
    <w:rsid w:val="007A2F77"/>
    <w:rsid w:val="007B1114"/>
    <w:rsid w:val="007B4692"/>
    <w:rsid w:val="007C18BB"/>
    <w:rsid w:val="007C421D"/>
    <w:rsid w:val="007C5E2A"/>
    <w:rsid w:val="007D7003"/>
    <w:rsid w:val="007E476F"/>
    <w:rsid w:val="007F44E8"/>
    <w:rsid w:val="007F52EA"/>
    <w:rsid w:val="008014F2"/>
    <w:rsid w:val="008023B0"/>
    <w:rsid w:val="00822516"/>
    <w:rsid w:val="00825617"/>
    <w:rsid w:val="00845049"/>
    <w:rsid w:val="00852DEE"/>
    <w:rsid w:val="0085341B"/>
    <w:rsid w:val="00871607"/>
    <w:rsid w:val="00884D2A"/>
    <w:rsid w:val="00893884"/>
    <w:rsid w:val="008C7894"/>
    <w:rsid w:val="008E718C"/>
    <w:rsid w:val="008F7DFC"/>
    <w:rsid w:val="00914DA7"/>
    <w:rsid w:val="00917E81"/>
    <w:rsid w:val="00934377"/>
    <w:rsid w:val="00945A0D"/>
    <w:rsid w:val="00947495"/>
    <w:rsid w:val="00950736"/>
    <w:rsid w:val="00953CEF"/>
    <w:rsid w:val="00954B2B"/>
    <w:rsid w:val="0095554A"/>
    <w:rsid w:val="00961B21"/>
    <w:rsid w:val="0096252F"/>
    <w:rsid w:val="009866C3"/>
    <w:rsid w:val="00986DF8"/>
    <w:rsid w:val="00986E20"/>
    <w:rsid w:val="00992799"/>
    <w:rsid w:val="009A1D47"/>
    <w:rsid w:val="009B2ECF"/>
    <w:rsid w:val="009C1EE1"/>
    <w:rsid w:val="009C6A53"/>
    <w:rsid w:val="009D24E7"/>
    <w:rsid w:val="009D2D31"/>
    <w:rsid w:val="009E6376"/>
    <w:rsid w:val="009F60F1"/>
    <w:rsid w:val="00A027B8"/>
    <w:rsid w:val="00A04E36"/>
    <w:rsid w:val="00A05A4B"/>
    <w:rsid w:val="00A07E5A"/>
    <w:rsid w:val="00A10B65"/>
    <w:rsid w:val="00A12D96"/>
    <w:rsid w:val="00A36A6F"/>
    <w:rsid w:val="00A42C39"/>
    <w:rsid w:val="00A5599F"/>
    <w:rsid w:val="00A56198"/>
    <w:rsid w:val="00A602CA"/>
    <w:rsid w:val="00A62D2D"/>
    <w:rsid w:val="00AA33C3"/>
    <w:rsid w:val="00AB2417"/>
    <w:rsid w:val="00AB711A"/>
    <w:rsid w:val="00AC12EA"/>
    <w:rsid w:val="00AC2664"/>
    <w:rsid w:val="00AC6466"/>
    <w:rsid w:val="00AF5D44"/>
    <w:rsid w:val="00B12141"/>
    <w:rsid w:val="00B14133"/>
    <w:rsid w:val="00B2252F"/>
    <w:rsid w:val="00B316D7"/>
    <w:rsid w:val="00B42CE7"/>
    <w:rsid w:val="00B50558"/>
    <w:rsid w:val="00B605FF"/>
    <w:rsid w:val="00B628D6"/>
    <w:rsid w:val="00B62C21"/>
    <w:rsid w:val="00B762AF"/>
    <w:rsid w:val="00BA3927"/>
    <w:rsid w:val="00BB6A95"/>
    <w:rsid w:val="00BB763F"/>
    <w:rsid w:val="00BC2ED2"/>
    <w:rsid w:val="00BE489D"/>
    <w:rsid w:val="00BE6A02"/>
    <w:rsid w:val="00C13902"/>
    <w:rsid w:val="00C17B9B"/>
    <w:rsid w:val="00C23C00"/>
    <w:rsid w:val="00C462EA"/>
    <w:rsid w:val="00C52583"/>
    <w:rsid w:val="00C70AF0"/>
    <w:rsid w:val="00CA3B4A"/>
    <w:rsid w:val="00CA785A"/>
    <w:rsid w:val="00CA7AD6"/>
    <w:rsid w:val="00CB08C7"/>
    <w:rsid w:val="00CB27BC"/>
    <w:rsid w:val="00CC6763"/>
    <w:rsid w:val="00CD3605"/>
    <w:rsid w:val="00D0685C"/>
    <w:rsid w:val="00D1059D"/>
    <w:rsid w:val="00D155DE"/>
    <w:rsid w:val="00D504A1"/>
    <w:rsid w:val="00D521F4"/>
    <w:rsid w:val="00D5433C"/>
    <w:rsid w:val="00D65296"/>
    <w:rsid w:val="00D7133E"/>
    <w:rsid w:val="00D71B0E"/>
    <w:rsid w:val="00DA2D7F"/>
    <w:rsid w:val="00DC7539"/>
    <w:rsid w:val="00DF0AE3"/>
    <w:rsid w:val="00DF59F6"/>
    <w:rsid w:val="00DF62DB"/>
    <w:rsid w:val="00E15831"/>
    <w:rsid w:val="00E17269"/>
    <w:rsid w:val="00E36E93"/>
    <w:rsid w:val="00E40367"/>
    <w:rsid w:val="00E42363"/>
    <w:rsid w:val="00E61B42"/>
    <w:rsid w:val="00EA2B95"/>
    <w:rsid w:val="00EB32F3"/>
    <w:rsid w:val="00F02109"/>
    <w:rsid w:val="00F12C69"/>
    <w:rsid w:val="00F477BC"/>
    <w:rsid w:val="00F54C7B"/>
    <w:rsid w:val="00F741AF"/>
    <w:rsid w:val="00F7605D"/>
    <w:rsid w:val="00F76A79"/>
    <w:rsid w:val="00F87153"/>
    <w:rsid w:val="00F87F8A"/>
    <w:rsid w:val="00F9590A"/>
    <w:rsid w:val="00FA05A9"/>
    <w:rsid w:val="00FB7F43"/>
    <w:rsid w:val="00FC4D54"/>
    <w:rsid w:val="00FC67BB"/>
    <w:rsid w:val="00FE4CEE"/>
    <w:rsid w:val="00FF0F3F"/>
    <w:rsid w:val="00FF1180"/>
    <w:rsid w:val="00FF7AE2"/>
    <w:rsid w:val="01083559"/>
    <w:rsid w:val="01D46DBB"/>
    <w:rsid w:val="01E328F7"/>
    <w:rsid w:val="024A682F"/>
    <w:rsid w:val="02D6561C"/>
    <w:rsid w:val="03244AAD"/>
    <w:rsid w:val="03253D97"/>
    <w:rsid w:val="03271AD8"/>
    <w:rsid w:val="032A3164"/>
    <w:rsid w:val="03A36409"/>
    <w:rsid w:val="04181325"/>
    <w:rsid w:val="046130C2"/>
    <w:rsid w:val="04BF650B"/>
    <w:rsid w:val="04F31401"/>
    <w:rsid w:val="05AA5F7D"/>
    <w:rsid w:val="05BD7C4A"/>
    <w:rsid w:val="05FE2719"/>
    <w:rsid w:val="060647E1"/>
    <w:rsid w:val="0647484F"/>
    <w:rsid w:val="065D0B86"/>
    <w:rsid w:val="07013DD8"/>
    <w:rsid w:val="07523DA8"/>
    <w:rsid w:val="075A49E3"/>
    <w:rsid w:val="07AF7E4B"/>
    <w:rsid w:val="08E023A7"/>
    <w:rsid w:val="09570119"/>
    <w:rsid w:val="0AA5236E"/>
    <w:rsid w:val="0ADE7931"/>
    <w:rsid w:val="0AFA3D3D"/>
    <w:rsid w:val="0C363FE5"/>
    <w:rsid w:val="0CAC533A"/>
    <w:rsid w:val="0D092114"/>
    <w:rsid w:val="0D4D76F9"/>
    <w:rsid w:val="0E0D1801"/>
    <w:rsid w:val="0E1D63E6"/>
    <w:rsid w:val="0E406F06"/>
    <w:rsid w:val="0ED612A4"/>
    <w:rsid w:val="0EDE756E"/>
    <w:rsid w:val="0F5F78AA"/>
    <w:rsid w:val="0F870CBA"/>
    <w:rsid w:val="0FAC3FFD"/>
    <w:rsid w:val="0FF81173"/>
    <w:rsid w:val="100B05BB"/>
    <w:rsid w:val="10760581"/>
    <w:rsid w:val="10AD7DE3"/>
    <w:rsid w:val="112A5EDF"/>
    <w:rsid w:val="11354C12"/>
    <w:rsid w:val="116616FE"/>
    <w:rsid w:val="120B7E5D"/>
    <w:rsid w:val="12950794"/>
    <w:rsid w:val="12E271A7"/>
    <w:rsid w:val="12F07944"/>
    <w:rsid w:val="1320070F"/>
    <w:rsid w:val="13AF4BE7"/>
    <w:rsid w:val="147E740C"/>
    <w:rsid w:val="14ED4E89"/>
    <w:rsid w:val="15623658"/>
    <w:rsid w:val="15816AA5"/>
    <w:rsid w:val="162B5CC9"/>
    <w:rsid w:val="16537661"/>
    <w:rsid w:val="17CA7D00"/>
    <w:rsid w:val="18797692"/>
    <w:rsid w:val="1949524F"/>
    <w:rsid w:val="1A2D0621"/>
    <w:rsid w:val="1AA62559"/>
    <w:rsid w:val="1B0C2AFF"/>
    <w:rsid w:val="1BD07A64"/>
    <w:rsid w:val="1BFF7617"/>
    <w:rsid w:val="1D087107"/>
    <w:rsid w:val="1D7F4C7A"/>
    <w:rsid w:val="1E8A33ED"/>
    <w:rsid w:val="1EB9252A"/>
    <w:rsid w:val="1ECA62A6"/>
    <w:rsid w:val="1FEE2CAE"/>
    <w:rsid w:val="20874DBF"/>
    <w:rsid w:val="21D84098"/>
    <w:rsid w:val="21EE363F"/>
    <w:rsid w:val="223018F3"/>
    <w:rsid w:val="227C7391"/>
    <w:rsid w:val="22981F3F"/>
    <w:rsid w:val="22D22C20"/>
    <w:rsid w:val="232A0E0E"/>
    <w:rsid w:val="232C6DFB"/>
    <w:rsid w:val="238520F9"/>
    <w:rsid w:val="24383708"/>
    <w:rsid w:val="24E81878"/>
    <w:rsid w:val="27696577"/>
    <w:rsid w:val="283B1F36"/>
    <w:rsid w:val="28BB6A18"/>
    <w:rsid w:val="29254202"/>
    <w:rsid w:val="29574A0F"/>
    <w:rsid w:val="2977035C"/>
    <w:rsid w:val="2AD96067"/>
    <w:rsid w:val="2BEC0589"/>
    <w:rsid w:val="2C0C309F"/>
    <w:rsid w:val="2C770AD3"/>
    <w:rsid w:val="2CDB3CF0"/>
    <w:rsid w:val="2D772B8D"/>
    <w:rsid w:val="2DB15EA3"/>
    <w:rsid w:val="2E282404"/>
    <w:rsid w:val="2E334AC0"/>
    <w:rsid w:val="2E723A16"/>
    <w:rsid w:val="2EA12E72"/>
    <w:rsid w:val="2F762C8D"/>
    <w:rsid w:val="2F9D4EF1"/>
    <w:rsid w:val="2FC409DC"/>
    <w:rsid w:val="2FDF0C93"/>
    <w:rsid w:val="30113E0C"/>
    <w:rsid w:val="30F1514A"/>
    <w:rsid w:val="312E7A88"/>
    <w:rsid w:val="32C77E26"/>
    <w:rsid w:val="332819AC"/>
    <w:rsid w:val="333C2131"/>
    <w:rsid w:val="33412951"/>
    <w:rsid w:val="33540BA7"/>
    <w:rsid w:val="33BD6D75"/>
    <w:rsid w:val="33E64F6D"/>
    <w:rsid w:val="33E738D9"/>
    <w:rsid w:val="33F86A44"/>
    <w:rsid w:val="34306ED4"/>
    <w:rsid w:val="3441259E"/>
    <w:rsid w:val="345C454E"/>
    <w:rsid w:val="348B4229"/>
    <w:rsid w:val="36272E80"/>
    <w:rsid w:val="36BD4C8D"/>
    <w:rsid w:val="36DE077F"/>
    <w:rsid w:val="37632B83"/>
    <w:rsid w:val="3783256C"/>
    <w:rsid w:val="37BB78CB"/>
    <w:rsid w:val="37FC6440"/>
    <w:rsid w:val="381C7737"/>
    <w:rsid w:val="384C6EBB"/>
    <w:rsid w:val="388D5D35"/>
    <w:rsid w:val="38B67595"/>
    <w:rsid w:val="38FB1B4A"/>
    <w:rsid w:val="3A1D6604"/>
    <w:rsid w:val="3A731B11"/>
    <w:rsid w:val="3AF94C33"/>
    <w:rsid w:val="3B09765F"/>
    <w:rsid w:val="3B2049B1"/>
    <w:rsid w:val="3B363839"/>
    <w:rsid w:val="3CAA6659"/>
    <w:rsid w:val="3CB414FF"/>
    <w:rsid w:val="3E824FDA"/>
    <w:rsid w:val="3F9E710E"/>
    <w:rsid w:val="40423A50"/>
    <w:rsid w:val="40914543"/>
    <w:rsid w:val="412A5838"/>
    <w:rsid w:val="421D37F9"/>
    <w:rsid w:val="42A71271"/>
    <w:rsid w:val="4358299B"/>
    <w:rsid w:val="444B09FB"/>
    <w:rsid w:val="460767A5"/>
    <w:rsid w:val="466E293E"/>
    <w:rsid w:val="46F90E3C"/>
    <w:rsid w:val="47102AE1"/>
    <w:rsid w:val="472C32F5"/>
    <w:rsid w:val="47752419"/>
    <w:rsid w:val="47B24B09"/>
    <w:rsid w:val="47D8566A"/>
    <w:rsid w:val="483352B0"/>
    <w:rsid w:val="498A401E"/>
    <w:rsid w:val="4A4649A1"/>
    <w:rsid w:val="4AEE252B"/>
    <w:rsid w:val="4AF729C5"/>
    <w:rsid w:val="4B466AE1"/>
    <w:rsid w:val="4B98035F"/>
    <w:rsid w:val="4C343C6A"/>
    <w:rsid w:val="4CC42CB9"/>
    <w:rsid w:val="4CE55791"/>
    <w:rsid w:val="4CFA388E"/>
    <w:rsid w:val="4D1B478A"/>
    <w:rsid w:val="4D657751"/>
    <w:rsid w:val="4EA62032"/>
    <w:rsid w:val="4EDC6337"/>
    <w:rsid w:val="4F1433F9"/>
    <w:rsid w:val="4F4C7691"/>
    <w:rsid w:val="4F5C0E4E"/>
    <w:rsid w:val="4FE07712"/>
    <w:rsid w:val="510B0611"/>
    <w:rsid w:val="513C21C0"/>
    <w:rsid w:val="52CF7465"/>
    <w:rsid w:val="53025C28"/>
    <w:rsid w:val="539A2BD1"/>
    <w:rsid w:val="54262F9D"/>
    <w:rsid w:val="542B155F"/>
    <w:rsid w:val="54EC442D"/>
    <w:rsid w:val="55960C27"/>
    <w:rsid w:val="56043144"/>
    <w:rsid w:val="56453205"/>
    <w:rsid w:val="56804683"/>
    <w:rsid w:val="56F2102C"/>
    <w:rsid w:val="570816B9"/>
    <w:rsid w:val="57435FB9"/>
    <w:rsid w:val="5744667A"/>
    <w:rsid w:val="575A7F9C"/>
    <w:rsid w:val="576E01ED"/>
    <w:rsid w:val="58152988"/>
    <w:rsid w:val="58463449"/>
    <w:rsid w:val="591E5ABC"/>
    <w:rsid w:val="597859A5"/>
    <w:rsid w:val="59BE4295"/>
    <w:rsid w:val="59CC6AD2"/>
    <w:rsid w:val="5A4A76E8"/>
    <w:rsid w:val="5A4C03DA"/>
    <w:rsid w:val="5AEB2F84"/>
    <w:rsid w:val="5AF54E67"/>
    <w:rsid w:val="5AFE05CB"/>
    <w:rsid w:val="5BC8488A"/>
    <w:rsid w:val="5C2E0C43"/>
    <w:rsid w:val="5C3B16FC"/>
    <w:rsid w:val="5C473C49"/>
    <w:rsid w:val="5C4A2C68"/>
    <w:rsid w:val="5C710AF5"/>
    <w:rsid w:val="5D803B9A"/>
    <w:rsid w:val="5EA07243"/>
    <w:rsid w:val="5F864AC9"/>
    <w:rsid w:val="5FC66629"/>
    <w:rsid w:val="60D2600B"/>
    <w:rsid w:val="61175D58"/>
    <w:rsid w:val="61E04EBB"/>
    <w:rsid w:val="62A31A17"/>
    <w:rsid w:val="63841898"/>
    <w:rsid w:val="640267DB"/>
    <w:rsid w:val="647B29AB"/>
    <w:rsid w:val="647E4A91"/>
    <w:rsid w:val="647E7709"/>
    <w:rsid w:val="64DF080A"/>
    <w:rsid w:val="64E44C7C"/>
    <w:rsid w:val="653F13FE"/>
    <w:rsid w:val="65982BEA"/>
    <w:rsid w:val="66005F3C"/>
    <w:rsid w:val="671D5CAF"/>
    <w:rsid w:val="6763193A"/>
    <w:rsid w:val="67683C2D"/>
    <w:rsid w:val="68147E7F"/>
    <w:rsid w:val="681E079E"/>
    <w:rsid w:val="687D6A20"/>
    <w:rsid w:val="68BB03FD"/>
    <w:rsid w:val="698D5D4D"/>
    <w:rsid w:val="69B26F89"/>
    <w:rsid w:val="6A4908B1"/>
    <w:rsid w:val="6B496F1F"/>
    <w:rsid w:val="6B50120F"/>
    <w:rsid w:val="6BAC5208"/>
    <w:rsid w:val="6C15694D"/>
    <w:rsid w:val="6C574D9A"/>
    <w:rsid w:val="6CD14A2C"/>
    <w:rsid w:val="6D4E51DF"/>
    <w:rsid w:val="6D700E0B"/>
    <w:rsid w:val="6DD051C4"/>
    <w:rsid w:val="6E284E96"/>
    <w:rsid w:val="6F445E4F"/>
    <w:rsid w:val="6FB02D05"/>
    <w:rsid w:val="705A389C"/>
    <w:rsid w:val="707C2C9A"/>
    <w:rsid w:val="71392E6E"/>
    <w:rsid w:val="719F5111"/>
    <w:rsid w:val="72FD47D3"/>
    <w:rsid w:val="732F5681"/>
    <w:rsid w:val="739D4461"/>
    <w:rsid w:val="74224120"/>
    <w:rsid w:val="744B4C4F"/>
    <w:rsid w:val="74F14286"/>
    <w:rsid w:val="74FA67F3"/>
    <w:rsid w:val="7551004B"/>
    <w:rsid w:val="75570F16"/>
    <w:rsid w:val="755B275D"/>
    <w:rsid w:val="75A73AF8"/>
    <w:rsid w:val="761F1B89"/>
    <w:rsid w:val="765254B9"/>
    <w:rsid w:val="77887689"/>
    <w:rsid w:val="77AD5BC8"/>
    <w:rsid w:val="7900723A"/>
    <w:rsid w:val="79E70706"/>
    <w:rsid w:val="7B37477A"/>
    <w:rsid w:val="7C0C5C9C"/>
    <w:rsid w:val="7CF30815"/>
    <w:rsid w:val="7CF628EB"/>
    <w:rsid w:val="7DC30861"/>
    <w:rsid w:val="7EAA6129"/>
    <w:rsid w:val="7F786B15"/>
    <w:rsid w:val="7F9C1F9A"/>
    <w:rsid w:val="7FF60DB5"/>
    <w:rsid w:val="7FF78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unhideWhenUsed/>
    <w:qFormat/>
    <w:uiPriority w:val="1"/>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5">
    <w:name w:val="Body Text"/>
    <w:basedOn w:val="1"/>
    <w:link w:val="20"/>
    <w:qFormat/>
    <w:uiPriority w:val="1"/>
    <w:pPr>
      <w:autoSpaceDE w:val="0"/>
      <w:autoSpaceDN w:val="0"/>
      <w:ind w:left="138"/>
      <w:jc w:val="left"/>
    </w:pPr>
    <w:rPr>
      <w:rFonts w:ascii="仿宋" w:hAnsi="仿宋" w:eastAsia="仿宋" w:cs="仿宋"/>
      <w:kern w:val="0"/>
      <w:sz w:val="32"/>
      <w:szCs w:val="32"/>
      <w:lang w:val="zh-CN" w:bidi="zh-CN"/>
    </w:rPr>
  </w:style>
  <w:style w:type="paragraph" w:styleId="6">
    <w:name w:val="Plain Text"/>
    <w:basedOn w:val="1"/>
    <w:qFormat/>
    <w:uiPriority w:val="0"/>
    <w:rPr>
      <w:rFonts w:ascii="宋体" w:hAnsi="Courier New" w:cs="Courier New"/>
      <w:szCs w:val="21"/>
    </w:rPr>
  </w:style>
  <w:style w:type="paragraph" w:styleId="7">
    <w:name w:val="Balloon Text"/>
    <w:basedOn w:val="1"/>
    <w:link w:val="27"/>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paragraph" w:customStyle="1" w:styleId="18">
    <w:name w:val="实施方案正文"/>
    <w:basedOn w:val="19"/>
    <w:qFormat/>
    <w:uiPriority w:val="0"/>
    <w:pPr>
      <w:ind w:firstLine="566" w:firstLineChars="202"/>
    </w:pPr>
    <w:rPr>
      <w:rFonts w:ascii="等线" w:hAnsi="等线" w:eastAsia="等线"/>
      <w:szCs w:val="28"/>
    </w:rPr>
  </w:style>
  <w:style w:type="paragraph" w:customStyle="1" w:styleId="19">
    <w:name w:val="正文 New"/>
    <w:next w:val="18"/>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20">
    <w:name w:val="正文文本 字符"/>
    <w:basedOn w:val="15"/>
    <w:link w:val="5"/>
    <w:qFormat/>
    <w:uiPriority w:val="1"/>
    <w:rPr>
      <w:rFonts w:ascii="仿宋" w:hAnsi="仿宋" w:eastAsia="仿宋" w:cs="仿宋"/>
      <w:kern w:val="0"/>
      <w:sz w:val="32"/>
      <w:szCs w:val="32"/>
      <w:lang w:val="zh-CN" w:bidi="zh-CN"/>
    </w:rPr>
  </w:style>
  <w:style w:type="character" w:customStyle="1" w:styleId="21">
    <w:name w:val="标题 1 字符"/>
    <w:basedOn w:val="15"/>
    <w:link w:val="3"/>
    <w:qFormat/>
    <w:uiPriority w:val="9"/>
    <w:rPr>
      <w:rFonts w:ascii="Calibri" w:hAnsi="Calibri" w:eastAsia="宋体" w:cs="Times New Roman"/>
      <w:b/>
      <w:bCs/>
      <w:kern w:val="44"/>
      <w:sz w:val="44"/>
      <w:szCs w:val="44"/>
    </w:rPr>
  </w:style>
  <w:style w:type="character" w:customStyle="1" w:styleId="22">
    <w:name w:val="标题 2 字符"/>
    <w:basedOn w:val="15"/>
    <w:link w:val="4"/>
    <w:qFormat/>
    <w:uiPriority w:val="9"/>
    <w:rPr>
      <w:rFonts w:asciiTheme="majorHAnsi" w:hAnsiTheme="majorHAnsi" w:eastAsiaTheme="majorEastAsia" w:cstheme="majorBidi"/>
      <w:b/>
      <w:bCs/>
      <w:sz w:val="32"/>
      <w:szCs w:val="32"/>
    </w:rPr>
  </w:style>
  <w:style w:type="paragraph" w:customStyle="1" w:styleId="2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
    <w:name w:val="页眉 字符"/>
    <w:basedOn w:val="15"/>
    <w:link w:val="9"/>
    <w:qFormat/>
    <w:uiPriority w:val="99"/>
    <w:rPr>
      <w:rFonts w:ascii="Calibri" w:hAnsi="Calibri" w:eastAsia="宋体" w:cs="Times New Roman"/>
      <w:sz w:val="18"/>
      <w:szCs w:val="18"/>
    </w:rPr>
  </w:style>
  <w:style w:type="character" w:customStyle="1" w:styleId="25">
    <w:name w:val="页脚 字符"/>
    <w:basedOn w:val="15"/>
    <w:link w:val="8"/>
    <w:qFormat/>
    <w:uiPriority w:val="99"/>
    <w:rPr>
      <w:rFonts w:ascii="Calibri" w:hAnsi="Calibri" w:eastAsia="宋体" w:cs="Times New Roman"/>
      <w:sz w:val="18"/>
      <w:szCs w:val="18"/>
    </w:rPr>
  </w:style>
  <w:style w:type="paragraph" w:customStyle="1" w:styleId="26">
    <w:name w:val="正文 A"/>
    <w:qFormat/>
    <w:uiPriority w:val="99"/>
    <w:pPr>
      <w:spacing w:after="200" w:line="276" w:lineRule="auto"/>
    </w:pPr>
    <w:rPr>
      <w:rFonts w:ascii="Calibri" w:hAnsi="Calibri" w:eastAsia="宋体" w:cs="Calibri"/>
      <w:color w:val="000000"/>
      <w:sz w:val="22"/>
      <w:szCs w:val="22"/>
      <w:u w:color="000000"/>
      <w:lang w:val="en-US" w:eastAsia="zh-CN" w:bidi="ar-SA"/>
    </w:rPr>
  </w:style>
  <w:style w:type="character" w:customStyle="1" w:styleId="27">
    <w:name w:val="批注框文本 字符"/>
    <w:basedOn w:val="15"/>
    <w:link w:val="7"/>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3380</Words>
  <Characters>19267</Characters>
  <Lines>160</Lines>
  <Paragraphs>45</Paragraphs>
  <TotalTime>0</TotalTime>
  <ScaleCrop>false</ScaleCrop>
  <LinksUpToDate>false</LinksUpToDate>
  <CharactersWithSpaces>22602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2020-10-16T20:45:00Z</dcterms:created>
  <dc:creator>lei li</dc:creator>
  <cp:lastModifiedBy>岂曰无衣</cp:lastModifiedBy>
  <dcterms:modified xsi:type="dcterms:W3CDTF">2024-01-17T01:50:29Z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7DB7D92086DE41E088B8281EEE35A0E5</vt:lpwstr>
  </property>
</Properties>
</file>